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四川省人民医院GCP受控文件管理系统采购项目（2）</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5</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F215F51">
          <w:pPr>
            <w:pStyle w:val="11"/>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1"/>
            <w:tabs>
              <w:tab w:val="right" w:leader="dot" w:pos="8294"/>
            </w:tabs>
            <w:spacing w:line="360" w:lineRule="auto"/>
            <w:rPr>
              <w:rFonts w:ascii="仿宋" w:hAnsi="仿宋" w:eastAsia="仿宋" w:cs="仿宋"/>
              <w:color w:val="auto"/>
              <w:sz w:val="24"/>
              <w:szCs w:val="24"/>
              <w:highlight w:val="none"/>
            </w:rPr>
          </w:pPr>
        </w:p>
        <w:p w14:paraId="38BE06C9">
          <w:pPr>
            <w:pStyle w:val="11"/>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2"/>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四川省人民医院GCP受控文件管理系统采购项目（2）</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val="en-US" w:eastAsia="zh-CN"/>
              </w:rPr>
            </w:pPr>
            <w:r>
              <w:rPr>
                <w:rFonts w:hint="default" w:ascii="仿宋" w:hAnsi="仿宋" w:eastAsia="仿宋" w:cs="仿宋"/>
                <w:color w:val="auto"/>
                <w:sz w:val="22"/>
                <w:szCs w:val="22"/>
                <w:highlight w:val="none"/>
              </w:rPr>
              <w:t>CGZX-YXX2026049</w:t>
            </w:r>
            <w:r>
              <w:rPr>
                <w:rFonts w:hint="eastAsia" w:ascii="仿宋" w:hAnsi="仿宋" w:eastAsia="仿宋" w:cs="仿宋"/>
                <w:color w:val="auto"/>
                <w:sz w:val="22"/>
                <w:szCs w:val="22"/>
                <w:highlight w:val="none"/>
                <w:lang w:val="en-US" w:eastAsia="zh-CN"/>
              </w:rPr>
              <w:t>6</w:t>
            </w:r>
            <w:bookmarkStart w:id="39" w:name="_GoBack"/>
            <w:bookmarkEnd w:id="39"/>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人民币</w:t>
            </w:r>
            <w:r>
              <w:rPr>
                <w:rFonts w:hint="eastAsia" w:ascii="仿宋" w:hAnsi="仿宋" w:eastAsia="仿宋" w:cs="仿宋"/>
                <w:color w:val="auto"/>
                <w:sz w:val="22"/>
                <w:szCs w:val="22"/>
                <w:highlight w:val="none"/>
                <w:u w:val="single"/>
                <w:lang w:val="en-US" w:eastAsia="zh-CN"/>
              </w:rPr>
              <w:t>98000.00</w:t>
            </w:r>
            <w:r>
              <w:rPr>
                <w:rFonts w:ascii="仿宋" w:hAnsi="仿宋" w:eastAsia="仿宋" w:cs="仿宋"/>
                <w:color w:val="auto"/>
                <w:sz w:val="22"/>
                <w:szCs w:val="22"/>
                <w:highlight w:val="none"/>
              </w:rPr>
              <w:t>元</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丁</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87393463</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雷</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2"/>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03C48317">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24E5B32B">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004AE99C">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eastAsia="zh-TW"/>
              </w:rPr>
              <w:t>本次采购活动统一使用人民币报价</w:t>
            </w:r>
            <w:r>
              <w:rPr>
                <w:rFonts w:ascii="仿宋" w:hAnsi="仿宋" w:eastAsia="仿宋" w:cs="仿宋"/>
                <w:color w:val="auto"/>
                <w:sz w:val="22"/>
                <w:szCs w:val="22"/>
                <w:highlight w:val="none"/>
                <w:lang w:val="zh-TW"/>
              </w:rPr>
              <w:t>。</w:t>
            </w:r>
          </w:p>
          <w:p w14:paraId="2EF67B45">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rPr>
              <w:t>供应商</w:t>
            </w:r>
            <w:r>
              <w:rPr>
                <w:rFonts w:ascii="仿宋" w:hAnsi="仿宋" w:eastAsia="仿宋" w:cs="仿宋"/>
                <w:color w:val="auto"/>
                <w:sz w:val="22"/>
                <w:szCs w:val="22"/>
                <w:highlight w:val="none"/>
                <w:lang w:val="zh-TW" w:eastAsia="zh-TW"/>
              </w:rPr>
              <w:t>若报价高于最高限价</w:t>
            </w:r>
            <w:r>
              <w:rPr>
                <w:rFonts w:ascii="仿宋" w:hAnsi="仿宋" w:eastAsia="仿宋" w:cs="仿宋"/>
                <w:color w:val="auto"/>
                <w:sz w:val="22"/>
                <w:szCs w:val="22"/>
                <w:highlight w:val="none"/>
              </w:rPr>
              <w:t>或存在不正当竞争情形的</w:t>
            </w:r>
            <w:r>
              <w:rPr>
                <w:rFonts w:ascii="仿宋" w:hAnsi="仿宋" w:eastAsia="仿宋" w:cs="仿宋"/>
                <w:color w:val="auto"/>
                <w:sz w:val="22"/>
                <w:szCs w:val="22"/>
                <w:highlight w:val="none"/>
                <w:lang w:val="zh-TW" w:eastAsia="zh-TW"/>
              </w:rPr>
              <w:t>，其</w:t>
            </w:r>
            <w:r>
              <w:rPr>
                <w:rFonts w:ascii="仿宋" w:hAnsi="仿宋" w:eastAsia="仿宋" w:cs="仿宋"/>
                <w:color w:val="auto"/>
                <w:sz w:val="22"/>
                <w:szCs w:val="22"/>
                <w:highlight w:val="none"/>
                <w:lang w:val="zh-TW"/>
              </w:rPr>
              <w:t>报价文件</w:t>
            </w:r>
            <w:r>
              <w:rPr>
                <w:rFonts w:ascii="仿宋" w:hAnsi="仿宋" w:eastAsia="仿宋" w:cs="仿宋"/>
                <w:color w:val="auto"/>
                <w:sz w:val="22"/>
                <w:szCs w:val="22"/>
                <w:highlight w:val="none"/>
                <w:lang w:val="zh-TW" w:eastAsia="zh-TW"/>
              </w:rPr>
              <w:t>作无效。</w:t>
            </w:r>
          </w:p>
          <w:p w14:paraId="40E3C382">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rPr>
              <w:t>供应商</w:t>
            </w:r>
            <w:r>
              <w:rPr>
                <w:rFonts w:ascii="仿宋" w:hAnsi="仿宋" w:eastAsia="仿宋" w:cs="仿宋"/>
                <w:color w:val="auto"/>
                <w:sz w:val="22"/>
                <w:szCs w:val="22"/>
                <w:highlight w:val="none"/>
                <w:lang w:val="zh-TW" w:eastAsia="zh-TW"/>
              </w:rPr>
              <w:t>应通过采购人</w:t>
            </w:r>
            <w:r>
              <w:rPr>
                <w:rFonts w:ascii="仿宋" w:hAnsi="仿宋" w:eastAsia="仿宋" w:cs="仿宋"/>
                <w:color w:val="auto"/>
                <w:sz w:val="22"/>
                <w:szCs w:val="22"/>
                <w:highlight w:val="none"/>
                <w:lang w:val="zh-TW"/>
              </w:rPr>
              <w:t>官方网站电子招标采购平台进行报价</w:t>
            </w:r>
            <w:r>
              <w:rPr>
                <w:rFonts w:ascii="仿宋" w:hAnsi="仿宋" w:eastAsia="仿宋" w:cs="仿宋"/>
                <w:color w:val="auto"/>
                <w:sz w:val="22"/>
                <w:szCs w:val="22"/>
                <w:highlight w:val="none"/>
                <w:lang w:val="zh-TW" w:eastAsia="zh-TW"/>
              </w:rPr>
              <w:t>且</w:t>
            </w:r>
            <w:r>
              <w:rPr>
                <w:rFonts w:ascii="仿宋" w:hAnsi="仿宋" w:eastAsia="仿宋" w:cs="仿宋"/>
                <w:color w:val="auto"/>
                <w:sz w:val="22"/>
                <w:szCs w:val="22"/>
                <w:highlight w:val="none"/>
              </w:rPr>
              <w:t>报价</w:t>
            </w:r>
            <w:r>
              <w:rPr>
                <w:rFonts w:ascii="仿宋" w:hAnsi="仿宋" w:eastAsia="仿宋" w:cs="仿宋"/>
                <w:color w:val="auto"/>
                <w:sz w:val="22"/>
                <w:szCs w:val="22"/>
                <w:highlight w:val="none"/>
                <w:lang w:val="zh-TW" w:eastAsia="zh-TW"/>
              </w:rPr>
              <w:t>不可撤回。</w:t>
            </w:r>
          </w:p>
          <w:p w14:paraId="7CD029F7">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eastAsia="zh-TW"/>
              </w:rPr>
              <w:t>如</w:t>
            </w:r>
            <w:r>
              <w:rPr>
                <w:rFonts w:ascii="仿宋" w:hAnsi="仿宋" w:eastAsia="仿宋" w:cs="仿宋"/>
                <w:color w:val="auto"/>
                <w:sz w:val="22"/>
                <w:szCs w:val="22"/>
                <w:highlight w:val="none"/>
                <w:lang w:val="zh-TW"/>
              </w:rPr>
              <w:t>供应商</w:t>
            </w:r>
            <w:r>
              <w:rPr>
                <w:rFonts w:ascii="仿宋" w:hAnsi="仿宋" w:eastAsia="仿宋" w:cs="仿宋"/>
                <w:color w:val="auto"/>
                <w:sz w:val="22"/>
                <w:szCs w:val="22"/>
                <w:highlight w:val="none"/>
                <w:lang w:val="zh-TW" w:eastAsia="zh-TW"/>
              </w:rPr>
              <w:t>有与报价相关的必须说明的内容</w:t>
            </w:r>
            <w:r>
              <w:rPr>
                <w:rFonts w:ascii="仿宋" w:hAnsi="仿宋" w:eastAsia="仿宋" w:cs="仿宋"/>
                <w:color w:val="auto"/>
                <w:sz w:val="22"/>
                <w:szCs w:val="22"/>
                <w:highlight w:val="none"/>
                <w:lang w:val="zh-TW"/>
              </w:rPr>
              <w:t>，应在报价文件</w:t>
            </w:r>
            <w:r>
              <w:rPr>
                <w:color w:val="auto"/>
                <w:highlight w:val="none"/>
              </w:rPr>
              <w:fldChar w:fldCharType="begin"/>
            </w:r>
            <w:r>
              <w:rPr>
                <w:color w:val="auto"/>
                <w:highlight w:val="none"/>
              </w:rPr>
              <w:instrText xml:space="preserve"> HYPERLINK \l "格式五报价情况" </w:instrText>
            </w:r>
            <w:r>
              <w:rPr>
                <w:color w:val="auto"/>
                <w:highlight w:val="none"/>
              </w:rPr>
              <w:fldChar w:fldCharType="separate"/>
            </w:r>
            <w:r>
              <w:rPr>
                <w:rFonts w:ascii="仿宋" w:hAnsi="仿宋" w:eastAsia="仿宋" w:cs="仿宋"/>
                <w:color w:val="auto"/>
                <w:sz w:val="22"/>
                <w:szCs w:val="22"/>
                <w:highlight w:val="none"/>
                <w:lang w:val="zh-TW"/>
              </w:rPr>
              <w:t>格式五《报价情况》</w:t>
            </w:r>
            <w:r>
              <w:rPr>
                <w:rFonts w:ascii="仿宋" w:hAnsi="仿宋" w:eastAsia="仿宋" w:cs="仿宋"/>
                <w:color w:val="auto"/>
                <w:sz w:val="22"/>
                <w:szCs w:val="22"/>
                <w:highlight w:val="none"/>
                <w:lang w:val="zh-TW"/>
              </w:rPr>
              <w:fldChar w:fldCharType="end"/>
            </w:r>
            <w:r>
              <w:rPr>
                <w:rFonts w:ascii="仿宋" w:hAnsi="仿宋" w:eastAsia="仿宋" w:cs="仿宋"/>
                <w:color w:val="auto"/>
                <w:sz w:val="22"/>
                <w:szCs w:val="22"/>
                <w:highlight w:val="none"/>
                <w:lang w:val="zh-TW"/>
              </w:rPr>
              <w:t>中写明。</w:t>
            </w:r>
          </w:p>
          <w:p w14:paraId="58E6DD78">
            <w:pPr>
              <w:numPr>
                <w:ilvl w:val="0"/>
                <w:numId w:val="11"/>
              </w:numPr>
              <w:spacing w:line="360" w:lineRule="auto"/>
              <w:ind w:left="220" w:firstLine="0"/>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310B913F">
            <w:pPr>
              <w:spacing w:line="360" w:lineRule="auto"/>
              <w:jc w:val="center"/>
              <w:rPr>
                <w:rFonts w:hint="default" w:ascii="仿宋" w:hAnsi="仿宋" w:eastAsia="仿宋" w:cs="仿宋"/>
                <w:color w:val="auto"/>
                <w:kern w:val="0"/>
                <w:sz w:val="22"/>
                <w:szCs w:val="22"/>
                <w:highlight w:val="none"/>
                <w:lang w:val="zh-CN"/>
              </w:rPr>
            </w:pPr>
            <w:r>
              <w:rPr>
                <w:rFonts w:ascii="仿宋" w:hAnsi="仿宋" w:eastAsia="仿宋" w:cs="仿宋"/>
                <w:color w:val="auto"/>
                <w:highlight w:val="none"/>
                <w:lang w:val="zh-TW"/>
              </w:rPr>
              <w:t>报价文件</w:t>
            </w:r>
            <w:r>
              <w:rPr>
                <w:rFonts w:ascii="仿宋" w:hAnsi="仿宋" w:eastAsia="仿宋" w:cs="仿宋"/>
                <w:color w:val="auto"/>
                <w:highlight w:val="none"/>
                <w:lang w:val="zh-TW" w:eastAsia="zh-TW"/>
              </w:rPr>
              <w:t>编制要求</w:t>
            </w:r>
          </w:p>
        </w:tc>
        <w:tc>
          <w:tcPr>
            <w:tcW w:w="6801" w:type="dxa"/>
            <w:tcBorders>
              <w:bottom w:val="single" w:color="auto" w:sz="4" w:space="0"/>
            </w:tcBorders>
            <w:vAlign w:val="center"/>
          </w:tcPr>
          <w:p w14:paraId="23CFEB5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(1)报价文件格式：详见本采购文件第四章。</w:t>
            </w:r>
          </w:p>
          <w:p w14:paraId="7A85219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(2)报价文件语言：</w:t>
            </w:r>
          </w:p>
          <w:p w14:paraId="60661FF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1 \* GB3 \* MERGEFORMAT </w:instrText>
            </w:r>
            <w:r>
              <w:rPr>
                <w:rFonts w:ascii="仿宋" w:hAnsi="仿宋" w:eastAsia="仿宋" w:cs="仿宋"/>
                <w:color w:val="auto"/>
                <w:sz w:val="22"/>
                <w:szCs w:val="22"/>
                <w:highlight w:val="none"/>
              </w:rPr>
              <w:fldChar w:fldCharType="separate"/>
            </w:r>
            <w:r>
              <w:rPr>
                <w:color w:val="auto"/>
                <w:highlight w:val="none"/>
              </w:rPr>
              <w:t>①</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2 \* GB3 \* MERGEFORMAT </w:instrText>
            </w:r>
            <w:r>
              <w:rPr>
                <w:rFonts w:ascii="仿宋" w:hAnsi="仿宋" w:eastAsia="仿宋" w:cs="仿宋"/>
                <w:color w:val="auto"/>
                <w:sz w:val="22"/>
                <w:szCs w:val="22"/>
                <w:highlight w:val="none"/>
              </w:rPr>
              <w:fldChar w:fldCharType="separate"/>
            </w:r>
            <w:r>
              <w:rPr>
                <w:color w:val="auto"/>
                <w:highlight w:val="none"/>
              </w:rPr>
              <w:t>②</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3 \* GB3 \* MERGEFORMAT </w:instrText>
            </w:r>
            <w:r>
              <w:rPr>
                <w:rFonts w:ascii="仿宋" w:hAnsi="仿宋" w:eastAsia="仿宋" w:cs="仿宋"/>
                <w:color w:val="auto"/>
                <w:sz w:val="22"/>
                <w:szCs w:val="22"/>
                <w:highlight w:val="none"/>
              </w:rPr>
              <w:fldChar w:fldCharType="separate"/>
            </w:r>
            <w:r>
              <w:rPr>
                <w:color w:val="auto"/>
                <w:highlight w:val="none"/>
              </w:rPr>
              <w:t>③</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3D57715A">
            <w:pPr>
              <w:spacing w:line="360" w:lineRule="auto"/>
              <w:jc w:val="center"/>
              <w:rPr>
                <w:rFonts w:hint="default" w:ascii="仿宋" w:hAnsi="仿宋" w:eastAsia="仿宋" w:cs="仿宋"/>
                <w:color w:val="auto"/>
                <w:highlight w:val="none"/>
              </w:rPr>
            </w:pPr>
            <w:r>
              <w:rPr>
                <w:rFonts w:ascii="仿宋" w:hAnsi="仿宋" w:eastAsia="仿宋" w:cs="仿宋"/>
                <w:color w:val="auto"/>
                <w:highlight w:val="none"/>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（3）异常低价情形：</w:t>
            </w:r>
          </w:p>
          <w:p w14:paraId="1CF625E3">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①</w:t>
            </w:r>
            <w:r>
              <w:rPr>
                <w:rFonts w:ascii="Times New Roman" w:hAnsi="Times New Roman" w:eastAsia="仿宋" w:cs="Times New Roman"/>
                <w:color w:val="auto"/>
                <w:sz w:val="22"/>
                <w:highlight w:val="none"/>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②</w:t>
            </w:r>
            <w:r>
              <w:rPr>
                <w:rFonts w:ascii="Times New Roman" w:hAnsi="Times New Roman" w:eastAsia="仿宋" w:cs="Times New Roman"/>
                <w:color w:val="auto"/>
                <w:sz w:val="22"/>
                <w:highlight w:val="none"/>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③</w:t>
            </w:r>
            <w:r>
              <w:rPr>
                <w:rFonts w:ascii="Times New Roman" w:hAnsi="Times New Roman" w:eastAsia="仿宋" w:cs="Times New Roman"/>
                <w:color w:val="auto"/>
                <w:sz w:val="22"/>
                <w:highlight w:val="none"/>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④</w:t>
            </w:r>
            <w:r>
              <w:rPr>
                <w:rFonts w:ascii="Times New Roman" w:hAnsi="Times New Roman" w:eastAsia="仿宋" w:cs="Times New Roman"/>
                <w:color w:val="auto"/>
                <w:sz w:val="22"/>
                <w:highlight w:val="none"/>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color w:val="auto"/>
                <w:sz w:val="22"/>
                <w:highlight w:val="none"/>
              </w:rPr>
            </w:pPr>
            <w:r>
              <w:rPr>
                <w:rFonts w:hint="default" w:ascii="Times New Roman" w:hAnsi="Times New Roman" w:eastAsia="仿宋" w:cs="Times New Roman"/>
                <w:color w:val="auto"/>
                <w:sz w:val="22"/>
                <w:highlight w:val="none"/>
              </w:rPr>
              <w:t>采购人可以结合具体项目实际情况，提高上述第</w:t>
            </w:r>
            <w:r>
              <w:rPr>
                <w:rFonts w:ascii="Cambria Math" w:hAnsi="Cambria Math" w:eastAsia="仿宋" w:cs="Cambria Math"/>
                <w:color w:val="auto"/>
                <w:sz w:val="22"/>
                <w:highlight w:val="none"/>
              </w:rPr>
              <w:t>①</w:t>
            </w:r>
            <w:r>
              <w:rPr>
                <w:rFonts w:hint="default" w:ascii="Times New Roman" w:hAnsi="Times New Roman" w:eastAsia="仿宋" w:cs="Times New Roman"/>
                <w:color w:val="auto"/>
                <w:sz w:val="22"/>
                <w:highlight w:val="none"/>
              </w:rPr>
              <w:t>项至第</w:t>
            </w:r>
            <w:r>
              <w:rPr>
                <w:rFonts w:ascii="Cambria Math" w:hAnsi="Cambria Math" w:eastAsia="仿宋" w:cs="Cambria Math"/>
                <w:color w:val="auto"/>
                <w:sz w:val="22"/>
                <w:highlight w:val="none"/>
              </w:rPr>
              <w:t>③</w:t>
            </w:r>
            <w:r>
              <w:rPr>
                <w:rFonts w:hint="default" w:ascii="Times New Roman" w:hAnsi="Times New Roman" w:eastAsia="仿宋" w:cs="Times New Roman"/>
                <w:color w:val="auto"/>
                <w:sz w:val="22"/>
                <w:highlight w:val="none"/>
              </w:rPr>
              <w:t>项中启动异常低价响应审查的数值标准，但是最高不得超过65%。 </w:t>
            </w:r>
          </w:p>
          <w:p w14:paraId="59B2ABFF">
            <w:pPr>
              <w:spacing w:line="360" w:lineRule="auto"/>
              <w:ind w:left="210" w:leftChars="100"/>
              <w:rPr>
                <w:rFonts w:hint="default"/>
                <w:color w:val="auto"/>
                <w:highlight w:val="none"/>
              </w:rPr>
            </w:pPr>
            <w:r>
              <w:rPr>
                <w:rFonts w:hint="default" w:ascii="Times New Roman" w:hAnsi="Times New Roman" w:eastAsia="仿宋" w:cs="Times New Roman"/>
                <w:color w:val="auto"/>
                <w:sz w:val="22"/>
                <w:highlight w:val="none"/>
              </w:rPr>
              <w:t>相关法律法规对供应商报价有规定的，从其规定</w:t>
            </w:r>
            <w:r>
              <w:rPr>
                <w:rFonts w:ascii="Times New Roman" w:hAnsi="Times New Roman" w:eastAsia="仿宋" w:cs="Times New Roman"/>
                <w:color w:val="auto"/>
                <w:sz w:val="22"/>
                <w:highlight w:val="none"/>
              </w:rPr>
              <w:t>。</w:t>
            </w:r>
          </w:p>
          <w:p w14:paraId="367D340C">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2）异常低价响应审查程序：</w:t>
            </w:r>
          </w:p>
          <w:p w14:paraId="7C42851A">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①</w:t>
            </w:r>
            <w:r>
              <w:rPr>
                <w:rFonts w:ascii="Times New Roman" w:hAnsi="Times New Roman" w:eastAsia="仿宋" w:cs="Times New Roman"/>
                <w:color w:val="auto"/>
                <w:sz w:val="22"/>
                <w:highlight w:val="none"/>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②</w:t>
            </w:r>
            <w:r>
              <w:rPr>
                <w:rFonts w:ascii="Times New Roman" w:hAnsi="Times New Roman" w:eastAsia="仿宋" w:cs="Times New Roman"/>
                <w:color w:val="auto"/>
                <w:sz w:val="22"/>
                <w:highlight w:val="none"/>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③</w:t>
            </w:r>
            <w:r>
              <w:rPr>
                <w:rFonts w:ascii="Times New Roman" w:hAnsi="Times New Roman" w:eastAsia="仿宋" w:cs="Times New Roman"/>
                <w:color w:val="auto"/>
                <w:sz w:val="22"/>
                <w:highlight w:val="none"/>
              </w:rPr>
              <w:t>供应商未按要求提交成本构成说明材料，或者提交的材料不能证明其报价合理性的，评审时应当将其响应作无效响应处理。</w:t>
            </w:r>
          </w:p>
          <w:p w14:paraId="2B3578CF">
            <w:pPr>
              <w:spacing w:line="360" w:lineRule="auto"/>
              <w:ind w:left="210" w:leftChars="100"/>
              <w:rPr>
                <w:rFonts w:hint="default"/>
                <w:color w:val="auto"/>
                <w:highlight w:val="none"/>
              </w:rPr>
            </w:pPr>
            <w:r>
              <w:rPr>
                <w:rFonts w:ascii="Cambria Math" w:hAnsi="Cambria Math" w:eastAsia="仿宋" w:cs="Cambria Math"/>
                <w:color w:val="auto"/>
                <w:sz w:val="22"/>
                <w:highlight w:val="none"/>
              </w:rPr>
              <w:t>④</w:t>
            </w:r>
            <w:r>
              <w:rPr>
                <w:rFonts w:ascii="Times New Roman" w:hAnsi="Times New Roman" w:eastAsia="仿宋" w:cs="Times New Roman"/>
                <w:color w:val="auto"/>
                <w:sz w:val="22"/>
                <w:highlight w:val="none"/>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1D97ECBA">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highlight w:val="none"/>
                <w:lang w:val="zh-TW" w:eastAsia="zh-TW"/>
              </w:rPr>
              <w:t>货物质量要求</w:t>
            </w:r>
          </w:p>
        </w:tc>
        <w:tc>
          <w:tcPr>
            <w:tcW w:w="6801" w:type="dxa"/>
            <w:vAlign w:val="center"/>
          </w:tcPr>
          <w:p w14:paraId="686151E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691B4B72">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highlight w:val="none"/>
                <w:lang w:val="zh-TW" w:eastAsia="zh-TW"/>
              </w:rPr>
              <w:t>服务质量要求</w:t>
            </w:r>
          </w:p>
        </w:tc>
        <w:tc>
          <w:tcPr>
            <w:tcW w:w="6801" w:type="dxa"/>
            <w:vAlign w:val="center"/>
          </w:tcPr>
          <w:p w14:paraId="572A567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(2)若出现质量问题，中选供应商负责按照采购人要求承担相应的经济和法律责任。</w:t>
            </w:r>
          </w:p>
          <w:p w14:paraId="06BE727F">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4BF32238">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知识产权要求</w:t>
            </w:r>
          </w:p>
        </w:tc>
        <w:tc>
          <w:tcPr>
            <w:tcW w:w="6801" w:type="dxa"/>
            <w:vAlign w:val="center"/>
          </w:tcPr>
          <w:p w14:paraId="4974ABD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75A9D600">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纪律要求</w:t>
            </w:r>
          </w:p>
        </w:tc>
        <w:tc>
          <w:tcPr>
            <w:tcW w:w="6801" w:type="dxa"/>
            <w:vAlign w:val="center"/>
          </w:tcPr>
          <w:p w14:paraId="0F83BD4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(1)供应商在参与采购活动过程中，不得有任何违法乱纪的行为。</w:t>
            </w:r>
          </w:p>
          <w:p w14:paraId="4C02243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(2)若报价文件存在虚假响应，将作无效处理，若是中选后发现的，采购人将取消中选资格。</w:t>
            </w:r>
          </w:p>
          <w:p w14:paraId="093330E3">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172EEFA4">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采购文件的澄清、更正</w:t>
            </w:r>
          </w:p>
        </w:tc>
        <w:tc>
          <w:tcPr>
            <w:tcW w:w="6801" w:type="dxa"/>
            <w:vAlign w:val="center"/>
          </w:tcPr>
          <w:p w14:paraId="7EAC1C6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4BAF4408">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供应商质疑</w:t>
            </w:r>
          </w:p>
        </w:tc>
        <w:tc>
          <w:tcPr>
            <w:tcW w:w="6801" w:type="dxa"/>
            <w:vAlign w:val="center"/>
          </w:tcPr>
          <w:p w14:paraId="1DD1B476">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14:paraId="7F370FC4">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14:paraId="7E64D613">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rPr>
              <w:t>；</w:t>
            </w:r>
          </w:p>
          <w:p w14:paraId="7D758B1D">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3.质疑相关资料要求：</w:t>
            </w:r>
          </w:p>
          <w:p w14:paraId="2166CD40">
            <w:pPr>
              <w:spacing w:line="360" w:lineRule="auto"/>
              <w:ind w:left="210" w:leftChars="100"/>
              <w:rPr>
                <w:rFonts w:hint="default" w:ascii="仿宋" w:hAnsi="仿宋" w:eastAsia="仿宋" w:cs="仿宋"/>
                <w:color w:val="auto"/>
                <w:sz w:val="22"/>
                <w:highlight w:val="none"/>
              </w:rPr>
            </w:pPr>
            <w:r>
              <w:rPr>
                <w:rFonts w:ascii="仿宋" w:hAnsi="仿宋" w:eastAsia="仿宋" w:cs="仿宋"/>
                <w:color w:val="auto"/>
                <w:sz w:val="22"/>
                <w:highlight w:val="none"/>
              </w:rPr>
              <w:t>（1）质疑函：明确具体质疑事项、事实依据和法律依据，质疑请求。</w:t>
            </w:r>
          </w:p>
          <w:p w14:paraId="7FDCD182">
            <w:pPr>
              <w:spacing w:line="360" w:lineRule="auto"/>
              <w:ind w:left="210" w:leftChars="100"/>
              <w:rPr>
                <w:rFonts w:hint="default" w:ascii="仿宋" w:hAnsi="仿宋" w:eastAsia="仿宋" w:cs="仿宋"/>
                <w:color w:val="auto"/>
                <w:sz w:val="22"/>
                <w:highlight w:val="none"/>
              </w:rPr>
            </w:pPr>
            <w:r>
              <w:rPr>
                <w:rFonts w:ascii="仿宋" w:hAnsi="仿宋" w:eastAsia="仿宋" w:cs="仿宋"/>
                <w:color w:val="auto"/>
                <w:sz w:val="22"/>
                <w:highlight w:val="none"/>
              </w:rPr>
              <w:t>（2）授权委托书：供应商若委托代理人进行质疑的提供授权委托书，授权委托书应载明代理人的姓名或者名称、代理事项、具体权限、期限等相关事项。</w:t>
            </w:r>
          </w:p>
          <w:p w14:paraId="555E7072">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5E2ABB71">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中选公告及合同签订</w:t>
            </w:r>
          </w:p>
        </w:tc>
        <w:tc>
          <w:tcPr>
            <w:tcW w:w="6801" w:type="dxa"/>
            <w:vAlign w:val="center"/>
          </w:tcPr>
          <w:p w14:paraId="2865D6FD">
            <w:pPr>
              <w:spacing w:line="360" w:lineRule="auto"/>
              <w:ind w:left="216" w:leftChars="103"/>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（1）询比价完成后，</w:t>
            </w:r>
            <w:r>
              <w:rPr>
                <w:rFonts w:ascii="仿宋" w:hAnsi="仿宋" w:eastAsia="仿宋" w:cs="仿宋"/>
                <w:color w:val="auto"/>
                <w:sz w:val="22"/>
                <w:szCs w:val="22"/>
                <w:highlight w:val="none"/>
                <w:lang w:val="zh-CN"/>
              </w:rPr>
              <w:t>采购人在系统中发出中</w:t>
            </w:r>
            <w:r>
              <w:rPr>
                <w:rFonts w:ascii="仿宋" w:hAnsi="仿宋" w:eastAsia="仿宋" w:cs="仿宋"/>
                <w:color w:val="auto"/>
                <w:sz w:val="22"/>
                <w:szCs w:val="22"/>
                <w:highlight w:val="none"/>
              </w:rPr>
              <w:t>选</w:t>
            </w:r>
            <w:r>
              <w:rPr>
                <w:rFonts w:ascii="仿宋" w:hAnsi="仿宋" w:eastAsia="仿宋" w:cs="仿宋"/>
                <w:color w:val="auto"/>
                <w:sz w:val="22"/>
                <w:szCs w:val="22"/>
                <w:highlight w:val="none"/>
                <w:lang w:val="zh-CN"/>
              </w:rPr>
              <w:t>公告；</w:t>
            </w:r>
          </w:p>
          <w:p w14:paraId="65F561D4">
            <w:pPr>
              <w:spacing w:line="360" w:lineRule="auto"/>
              <w:ind w:left="216" w:leftChars="103"/>
              <w:rPr>
                <w:rFonts w:hint="eastAsia" w:ascii="仿宋" w:hAnsi="仿宋" w:eastAsia="仿宋" w:cs="仿宋"/>
                <w:color w:val="auto"/>
                <w:sz w:val="22"/>
                <w:szCs w:val="22"/>
                <w:highlight w:val="none"/>
              </w:rPr>
            </w:pPr>
            <w:r>
              <w:rPr>
                <w:rFonts w:ascii="仿宋" w:hAnsi="仿宋" w:eastAsia="仿宋" w:cs="仿宋"/>
                <w:color w:val="auto"/>
                <w:sz w:val="22"/>
                <w:szCs w:val="22"/>
                <w:highlight w:val="none"/>
              </w:rPr>
              <w:t>（2</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3463</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spacing w:line="360" w:lineRule="auto"/>
              <w:ind w:left="210" w:leftChars="10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w:t>
            </w:r>
            <w:r>
              <w:rPr>
                <w:rFonts w:ascii="Times New Roman" w:hAnsi="Times New Roman" w:eastAsia="仿宋" w:cs="Times New Roman"/>
                <w:color w:val="auto"/>
                <w:sz w:val="22"/>
                <w:szCs w:val="22"/>
                <w:highlight w:val="none"/>
                <w:lang w:val="zh-CN"/>
              </w:rPr>
              <w:t>原因逾期未与采购人签订采购合同的，将视为放弃</w:t>
            </w:r>
            <w:r>
              <w:rPr>
                <w:rFonts w:ascii="仿宋" w:hAnsi="仿宋" w:eastAsia="仿宋" w:cs="仿宋"/>
                <w:color w:val="auto"/>
                <w:highlight w:val="none"/>
                <w:lang w:val="zh-TW" w:eastAsia="zh-TW"/>
              </w:rPr>
              <w:t>中选</w:t>
            </w:r>
            <w:r>
              <w:rPr>
                <w:rFonts w:ascii="Times New Roman" w:hAnsi="Times New Roman" w:eastAsia="仿宋" w:cs="Times New Roman"/>
                <w:color w:val="auto"/>
                <w:sz w:val="22"/>
                <w:szCs w:val="22"/>
                <w:highlight w:val="none"/>
                <w:lang w:val="zh-CN"/>
              </w:rPr>
              <w:t>，取消其</w:t>
            </w:r>
            <w:r>
              <w:rPr>
                <w:rFonts w:ascii="仿宋" w:hAnsi="仿宋" w:eastAsia="仿宋" w:cs="仿宋"/>
                <w:color w:val="auto"/>
                <w:highlight w:val="none"/>
                <w:lang w:val="zh-TW" w:eastAsia="zh-TW"/>
              </w:rPr>
              <w:t>中选</w:t>
            </w:r>
            <w:r>
              <w:rPr>
                <w:rFonts w:ascii="Times New Roman" w:hAnsi="Times New Roman" w:eastAsia="仿宋" w:cs="Times New Roman"/>
                <w:color w:val="auto"/>
                <w:sz w:val="22"/>
                <w:szCs w:val="22"/>
                <w:highlight w:val="none"/>
                <w:lang w:val="zh-CN"/>
              </w:rPr>
              <w:t>资格并将按相关规定进行处理。</w:t>
            </w:r>
          </w:p>
          <w:p w14:paraId="3175F73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（4）若中选供应商以非正当理由放弃中选，3年内不得参与本单位的采购项目。</w:t>
            </w:r>
          </w:p>
          <w:p w14:paraId="15994DF9">
            <w:pPr>
              <w:spacing w:line="360" w:lineRule="auto"/>
              <w:ind w:left="210" w:leftChars="100"/>
              <w:rPr>
                <w:rFonts w:hint="default"/>
                <w:color w:val="auto"/>
                <w:highlight w:val="none"/>
              </w:rPr>
            </w:pPr>
            <w:r>
              <w:rPr>
                <w:rFonts w:ascii="仿宋" w:hAnsi="仿宋" w:eastAsia="仿宋" w:cs="仿宋"/>
                <w:color w:val="auto"/>
                <w:sz w:val="22"/>
                <w:szCs w:val="22"/>
                <w:highlight w:val="none"/>
                <w:lang w:val="zh-TW"/>
              </w:rPr>
              <w:t>（</w:t>
            </w:r>
            <w:r>
              <w:rPr>
                <w:rFonts w:ascii="仿宋" w:hAnsi="仿宋" w:eastAsia="仿宋" w:cs="仿宋"/>
                <w:color w:val="auto"/>
                <w:sz w:val="22"/>
                <w:szCs w:val="22"/>
                <w:highlight w:val="none"/>
              </w:rPr>
              <w:t>5</w:t>
            </w:r>
            <w:r>
              <w:rPr>
                <w:rFonts w:ascii="仿宋" w:hAnsi="仿宋" w:eastAsia="仿宋" w:cs="仿宋"/>
                <w:color w:val="auto"/>
                <w:sz w:val="22"/>
                <w:szCs w:val="22"/>
                <w:highlight w:val="none"/>
                <w:lang w:val="zh-TW"/>
              </w:rPr>
              <w:t>）</w:t>
            </w:r>
            <w:r>
              <w:rPr>
                <w:rFonts w:hint="default" w:ascii="仿宋" w:hAnsi="仿宋" w:eastAsia="仿宋" w:cs="仿宋"/>
                <w:color w:val="auto"/>
                <w:sz w:val="22"/>
                <w:szCs w:val="22"/>
                <w:highlight w:val="none"/>
                <w:lang w:val="zh-TW" w:eastAsia="zh-TW"/>
              </w:rPr>
              <w:t>询比价报价截止当天及之后</w:t>
            </w:r>
            <w:r>
              <w:rPr>
                <w:rFonts w:ascii="仿宋" w:hAnsi="仿宋" w:eastAsia="仿宋" w:cs="仿宋"/>
                <w:color w:val="auto"/>
                <w:sz w:val="22"/>
                <w:szCs w:val="22"/>
                <w:highlight w:val="none"/>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ascii="仿宋" w:hAnsi="仿宋" w:eastAsia="仿宋" w:cs="仿宋"/>
                <w:color w:val="auto"/>
                <w:sz w:val="22"/>
                <w:szCs w:val="22"/>
                <w:highlight w:val="none"/>
                <w:lang w:val="zh-TW"/>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320850EB">
            <w:pPr>
              <w:pStyle w:val="31"/>
              <w:spacing w:line="360" w:lineRule="auto"/>
              <w:ind w:left="420" w:leftChars="200" w:firstLine="0" w:firstLineChars="0"/>
              <w:jc w:val="left"/>
              <w:rPr>
                <w:rFonts w:hint="default"/>
                <w:color w:val="auto"/>
                <w:highlight w:val="none"/>
                <w:lang w:val="zh-TW" w:eastAsia="zh-TW"/>
              </w:rPr>
            </w:pPr>
            <w:r>
              <w:rPr>
                <w:rFonts w:ascii="仿宋" w:hAnsi="仿宋" w:eastAsia="仿宋" w:cs="仿宋"/>
                <w:color w:val="auto"/>
                <w:highlight w:val="none"/>
                <w:lang w:val="zh-TW" w:eastAsia="zh-TW"/>
              </w:rPr>
              <w:t>总体说明</w:t>
            </w:r>
          </w:p>
        </w:tc>
        <w:tc>
          <w:tcPr>
            <w:tcW w:w="6801" w:type="dxa"/>
            <w:vAlign w:val="center"/>
          </w:tcPr>
          <w:p w14:paraId="04150F4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(1)参与询比价产生的一切费用由供应商自行承担。</w:t>
            </w:r>
          </w:p>
          <w:p w14:paraId="36F8E533">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(2)本采购文件中的条款为实质性要求，供应商必须符合和满足，否则将视为无效响应处理。</w:t>
            </w:r>
          </w:p>
          <w:p w14:paraId="057DA268">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(3)“采购人”系指本次组织采购项目的四川省人民医院。</w:t>
            </w:r>
          </w:p>
          <w:p w14:paraId="3FCC3132">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(4)本文件中的“供应商”系指获取了本项目采购文件，拟参与本次询比价采购活动的潜在供应商。</w:t>
            </w:r>
          </w:p>
          <w:p w14:paraId="17881499">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(5)若遇特殊情况，采购人有权终止采购项目。</w:t>
            </w:r>
          </w:p>
          <w:p w14:paraId="5A8AE55B">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2"/>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3"/>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0"/>
        <w:gridCol w:w="4046"/>
        <w:gridCol w:w="3813"/>
        <w:gridCol w:w="1900"/>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3"/>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hanging="227"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hanging="227"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07"/>
        <w:gridCol w:w="2553"/>
        <w:gridCol w:w="3637"/>
        <w:gridCol w:w="827"/>
        <w:gridCol w:w="845"/>
        <w:gridCol w:w="1745"/>
      </w:tblGrid>
      <w:tr w14:paraId="769B4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6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14:paraId="1B92F75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序号</w:t>
            </w:r>
          </w:p>
        </w:tc>
        <w:tc>
          <w:tcPr>
            <w:tcW w:w="2085"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787B271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品名</w:t>
            </w:r>
          </w:p>
        </w:tc>
        <w:tc>
          <w:tcPr>
            <w:tcW w:w="2970"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7FDA145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详细描述</w:t>
            </w:r>
          </w:p>
        </w:tc>
        <w:tc>
          <w:tcPr>
            <w:tcW w:w="675"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53FA71C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数量</w:t>
            </w:r>
          </w:p>
        </w:tc>
        <w:tc>
          <w:tcPr>
            <w:tcW w:w="690"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6CF3904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单位</w:t>
            </w:r>
          </w:p>
        </w:tc>
        <w:tc>
          <w:tcPr>
            <w:tcW w:w="1425"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1B0975A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限高单价（元）</w:t>
            </w:r>
          </w:p>
        </w:tc>
      </w:tr>
      <w:tr w14:paraId="35A50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6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FBE49F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1</w:t>
            </w:r>
          </w:p>
        </w:tc>
        <w:tc>
          <w:tcPr>
            <w:tcW w:w="2085" w:type="dxa"/>
            <w:tcBorders>
              <w:top w:val="nil"/>
              <w:left w:val="nil"/>
              <w:bottom w:val="single" w:color="auto" w:sz="6" w:space="0"/>
              <w:right w:val="single" w:color="auto" w:sz="6" w:space="0"/>
            </w:tcBorders>
            <w:shd w:val="clear" w:color="auto" w:fill="auto"/>
            <w:tcMar>
              <w:left w:w="105" w:type="dxa"/>
              <w:right w:w="105" w:type="dxa"/>
            </w:tcMar>
            <w:vAlign w:val="center"/>
          </w:tcPr>
          <w:p w14:paraId="16BA728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GCP受控文件管理系统</w:t>
            </w:r>
          </w:p>
        </w:tc>
        <w:tc>
          <w:tcPr>
            <w:tcW w:w="2970" w:type="dxa"/>
            <w:tcBorders>
              <w:top w:val="nil"/>
              <w:left w:val="nil"/>
              <w:bottom w:val="single" w:color="auto" w:sz="6" w:space="0"/>
              <w:right w:val="single" w:color="auto" w:sz="6" w:space="0"/>
            </w:tcBorders>
            <w:shd w:val="clear" w:color="auto" w:fill="auto"/>
            <w:tcMar>
              <w:left w:w="105" w:type="dxa"/>
              <w:right w:w="105" w:type="dxa"/>
            </w:tcMar>
            <w:vAlign w:val="center"/>
          </w:tcPr>
          <w:p w14:paraId="070D755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both"/>
              <w:rPr>
                <w:rFonts w:hint="eastAsia" w:ascii="仿宋" w:hAnsi="仿宋" w:eastAsia="仿宋" w:cs="仿宋"/>
                <w:b w:val="0"/>
                <w:bCs w:val="0"/>
                <w:sz w:val="24"/>
                <w:szCs w:val="24"/>
              </w:rPr>
            </w:pPr>
            <w:r>
              <w:rPr>
                <w:rStyle w:val="17"/>
                <w:rFonts w:hint="eastAsia" w:ascii="仿宋" w:hAnsi="仿宋" w:eastAsia="仿宋" w:cs="仿宋"/>
                <w:b w:val="0"/>
                <w:bCs w:val="0"/>
                <w:color w:val="000000"/>
                <w:sz w:val="24"/>
                <w:szCs w:val="24"/>
              </w:rPr>
              <w:t>实现文件全生命周期的合规管控、数据防篡改与全程可追溯，确保试验符合法规、数据真实可靠、核查高效通过</w:t>
            </w:r>
            <w:r>
              <w:rPr>
                <w:rFonts w:hint="eastAsia" w:ascii="仿宋" w:hAnsi="仿宋" w:eastAsia="仿宋" w:cs="仿宋"/>
                <w:b w:val="0"/>
                <w:bCs w:val="0"/>
                <w:color w:val="000000"/>
                <w:sz w:val="24"/>
                <w:szCs w:val="24"/>
              </w:rPr>
              <w:t>。</w:t>
            </w:r>
          </w:p>
        </w:tc>
        <w:tc>
          <w:tcPr>
            <w:tcW w:w="675" w:type="dxa"/>
            <w:tcBorders>
              <w:top w:val="nil"/>
              <w:left w:val="nil"/>
              <w:bottom w:val="single" w:color="auto" w:sz="6" w:space="0"/>
              <w:right w:val="single" w:color="auto" w:sz="6" w:space="0"/>
            </w:tcBorders>
            <w:shd w:val="clear" w:color="auto" w:fill="auto"/>
            <w:tcMar>
              <w:left w:w="105" w:type="dxa"/>
              <w:right w:w="105" w:type="dxa"/>
            </w:tcMar>
            <w:vAlign w:val="center"/>
          </w:tcPr>
          <w:p w14:paraId="2095D54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690" w:type="dxa"/>
            <w:tcBorders>
              <w:top w:val="nil"/>
              <w:left w:val="nil"/>
              <w:bottom w:val="single" w:color="auto" w:sz="6" w:space="0"/>
              <w:right w:val="single" w:color="auto" w:sz="6" w:space="0"/>
            </w:tcBorders>
            <w:shd w:val="clear" w:color="auto" w:fill="auto"/>
            <w:tcMar>
              <w:left w:w="105" w:type="dxa"/>
              <w:right w:w="105" w:type="dxa"/>
            </w:tcMar>
            <w:vAlign w:val="center"/>
          </w:tcPr>
          <w:p w14:paraId="0282CC9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套</w:t>
            </w:r>
          </w:p>
        </w:tc>
        <w:tc>
          <w:tcPr>
            <w:tcW w:w="1425" w:type="dxa"/>
            <w:tcBorders>
              <w:top w:val="nil"/>
              <w:left w:val="nil"/>
              <w:bottom w:val="single" w:color="auto" w:sz="6" w:space="0"/>
              <w:right w:val="single" w:color="auto" w:sz="6" w:space="0"/>
            </w:tcBorders>
            <w:shd w:val="clear" w:color="auto" w:fill="auto"/>
            <w:tcMar>
              <w:left w:w="105" w:type="dxa"/>
              <w:right w:w="105" w:type="dxa"/>
            </w:tcMar>
            <w:vAlign w:val="center"/>
          </w:tcPr>
          <w:p w14:paraId="73CFF4F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sz w:val="24"/>
                <w:szCs w:val="24"/>
              </w:rPr>
              <w:t>98000</w:t>
            </w:r>
          </w:p>
        </w:tc>
      </w:tr>
    </w:tbl>
    <w:p w14:paraId="0D44EFC6">
      <w:pPr>
        <w:pStyle w:val="5"/>
        <w:pageBreakBefore w:val="0"/>
        <w:numPr>
          <w:ilvl w:val="0"/>
          <w:numId w:val="0"/>
        </w:numPr>
        <w:kinsoku/>
        <w:wordWrap/>
        <w:overflowPunct/>
        <w:topLinePunct w:val="0"/>
        <w:autoSpaceDE/>
        <w:autoSpaceDN/>
        <w:bidi w:val="0"/>
        <w:adjustRightInd w:val="0"/>
        <w:snapToGrid w:val="0"/>
        <w:spacing w:beforeAutospacing="0" w:afterAutospacing="0" w:line="360" w:lineRule="auto"/>
        <w:ind w:left="0" w:leftChars="0" w:hanging="227"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2D862AF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sz w:val="24"/>
          <w:szCs w:val="24"/>
          <w:u w:val="none"/>
        </w:rPr>
      </w:pPr>
      <w:r>
        <w:rPr>
          <w:rFonts w:hint="eastAsia" w:ascii="仿宋" w:hAnsi="仿宋" w:eastAsia="仿宋" w:cs="仿宋"/>
          <w:sz w:val="24"/>
          <w:szCs w:val="24"/>
          <w:u w:val="none"/>
        </w:rPr>
        <w:t>本项目实施期间，凡涉及与东软集团股份有限公司（以下简称“东软”）既有系统对接，所产生的费用由采购人承担；其余非东软系统对接产生的费用，则由</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供应商承担，涵盖设备、包装、运输、安装、调试、税费及可能衍生的各项支出，均包含在本次采购费用中，采购人不再支付</w:t>
      </w:r>
      <w:r>
        <w:rPr>
          <w:rFonts w:hint="eastAsia" w:ascii="仿宋" w:hAnsi="仿宋" w:eastAsia="仿宋" w:cs="仿宋"/>
          <w:sz w:val="24"/>
          <w:szCs w:val="24"/>
          <w:u w:val="none"/>
          <w:lang w:eastAsia="zh-CN"/>
        </w:rPr>
        <w:t>成交</w:t>
      </w:r>
      <w:r>
        <w:rPr>
          <w:rFonts w:hint="eastAsia" w:ascii="仿宋" w:hAnsi="仿宋" w:eastAsia="仿宋" w:cs="仿宋"/>
          <w:sz w:val="24"/>
          <w:szCs w:val="24"/>
          <w:u w:val="none"/>
        </w:rPr>
        <w:t>金额以外的任何款项。</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11"/>
        <w:gridCol w:w="1843"/>
        <w:gridCol w:w="2588"/>
        <w:gridCol w:w="5072"/>
      </w:tblGrid>
      <w:tr w14:paraId="58333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6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0A49657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序号</w:t>
            </w:r>
          </w:p>
        </w:tc>
        <w:tc>
          <w:tcPr>
            <w:tcW w:w="1335"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09C9393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软件</w:t>
            </w:r>
          </w:p>
        </w:tc>
        <w:tc>
          <w:tcPr>
            <w:tcW w:w="1875"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7A5B91E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生产厂商（全称）</w:t>
            </w:r>
          </w:p>
        </w:tc>
        <w:tc>
          <w:tcPr>
            <w:tcW w:w="3675"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2B0941C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对接描述</w:t>
            </w:r>
          </w:p>
        </w:tc>
      </w:tr>
      <w:tr w14:paraId="1BE01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60"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25E9E3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1</w:t>
            </w:r>
          </w:p>
        </w:tc>
        <w:tc>
          <w:tcPr>
            <w:tcW w:w="1335" w:type="dxa"/>
            <w:tcBorders>
              <w:top w:val="nil"/>
              <w:left w:val="nil"/>
              <w:bottom w:val="single" w:color="auto" w:sz="6" w:space="0"/>
              <w:right w:val="single" w:color="auto" w:sz="6" w:space="0"/>
            </w:tcBorders>
            <w:shd w:val="clear" w:color="auto" w:fill="auto"/>
            <w:tcMar>
              <w:left w:w="105" w:type="dxa"/>
              <w:right w:w="105" w:type="dxa"/>
            </w:tcMar>
            <w:vAlign w:val="center"/>
          </w:tcPr>
          <w:p w14:paraId="56BE3FF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sz w:val="24"/>
                <w:szCs w:val="24"/>
              </w:rPr>
              <w:t>GCP临床一期试验管理系统</w:t>
            </w:r>
          </w:p>
        </w:tc>
        <w:tc>
          <w:tcPr>
            <w:tcW w:w="1875" w:type="dxa"/>
            <w:tcBorders>
              <w:top w:val="nil"/>
              <w:left w:val="nil"/>
              <w:bottom w:val="single" w:color="auto" w:sz="6" w:space="0"/>
              <w:right w:val="single" w:color="auto" w:sz="6" w:space="0"/>
            </w:tcBorders>
            <w:shd w:val="clear" w:color="auto" w:fill="auto"/>
            <w:tcMar>
              <w:left w:w="105" w:type="dxa"/>
              <w:right w:w="105" w:type="dxa"/>
            </w:tcMar>
            <w:vAlign w:val="center"/>
          </w:tcPr>
          <w:p w14:paraId="362234A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sz w:val="24"/>
                <w:szCs w:val="24"/>
              </w:rPr>
              <w:t>东软集团股份有限公司</w:t>
            </w:r>
          </w:p>
        </w:tc>
        <w:tc>
          <w:tcPr>
            <w:tcW w:w="3675" w:type="dxa"/>
            <w:tcBorders>
              <w:top w:val="nil"/>
              <w:left w:val="nil"/>
              <w:bottom w:val="single" w:color="auto" w:sz="6" w:space="0"/>
              <w:right w:val="single" w:color="auto" w:sz="6" w:space="0"/>
            </w:tcBorders>
            <w:shd w:val="clear" w:color="auto" w:fill="auto"/>
            <w:tcMar>
              <w:left w:w="105" w:type="dxa"/>
              <w:right w:w="105" w:type="dxa"/>
            </w:tcMar>
            <w:vAlign w:val="top"/>
          </w:tcPr>
          <w:p w14:paraId="2818815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r>
              <w:rPr>
                <w:rFonts w:hint="eastAsia" w:ascii="仿宋" w:hAnsi="仿宋" w:eastAsia="仿宋" w:cs="仿宋"/>
                <w:sz w:val="24"/>
                <w:szCs w:val="24"/>
              </w:rPr>
              <w:t>在临床I期病房试验系统中创建项目，同步到文件受控系统中，系统自动带入项目编号、方案版本、主要研究者等关键元数据，避免人工填写错误，确保申请信息的准确性与完整性。I期病房文件管理模块嵌入“受控申请”入口，用户点击后跳转至文件受控系统申请界面，系统自动带入文件基础信息。审批完成后，受控系统主动将已标记水印的受控文件同步回I期病房系统，研究人员无需手动下载上传，确保工作环境始终使用最新受控版本。</w:t>
            </w:r>
          </w:p>
        </w:tc>
      </w:tr>
    </w:tbl>
    <w:p w14:paraId="63A6868D">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hanging="227"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2.技术</w:t>
      </w:r>
      <w:r>
        <w:rPr>
          <w:rFonts w:hint="eastAsia" w:ascii="仿宋" w:hAnsi="仿宋" w:eastAsia="仿宋" w:cs="仿宋"/>
          <w:b/>
          <w:bCs/>
          <w:color w:val="auto"/>
          <w:sz w:val="24"/>
          <w:szCs w:val="24"/>
          <w:highlight w:val="none"/>
        </w:rPr>
        <w:t>及</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3D9E1749">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2.1技术要求</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17"/>
        <w:gridCol w:w="1320"/>
        <w:gridCol w:w="1247"/>
        <w:gridCol w:w="6930"/>
      </w:tblGrid>
      <w:tr w14:paraId="37804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Header/>
        </w:trPr>
        <w:tc>
          <w:tcPr>
            <w:tcW w:w="917"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14:paraId="0C045DB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序号</w:t>
            </w:r>
          </w:p>
        </w:tc>
        <w:tc>
          <w:tcPr>
            <w:tcW w:w="1320"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18CB804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系统</w:t>
            </w:r>
          </w:p>
        </w:tc>
        <w:tc>
          <w:tcPr>
            <w:tcW w:w="1247"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1797CE4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模块/子系统</w:t>
            </w:r>
          </w:p>
          <w:p w14:paraId="7809204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名称</w:t>
            </w:r>
          </w:p>
        </w:tc>
        <w:tc>
          <w:tcPr>
            <w:tcW w:w="6930" w:type="dxa"/>
            <w:tcBorders>
              <w:top w:val="single" w:color="auto" w:sz="6" w:space="0"/>
              <w:left w:val="nil"/>
              <w:bottom w:val="single" w:color="auto" w:sz="6" w:space="0"/>
              <w:right w:val="single" w:color="auto" w:sz="6" w:space="0"/>
            </w:tcBorders>
            <w:shd w:val="clear" w:color="auto" w:fill="auto"/>
            <w:tcMar>
              <w:left w:w="105" w:type="dxa"/>
              <w:right w:w="105" w:type="dxa"/>
            </w:tcMar>
            <w:vAlign w:val="center"/>
          </w:tcPr>
          <w:p w14:paraId="650CB55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具体功能参数概述</w:t>
            </w:r>
          </w:p>
        </w:tc>
      </w:tr>
      <w:tr w14:paraId="6A7E0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917"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6A21C6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1</w:t>
            </w:r>
          </w:p>
        </w:tc>
        <w:tc>
          <w:tcPr>
            <w:tcW w:w="1320" w:type="dxa"/>
            <w:vMerge w:val="restart"/>
            <w:tcBorders>
              <w:top w:val="nil"/>
              <w:left w:val="nil"/>
              <w:bottom w:val="single" w:color="auto" w:sz="6" w:space="0"/>
              <w:right w:val="single" w:color="auto" w:sz="6" w:space="0"/>
            </w:tcBorders>
            <w:shd w:val="clear" w:color="auto" w:fill="auto"/>
            <w:tcMar>
              <w:left w:w="105" w:type="dxa"/>
              <w:right w:w="105" w:type="dxa"/>
            </w:tcMar>
            <w:vAlign w:val="center"/>
          </w:tcPr>
          <w:p w14:paraId="5565B49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r>
              <w:rPr>
                <w:rFonts w:hint="eastAsia" w:ascii="仿宋" w:hAnsi="仿宋" w:eastAsia="仿宋" w:cs="仿宋"/>
                <w:sz w:val="24"/>
                <w:szCs w:val="24"/>
              </w:rPr>
              <w:t>文件受控系统</w:t>
            </w:r>
          </w:p>
        </w:tc>
        <w:tc>
          <w:tcPr>
            <w:tcW w:w="1247" w:type="dxa"/>
            <w:tcBorders>
              <w:top w:val="nil"/>
              <w:left w:val="nil"/>
              <w:bottom w:val="single" w:color="auto" w:sz="6" w:space="0"/>
              <w:right w:val="single" w:color="auto" w:sz="6" w:space="0"/>
            </w:tcBorders>
            <w:shd w:val="clear" w:color="auto" w:fill="auto"/>
            <w:tcMar>
              <w:left w:w="105" w:type="dxa"/>
              <w:right w:w="105" w:type="dxa"/>
            </w:tcMar>
            <w:vAlign w:val="center"/>
          </w:tcPr>
          <w:p w14:paraId="1578EDD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sz w:val="24"/>
                <w:szCs w:val="24"/>
              </w:rPr>
              <w:t>项目管理</w:t>
            </w:r>
          </w:p>
        </w:tc>
        <w:tc>
          <w:tcPr>
            <w:tcW w:w="6930" w:type="dxa"/>
            <w:tcBorders>
              <w:top w:val="nil"/>
              <w:left w:val="nil"/>
              <w:bottom w:val="single" w:color="auto" w:sz="6" w:space="0"/>
              <w:right w:val="single" w:color="auto" w:sz="6" w:space="0"/>
            </w:tcBorders>
            <w:shd w:val="clear" w:color="auto" w:fill="auto"/>
            <w:tcMar>
              <w:left w:w="105" w:type="dxa"/>
              <w:right w:w="105" w:type="dxa"/>
            </w:tcMar>
            <w:vAlign w:val="center"/>
          </w:tcPr>
          <w:p w14:paraId="3BC445E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1.创建项目</w:t>
            </w:r>
          </w:p>
          <w:p w14:paraId="36F2172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420"/>
              <w:rPr>
                <w:rFonts w:hint="eastAsia" w:ascii="仿宋" w:hAnsi="仿宋" w:eastAsia="仿宋" w:cs="仿宋"/>
                <w:sz w:val="24"/>
                <w:szCs w:val="24"/>
              </w:rPr>
            </w:pPr>
            <w:r>
              <w:rPr>
                <w:rFonts w:hint="eastAsia" w:ascii="仿宋" w:hAnsi="仿宋" w:eastAsia="仿宋" w:cs="仿宋"/>
                <w:sz w:val="24"/>
                <w:szCs w:val="24"/>
              </w:rPr>
              <w:t>创建新项目，需填写基础信息，如项目编号、项目名称、申办方、专业科室、中心编号、CRO、主要研究者、文件夹等。</w:t>
            </w:r>
          </w:p>
          <w:p w14:paraId="24CAC2D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2.项目授权与人员管理</w:t>
            </w:r>
          </w:p>
          <w:p w14:paraId="4516F29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420"/>
              <w:rPr>
                <w:rFonts w:hint="eastAsia" w:ascii="仿宋" w:hAnsi="仿宋" w:eastAsia="仿宋" w:cs="仿宋"/>
                <w:sz w:val="24"/>
                <w:szCs w:val="24"/>
              </w:rPr>
            </w:pPr>
            <w:r>
              <w:rPr>
                <w:rFonts w:hint="eastAsia" w:ascii="仿宋" w:hAnsi="仿宋" w:eastAsia="仿宋" w:cs="仿宋"/>
                <w:sz w:val="24"/>
                <w:szCs w:val="24"/>
              </w:rPr>
              <w:t>2.1核心人员指定：在创建或编辑项目时，指定项目主要研究者，创建完成后可进行人员授权。</w:t>
            </w:r>
          </w:p>
          <w:p w14:paraId="6EE6E5B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420"/>
              <w:rPr>
                <w:rFonts w:hint="eastAsia" w:ascii="仿宋" w:hAnsi="仿宋" w:eastAsia="仿宋" w:cs="仿宋"/>
                <w:sz w:val="24"/>
                <w:szCs w:val="24"/>
              </w:rPr>
            </w:pPr>
            <w:r>
              <w:rPr>
                <w:rFonts w:hint="eastAsia" w:ascii="仿宋" w:hAnsi="仿宋" w:eastAsia="仿宋" w:cs="仿宋"/>
                <w:sz w:val="24"/>
                <w:szCs w:val="24"/>
              </w:rPr>
              <w:t>2.2外部人员：可授权外部申办方人员访问项目文件夹。</w:t>
            </w:r>
          </w:p>
          <w:p w14:paraId="6904F67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3.编辑项目信息</w:t>
            </w:r>
          </w:p>
          <w:p w14:paraId="3A500E2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项目负责人或管理员可对项目的基础信息进行更新，如调整项目信息、中心编号、CRO等。</w:t>
            </w:r>
          </w:p>
          <w:p w14:paraId="4519B7C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4.标记项目结题</w:t>
            </w:r>
          </w:p>
          <w:p w14:paraId="6061878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420"/>
              <w:rPr>
                <w:rFonts w:hint="eastAsia" w:ascii="仿宋" w:hAnsi="仿宋" w:eastAsia="仿宋" w:cs="仿宋"/>
                <w:sz w:val="24"/>
                <w:szCs w:val="24"/>
              </w:rPr>
            </w:pPr>
            <w:r>
              <w:rPr>
                <w:rFonts w:hint="eastAsia" w:ascii="仿宋" w:hAnsi="仿宋" w:eastAsia="仿宋" w:cs="仿宋"/>
                <w:sz w:val="24"/>
                <w:szCs w:val="24"/>
              </w:rPr>
              <w:t>项目工作完成后，负责人可标记结题。系统自动将项目状态变更为“已结题”，禁止所有成员对项目内文件进行新增、上传、修改或删除操作，确保项目下所有受控文件均为最终版本。</w:t>
            </w:r>
          </w:p>
        </w:tc>
      </w:tr>
      <w:tr w14:paraId="080E4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91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0455937">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1320" w:type="dxa"/>
            <w:vMerge w:val="continue"/>
            <w:tcBorders>
              <w:top w:val="nil"/>
              <w:left w:val="nil"/>
              <w:bottom w:val="single" w:color="auto" w:sz="6" w:space="0"/>
              <w:right w:val="single" w:color="auto" w:sz="6" w:space="0"/>
            </w:tcBorders>
            <w:shd w:val="clear" w:color="auto" w:fill="auto"/>
            <w:tcMar>
              <w:left w:w="105" w:type="dxa"/>
              <w:right w:w="105" w:type="dxa"/>
            </w:tcMar>
            <w:vAlign w:val="center"/>
          </w:tcPr>
          <w:p w14:paraId="6C3C0146">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1247" w:type="dxa"/>
            <w:tcBorders>
              <w:top w:val="nil"/>
              <w:left w:val="nil"/>
              <w:bottom w:val="single" w:color="auto" w:sz="6" w:space="0"/>
              <w:right w:val="single" w:color="auto" w:sz="6" w:space="0"/>
            </w:tcBorders>
            <w:shd w:val="clear" w:color="auto" w:fill="auto"/>
            <w:tcMar>
              <w:left w:w="105" w:type="dxa"/>
              <w:right w:w="105" w:type="dxa"/>
            </w:tcMar>
            <w:vAlign w:val="center"/>
          </w:tcPr>
          <w:p w14:paraId="5FC40FF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sz w:val="24"/>
                <w:szCs w:val="24"/>
              </w:rPr>
              <w:t>文件管理</w:t>
            </w:r>
          </w:p>
        </w:tc>
        <w:tc>
          <w:tcPr>
            <w:tcW w:w="6930" w:type="dxa"/>
            <w:tcBorders>
              <w:top w:val="nil"/>
              <w:left w:val="nil"/>
              <w:bottom w:val="single" w:color="auto" w:sz="6" w:space="0"/>
              <w:right w:val="single" w:color="auto" w:sz="6" w:space="0"/>
            </w:tcBorders>
            <w:shd w:val="clear" w:color="auto" w:fill="auto"/>
            <w:tcMar>
              <w:left w:w="105" w:type="dxa"/>
              <w:right w:w="105" w:type="dxa"/>
            </w:tcMar>
            <w:vAlign w:val="center"/>
          </w:tcPr>
          <w:p w14:paraId="23B03DB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1.设置文件夹：可在项目下，创建、重命名及删除文件夹，构建结构化的文档存储体系。</w:t>
            </w:r>
          </w:p>
          <w:p w14:paraId="6959F78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2.项目文件：在项目下创建或上传，并按项目进行归集和统计。</w:t>
            </w:r>
          </w:p>
          <w:p w14:paraId="7BD4902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3.内部文件：不归属于特定项目的通用文件（如公司制度、公共模板）。</w:t>
            </w:r>
          </w:p>
          <w:p w14:paraId="1294A27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4.上传文件：</w:t>
            </w:r>
          </w:p>
          <w:p w14:paraId="140C1A9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4.1手动上传：支持单个或批量上传本地文件至指定文件夹。</w:t>
            </w:r>
          </w:p>
          <w:p w14:paraId="10F00F6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4.2引用模板上传：选择系统中预置的标准化模板，创建新文件，确保文件格式和部分内容的统一性。</w:t>
            </w:r>
          </w:p>
          <w:p w14:paraId="4EDA219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5.禁用文件：对于暂时无效但无需作废或删除的文件，授权用户可将其状态设为“禁用”。禁用后，文件在所有列表明确标记，且无法引用。</w:t>
            </w:r>
          </w:p>
          <w:p w14:paraId="245EF93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6.移动文件位置：可将文件移动至系统内其他文件夹。且移动记录将被完整记入文件轨迹。</w:t>
            </w:r>
          </w:p>
          <w:p w14:paraId="368221E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7.预览：支持常见格式文件的在线预览，无需下载。</w:t>
            </w:r>
          </w:p>
          <w:p w14:paraId="44C7959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8.打印：打印操作将被系统记录。可控制是否允许打印，需有对文件打印数量的申请有审批与打印的记录（见下文“打印记录”）。</w:t>
            </w:r>
          </w:p>
          <w:p w14:paraId="4375DF4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9.文件轨迹：系统自动生成的、不可篡改的完整操作日志，按时间顺序记录文件的关键操作（上传、版本更新、审批、打印、移动、状态变更等），包含操作人、时间、IP地址（可选）及具体内容。</w:t>
            </w:r>
          </w:p>
          <w:p w14:paraId="2C91A37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9.1打印记录：查询所有文件的打印历史，包括打印人、打印时间、IP地址、打印异常登记、文件受控编码。</w:t>
            </w:r>
          </w:p>
          <w:p w14:paraId="5B2ADD3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9.2回收记录：记录文件至回收的操作，包括打印人、回收人、回收时间、IP地址、文件受控编码。</w:t>
            </w:r>
          </w:p>
          <w:p w14:paraId="208966D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9.3遗失记录：用于登记已打印的文件意外遗失事件，包括记录打印人、打印时间、遗失原因、审核人、IP地址、文件受控编码。</w:t>
            </w:r>
          </w:p>
          <w:p w14:paraId="7C4DB99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9.4异常记录：记录的异常打印操作，包括记录打印人、打印时间、遗失原因、审核人、IP地址、文件受控编码。</w:t>
            </w:r>
          </w:p>
          <w:p w14:paraId="746C19D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9.5授权记录：记录对文件进行的权限变更操作，包括记录授权人、授权时间、申请数量、打印数量、异常数量、回收数量、遗失数量。</w:t>
            </w:r>
          </w:p>
        </w:tc>
      </w:tr>
      <w:tr w14:paraId="7A6CF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917"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9F190E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320" w:type="dxa"/>
            <w:vMerge w:val="restart"/>
            <w:tcBorders>
              <w:top w:val="nil"/>
              <w:left w:val="nil"/>
              <w:bottom w:val="single" w:color="auto" w:sz="6" w:space="0"/>
              <w:right w:val="single" w:color="auto" w:sz="6" w:space="0"/>
            </w:tcBorders>
            <w:shd w:val="clear" w:color="auto" w:fill="auto"/>
            <w:tcMar>
              <w:left w:w="105" w:type="dxa"/>
              <w:right w:w="105" w:type="dxa"/>
            </w:tcMar>
            <w:vAlign w:val="center"/>
          </w:tcPr>
          <w:p w14:paraId="27E9C67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247" w:type="dxa"/>
            <w:tcBorders>
              <w:top w:val="nil"/>
              <w:left w:val="nil"/>
              <w:bottom w:val="single" w:color="auto" w:sz="6" w:space="0"/>
              <w:right w:val="single" w:color="auto" w:sz="6" w:space="0"/>
            </w:tcBorders>
            <w:shd w:val="clear" w:color="auto" w:fill="auto"/>
            <w:tcMar>
              <w:left w:w="105" w:type="dxa"/>
              <w:right w:w="105" w:type="dxa"/>
            </w:tcMar>
            <w:vAlign w:val="center"/>
          </w:tcPr>
          <w:p w14:paraId="60096F2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sz w:val="24"/>
                <w:szCs w:val="24"/>
              </w:rPr>
              <w:t>审批信息</w:t>
            </w:r>
          </w:p>
        </w:tc>
        <w:tc>
          <w:tcPr>
            <w:tcW w:w="6930" w:type="dxa"/>
            <w:tcBorders>
              <w:top w:val="nil"/>
              <w:left w:val="nil"/>
              <w:bottom w:val="single" w:color="auto" w:sz="6" w:space="0"/>
              <w:right w:val="single" w:color="auto" w:sz="6" w:space="0"/>
            </w:tcBorders>
            <w:shd w:val="clear" w:color="auto" w:fill="auto"/>
            <w:tcMar>
              <w:left w:w="105" w:type="dxa"/>
              <w:right w:w="105" w:type="dxa"/>
            </w:tcMar>
            <w:vAlign w:val="center"/>
          </w:tcPr>
          <w:p w14:paraId="51A9DA9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1.我收到的审批</w:t>
            </w:r>
          </w:p>
          <w:p w14:paraId="2F6F991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1.1以列表形式集中展示所有需要由当前用户审核的申请单。关键信息包括：申请标题、申请类型、发起人、申请时间、以及醒目的审批状态（待审核）。</w:t>
            </w:r>
          </w:p>
          <w:p w14:paraId="47D7B7F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1.2处理审批：在详情页中，可查看申请表单的全部内容、相关附件（如申请打印的文件、遗失说明等）。</w:t>
            </w:r>
          </w:p>
          <w:p w14:paraId="58A1CB6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1.3审批决策：在详情页进行 “通过” 或 “驳回” 操作，并可填写审批意见。</w:t>
            </w:r>
          </w:p>
          <w:p w14:paraId="1D900CF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2.我发起的审批</w:t>
            </w:r>
          </w:p>
          <w:p w14:paraId="6F39E2E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2.1作为申请人跟踪自己所提交审查进展。列表展示由当前用户发起的所有审批流程。关键信息包括：申请标题、审批类型、当前状态、审批人、提交时间。</w:t>
            </w:r>
          </w:p>
          <w:p w14:paraId="7167462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2.2进度跟踪：查看申请处于“待审核”、“已通过”或“未通过”状态。</w:t>
            </w:r>
          </w:p>
          <w:p w14:paraId="7A6E463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2.3详情查看：可随时进入查看审批流转的全记录，包括审批人、审批意见与时间，实现流程透明化。</w:t>
            </w:r>
          </w:p>
          <w:p w14:paraId="1827AAE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3.审批类型与状态</w:t>
            </w:r>
          </w:p>
          <w:p w14:paraId="761530E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审批类型覆盖全系统关键控制点</w:t>
            </w:r>
          </w:p>
          <w:p w14:paraId="5FEC2FA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3.1入院申请：外部人员提出的系统的申请。</w:t>
            </w:r>
          </w:p>
          <w:p w14:paraId="72C5FB0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3.2项目信息：创建新项目的申请。</w:t>
            </w:r>
          </w:p>
          <w:p w14:paraId="0A7D68C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3.3项目授权：为项目添加新成员或变更现有成员角色权限的申请。</w:t>
            </w:r>
          </w:p>
          <w:p w14:paraId="6AED425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3.4项目结题：项目完成后，正式关闭项目，结题申请。</w:t>
            </w:r>
          </w:p>
          <w:p w14:paraId="6481FCE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3.5受控申请：将一份普通文件纳入系统受控管理，需进行受控申请审批。</w:t>
            </w:r>
          </w:p>
          <w:p w14:paraId="5A3E2CB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3.6打印异常登记：在打印过程中发生设备故障、信息错误等异常情况时，进行的报备与登记申请。</w:t>
            </w:r>
          </w:p>
          <w:p w14:paraId="28D26DF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3.7打印数量申请：当需要超申请份数（如大批量打印）时，需提前申请并说明理由。</w:t>
            </w:r>
          </w:p>
          <w:p w14:paraId="7EF54EB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3.8回收文件：申请将已发放的物理文件（纸质）进行回收和核销。</w:t>
            </w:r>
          </w:p>
          <w:p w14:paraId="4793F05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3.9申请遗失：申请登记并报告受控文件的物理文件意外遗失。</w:t>
            </w:r>
          </w:p>
          <w:p w14:paraId="730752E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3.10销毁文件：申请对已过保存期限或无价值的受控文件进行安全销毁。</w:t>
            </w:r>
          </w:p>
          <w:p w14:paraId="320DA87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4.审批状态</w:t>
            </w:r>
          </w:p>
          <w:p w14:paraId="7E0FA28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4.1待审核：申请已成功提交，正等待当前环节的审批人处理。</w:t>
            </w:r>
          </w:p>
          <w:p w14:paraId="05CC41D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4.2已通过：申请已获得该环节或全部所需环节的批准，系统将自动或由触发者执行后续动作（如授权生效、文件状态变更等）。</w:t>
            </w:r>
          </w:p>
          <w:p w14:paraId="197C5B1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4.3未通过：申请在某个审批环节被驳回。伴随驳回理由，申请流程终止。</w:t>
            </w:r>
          </w:p>
          <w:p w14:paraId="5536037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5.集中化处理：将所有分散的审批流程汇聚于单一门户，避免任务遗漏。</w:t>
            </w:r>
          </w:p>
          <w:p w14:paraId="0223F1A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6.记录可追溯：所有审批的完整记录（人、时、事、由）均与相关文件、项目或操作记录关联，形成不可篡改的证据链，满足内外部审计要求。</w:t>
            </w:r>
          </w:p>
          <w:p w14:paraId="2CE365A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7.状态透明化：发起方可实时跟踪进度，减少沟通成本；审批方可清晰了解待办职责。</w:t>
            </w:r>
          </w:p>
        </w:tc>
      </w:tr>
      <w:tr w14:paraId="1E515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91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B38A700">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1320" w:type="dxa"/>
            <w:vMerge w:val="continue"/>
            <w:tcBorders>
              <w:top w:val="nil"/>
              <w:left w:val="nil"/>
              <w:bottom w:val="single" w:color="auto" w:sz="6" w:space="0"/>
              <w:right w:val="single" w:color="auto" w:sz="6" w:space="0"/>
            </w:tcBorders>
            <w:shd w:val="clear" w:color="auto" w:fill="auto"/>
            <w:tcMar>
              <w:left w:w="105" w:type="dxa"/>
              <w:right w:w="105" w:type="dxa"/>
            </w:tcMar>
            <w:vAlign w:val="center"/>
          </w:tcPr>
          <w:p w14:paraId="167D04D4">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1247" w:type="dxa"/>
            <w:tcBorders>
              <w:top w:val="nil"/>
              <w:left w:val="nil"/>
              <w:bottom w:val="single" w:color="auto" w:sz="6" w:space="0"/>
              <w:right w:val="single" w:color="auto" w:sz="6" w:space="0"/>
            </w:tcBorders>
            <w:shd w:val="clear" w:color="auto" w:fill="auto"/>
            <w:tcMar>
              <w:left w:w="105" w:type="dxa"/>
              <w:right w:w="105" w:type="dxa"/>
            </w:tcMar>
            <w:vAlign w:val="center"/>
          </w:tcPr>
          <w:p w14:paraId="0BC775A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center"/>
              <w:rPr>
                <w:rFonts w:hint="eastAsia" w:ascii="仿宋" w:hAnsi="仿宋" w:eastAsia="仿宋" w:cs="仿宋"/>
                <w:sz w:val="24"/>
                <w:szCs w:val="24"/>
              </w:rPr>
            </w:pPr>
            <w:r>
              <w:rPr>
                <w:rFonts w:hint="eastAsia" w:ascii="仿宋" w:hAnsi="仿宋" w:eastAsia="仿宋" w:cs="仿宋"/>
                <w:sz w:val="24"/>
                <w:szCs w:val="24"/>
              </w:rPr>
              <w:t>基础配置</w:t>
            </w:r>
          </w:p>
        </w:tc>
        <w:tc>
          <w:tcPr>
            <w:tcW w:w="6930" w:type="dxa"/>
            <w:tcBorders>
              <w:top w:val="nil"/>
              <w:left w:val="nil"/>
              <w:bottom w:val="single" w:color="auto" w:sz="6" w:space="0"/>
              <w:right w:val="single" w:color="auto" w:sz="6" w:space="0"/>
            </w:tcBorders>
            <w:shd w:val="clear" w:color="auto" w:fill="auto"/>
            <w:tcMar>
              <w:left w:w="105" w:type="dxa"/>
              <w:right w:w="105" w:type="dxa"/>
            </w:tcMar>
            <w:vAlign w:val="center"/>
          </w:tcPr>
          <w:p w14:paraId="3C6D48D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为系统管理员配置运行规则、组织结构、流程等进行统一配置与管理。</w:t>
            </w:r>
          </w:p>
          <w:p w14:paraId="4546F43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1.角色管理</w:t>
            </w:r>
          </w:p>
          <w:p w14:paraId="42B9788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编辑角色名称与权限：可创建、修改或删除角色，并为每个角色勾选其具体拥有的系统功能权限。</w:t>
            </w:r>
          </w:p>
          <w:p w14:paraId="27FDEED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2.人员维护</w:t>
            </w:r>
          </w:p>
          <w:p w14:paraId="0F8AD79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内部机构人员维护：管理组织内部的用户，为其分配前述定义好的系统角色，从而赋予其全局性的基础权限。</w:t>
            </w:r>
          </w:p>
          <w:p w14:paraId="6915B12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3.外部申办方人员维护：专门管理申办方、SMO等外部协作人员账户。可为其重新设置角色权限、访问权限、密码等，实现内外人员的安全隔离与协作。</w:t>
            </w:r>
          </w:p>
          <w:p w14:paraId="3EF15EE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4.科室维护：建立和维护组织的科室结构。此结构用于人员归属、项目归属等，实现按部门维度进行管理。</w:t>
            </w:r>
          </w:p>
          <w:p w14:paraId="12F8FBF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5.审批流程配置，为各类关键业务操作，预定义审批人员。为审批类型，可视化配置审批人。</w:t>
            </w:r>
          </w:p>
          <w:p w14:paraId="1F4AB0B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5.1配置入院申请审批：定义访客申请的审批。</w:t>
            </w:r>
          </w:p>
          <w:p w14:paraId="6971253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5.2配置创建项目审批流程：配置新项目立项需由谁审批。</w:t>
            </w:r>
          </w:p>
          <w:p w14:paraId="2616E5B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5.3配置项目审核流程：配置项目关键里程碑，如项目授权、项目结题、打印异常、文件遗失、回收文件、销毁文件的审核。</w:t>
            </w:r>
          </w:p>
          <w:p w14:paraId="60D3656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5.4内部文件审核流程：定义内部文件受控申请审批。</w:t>
            </w:r>
          </w:p>
          <w:p w14:paraId="5F7A50C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5.5内部文件打印异常/遗失审核：配置内部文件打印异常或遗失事件报告的审阅与处理。</w:t>
            </w:r>
          </w:p>
          <w:p w14:paraId="0180E58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6.功能与模板配置</w:t>
            </w:r>
          </w:p>
          <w:p w14:paraId="3F2244D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6.1受控编码规则，管理员可自定义编号规则，通常支持变量组合，如：[部门代码]-[年份]-[流水号]。</w:t>
            </w:r>
          </w:p>
          <w:p w14:paraId="64BEEF4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6.2受控标识与水印设置，受控编码位置：设定受控文件编号在文件页面或预览界面上的固定显示位置。</w:t>
            </w:r>
          </w:p>
          <w:p w14:paraId="6B49277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6.3受控水印文字与位置，定义动态水印内容。配置水印在文件打印输出时的呈现方式。</w:t>
            </w:r>
          </w:p>
          <w:p w14:paraId="2EEB182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6.4项目文件模板设置：上传并管理各类标准文件模板。在文件上传时，可通过“引用模板”功能，供用户直接选用。</w:t>
            </w:r>
          </w:p>
          <w:p w14:paraId="6D621B8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6.5项目文件夹模板设置：可以管理和设置多种项目文件夹结构目录模板，在用户创建项目时，选择该项目适用的该文件夹结构模板。</w:t>
            </w:r>
          </w:p>
        </w:tc>
      </w:tr>
      <w:tr w14:paraId="21473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91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CDBCAB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320" w:type="dxa"/>
            <w:tcBorders>
              <w:top w:val="nil"/>
              <w:left w:val="nil"/>
              <w:bottom w:val="single" w:color="auto" w:sz="6" w:space="0"/>
              <w:right w:val="single" w:color="auto" w:sz="6" w:space="0"/>
            </w:tcBorders>
            <w:shd w:val="clear" w:color="auto" w:fill="auto"/>
            <w:tcMar>
              <w:left w:w="105" w:type="dxa"/>
              <w:right w:w="105" w:type="dxa"/>
            </w:tcMar>
            <w:vAlign w:val="center"/>
          </w:tcPr>
          <w:p w14:paraId="6102195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247" w:type="dxa"/>
            <w:tcBorders>
              <w:top w:val="nil"/>
              <w:left w:val="nil"/>
              <w:bottom w:val="single" w:color="auto" w:sz="6" w:space="0"/>
              <w:right w:val="single" w:color="auto" w:sz="6" w:space="0"/>
            </w:tcBorders>
            <w:shd w:val="clear" w:color="auto" w:fill="auto"/>
            <w:tcMar>
              <w:left w:w="105" w:type="dxa"/>
              <w:right w:w="105" w:type="dxa"/>
            </w:tcMar>
            <w:vAlign w:val="center"/>
          </w:tcPr>
          <w:p w14:paraId="334C753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center"/>
              <w:rPr>
                <w:rFonts w:hint="eastAsia" w:ascii="仿宋" w:hAnsi="仿宋" w:eastAsia="仿宋" w:cs="仿宋"/>
                <w:sz w:val="24"/>
                <w:szCs w:val="24"/>
              </w:rPr>
            </w:pPr>
            <w:r>
              <w:rPr>
                <w:rFonts w:hint="eastAsia" w:ascii="仿宋" w:hAnsi="仿宋" w:eastAsia="仿宋" w:cs="仿宋"/>
                <w:sz w:val="24"/>
                <w:szCs w:val="24"/>
              </w:rPr>
              <w:t>数据统计</w:t>
            </w:r>
          </w:p>
        </w:tc>
        <w:tc>
          <w:tcPr>
            <w:tcW w:w="6930" w:type="dxa"/>
            <w:tcBorders>
              <w:top w:val="nil"/>
              <w:left w:val="nil"/>
              <w:bottom w:val="single" w:color="auto" w:sz="6" w:space="0"/>
              <w:right w:val="single" w:color="auto" w:sz="6" w:space="0"/>
            </w:tcBorders>
            <w:shd w:val="clear" w:color="auto" w:fill="auto"/>
            <w:tcMar>
              <w:left w:w="105" w:type="dxa"/>
              <w:right w:w="105" w:type="dxa"/>
            </w:tcMar>
            <w:vAlign w:val="center"/>
          </w:tcPr>
          <w:p w14:paraId="55D4532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1.核心统计看板</w:t>
            </w:r>
          </w:p>
          <w:p w14:paraId="7D55D22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1.1机构项目总数：统计全系统下所有项目的累计数量。根据项目状态统计项目数量。</w:t>
            </w:r>
          </w:p>
          <w:p w14:paraId="1F2928E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1.2在研项目数：动态统计当前状态为“进行中”的项目总数。</w:t>
            </w:r>
          </w:p>
          <w:p w14:paraId="79959DF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1.3本月新增项目数：统计当前自然月内新创建的项目数量。</w:t>
            </w:r>
          </w:p>
          <w:p w14:paraId="37F3395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1.4受控文件总数：统计系统中所有受控中的有效文件标记并计算总数。</w:t>
            </w:r>
          </w:p>
          <w:p w14:paraId="61B4901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1.5本月新增文件数：统计当前自然月内新上传或新发布为受控状态的文件数量。</w:t>
            </w:r>
          </w:p>
          <w:p w14:paraId="629861F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1.6本月打印项目数：统计当前自然月内发生过打印操作（无论次数）的独立项目数量。</w:t>
            </w:r>
          </w:p>
          <w:p w14:paraId="2E9E2A0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210"/>
              <w:rPr>
                <w:rFonts w:hint="eastAsia" w:ascii="仿宋" w:hAnsi="仿宋" w:eastAsia="仿宋" w:cs="仿宋"/>
                <w:sz w:val="24"/>
                <w:szCs w:val="24"/>
              </w:rPr>
            </w:pPr>
            <w:r>
              <w:rPr>
                <w:rFonts w:hint="eastAsia" w:ascii="仿宋" w:hAnsi="仿宋" w:eastAsia="仿宋" w:cs="仿宋"/>
                <w:sz w:val="24"/>
                <w:szCs w:val="24"/>
              </w:rPr>
              <w:t>1.7本月打印量：可进一步查看本月所有打印操作的记录及详细内容。</w:t>
            </w:r>
          </w:p>
          <w:p w14:paraId="55A28E5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2.最近一个月打印明细</w:t>
            </w:r>
          </w:p>
          <w:p w14:paraId="6A668CF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提供过去30天内所有打印操作的详细日志列表。可查看字段：打印时间、打印人、所属项目/部门、打印文件名及版本、打印份数、所用打印机（如记录）。</w:t>
            </w:r>
          </w:p>
          <w:p w14:paraId="3217B5E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3.项目新增明细：可查询任意时间段内新增项目的详细列表，包括项目编号、名称、负责人（或创建人）、创建时间等。</w:t>
            </w:r>
          </w:p>
          <w:p w14:paraId="462CF29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4.文件新增明细：可查询任意时间段内新增文件的详细列表，包括文件编号、名称、类型、创建人（或创建人或主研）、所属项目等。</w:t>
            </w:r>
          </w:p>
        </w:tc>
      </w:tr>
      <w:tr w14:paraId="311F7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91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4F85C5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320" w:type="dxa"/>
            <w:tcBorders>
              <w:top w:val="nil"/>
              <w:left w:val="nil"/>
              <w:bottom w:val="single" w:color="auto" w:sz="6" w:space="0"/>
              <w:right w:val="single" w:color="auto" w:sz="6" w:space="0"/>
            </w:tcBorders>
            <w:shd w:val="clear" w:color="auto" w:fill="auto"/>
            <w:tcMar>
              <w:left w:w="105" w:type="dxa"/>
              <w:right w:w="105" w:type="dxa"/>
            </w:tcMar>
            <w:vAlign w:val="center"/>
          </w:tcPr>
          <w:p w14:paraId="60CDDA8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247" w:type="dxa"/>
            <w:tcBorders>
              <w:top w:val="nil"/>
              <w:left w:val="nil"/>
              <w:bottom w:val="single" w:color="auto" w:sz="6" w:space="0"/>
              <w:right w:val="single" w:color="auto" w:sz="6" w:space="0"/>
            </w:tcBorders>
            <w:shd w:val="clear" w:color="auto" w:fill="auto"/>
            <w:tcMar>
              <w:left w:w="105" w:type="dxa"/>
              <w:right w:w="105" w:type="dxa"/>
            </w:tcMar>
            <w:vAlign w:val="center"/>
          </w:tcPr>
          <w:p w14:paraId="4188027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center"/>
              <w:rPr>
                <w:rFonts w:hint="eastAsia" w:ascii="仿宋" w:hAnsi="仿宋" w:eastAsia="仿宋" w:cs="仿宋"/>
                <w:sz w:val="24"/>
                <w:szCs w:val="24"/>
              </w:rPr>
            </w:pPr>
            <w:r>
              <w:rPr>
                <w:rFonts w:hint="eastAsia" w:ascii="仿宋" w:hAnsi="仿宋" w:eastAsia="仿宋" w:cs="仿宋"/>
                <w:sz w:val="24"/>
                <w:szCs w:val="24"/>
              </w:rPr>
              <w:t>系统功能设置</w:t>
            </w:r>
          </w:p>
        </w:tc>
        <w:tc>
          <w:tcPr>
            <w:tcW w:w="6930" w:type="dxa"/>
            <w:tcBorders>
              <w:top w:val="nil"/>
              <w:left w:val="nil"/>
              <w:bottom w:val="single" w:color="auto" w:sz="6" w:space="0"/>
              <w:right w:val="single" w:color="auto" w:sz="6" w:space="0"/>
            </w:tcBorders>
            <w:shd w:val="clear" w:color="auto" w:fill="auto"/>
            <w:tcMar>
              <w:left w:w="105" w:type="dxa"/>
              <w:right w:w="105" w:type="dxa"/>
            </w:tcMar>
            <w:vAlign w:val="center"/>
          </w:tcPr>
          <w:p w14:paraId="676602B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1、系统需支持可视化主题配置引擎，允许每位终端用户基于个人工作习惯与审美偏好，对系统界面进行深度自定义配置。</w:t>
            </w:r>
          </w:p>
          <w:p w14:paraId="27503D0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2、系统需内置智能数字水印引擎，为系统的显示内容全屏添加可追溯、可定制的水印标识，构建数据防泄</w:t>
            </w:r>
            <w:r>
              <w:rPr>
                <w:rFonts w:hint="eastAsia" w:ascii="仿宋" w:hAnsi="仿宋" w:eastAsia="仿宋" w:cs="仿宋"/>
                <w:sz w:val="24"/>
                <w:szCs w:val="24"/>
                <w:lang w:val="en-US" w:eastAsia="zh-CN"/>
              </w:rPr>
              <w:t>漏</w:t>
            </w:r>
            <w:r>
              <w:rPr>
                <w:rFonts w:hint="eastAsia" w:ascii="仿宋" w:hAnsi="仿宋" w:eastAsia="仿宋" w:cs="仿宋"/>
                <w:sz w:val="24"/>
                <w:szCs w:val="24"/>
              </w:rPr>
              <w:t>的第一道防线。需支持每个用户可自定义终端系统的屏幕显示水印设定。</w:t>
            </w:r>
          </w:p>
          <w:p w14:paraId="6D4CC79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3、系统需提供一键快速锁屏机制，确保用户临时离开工位时，系统数据立即进入受保护状态，防止未授权访问。解锁后自动恢复锁屏前的工作界面与操作状态。支持"锁屏但不退出"模式，保持网络连接与后台任务运行</w:t>
            </w:r>
          </w:p>
          <w:p w14:paraId="4E1D58E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4、系统需支持字体选择设定引擎，满足不同视力条件用户对文字可读性的个性化设定需求。同时需支持系统页面全屏展示，方便用户浏览页面。</w:t>
            </w:r>
          </w:p>
        </w:tc>
      </w:tr>
    </w:tbl>
    <w:p w14:paraId="4042BBBC">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服务要求</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31"/>
        <w:gridCol w:w="1703"/>
        <w:gridCol w:w="6461"/>
        <w:gridCol w:w="1519"/>
      </w:tblGrid>
      <w:tr w14:paraId="62670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731"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5D2DA01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序号</w:t>
            </w:r>
          </w:p>
        </w:tc>
        <w:tc>
          <w:tcPr>
            <w:tcW w:w="1703"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73717E5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服务类型</w:t>
            </w:r>
          </w:p>
        </w:tc>
        <w:tc>
          <w:tcPr>
            <w:tcW w:w="6461"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2E00E01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服务内容</w:t>
            </w:r>
          </w:p>
        </w:tc>
        <w:tc>
          <w:tcPr>
            <w:tcW w:w="1519"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199B6BC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服务期</w:t>
            </w:r>
          </w:p>
        </w:tc>
      </w:tr>
      <w:tr w14:paraId="6A3CB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31"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39C377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1</w:t>
            </w:r>
          </w:p>
        </w:tc>
        <w:tc>
          <w:tcPr>
            <w:tcW w:w="1703" w:type="dxa"/>
            <w:tcBorders>
              <w:top w:val="nil"/>
              <w:left w:val="nil"/>
              <w:bottom w:val="single" w:color="auto" w:sz="6" w:space="0"/>
              <w:right w:val="single" w:color="auto" w:sz="6" w:space="0"/>
            </w:tcBorders>
            <w:shd w:val="clear" w:color="auto" w:fill="auto"/>
            <w:tcMar>
              <w:left w:w="105" w:type="dxa"/>
              <w:right w:w="105" w:type="dxa"/>
            </w:tcMar>
            <w:vAlign w:val="center"/>
          </w:tcPr>
          <w:p w14:paraId="330D215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基本服务</w:t>
            </w:r>
          </w:p>
        </w:tc>
        <w:tc>
          <w:tcPr>
            <w:tcW w:w="6461" w:type="dxa"/>
            <w:tcBorders>
              <w:top w:val="nil"/>
              <w:left w:val="nil"/>
              <w:bottom w:val="single" w:color="auto" w:sz="6" w:space="0"/>
              <w:right w:val="single" w:color="auto" w:sz="6" w:space="0"/>
            </w:tcBorders>
            <w:shd w:val="clear" w:color="auto" w:fill="auto"/>
            <w:tcMar>
              <w:left w:w="105" w:type="dxa"/>
              <w:right w:w="105" w:type="dxa"/>
            </w:tcMar>
            <w:vAlign w:val="top"/>
          </w:tcPr>
          <w:p w14:paraId="3587ED1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Style w:val="17"/>
                <w:rFonts w:hint="eastAsia" w:ascii="仿宋" w:hAnsi="仿宋" w:eastAsia="仿宋" w:cs="仿宋"/>
                <w:sz w:val="24"/>
                <w:szCs w:val="24"/>
                <w:highlight w:val="none"/>
              </w:rPr>
              <w:t>基本服务至少满足以下内容：</w:t>
            </w:r>
          </w:p>
          <w:p w14:paraId="294E1DF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Style w:val="17"/>
                <w:rFonts w:hint="eastAsia" w:ascii="仿宋" w:hAnsi="仿宋" w:eastAsia="仿宋" w:cs="仿宋"/>
                <w:sz w:val="24"/>
                <w:szCs w:val="24"/>
                <w:highlight w:val="none"/>
              </w:rPr>
              <w:t>1、稳定性：</w:t>
            </w:r>
            <w:r>
              <w:rPr>
                <w:rFonts w:hint="eastAsia" w:ascii="仿宋" w:hAnsi="仿宋" w:eastAsia="仿宋" w:cs="仿宋"/>
                <w:sz w:val="24"/>
                <w:szCs w:val="24"/>
                <w:highlight w:val="none"/>
              </w:rPr>
              <w:t>服务期内需保障业务稳定，不无故出现崩溃或宕机现象；</w:t>
            </w:r>
          </w:p>
          <w:p w14:paraId="65718EA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Style w:val="17"/>
                <w:rFonts w:hint="eastAsia" w:ascii="仿宋" w:hAnsi="仿宋" w:eastAsia="仿宋" w:cs="仿宋"/>
                <w:sz w:val="24"/>
                <w:szCs w:val="24"/>
                <w:highlight w:val="none"/>
              </w:rPr>
              <w:t>2、安全性：</w:t>
            </w:r>
            <w:r>
              <w:rPr>
                <w:rFonts w:hint="eastAsia" w:ascii="仿宋" w:hAnsi="仿宋" w:eastAsia="仿宋" w:cs="仿宋"/>
                <w:sz w:val="24"/>
                <w:szCs w:val="24"/>
                <w:highlight w:val="none"/>
              </w:rPr>
              <w:t>具备完善的安全防护机制，做好数据备份，在合同签订后15个工作日内提交《安全事件应急响应手册》，重大安全事件（数据泄露、勒索病毒等）30 分钟内电话通报、2小时内到场、4小时内出具初步处置报告；</w:t>
            </w:r>
          </w:p>
          <w:p w14:paraId="7799FEC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Style w:val="17"/>
                <w:rFonts w:hint="eastAsia" w:ascii="仿宋" w:hAnsi="仿宋" w:eastAsia="仿宋" w:cs="仿宋"/>
                <w:sz w:val="24"/>
                <w:szCs w:val="24"/>
                <w:highlight w:val="none"/>
              </w:rPr>
              <w:t>3、数据质量：</w:t>
            </w:r>
            <w:r>
              <w:rPr>
                <w:rFonts w:hint="eastAsia" w:ascii="仿宋" w:hAnsi="仿宋" w:eastAsia="仿宋" w:cs="仿宋"/>
                <w:sz w:val="24"/>
                <w:szCs w:val="24"/>
                <w:highlight w:val="none"/>
              </w:rPr>
              <w:t>供应商收到异议后，</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供应商应在5个工作日内对数据质量问题进行原因查找和反馈，30个工作日内对数据质量问题进行数据清洗；</w:t>
            </w:r>
          </w:p>
          <w:p w14:paraId="0C2C36E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color w:val="auto"/>
                <w:sz w:val="24"/>
                <w:szCs w:val="24"/>
                <w:highlight w:val="none"/>
              </w:rPr>
            </w:pPr>
            <w:r>
              <w:rPr>
                <w:rStyle w:val="17"/>
                <w:rFonts w:hint="eastAsia" w:ascii="仿宋" w:hAnsi="仿宋" w:eastAsia="仿宋" w:cs="仿宋"/>
                <w:sz w:val="24"/>
                <w:szCs w:val="24"/>
                <w:highlight w:val="none"/>
              </w:rPr>
              <w:t>4、响应速度：</w:t>
            </w:r>
            <w:r>
              <w:rPr>
                <w:rFonts w:hint="eastAsia" w:ascii="仿宋" w:hAnsi="仿宋" w:eastAsia="仿宋" w:cs="仿宋"/>
                <w:sz w:val="24"/>
                <w:szCs w:val="24"/>
                <w:highlight w:val="none"/>
              </w:rPr>
              <w:t>服务期内，采购人通过电话、微信、现场提</w:t>
            </w:r>
            <w:r>
              <w:rPr>
                <w:rFonts w:hint="eastAsia" w:ascii="仿宋" w:hAnsi="仿宋" w:eastAsia="仿宋" w:cs="仿宋"/>
                <w:color w:val="auto"/>
                <w:sz w:val="24"/>
                <w:szCs w:val="24"/>
                <w:highlight w:val="none"/>
              </w:rPr>
              <w:t>出的支持需求，供应商须在需求提出的当日完成响应；</w:t>
            </w:r>
          </w:p>
          <w:p w14:paraId="760294D5">
            <w:pPr>
              <w:pStyle w:val="13"/>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color w:val="auto"/>
                <w:sz w:val="24"/>
                <w:szCs w:val="24"/>
                <w:highlight w:val="none"/>
              </w:rPr>
            </w:pPr>
            <w:r>
              <w:rPr>
                <w:rFonts w:hint="eastAsia" w:ascii="仿宋" w:hAnsi="仿宋" w:eastAsia="仿宋" w:cs="仿宋"/>
                <w:b/>
                <w:bCs/>
                <w:sz w:val="24"/>
                <w:szCs w:val="24"/>
                <w:highlight w:val="none"/>
              </w:rPr>
              <w:t>5、</w:t>
            </w:r>
            <w:r>
              <w:rPr>
                <w:rStyle w:val="17"/>
                <w:rFonts w:hint="eastAsia" w:ascii="仿宋" w:hAnsi="仿宋" w:eastAsia="仿宋" w:cs="仿宋"/>
                <w:color w:val="auto"/>
                <w:sz w:val="24"/>
                <w:szCs w:val="24"/>
                <w:highlight w:val="none"/>
              </w:rPr>
              <w:t>定期巡检：</w:t>
            </w:r>
            <w:r>
              <w:rPr>
                <w:rFonts w:hint="eastAsia" w:ascii="仿宋" w:hAnsi="仿宋" w:eastAsia="仿宋" w:cs="仿宋"/>
                <w:color w:val="auto"/>
                <w:sz w:val="24"/>
                <w:szCs w:val="24"/>
                <w:highlight w:val="none"/>
              </w:rPr>
              <w:t>服务期内每月提供至少1次软件服务期巡检报告；</w:t>
            </w:r>
          </w:p>
          <w:p w14:paraId="7E9B246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Style w:val="17"/>
                <w:rFonts w:hint="eastAsia" w:ascii="仿宋" w:hAnsi="仿宋" w:eastAsia="仿宋" w:cs="仿宋"/>
                <w:sz w:val="24"/>
                <w:szCs w:val="24"/>
                <w:highlight w:val="none"/>
                <w:lang w:val="en-US" w:eastAsia="zh-CN"/>
              </w:rPr>
              <w:t>6</w:t>
            </w:r>
            <w:r>
              <w:rPr>
                <w:rStyle w:val="17"/>
                <w:rFonts w:hint="eastAsia" w:ascii="仿宋" w:hAnsi="仿宋" w:eastAsia="仿宋" w:cs="仿宋"/>
                <w:sz w:val="24"/>
                <w:szCs w:val="24"/>
                <w:highlight w:val="none"/>
              </w:rPr>
              <w:t>、培训服务：</w:t>
            </w:r>
            <w:r>
              <w:rPr>
                <w:rFonts w:hint="eastAsia" w:ascii="仿宋" w:hAnsi="仿宋" w:eastAsia="仿宋" w:cs="仿宋"/>
                <w:sz w:val="24"/>
                <w:szCs w:val="24"/>
                <w:highlight w:val="none"/>
              </w:rPr>
              <w:t>每年提供≥2次培训服务，并提交培训方案和签到表；</w:t>
            </w:r>
          </w:p>
          <w:p w14:paraId="0598EFD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Style w:val="17"/>
                <w:rFonts w:hint="eastAsia" w:ascii="仿宋" w:hAnsi="仿宋" w:eastAsia="仿宋" w:cs="仿宋"/>
                <w:sz w:val="24"/>
                <w:szCs w:val="24"/>
                <w:highlight w:val="none"/>
                <w:lang w:val="en-US" w:eastAsia="zh-CN"/>
              </w:rPr>
              <w:t>7</w:t>
            </w:r>
            <w:r>
              <w:rPr>
                <w:rStyle w:val="17"/>
                <w:rFonts w:hint="eastAsia" w:ascii="仿宋" w:hAnsi="仿宋" w:eastAsia="仿宋" w:cs="仿宋"/>
                <w:sz w:val="24"/>
                <w:szCs w:val="24"/>
                <w:highlight w:val="none"/>
              </w:rPr>
              <w:t>、文档服务：</w:t>
            </w:r>
          </w:p>
          <w:p w14:paraId="29B8FCF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Fonts w:hint="eastAsia" w:ascii="仿宋" w:hAnsi="仿宋" w:eastAsia="仿宋" w:cs="仿宋"/>
                <w:sz w:val="24"/>
                <w:szCs w:val="24"/>
                <w:highlight w:val="none"/>
              </w:rPr>
              <w:t>上线运行之日提交本次采购内容的《四川省人民医院应用系统档案》。服务期满后需提交本次采购内容的运维记录签字扫描版本。</w:t>
            </w:r>
          </w:p>
          <w:p w14:paraId="0A23097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highlight w:val="none"/>
              </w:rPr>
            </w:pPr>
            <w:r>
              <w:rPr>
                <w:rStyle w:val="17"/>
                <w:rFonts w:hint="eastAsia" w:ascii="仿宋" w:hAnsi="仿宋" w:eastAsia="仿宋" w:cs="仿宋"/>
                <w:sz w:val="24"/>
                <w:szCs w:val="24"/>
                <w:highlight w:val="none"/>
                <w:lang w:val="en-US" w:eastAsia="zh-CN"/>
              </w:rPr>
              <w:t>8</w:t>
            </w:r>
            <w:r>
              <w:rPr>
                <w:rStyle w:val="17"/>
                <w:rFonts w:hint="eastAsia" w:ascii="仿宋" w:hAnsi="仿宋" w:eastAsia="仿宋" w:cs="仿宋"/>
                <w:sz w:val="24"/>
                <w:szCs w:val="24"/>
                <w:highlight w:val="none"/>
              </w:rPr>
              <w:t>、人员服务：</w:t>
            </w:r>
          </w:p>
          <w:p w14:paraId="37A1937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提</w:t>
            </w:r>
            <w:r>
              <w:rPr>
                <w:rFonts w:hint="eastAsia" w:ascii="仿宋" w:hAnsi="仿宋" w:eastAsia="仿宋" w:cs="仿宋"/>
                <w:color w:val="auto"/>
                <w:sz w:val="24"/>
                <w:szCs w:val="24"/>
                <w:highlight w:val="none"/>
                <w:u w:val="none" w:color="auto"/>
              </w:rPr>
              <w:t>供1人驻场</w:t>
            </w:r>
            <w:r>
              <w:rPr>
                <w:rFonts w:hint="eastAsia" w:ascii="仿宋" w:hAnsi="仿宋" w:eastAsia="仿宋" w:cs="仿宋"/>
                <w:sz w:val="24"/>
                <w:szCs w:val="24"/>
                <w:highlight w:val="none"/>
              </w:rPr>
              <w:t>，驻场期间纳入</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统一管理。工作时间：工作日8:00-17:30,法定节假日按照</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统一放假时间，节假日期间安排人员远程值班,人员轮转、变动须提前通知采购人</w:t>
            </w:r>
            <w:r>
              <w:rPr>
                <w:rFonts w:hint="eastAsia" w:ascii="仿宋" w:hAnsi="仿宋" w:eastAsia="仿宋" w:cs="仿宋"/>
                <w:sz w:val="24"/>
                <w:szCs w:val="24"/>
                <w:highlight w:val="none"/>
                <w:lang w:eastAsia="zh-CN"/>
              </w:rPr>
              <w:t>。</w:t>
            </w:r>
          </w:p>
          <w:p w14:paraId="74013F8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highlight w:val="none"/>
                <w:u w:val="none" w:color="auto"/>
              </w:rPr>
            </w:pPr>
            <w:r>
              <w:rPr>
                <w:rStyle w:val="17"/>
                <w:rFonts w:hint="eastAsia" w:ascii="仿宋" w:hAnsi="仿宋" w:eastAsia="仿宋" w:cs="仿宋"/>
                <w:sz w:val="24"/>
                <w:szCs w:val="24"/>
                <w:highlight w:val="none"/>
                <w:lang w:val="en-US" w:eastAsia="zh-CN"/>
              </w:rPr>
              <w:t>9</w:t>
            </w:r>
            <w:r>
              <w:rPr>
                <w:rStyle w:val="17"/>
                <w:rFonts w:hint="eastAsia" w:ascii="仿宋" w:hAnsi="仿宋" w:eastAsia="仿宋" w:cs="仿宋"/>
                <w:sz w:val="24"/>
                <w:szCs w:val="24"/>
                <w:highlight w:val="none"/>
              </w:rPr>
              <w:t>、其他：</w:t>
            </w:r>
          </w:p>
          <w:p w14:paraId="22B356E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u w:val="none" w:color="auto"/>
              </w:rPr>
            </w:pPr>
            <w:r>
              <w:rPr>
                <w:rFonts w:hint="eastAsia" w:ascii="仿宋" w:hAnsi="仿宋" w:eastAsia="仿宋" w:cs="仿宋"/>
                <w:sz w:val="24"/>
                <w:szCs w:val="24"/>
                <w:highlight w:val="none"/>
                <w:u w:val="none" w:color="auto"/>
              </w:rPr>
              <w:t>1）从合同签订生效之日起，采购人</w:t>
            </w:r>
            <w:r>
              <w:rPr>
                <w:rStyle w:val="17"/>
                <w:rFonts w:hint="eastAsia" w:ascii="仿宋" w:hAnsi="仿宋" w:eastAsia="仿宋" w:cs="仿宋"/>
                <w:sz w:val="24"/>
                <w:szCs w:val="24"/>
                <w:highlight w:val="none"/>
                <w:u w:val="none" w:color="auto"/>
              </w:rPr>
              <w:t>每月</w:t>
            </w:r>
            <w:r>
              <w:rPr>
                <w:rFonts w:hint="eastAsia" w:ascii="仿宋" w:hAnsi="仿宋" w:eastAsia="仿宋" w:cs="仿宋"/>
                <w:sz w:val="24"/>
                <w:szCs w:val="24"/>
                <w:highlight w:val="none"/>
                <w:u w:val="none" w:color="auto"/>
              </w:rPr>
              <w:t>按照</w:t>
            </w:r>
            <w:r>
              <w:rPr>
                <w:rStyle w:val="17"/>
                <w:rFonts w:hint="eastAsia" w:ascii="仿宋" w:hAnsi="仿宋" w:eastAsia="仿宋" w:cs="仿宋"/>
                <w:sz w:val="24"/>
                <w:szCs w:val="24"/>
                <w:highlight w:val="none"/>
                <w:u w:val="none" w:color="auto"/>
              </w:rPr>
              <w:t>四川省人民医院供应商考核</w:t>
            </w:r>
            <w:r>
              <w:rPr>
                <w:rFonts w:hint="eastAsia" w:ascii="仿宋" w:hAnsi="仿宋" w:eastAsia="仿宋" w:cs="仿宋"/>
                <w:sz w:val="24"/>
                <w:szCs w:val="24"/>
                <w:highlight w:val="none"/>
                <w:u w:val="none" w:color="auto"/>
              </w:rPr>
              <w:t>指标对供应商行为进行评价考核，考核结果关联最终付款金额和履约保证金</w:t>
            </w:r>
            <w:r>
              <w:rPr>
                <w:rFonts w:hint="eastAsia" w:ascii="仿宋" w:hAnsi="仿宋" w:eastAsia="仿宋" w:cs="仿宋"/>
                <w:color w:val="000000"/>
                <w:sz w:val="24"/>
                <w:szCs w:val="24"/>
                <w:highlight w:val="none"/>
                <w:u w:val="none" w:color="auto"/>
                <w:shd w:val="clear"/>
              </w:rPr>
              <w:t>（如有履约保证金）</w:t>
            </w:r>
            <w:r>
              <w:rPr>
                <w:rFonts w:hint="eastAsia" w:ascii="仿宋" w:hAnsi="仿宋" w:eastAsia="仿宋" w:cs="仿宋"/>
                <w:sz w:val="24"/>
                <w:szCs w:val="24"/>
                <w:highlight w:val="none"/>
                <w:u w:val="none" w:color="auto"/>
                <w:shd w:val="clear"/>
              </w:rPr>
              <w:t>。</w:t>
            </w:r>
          </w:p>
          <w:p w14:paraId="2CCF574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Fonts w:hint="eastAsia" w:ascii="仿宋" w:hAnsi="仿宋" w:eastAsia="仿宋" w:cs="仿宋"/>
                <w:sz w:val="24"/>
                <w:szCs w:val="24"/>
                <w:highlight w:val="none"/>
                <w:u w:val="none" w:color="auto"/>
              </w:rPr>
              <w:t>2）</w:t>
            </w:r>
            <w:r>
              <w:rPr>
                <w:rFonts w:hint="eastAsia" w:ascii="仿宋" w:hAnsi="仿宋" w:eastAsia="仿宋" w:cs="仿宋"/>
                <w:sz w:val="24"/>
                <w:szCs w:val="24"/>
                <w:highlight w:val="none"/>
                <w:u w:val="none" w:color="auto"/>
                <w:lang w:eastAsia="zh-CN"/>
              </w:rPr>
              <w:t>成交</w:t>
            </w:r>
            <w:r>
              <w:rPr>
                <w:rFonts w:hint="eastAsia" w:ascii="仿宋" w:hAnsi="仿宋" w:eastAsia="仿宋" w:cs="仿宋"/>
                <w:sz w:val="24"/>
                <w:szCs w:val="24"/>
                <w:highlight w:val="none"/>
                <w:u w:val="none" w:color="auto"/>
              </w:rPr>
              <w:t>供应商应当与本项目相关的第三方保持</w:t>
            </w:r>
            <w:r>
              <w:rPr>
                <w:rFonts w:hint="eastAsia" w:ascii="仿宋" w:hAnsi="仿宋" w:eastAsia="仿宋" w:cs="仿宋"/>
                <w:sz w:val="24"/>
                <w:szCs w:val="24"/>
                <w:highlight w:val="none"/>
              </w:rPr>
              <w:t>有痕的沟通，明确项目的具体要求和功能等方面的细节。采购人负责组织、监督和验收，以确保项目的顺利完成。</w:t>
            </w:r>
          </w:p>
          <w:p w14:paraId="216E0CD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Fonts w:hint="eastAsia" w:ascii="仿宋" w:hAnsi="仿宋" w:eastAsia="仿宋" w:cs="仿宋"/>
                <w:sz w:val="24"/>
                <w:szCs w:val="24"/>
                <w:highlight w:val="none"/>
              </w:rPr>
              <w:t>3）如涉及因本项目开发的系统原因造成采购人的经济损失，由</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供应商负责向采购人进行赔偿。</w:t>
            </w:r>
          </w:p>
        </w:tc>
        <w:tc>
          <w:tcPr>
            <w:tcW w:w="1519" w:type="dxa"/>
            <w:tcBorders>
              <w:top w:val="nil"/>
              <w:left w:val="nil"/>
              <w:bottom w:val="single" w:color="auto" w:sz="6" w:space="0"/>
              <w:right w:val="single" w:color="auto" w:sz="6" w:space="0"/>
            </w:tcBorders>
            <w:shd w:val="clear" w:color="auto" w:fill="auto"/>
            <w:tcMar>
              <w:left w:w="105" w:type="dxa"/>
              <w:right w:w="105" w:type="dxa"/>
            </w:tcMar>
            <w:vAlign w:val="center"/>
          </w:tcPr>
          <w:p w14:paraId="09F0416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color="auto"/>
              </w:rPr>
              <w:t>验收合格之日起，提供不低于1年</w:t>
            </w:r>
          </w:p>
        </w:tc>
      </w:tr>
      <w:tr w14:paraId="713E5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31"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122D93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2</w:t>
            </w:r>
          </w:p>
        </w:tc>
        <w:tc>
          <w:tcPr>
            <w:tcW w:w="1703" w:type="dxa"/>
            <w:tcBorders>
              <w:top w:val="nil"/>
              <w:left w:val="nil"/>
              <w:bottom w:val="single" w:color="auto" w:sz="6" w:space="0"/>
              <w:right w:val="single" w:color="auto" w:sz="6" w:space="0"/>
            </w:tcBorders>
            <w:shd w:val="clear" w:color="auto" w:fill="auto"/>
            <w:tcMar>
              <w:left w:w="105" w:type="dxa"/>
              <w:right w:w="105" w:type="dxa"/>
            </w:tcMar>
            <w:vAlign w:val="center"/>
          </w:tcPr>
          <w:p w14:paraId="69481D9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质保服务</w:t>
            </w:r>
          </w:p>
        </w:tc>
        <w:tc>
          <w:tcPr>
            <w:tcW w:w="6461" w:type="dxa"/>
            <w:tcBorders>
              <w:top w:val="nil"/>
              <w:left w:val="nil"/>
              <w:bottom w:val="single" w:color="auto" w:sz="6" w:space="0"/>
              <w:right w:val="single" w:color="auto" w:sz="6" w:space="0"/>
            </w:tcBorders>
            <w:shd w:val="clear" w:color="auto" w:fill="auto"/>
            <w:tcMar>
              <w:left w:w="105" w:type="dxa"/>
              <w:right w:w="105" w:type="dxa"/>
            </w:tcMar>
            <w:vAlign w:val="center"/>
          </w:tcPr>
          <w:p w14:paraId="21C8847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保</w:t>
            </w:r>
            <w:r>
              <w:rPr>
                <w:rFonts w:hint="eastAsia" w:ascii="仿宋" w:hAnsi="仿宋" w:eastAsia="仿宋" w:cs="仿宋"/>
                <w:color w:val="auto"/>
                <w:sz w:val="24"/>
                <w:szCs w:val="24"/>
                <w:highlight w:val="none"/>
              </w:rPr>
              <w:t>证软件功能正</w:t>
            </w:r>
            <w:r>
              <w:rPr>
                <w:rFonts w:hint="eastAsia" w:ascii="仿宋" w:hAnsi="仿宋" w:eastAsia="仿宋" w:cs="仿宋"/>
                <w:color w:val="000000"/>
                <w:sz w:val="24"/>
                <w:szCs w:val="24"/>
                <w:highlight w:val="none"/>
              </w:rPr>
              <w:t>常运行，提供7*24小时原厂质保服务。</w:t>
            </w:r>
          </w:p>
        </w:tc>
        <w:tc>
          <w:tcPr>
            <w:tcW w:w="1519" w:type="dxa"/>
            <w:tcBorders>
              <w:top w:val="nil"/>
              <w:left w:val="nil"/>
              <w:bottom w:val="single" w:color="auto" w:sz="6" w:space="0"/>
              <w:right w:val="single" w:color="auto" w:sz="6" w:space="0"/>
            </w:tcBorders>
            <w:shd w:val="clear" w:color="auto" w:fill="auto"/>
            <w:tcMar>
              <w:left w:w="105" w:type="dxa"/>
              <w:right w:w="105" w:type="dxa"/>
            </w:tcMar>
            <w:vAlign w:val="top"/>
          </w:tcPr>
          <w:p w14:paraId="6A1E959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highlight w:val="none"/>
              </w:rPr>
            </w:pPr>
            <w:r>
              <w:rPr>
                <w:rFonts w:hint="eastAsia" w:ascii="仿宋" w:hAnsi="仿宋" w:eastAsia="仿宋" w:cs="仿宋"/>
                <w:color w:val="auto"/>
                <w:sz w:val="24"/>
                <w:szCs w:val="24"/>
                <w:highlight w:val="none"/>
                <w:u w:val="none" w:color="auto"/>
              </w:rPr>
              <w:t>验收合格之日起，提供不低于1年</w:t>
            </w:r>
          </w:p>
        </w:tc>
      </w:tr>
    </w:tbl>
    <w:p w14:paraId="2E0E11AE">
      <w:pPr>
        <w:pStyle w:val="6"/>
        <w:pageBreakBefore w:val="0"/>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3.1实施时间：本项目合同签订生效后，供应商应在5个工作日内开始实施。</w:t>
      </w:r>
    </w:p>
    <w:p w14:paraId="051E6825">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sz w:val="24"/>
          <w:szCs w:val="24"/>
          <w:lang w:val="en-US" w:eastAsia="zh-CN"/>
        </w:rPr>
        <w:t>实施周期：本项目开始实施之日起60日内，完成本项目包含的所有软件功能的上线运行。未在实施周期内完成，视为供应商违约并自动放弃该项目，采购人有权终止合同，合同所有款项将不予支付，已支付款项，供应商应于7个工作日内退还采购人。</w:t>
      </w:r>
    </w:p>
    <w:p w14:paraId="2CB74218">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3.3交付地点：四川省人民医院（包括所有院区）。</w:t>
      </w:r>
    </w:p>
    <w:p w14:paraId="7B914D43">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r>
        <w:rPr>
          <w:rFonts w:hint="eastAsia" w:ascii="仿宋" w:hAnsi="仿宋" w:eastAsia="仿宋" w:cs="仿宋"/>
          <w:b w:val="0"/>
          <w:sz w:val="24"/>
          <w:szCs w:val="24"/>
          <w:vertAlign w:val="baseline"/>
          <w:lang w:val="en-US" w:eastAsia="zh-CN"/>
        </w:rPr>
        <w:t>付款条件：第一次付款：合同签订生效且项目验收通过后，供应商于5日内向采购人提供合法有效票据及其他相关请款资料，采购人于接到上述票据及资料后的55日内，向供应商支付合同总价80%的金额（如有因考核等原因产生的扣款，应在支付前予以扣除）。第二次付款：服务期满后，供应商于5日内向采购人提供合法有效票据及其他相关请款资料，采购人于接到上述票据及资料后的55日内，向供应商支付合同总价20%的金额（如有因考核等原因产生的扣款，应在支付前予以扣除）。</w:t>
      </w:r>
    </w:p>
    <w:p w14:paraId="55CA32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3.5</w:t>
      </w:r>
      <w:bookmarkStart w:id="8" w:name="_Toc15867"/>
      <w:bookmarkStart w:id="9" w:name="第四章"/>
      <w:r>
        <w:rPr>
          <w:rFonts w:hint="eastAsia" w:ascii="仿宋" w:hAnsi="仿宋" w:eastAsia="仿宋" w:cs="仿宋"/>
          <w:b w:val="0"/>
          <w:bCs/>
          <w:color w:val="auto"/>
          <w:sz w:val="24"/>
          <w:szCs w:val="24"/>
          <w:lang w:val="en-US" w:eastAsia="zh-CN"/>
        </w:rPr>
        <w:t>履约验收方案</w:t>
      </w:r>
    </w:p>
    <w:p w14:paraId="76B8D8E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（5）履约验收内容:按照基于本项目采购需求编制的采购文件要求及供应商响应文件情况，由供应商向采购人提供的全部服务或货物。</w:t>
      </w:r>
    </w:p>
    <w:p w14:paraId="7C1DC9C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（6）履约验收时间：完成本项目包含的所有软件功能的上线运行后5日内验收。</w:t>
      </w:r>
    </w:p>
    <w:p w14:paraId="41CD86B6">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3）产品生产厂家出具的产品说明书、技术白皮书、医疗器械注册证或备案凭证等官方技术资料（如涉及）。</w:t>
      </w:r>
    </w:p>
    <w:p w14:paraId="3D750A0A">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6903A4B">
      <w:pPr>
        <w:pStyle w:val="6"/>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6）其它标准：无。</w:t>
      </w:r>
    </w:p>
    <w:p w14:paraId="53E9A719">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jc w:val="both"/>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（12）履约验收其它事项：无</w:t>
      </w:r>
      <w:r>
        <w:rPr>
          <w:rFonts w:hint="eastAsia" w:ascii="仿宋" w:hAnsi="仿宋" w:eastAsia="仿宋" w:cs="仿宋"/>
          <w:b w:val="0"/>
          <w:bCs w:val="0"/>
          <w:color w:val="auto"/>
          <w:kern w:val="2"/>
          <w:sz w:val="24"/>
          <w:szCs w:val="24"/>
          <w:highlight w:val="none"/>
          <w:u w:color="000000"/>
          <w:lang w:val="en-US" w:eastAsia="zh-CN" w:bidi="ar-SA"/>
        </w:rPr>
        <w:t>。</w:t>
      </w:r>
    </w:p>
    <w:p w14:paraId="5183E51A">
      <w:pPr>
        <w:pageBreakBefore w:val="0"/>
        <w:kinsoku/>
        <w:wordWrap/>
        <w:overflowPunct/>
        <w:topLinePunct w:val="0"/>
        <w:autoSpaceDE/>
        <w:autoSpaceDN/>
        <w:bidi w:val="0"/>
        <w:adjustRightInd w:val="0"/>
        <w:snapToGrid w:val="0"/>
        <w:spacing w:beforeAutospacing="0" w:afterAutospacing="0"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3.6其他要求：知识产权：由采购人、供应商双方共同开发的项目：采购人、供应商双方共同研发的该系统软件产品，知识产权归采购人、供应商双方共同拥有，软件所有数据归采购人所有。</w:t>
      </w:r>
    </w:p>
    <w:p w14:paraId="44DB05E0">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1973E341">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51"/>
        <w:gridCol w:w="1990"/>
        <w:gridCol w:w="1759"/>
        <w:gridCol w:w="1840"/>
        <w:gridCol w:w="3218"/>
        <w:gridCol w:w="1156"/>
      </w:tblGrid>
      <w:tr w14:paraId="6AA95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000" w:type="pct"/>
            <w:gridSpan w:val="6"/>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494F2B5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四川省人民医院供应商考核</w:t>
            </w:r>
          </w:p>
        </w:tc>
      </w:tr>
      <w:tr w14:paraId="5DC03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EE10AB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供应商</w:t>
            </w:r>
          </w:p>
        </w:tc>
        <w:tc>
          <w:tcPr>
            <w:tcW w:w="1823" w:type="pct"/>
            <w:gridSpan w:val="2"/>
            <w:tcBorders>
              <w:top w:val="nil"/>
              <w:left w:val="nil"/>
              <w:bottom w:val="single" w:color="auto" w:sz="6" w:space="0"/>
              <w:right w:val="single" w:color="auto" w:sz="6" w:space="0"/>
            </w:tcBorders>
            <w:shd w:val="clear" w:color="auto" w:fill="auto"/>
            <w:tcMar>
              <w:left w:w="105" w:type="dxa"/>
              <w:right w:w="105" w:type="dxa"/>
            </w:tcMar>
            <w:vAlign w:val="center"/>
          </w:tcPr>
          <w:p w14:paraId="001AACA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895" w:type="pct"/>
            <w:tcBorders>
              <w:top w:val="nil"/>
              <w:left w:val="nil"/>
              <w:bottom w:val="single" w:color="auto" w:sz="6" w:space="0"/>
              <w:right w:val="single" w:color="auto" w:sz="6" w:space="0"/>
            </w:tcBorders>
            <w:shd w:val="clear" w:color="auto" w:fill="auto"/>
            <w:tcMar>
              <w:left w:w="105" w:type="dxa"/>
              <w:right w:w="105" w:type="dxa"/>
            </w:tcMar>
            <w:vAlign w:val="center"/>
          </w:tcPr>
          <w:p w14:paraId="43E4C15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合同名</w:t>
            </w:r>
          </w:p>
        </w:tc>
        <w:tc>
          <w:tcPr>
            <w:tcW w:w="2120" w:type="pct"/>
            <w:gridSpan w:val="2"/>
            <w:tcBorders>
              <w:top w:val="nil"/>
              <w:left w:val="nil"/>
              <w:bottom w:val="single" w:color="auto" w:sz="6" w:space="0"/>
              <w:right w:val="single" w:color="auto" w:sz="6" w:space="0"/>
            </w:tcBorders>
            <w:shd w:val="clear" w:color="auto" w:fill="auto"/>
            <w:tcMar>
              <w:left w:w="105" w:type="dxa"/>
              <w:right w:w="105" w:type="dxa"/>
            </w:tcMar>
            <w:vAlign w:val="top"/>
          </w:tcPr>
          <w:p w14:paraId="4C5E4A1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63BB2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032F54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指标类别</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1167A94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指标</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F2E29C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考核内容</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69DB4EF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扣分</w:t>
            </w:r>
          </w:p>
        </w:tc>
      </w:tr>
      <w:tr w14:paraId="10548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F6D64A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性能质</w:t>
            </w:r>
          </w:p>
          <w:p w14:paraId="5208080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量评价</w:t>
            </w:r>
          </w:p>
          <w:p w14:paraId="342BC00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 </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28205DB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稳定性</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2B177E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4407439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0D5EB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B050002">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1416D6A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安全性</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280F4C0A">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4DB2376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374FF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7F0D3BC">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46B2710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用户满意度</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5D81AF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666965B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20515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60" w:type="pct"/>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FBAE1E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使用支</w:t>
            </w:r>
          </w:p>
          <w:p w14:paraId="14689AA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持评价</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35D63AFC">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考勤</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C3B808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1EE3730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53823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1695B0F">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5CCB297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响应速度</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2C4CE0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25CDCE5C">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1EEB1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E1E9955">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02EF9EE4">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备件供应</w:t>
            </w:r>
          </w:p>
          <w:p w14:paraId="3411AAC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color w:val="000000"/>
                <w:sz w:val="24"/>
                <w:szCs w:val="24"/>
              </w:rPr>
              <w:t>(本项仅涉</w:t>
            </w:r>
          </w:p>
          <w:p w14:paraId="6764E09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292DFF2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53F028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38374CC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09054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A38D3B7">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1F134BA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定期巡检</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B811743">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2571CAE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3EBA2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F426214">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048CA70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培训服务</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3C43F2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612DA17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1D91A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021FFD1">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619669BB">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技术文档</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19383C7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top"/>
          </w:tcPr>
          <w:p w14:paraId="187A94D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01CCF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70" w:hRule="atLeast"/>
        </w:trPr>
        <w:tc>
          <w:tcPr>
            <w:tcW w:w="160" w:type="pct"/>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EC2A66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违规违</w:t>
            </w:r>
          </w:p>
          <w:p w14:paraId="5D487A1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纪评价</w:t>
            </w: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0B9E034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廉洁从业</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3BA8EC1">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Style w:val="17"/>
                <w:rFonts w:hint="eastAsia" w:ascii="仿宋" w:hAnsi="仿宋" w:eastAsia="仿宋" w:cs="仿宋"/>
                <w:sz w:val="24"/>
                <w:szCs w:val="24"/>
              </w:rPr>
              <w:t>违反行业廉洁要求或违法违纪行为，一旦查实，一票否决</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0120DA16">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一票否决</w:t>
            </w:r>
          </w:p>
        </w:tc>
      </w:tr>
      <w:tr w14:paraId="183AE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889BD69">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266D402F">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安全规范</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522C6E7">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3EBFBEE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22B19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795DCDD">
            <w:pPr>
              <w:pageBreakBefore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p>
        </w:tc>
        <w:tc>
          <w:tcPr>
            <w:tcW w:w="967" w:type="pct"/>
            <w:tcBorders>
              <w:top w:val="nil"/>
              <w:left w:val="nil"/>
              <w:bottom w:val="single" w:color="auto" w:sz="6" w:space="0"/>
              <w:right w:val="single" w:color="auto" w:sz="6" w:space="0"/>
            </w:tcBorders>
            <w:shd w:val="clear" w:color="auto" w:fill="auto"/>
            <w:tcMar>
              <w:left w:w="105" w:type="dxa"/>
              <w:right w:w="105" w:type="dxa"/>
            </w:tcMar>
            <w:vAlign w:val="center"/>
          </w:tcPr>
          <w:p w14:paraId="574DBE3D">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color w:val="000000"/>
                <w:sz w:val="24"/>
                <w:szCs w:val="24"/>
              </w:rPr>
              <w:t>其他违纪违规</w:t>
            </w:r>
          </w:p>
        </w:tc>
        <w:tc>
          <w:tcPr>
            <w:tcW w:w="3307" w:type="pct"/>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08E507E">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564" w:type="pct"/>
            <w:tcBorders>
              <w:top w:val="nil"/>
              <w:left w:val="nil"/>
              <w:bottom w:val="single" w:color="auto" w:sz="6" w:space="0"/>
              <w:right w:val="single" w:color="auto" w:sz="6" w:space="0"/>
            </w:tcBorders>
            <w:shd w:val="clear" w:color="auto" w:fill="auto"/>
            <w:tcMar>
              <w:left w:w="105" w:type="dxa"/>
              <w:right w:w="105" w:type="dxa"/>
            </w:tcMar>
            <w:vAlign w:val="center"/>
          </w:tcPr>
          <w:p w14:paraId="338C018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602CA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05A659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扣分合计</w:t>
            </w:r>
          </w:p>
        </w:tc>
        <w:tc>
          <w:tcPr>
            <w:tcW w:w="4839" w:type="pct"/>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288C07F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r w14:paraId="74D1F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160" w:type="pc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2E7CC6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rPr>
                <w:rFonts w:hint="eastAsia" w:ascii="仿宋" w:hAnsi="仿宋" w:eastAsia="仿宋" w:cs="仿宋"/>
                <w:sz w:val="24"/>
                <w:szCs w:val="24"/>
              </w:rPr>
            </w:pPr>
            <w:r>
              <w:rPr>
                <w:rStyle w:val="17"/>
                <w:rFonts w:hint="eastAsia" w:ascii="仿宋" w:hAnsi="仿宋" w:eastAsia="仿宋" w:cs="仿宋"/>
                <w:sz w:val="24"/>
                <w:szCs w:val="24"/>
              </w:rPr>
              <w:t>考核人</w:t>
            </w:r>
          </w:p>
        </w:tc>
        <w:tc>
          <w:tcPr>
            <w:tcW w:w="4839" w:type="pct"/>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13B48C78">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color w:val="000000"/>
                <w:sz w:val="24"/>
                <w:szCs w:val="24"/>
              </w:rPr>
              <w:t> </w:t>
            </w:r>
          </w:p>
          <w:p w14:paraId="0CF27E42">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Pr>
                <w:rFonts w:hint="eastAsia" w:ascii="仿宋" w:hAnsi="仿宋" w:eastAsia="仿宋" w:cs="仿宋"/>
                <w:sz w:val="24"/>
                <w:szCs w:val="24"/>
              </w:rPr>
            </w:pPr>
            <w:r>
              <w:rPr>
                <w:rFonts w:hint="eastAsia" w:ascii="仿宋" w:hAnsi="仿宋" w:eastAsia="仿宋" w:cs="仿宋"/>
                <w:color w:val="000000"/>
                <w:sz w:val="24"/>
                <w:szCs w:val="24"/>
              </w:rPr>
              <w:t>                                                                 年    月    日</w:t>
            </w:r>
          </w:p>
        </w:tc>
      </w:tr>
      <w:tr w14:paraId="0F28D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rPr>
        <w:tc>
          <w:tcPr>
            <w:tcW w:w="160" w:type="pct"/>
            <w:tcBorders>
              <w:top w:val="nil"/>
              <w:left w:val="nil"/>
              <w:bottom w:val="nil"/>
              <w:right w:val="nil"/>
            </w:tcBorders>
            <w:shd w:val="clear" w:color="auto" w:fill="auto"/>
            <w:vAlign w:val="center"/>
          </w:tcPr>
          <w:p w14:paraId="321EEA2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967" w:type="pct"/>
            <w:tcBorders>
              <w:top w:val="nil"/>
              <w:left w:val="nil"/>
              <w:bottom w:val="nil"/>
              <w:right w:val="nil"/>
            </w:tcBorders>
            <w:shd w:val="clear" w:color="auto" w:fill="auto"/>
            <w:vAlign w:val="center"/>
          </w:tcPr>
          <w:p w14:paraId="61C16828">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856" w:type="pct"/>
            <w:tcBorders>
              <w:top w:val="nil"/>
              <w:left w:val="nil"/>
              <w:bottom w:val="nil"/>
              <w:right w:val="nil"/>
            </w:tcBorders>
            <w:shd w:val="clear" w:color="auto" w:fill="auto"/>
            <w:vAlign w:val="center"/>
          </w:tcPr>
          <w:p w14:paraId="607D4A2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895" w:type="pct"/>
            <w:tcBorders>
              <w:top w:val="nil"/>
              <w:left w:val="nil"/>
              <w:bottom w:val="nil"/>
              <w:right w:val="nil"/>
            </w:tcBorders>
            <w:shd w:val="clear" w:color="auto" w:fill="auto"/>
            <w:vAlign w:val="center"/>
          </w:tcPr>
          <w:p w14:paraId="1676953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1555" w:type="pct"/>
            <w:tcBorders>
              <w:top w:val="nil"/>
              <w:left w:val="nil"/>
              <w:bottom w:val="nil"/>
              <w:right w:val="nil"/>
            </w:tcBorders>
            <w:shd w:val="clear" w:color="auto" w:fill="auto"/>
            <w:vAlign w:val="center"/>
          </w:tcPr>
          <w:p w14:paraId="37867787">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c>
          <w:tcPr>
            <w:tcW w:w="564" w:type="pct"/>
            <w:tcBorders>
              <w:top w:val="nil"/>
              <w:left w:val="nil"/>
              <w:bottom w:val="nil"/>
              <w:right w:val="nil"/>
            </w:tcBorders>
            <w:shd w:val="clear" w:color="auto" w:fill="auto"/>
            <w:vAlign w:val="center"/>
          </w:tcPr>
          <w:p w14:paraId="07E3478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p>
        </w:tc>
      </w:tr>
    </w:tbl>
    <w:p w14:paraId="742CB8E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left"/>
        <w:rPr>
          <w:rFonts w:hint="eastAsia" w:ascii="仿宋" w:hAnsi="仿宋" w:eastAsia="仿宋" w:cs="仿宋"/>
          <w:sz w:val="24"/>
          <w:szCs w:val="24"/>
        </w:rPr>
      </w:pPr>
      <w:r>
        <w:rPr>
          <w:rStyle w:val="17"/>
          <w:rFonts w:hint="eastAsia" w:ascii="仿宋" w:hAnsi="仿宋" w:eastAsia="仿宋" w:cs="仿宋"/>
          <w:color w:val="000000"/>
          <w:kern w:val="2"/>
          <w:sz w:val="24"/>
          <w:szCs w:val="24"/>
        </w:rPr>
        <w:t>备注：</w:t>
      </w:r>
    </w:p>
    <w:p w14:paraId="2DFD03DA">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jc w:val="left"/>
        <w:rPr>
          <w:rFonts w:hint="eastAsia" w:ascii="仿宋" w:hAnsi="仿宋" w:eastAsia="仿宋" w:cs="仿宋"/>
          <w:sz w:val="24"/>
          <w:szCs w:val="24"/>
        </w:rPr>
      </w:pPr>
      <w:r>
        <w:rPr>
          <w:rFonts w:hint="eastAsia" w:ascii="仿宋" w:hAnsi="仿宋" w:eastAsia="仿宋" w:cs="仿宋"/>
          <w:color w:val="000000"/>
          <w:kern w:val="2"/>
          <w:sz w:val="24"/>
          <w:szCs w:val="24"/>
        </w:rPr>
        <w:t>1.服务期内，采购人可按照本项目采购需求内容对应的考核指标对供应商进行考核，具体指标以采购人要求为准；</w:t>
      </w:r>
    </w:p>
    <w:p w14:paraId="3B03CF69">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jc w:val="left"/>
        <w:rPr>
          <w:rFonts w:hint="eastAsia" w:ascii="仿宋" w:hAnsi="仿宋" w:eastAsia="仿宋" w:cs="仿宋"/>
          <w:sz w:val="24"/>
          <w:szCs w:val="24"/>
        </w:rPr>
      </w:pPr>
      <w:r>
        <w:rPr>
          <w:rFonts w:hint="eastAsia" w:ascii="仿宋" w:hAnsi="仿宋" w:eastAsia="仿宋" w:cs="仿宋"/>
          <w:color w:val="000000"/>
          <w:kern w:val="2"/>
          <w:sz w:val="24"/>
          <w:szCs w:val="24"/>
        </w:rPr>
        <w:t>2.考核关联最终付款金额，具体计算规则如下：</w:t>
      </w:r>
    </w:p>
    <w:p w14:paraId="0C5A581A">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Style w:val="17"/>
          <w:rFonts w:hint="eastAsia" w:ascii="仿宋" w:hAnsi="仿宋" w:eastAsia="仿宋" w:cs="仿宋"/>
          <w:b w:val="0"/>
          <w:bCs/>
          <w:color w:val="000000"/>
          <w:kern w:val="2"/>
          <w:sz w:val="24"/>
          <w:szCs w:val="24"/>
          <w:lang w:val="en-US" w:eastAsia="zh-CN"/>
        </w:rPr>
        <w:t>1）</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=服务期汇总考核扣分之和÷服务期内考核次数</w:t>
      </w:r>
    </w:p>
    <w:p w14:paraId="03B729D9">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Fonts w:hint="eastAsia" w:ascii="仿宋" w:hAnsi="仿宋" w:eastAsia="仿宋" w:cs="仿宋"/>
          <w:color w:val="000000"/>
          <w:kern w:val="2"/>
          <w:sz w:val="24"/>
          <w:szCs w:val="24"/>
        </w:rPr>
        <w:t>2）0分&lt;</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≤3分，将对供应商进行诫勉谈话；</w:t>
      </w:r>
    </w:p>
    <w:p w14:paraId="651D2963">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Fonts w:hint="eastAsia" w:ascii="仿宋" w:hAnsi="仿宋" w:eastAsia="仿宋" w:cs="仿宋"/>
          <w:color w:val="000000"/>
          <w:kern w:val="2"/>
          <w:sz w:val="24"/>
          <w:szCs w:val="24"/>
        </w:rPr>
        <w:t>3）3分&lt;</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≤5分，对供应商提出警告，</w:t>
      </w:r>
      <w:r>
        <w:rPr>
          <w:rFonts w:hint="eastAsia" w:ascii="仿宋" w:hAnsi="仿宋" w:eastAsia="仿宋" w:cs="仿宋"/>
          <w:kern w:val="2"/>
          <w:sz w:val="24"/>
          <w:szCs w:val="24"/>
          <w:u w:val="single"/>
        </w:rPr>
        <w:t>从合同待支付金额中或履约保证金中</w:t>
      </w:r>
      <w:r>
        <w:rPr>
          <w:rFonts w:hint="eastAsia" w:ascii="仿宋" w:hAnsi="仿宋" w:eastAsia="仿宋" w:cs="仿宋"/>
          <w:color w:val="000000"/>
          <w:kern w:val="2"/>
          <w:sz w:val="24"/>
          <w:szCs w:val="24"/>
        </w:rPr>
        <w:t>扣除合同</w:t>
      </w:r>
      <w:r>
        <w:rPr>
          <w:rFonts w:hint="eastAsia" w:ascii="仿宋" w:hAnsi="仿宋" w:eastAsia="仿宋" w:cs="仿宋"/>
          <w:color w:val="000000"/>
          <w:kern w:val="2"/>
          <w:sz w:val="24"/>
          <w:szCs w:val="24"/>
          <w:lang w:val="en-US" w:eastAsia="zh-CN"/>
        </w:rPr>
        <w:t>总</w:t>
      </w:r>
      <w:r>
        <w:rPr>
          <w:rFonts w:hint="eastAsia" w:ascii="仿宋" w:hAnsi="仿宋" w:eastAsia="仿宋" w:cs="仿宋"/>
          <w:color w:val="000000"/>
          <w:kern w:val="2"/>
          <w:sz w:val="24"/>
          <w:szCs w:val="24"/>
        </w:rPr>
        <w:t>金额5%费用，扣完为止；</w:t>
      </w:r>
    </w:p>
    <w:p w14:paraId="4C7ABEB8">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Fonts w:hint="eastAsia" w:ascii="仿宋" w:hAnsi="仿宋" w:eastAsia="仿宋" w:cs="仿宋"/>
          <w:color w:val="000000"/>
          <w:kern w:val="2"/>
          <w:sz w:val="24"/>
          <w:szCs w:val="24"/>
        </w:rPr>
        <w:t>4）5分&lt;</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≤10分，对供应商提出严重警告，</w:t>
      </w:r>
      <w:r>
        <w:rPr>
          <w:rFonts w:hint="eastAsia" w:ascii="仿宋" w:hAnsi="仿宋" w:eastAsia="仿宋" w:cs="仿宋"/>
          <w:kern w:val="2"/>
          <w:sz w:val="24"/>
          <w:szCs w:val="24"/>
          <w:u w:val="single"/>
        </w:rPr>
        <w:t>从合同待支付金额中或履约保证金中</w:t>
      </w:r>
      <w:r>
        <w:rPr>
          <w:rFonts w:hint="eastAsia" w:ascii="仿宋" w:hAnsi="仿宋" w:eastAsia="仿宋" w:cs="仿宋"/>
          <w:color w:val="000000"/>
          <w:kern w:val="2"/>
          <w:sz w:val="24"/>
          <w:szCs w:val="24"/>
        </w:rPr>
        <w:t>扣除合同</w:t>
      </w:r>
      <w:r>
        <w:rPr>
          <w:rFonts w:hint="eastAsia" w:ascii="仿宋" w:hAnsi="仿宋" w:eastAsia="仿宋" w:cs="仿宋"/>
          <w:color w:val="000000"/>
          <w:kern w:val="2"/>
          <w:sz w:val="24"/>
          <w:szCs w:val="24"/>
          <w:lang w:val="en-US" w:eastAsia="zh-CN"/>
        </w:rPr>
        <w:t>总</w:t>
      </w:r>
      <w:r>
        <w:rPr>
          <w:rFonts w:hint="eastAsia" w:ascii="仿宋" w:hAnsi="仿宋" w:eastAsia="仿宋" w:cs="仿宋"/>
          <w:color w:val="000000"/>
          <w:kern w:val="2"/>
          <w:sz w:val="24"/>
          <w:szCs w:val="24"/>
        </w:rPr>
        <w:t>金额10%费用，扣完为止；</w:t>
      </w:r>
    </w:p>
    <w:p w14:paraId="76FC2A5B">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0"/>
        <w:jc w:val="left"/>
        <w:rPr>
          <w:rFonts w:hint="eastAsia" w:ascii="仿宋" w:hAnsi="仿宋" w:eastAsia="仿宋" w:cs="仿宋"/>
          <w:sz w:val="24"/>
          <w:szCs w:val="24"/>
        </w:rPr>
      </w:pPr>
      <w:r>
        <w:rPr>
          <w:rFonts w:hint="eastAsia" w:ascii="仿宋" w:hAnsi="仿宋" w:eastAsia="仿宋" w:cs="仿宋"/>
          <w:color w:val="000000"/>
          <w:kern w:val="2"/>
          <w:sz w:val="24"/>
          <w:szCs w:val="24"/>
          <w:lang w:val="en-US" w:eastAsia="zh-CN"/>
        </w:rPr>
        <w:t>5</w:t>
      </w:r>
      <w:r>
        <w:rPr>
          <w:rFonts w:hint="eastAsia" w:ascii="仿宋" w:hAnsi="仿宋" w:eastAsia="仿宋" w:cs="仿宋"/>
          <w:color w:val="000000"/>
          <w:kern w:val="2"/>
          <w:sz w:val="24"/>
          <w:szCs w:val="24"/>
        </w:rPr>
        <w:t>）10分&lt;</w:t>
      </w:r>
      <w:r>
        <w:rPr>
          <w:rStyle w:val="17"/>
          <w:rFonts w:hint="eastAsia" w:ascii="仿宋" w:hAnsi="仿宋" w:eastAsia="仿宋" w:cs="仿宋"/>
          <w:color w:val="000000"/>
          <w:kern w:val="2"/>
          <w:sz w:val="24"/>
          <w:szCs w:val="24"/>
        </w:rPr>
        <w:t>平均扣分</w:t>
      </w:r>
      <w:r>
        <w:rPr>
          <w:rFonts w:hint="eastAsia" w:ascii="仿宋" w:hAnsi="仿宋" w:eastAsia="仿宋" w:cs="仿宋"/>
          <w:color w:val="000000"/>
          <w:kern w:val="2"/>
          <w:sz w:val="24"/>
          <w:szCs w:val="24"/>
        </w:rPr>
        <w:t>，视为</w:t>
      </w:r>
      <w:r>
        <w:rPr>
          <w:rStyle w:val="17"/>
          <w:rFonts w:hint="eastAsia" w:ascii="仿宋" w:hAnsi="仿宋" w:eastAsia="仿宋" w:cs="仿宋"/>
          <w:color w:val="000000"/>
          <w:kern w:val="2"/>
          <w:sz w:val="24"/>
          <w:szCs w:val="24"/>
        </w:rPr>
        <w:t>不合格</w:t>
      </w:r>
      <w:r>
        <w:rPr>
          <w:rFonts w:hint="eastAsia" w:ascii="仿宋" w:hAnsi="仿宋" w:eastAsia="仿宋" w:cs="仿宋"/>
          <w:color w:val="000000"/>
          <w:kern w:val="2"/>
          <w:sz w:val="24"/>
          <w:szCs w:val="24"/>
        </w:rPr>
        <w:t>，终止合同，合同待支付金额</w:t>
      </w:r>
      <w:r>
        <w:rPr>
          <w:rFonts w:hint="eastAsia" w:ascii="仿宋" w:hAnsi="仿宋" w:eastAsia="仿宋" w:cs="仿宋"/>
          <w:color w:val="000000"/>
          <w:kern w:val="2"/>
          <w:sz w:val="24"/>
          <w:szCs w:val="24"/>
          <w:lang w:val="en-US" w:eastAsia="zh-CN"/>
        </w:rPr>
        <w:t>不予支付，</w:t>
      </w:r>
      <w:r>
        <w:rPr>
          <w:rFonts w:hint="eastAsia" w:ascii="仿宋" w:hAnsi="仿宋" w:eastAsia="仿宋" w:cs="仿宋"/>
          <w:color w:val="000000"/>
          <w:kern w:val="2"/>
          <w:sz w:val="24"/>
          <w:szCs w:val="24"/>
        </w:rPr>
        <w:t>履约保证金（如有履约保证金）不予退还；</w:t>
      </w:r>
    </w:p>
    <w:p w14:paraId="64EDF135">
      <w:pPr>
        <w:pStyle w:val="13"/>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jc w:val="left"/>
        <w:rPr>
          <w:rFonts w:hint="eastAsia" w:ascii="仿宋" w:hAnsi="仿宋" w:eastAsia="仿宋" w:cs="仿宋"/>
          <w:sz w:val="24"/>
          <w:szCs w:val="24"/>
        </w:rPr>
      </w:pPr>
      <w:r>
        <w:rPr>
          <w:rFonts w:hint="eastAsia" w:ascii="仿宋" w:hAnsi="仿宋" w:eastAsia="仿宋" w:cs="仿宋"/>
          <w:color w:val="000000"/>
          <w:kern w:val="2"/>
          <w:sz w:val="24"/>
          <w:szCs w:val="24"/>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3AAD3C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000000"/>
          <w:kern w:val="2"/>
          <w:sz w:val="24"/>
          <w:szCs w:val="24"/>
        </w:rPr>
      </w:pPr>
      <w:r>
        <w:rPr>
          <w:rFonts w:hint="eastAsia" w:ascii="仿宋" w:hAnsi="仿宋" w:eastAsia="仿宋" w:cs="仿宋"/>
          <w:kern w:val="2"/>
          <w:sz w:val="24"/>
          <w:szCs w:val="24"/>
        </w:rPr>
        <w:t>4.</w:t>
      </w:r>
      <w:r>
        <w:rPr>
          <w:rFonts w:hint="eastAsia" w:ascii="仿宋" w:hAnsi="仿宋" w:eastAsia="仿宋" w:cs="仿宋"/>
          <w:color w:val="000000"/>
          <w:kern w:val="2"/>
          <w:sz w:val="24"/>
          <w:szCs w:val="24"/>
        </w:rPr>
        <w:t>本考核指标最终解释权归四川省医学科学院·四川省人民医院。</w:t>
      </w: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r>
        <w:rPr>
          <w:rFonts w:hint="default"/>
          <w:color w:val="auto"/>
          <w:highlight w:val="none"/>
          <w:lang w:val="zh-TW"/>
        </w:rPr>
        <w:br w:type="page"/>
      </w:r>
    </w:p>
    <w:p w14:paraId="13278513">
      <w:pPr>
        <w:rPr>
          <w:rFonts w:hint="default"/>
          <w:color w:val="auto"/>
          <w:highlight w:val="none"/>
          <w:lang w:val="zh-TW"/>
        </w:rPr>
      </w:pPr>
    </w:p>
    <w:p w14:paraId="676F9ACB">
      <w:pPr>
        <w:pStyle w:val="2"/>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9428"/>
      <w:bookmarkStart w:id="11" w:name="_Toc19851"/>
      <w:bookmarkStart w:id="12" w:name="_Toc30609"/>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32352"/>
      <w:bookmarkStart w:id="14" w:name="_Toc9041"/>
      <w:bookmarkStart w:id="15" w:name="_Toc1544"/>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18" w:name="_Toc24859"/>
      <w:bookmarkStart w:id="19" w:name="_Toc32749"/>
      <w:bookmarkStart w:id="20" w:name="_Toc17163"/>
      <w:bookmarkStart w:id="21" w:name="_Toc1690"/>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27135"/>
      <w:bookmarkStart w:id="23" w:name="_Toc27526"/>
      <w:bookmarkStart w:id="24" w:name="_Toc2989"/>
      <w:bookmarkStart w:id="25" w:name="_Toc599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26" w:name="_Toc2031"/>
      <w:bookmarkStart w:id="27" w:name="_Toc5056"/>
      <w:bookmarkStart w:id="28" w:name="_Toc7233"/>
      <w:bookmarkStart w:id="29" w:name="_Toc19987"/>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法定代表人：       （签名）</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339"/>
        <w:gridCol w:w="5025"/>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8"/>
        <w:gridCol w:w="1095"/>
        <w:gridCol w:w="2764"/>
        <w:gridCol w:w="944"/>
        <w:gridCol w:w="1109"/>
        <w:gridCol w:w="1309"/>
        <w:gridCol w:w="1101"/>
        <w:gridCol w:w="1496"/>
      </w:tblGrid>
      <w:tr w14:paraId="2F15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287" w:type="pct"/>
            <w:vAlign w:val="center"/>
          </w:tcPr>
          <w:p w14:paraId="2E296EC2">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525" w:type="pct"/>
            <w:vAlign w:val="center"/>
          </w:tcPr>
          <w:p w14:paraId="0B4A421F">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lang w:val="en-US" w:eastAsia="zh-CN"/>
              </w:rPr>
            </w:pPr>
            <w:r>
              <w:rPr>
                <w:rStyle w:val="47"/>
                <w:rFonts w:hint="eastAsia" w:ascii="宋体" w:hAnsi="宋体" w:eastAsia="宋体" w:cs="宋体"/>
                <w:b/>
                <w:bCs w:val="0"/>
                <w:sz w:val="24"/>
                <w:szCs w:val="24"/>
              </w:rPr>
              <w:t>品名</w:t>
            </w:r>
          </w:p>
        </w:tc>
        <w:tc>
          <w:tcPr>
            <w:tcW w:w="1326" w:type="pct"/>
            <w:vAlign w:val="center"/>
          </w:tcPr>
          <w:p w14:paraId="29144366">
            <w:pPr>
              <w:pStyle w:val="13"/>
              <w:keepNext w:val="0"/>
              <w:keepLines w:val="0"/>
              <w:widowControl/>
              <w:suppressLineNumbers w:val="0"/>
              <w:spacing w:line="240" w:lineRule="auto"/>
              <w:ind w:left="0" w:leftChars="0" w:right="0" w:rightChars="0"/>
              <w:jc w:val="center"/>
              <w:rPr>
                <w:rFonts w:hint="eastAsia" w:ascii="宋体" w:hAnsi="宋体" w:eastAsia="宋体" w:cs="宋体"/>
                <w:b/>
                <w:bCs/>
                <w:color w:val="auto"/>
                <w:sz w:val="24"/>
                <w:szCs w:val="24"/>
                <w:highlight w:val="none"/>
              </w:rPr>
            </w:pPr>
            <w:r>
              <w:rPr>
                <w:rStyle w:val="17"/>
                <w:rFonts w:hint="eastAsia" w:ascii="宋体" w:hAnsi="宋体" w:eastAsia="宋体" w:cs="宋体"/>
                <w:b/>
                <w:bCs/>
                <w:sz w:val="24"/>
                <w:szCs w:val="24"/>
              </w:rPr>
              <w:t>详细描述</w:t>
            </w:r>
          </w:p>
        </w:tc>
        <w:tc>
          <w:tcPr>
            <w:tcW w:w="453" w:type="pct"/>
            <w:vAlign w:val="center"/>
          </w:tcPr>
          <w:p w14:paraId="53F00214">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数量</w:t>
            </w:r>
          </w:p>
        </w:tc>
        <w:tc>
          <w:tcPr>
            <w:tcW w:w="532" w:type="pct"/>
            <w:vAlign w:val="center"/>
          </w:tcPr>
          <w:p w14:paraId="63AEC50D">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单位</w:t>
            </w:r>
          </w:p>
        </w:tc>
        <w:tc>
          <w:tcPr>
            <w:tcW w:w="628" w:type="pct"/>
            <w:vAlign w:val="center"/>
          </w:tcPr>
          <w:p w14:paraId="425DEF37">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报价</w:t>
            </w:r>
            <w:r>
              <w:rPr>
                <w:rStyle w:val="47"/>
                <w:rFonts w:hint="eastAsia" w:ascii="宋体" w:hAnsi="宋体" w:eastAsia="宋体" w:cs="宋体"/>
                <w:b/>
                <w:bCs w:val="0"/>
                <w:sz w:val="24"/>
                <w:szCs w:val="24"/>
              </w:rPr>
              <w:t>（元）</w:t>
            </w:r>
          </w:p>
        </w:tc>
        <w:tc>
          <w:tcPr>
            <w:tcW w:w="528" w:type="pct"/>
            <w:vAlign w:val="center"/>
          </w:tcPr>
          <w:p w14:paraId="34003D31">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服务期</w:t>
            </w:r>
          </w:p>
        </w:tc>
        <w:tc>
          <w:tcPr>
            <w:tcW w:w="717" w:type="pct"/>
            <w:vAlign w:val="center"/>
          </w:tcPr>
          <w:p w14:paraId="2896F854">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其它与报价相关并需要说明的内容</w:t>
            </w:r>
          </w:p>
        </w:tc>
      </w:tr>
      <w:tr w14:paraId="2947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287" w:type="pct"/>
            <w:vAlign w:val="center"/>
          </w:tcPr>
          <w:p w14:paraId="0127BD89">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525" w:type="pct"/>
            <w:vAlign w:val="center"/>
          </w:tcPr>
          <w:p w14:paraId="1E8FD720">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jc w:val="center"/>
              <w:rPr>
                <w:rStyle w:val="47"/>
                <w:rFonts w:hint="eastAsia" w:ascii="宋体" w:hAnsi="宋体" w:eastAsia="宋体" w:cs="宋体"/>
                <w:b/>
                <w:bCs/>
                <w:color w:val="auto"/>
                <w:sz w:val="24"/>
                <w:szCs w:val="24"/>
                <w:highlight w:val="none"/>
              </w:rPr>
            </w:pPr>
            <w:r>
              <w:rPr>
                <w:rFonts w:hint="eastAsia" w:ascii="宋体" w:hAnsi="宋体" w:eastAsia="宋体" w:cs="宋体"/>
                <w:b w:val="0"/>
                <w:bCs w:val="0"/>
                <w:sz w:val="24"/>
                <w:szCs w:val="24"/>
              </w:rPr>
              <w:t>GCP受控文件管理系统</w:t>
            </w:r>
          </w:p>
        </w:tc>
        <w:tc>
          <w:tcPr>
            <w:tcW w:w="1326" w:type="pct"/>
            <w:vAlign w:val="center"/>
          </w:tcPr>
          <w:p w14:paraId="7C6CAC2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jc w:val="both"/>
              <w:rPr>
                <w:rStyle w:val="47"/>
                <w:rFonts w:hint="eastAsia" w:ascii="宋体" w:hAnsi="宋体" w:eastAsia="宋体" w:cs="宋体"/>
                <w:b/>
                <w:bCs/>
                <w:color w:val="auto"/>
                <w:sz w:val="24"/>
                <w:szCs w:val="24"/>
                <w:highlight w:val="none"/>
              </w:rPr>
            </w:pPr>
            <w:r>
              <w:rPr>
                <w:rStyle w:val="17"/>
                <w:rFonts w:hint="eastAsia" w:ascii="宋体" w:hAnsi="宋体" w:eastAsia="宋体" w:cs="宋体"/>
                <w:b w:val="0"/>
                <w:bCs w:val="0"/>
                <w:color w:val="000000"/>
                <w:sz w:val="24"/>
                <w:szCs w:val="24"/>
              </w:rPr>
              <w:t>实现文件全生命周期的合规管控、数据防篡改与全程可追溯，确保试验符合法规、数据真实可靠、核查高效通过</w:t>
            </w:r>
            <w:r>
              <w:rPr>
                <w:rFonts w:hint="eastAsia" w:ascii="宋体" w:hAnsi="宋体" w:eastAsia="宋体" w:cs="宋体"/>
                <w:b w:val="0"/>
                <w:bCs w:val="0"/>
                <w:color w:val="000000"/>
                <w:sz w:val="24"/>
                <w:szCs w:val="24"/>
              </w:rPr>
              <w:t>。</w:t>
            </w:r>
          </w:p>
        </w:tc>
        <w:tc>
          <w:tcPr>
            <w:tcW w:w="453" w:type="pct"/>
            <w:vAlign w:val="center"/>
          </w:tcPr>
          <w:p w14:paraId="763DE279">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jc w:val="center"/>
              <w:rPr>
                <w:rStyle w:val="47"/>
                <w:rFonts w:hint="eastAsia" w:ascii="宋体" w:hAnsi="宋体" w:eastAsia="宋体" w:cs="宋体"/>
                <w:b/>
                <w:bCs/>
                <w:color w:val="auto"/>
                <w:sz w:val="24"/>
                <w:szCs w:val="24"/>
                <w:highlight w:val="none"/>
              </w:rPr>
            </w:pPr>
            <w:r>
              <w:rPr>
                <w:rFonts w:hint="eastAsia" w:ascii="宋体" w:hAnsi="宋体" w:eastAsia="宋体" w:cs="宋体"/>
                <w:b w:val="0"/>
                <w:bCs w:val="0"/>
                <w:sz w:val="24"/>
                <w:szCs w:val="24"/>
              </w:rPr>
              <w:t>1</w:t>
            </w:r>
          </w:p>
        </w:tc>
        <w:tc>
          <w:tcPr>
            <w:tcW w:w="532" w:type="pct"/>
            <w:vAlign w:val="center"/>
          </w:tcPr>
          <w:p w14:paraId="5807CE05">
            <w:pPr>
              <w:pStyle w:val="1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leftChars="0"/>
              <w:jc w:val="center"/>
              <w:rPr>
                <w:rFonts w:hint="eastAsia" w:ascii="宋体" w:hAnsi="宋体" w:eastAsia="宋体" w:cs="宋体"/>
                <w:b/>
                <w:bCs/>
                <w:color w:val="auto"/>
                <w:sz w:val="24"/>
                <w:szCs w:val="24"/>
                <w:highlight w:val="none"/>
              </w:rPr>
            </w:pPr>
            <w:r>
              <w:rPr>
                <w:rFonts w:hint="eastAsia" w:ascii="宋体" w:hAnsi="宋体" w:eastAsia="宋体" w:cs="宋体"/>
                <w:b w:val="0"/>
                <w:bCs w:val="0"/>
                <w:sz w:val="24"/>
                <w:szCs w:val="24"/>
              </w:rPr>
              <w:t>套</w:t>
            </w:r>
          </w:p>
        </w:tc>
        <w:tc>
          <w:tcPr>
            <w:tcW w:w="628" w:type="pct"/>
            <w:vAlign w:val="center"/>
          </w:tcPr>
          <w:p w14:paraId="2220C808">
            <w:pPr>
              <w:spacing w:line="240" w:lineRule="auto"/>
              <w:jc w:val="center"/>
              <w:rPr>
                <w:rFonts w:hint="eastAsia" w:ascii="宋体" w:hAnsi="宋体" w:eastAsia="宋体" w:cs="宋体"/>
                <w:b/>
                <w:bCs/>
                <w:color w:val="auto"/>
                <w:sz w:val="24"/>
                <w:szCs w:val="24"/>
                <w:highlight w:val="none"/>
              </w:rPr>
            </w:pPr>
          </w:p>
        </w:tc>
        <w:tc>
          <w:tcPr>
            <w:tcW w:w="528" w:type="pct"/>
            <w:vAlign w:val="center"/>
          </w:tcPr>
          <w:p w14:paraId="6EE23800">
            <w:pPr>
              <w:spacing w:line="240" w:lineRule="auto"/>
              <w:jc w:val="center"/>
              <w:rPr>
                <w:rFonts w:hint="eastAsia" w:ascii="宋体" w:hAnsi="宋体" w:eastAsia="宋体" w:cs="宋体"/>
                <w:b/>
                <w:bCs/>
                <w:color w:val="auto"/>
                <w:sz w:val="24"/>
                <w:szCs w:val="24"/>
                <w:highlight w:val="none"/>
              </w:rPr>
            </w:pPr>
          </w:p>
        </w:tc>
        <w:tc>
          <w:tcPr>
            <w:tcW w:w="717" w:type="pct"/>
            <w:vAlign w:val="center"/>
          </w:tcPr>
          <w:p w14:paraId="5D1F26BF">
            <w:pPr>
              <w:spacing w:line="240" w:lineRule="auto"/>
              <w:jc w:val="center"/>
              <w:rPr>
                <w:rFonts w:hint="eastAsia" w:ascii="宋体" w:hAnsi="宋体" w:eastAsia="宋体" w:cs="宋体"/>
                <w:b/>
                <w:bCs/>
                <w:color w:val="auto"/>
                <w:sz w:val="24"/>
                <w:szCs w:val="24"/>
                <w:highlight w:val="none"/>
              </w:rPr>
            </w:pPr>
          </w:p>
        </w:tc>
      </w:tr>
    </w:tbl>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ind w:firstLine="6300" w:firstLineChars="3000"/>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2"/>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124B3AAD">
      <w:pPr>
        <w:pStyle w:val="5"/>
        <w:jc w:val="center"/>
        <w:rPr>
          <w:rFonts w:hint="default" w:eastAsia="宋体"/>
          <w:color w:val="auto"/>
          <w:szCs w:val="20"/>
          <w:highlight w:val="none"/>
        </w:rPr>
      </w:pPr>
      <w:r>
        <w:rPr>
          <w:rFonts w:hint="default" w:ascii="Times New Roman" w:hAnsi="Times New Roman" w:eastAsia="宋体" w:cs="Times New Roman"/>
          <w:color w:val="auto"/>
          <w:sz w:val="32"/>
          <w:szCs w:val="32"/>
          <w:highlight w:val="none"/>
        </w:rPr>
        <w:t xml:space="preserve">  </w:t>
      </w:r>
    </w:p>
    <w:p w14:paraId="0651545E">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75ED55C0">
      <w:pPr>
        <w:contextualSpacing/>
        <w:rPr>
          <w:rFonts w:hint="eastAsia" w:ascii="Times New Roman" w:hAnsi="Times New Roman"/>
          <w:szCs w:val="21"/>
        </w:rPr>
      </w:pPr>
      <w:permStart w:id="0" w:edGrp="everyone"/>
    </w:p>
    <w:tbl>
      <w:tblPr>
        <w:tblStyle w:val="14"/>
        <w:tblW w:w="5000" w:type="pct"/>
        <w:jc w:val="center"/>
        <w:tblLayout w:type="autofit"/>
        <w:tblCellMar>
          <w:top w:w="0" w:type="dxa"/>
          <w:left w:w="0" w:type="dxa"/>
          <w:bottom w:w="0" w:type="dxa"/>
          <w:right w:w="0" w:type="dxa"/>
        </w:tblCellMar>
      </w:tblPr>
      <w:tblGrid>
        <w:gridCol w:w="4962"/>
        <w:gridCol w:w="5242"/>
      </w:tblGrid>
      <w:tr w14:paraId="7876E047">
        <w:trPr>
          <w:trHeight w:val="767" w:hRule="atLeast"/>
          <w:jc w:val="center"/>
        </w:trPr>
        <w:tc>
          <w:tcPr>
            <w:tcW w:w="10204" w:type="dxa"/>
            <w:gridSpan w:val="2"/>
            <w:noWrap w:val="0"/>
            <w:vAlign w:val="top"/>
          </w:tcPr>
          <w:p w14:paraId="5709002F">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hint="eastAsia" w:ascii="Times New Roman" w:hAnsi="Times New Roman"/>
                <w:color w:val="000000"/>
                <w:szCs w:val="21"/>
              </w:rPr>
              <w:t>CGZX</w:t>
            </w:r>
            <w:r>
              <w:rPr>
                <w:rFonts w:ascii="Times New Roman" w:hAnsi="Times New Roman"/>
                <w:color w:val="000000"/>
                <w:szCs w:val="21"/>
              </w:rPr>
              <w:t>-***</w:t>
            </w:r>
          </w:p>
          <w:p w14:paraId="31900BA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0560E10F">
        <w:tblPrEx>
          <w:tblCellMar>
            <w:top w:w="0" w:type="dxa"/>
            <w:left w:w="0" w:type="dxa"/>
            <w:bottom w:w="0" w:type="dxa"/>
            <w:right w:w="0" w:type="dxa"/>
          </w:tblCellMar>
        </w:tblPrEx>
        <w:trPr>
          <w:jc w:val="center"/>
        </w:trPr>
        <w:tc>
          <w:tcPr>
            <w:tcW w:w="4962" w:type="dxa"/>
            <w:noWrap w:val="0"/>
            <w:vAlign w:val="top"/>
          </w:tcPr>
          <w:p w14:paraId="3DBD21E5">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6EE3C5C3">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7324E7C6">
            <w:pPr>
              <w:rPr>
                <w:rFonts w:hint="eastAsia" w:ascii="Times New Roman" w:hAnsi="Times New Roman"/>
                <w:szCs w:val="21"/>
              </w:rPr>
            </w:pPr>
            <w:r>
              <w:rPr>
                <w:rFonts w:ascii="Times New Roman" w:hAnsi="Times New Roman"/>
                <w:b/>
                <w:bCs/>
                <w:szCs w:val="21"/>
              </w:rPr>
              <w:t>项目联系人</w:t>
            </w:r>
            <w:r>
              <w:rPr>
                <w:rFonts w:ascii="Times New Roman" w:hAnsi="Times New Roman"/>
                <w:szCs w:val="21"/>
              </w:rPr>
              <w:t xml:space="preserve">：*** </w:t>
            </w:r>
            <w:r>
              <w:rPr>
                <w:rFonts w:ascii="Times New Roman" w:hAnsi="Times New Roman"/>
                <w:b/>
                <w:bCs/>
                <w:szCs w:val="21"/>
              </w:rPr>
              <w:t>电话</w:t>
            </w:r>
            <w:r>
              <w:rPr>
                <w:rFonts w:ascii="Times New Roman" w:hAnsi="Times New Roman"/>
                <w:szCs w:val="21"/>
              </w:rPr>
              <w:t>：***</w:t>
            </w:r>
          </w:p>
        </w:tc>
        <w:tc>
          <w:tcPr>
            <w:tcW w:w="5242" w:type="dxa"/>
            <w:noWrap w:val="0"/>
            <w:vAlign w:val="top"/>
          </w:tcPr>
          <w:p w14:paraId="32658D2B">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93050EE">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4671B9DB">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6B847DF6">
            <w:pPr>
              <w:contextualSpacing/>
              <w:rPr>
                <w:rFonts w:hint="eastAsia" w:ascii="Times New Roman" w:hAnsi="Times New Roman"/>
                <w:szCs w:val="21"/>
              </w:rPr>
            </w:pPr>
            <w:r>
              <w:rPr>
                <w:rFonts w:ascii="Times New Roman" w:hAnsi="Times New Roman"/>
                <w:b/>
                <w:bCs/>
                <w:szCs w:val="21"/>
              </w:rPr>
              <w:t>联系人</w:t>
            </w:r>
            <w:r>
              <w:rPr>
                <w:rFonts w:ascii="Times New Roman" w:hAnsi="Times New Roman"/>
                <w:szCs w:val="21"/>
              </w:rPr>
              <w:t>：***</w:t>
            </w:r>
          </w:p>
        </w:tc>
      </w:tr>
      <w:permEnd w:id="0"/>
    </w:tbl>
    <w:p w14:paraId="233E1B1C">
      <w:pPr>
        <w:adjustRightInd w:val="0"/>
        <w:snapToGrid w:val="0"/>
        <w:spacing w:before="312" w:beforeLines="100" w:after="312" w:afterLines="100"/>
        <w:contextualSpacing/>
        <w:jc w:val="left"/>
        <w:rPr>
          <w:rFonts w:ascii="Times New Roman" w:hAnsi="Times New Roman"/>
          <w:color w:val="000000"/>
          <w:szCs w:val="21"/>
        </w:rPr>
      </w:pPr>
      <w:bookmarkStart w:id="35" w:name="OLE_LINK6"/>
      <w:bookmarkStart w:id="36" w:name="OLE_LINK5"/>
    </w:p>
    <w:p w14:paraId="77197666">
      <w:pPr>
        <w:adjustRightInd w:val="0"/>
        <w:snapToGrid w:val="0"/>
        <w:spacing w:before="312" w:beforeLines="100" w:after="312" w:afterLines="100"/>
        <w:ind w:firstLine="420" w:firstLineChars="200"/>
        <w:contextualSpacing/>
        <w:jc w:val="left"/>
        <w:rPr>
          <w:rFonts w:ascii="Times New Roman" w:hAnsi="Times New Roman"/>
          <w:b/>
          <w:szCs w:val="21"/>
        </w:rPr>
      </w:pPr>
      <w:r>
        <w:rPr>
          <w:rFonts w:ascii="Times New Roman" w:hAnsi="Times New Roman"/>
          <w:color w:val="000000"/>
          <w:szCs w:val="21"/>
        </w:rPr>
        <w:t>根据《中华人民共和国民法典》及甲方</w:t>
      </w:r>
      <w:r>
        <w:rPr>
          <w:rFonts w:hint="eastAsia" w:ascii="Times New Roman" w:hAnsi="Times New Roman"/>
          <w:color w:val="000000"/>
          <w:szCs w:val="21"/>
        </w:rPr>
        <w:t>发布</w:t>
      </w:r>
      <w:r>
        <w:rPr>
          <w:rFonts w:ascii="Times New Roman" w:hAnsi="Times New Roman"/>
          <w:color w:val="000000"/>
          <w:szCs w:val="21"/>
        </w:rPr>
        <w:t>的</w:t>
      </w:r>
      <w:r>
        <w:rPr>
          <w:rFonts w:hint="eastAsia" w:ascii="Times New Roman" w:hAnsi="Times New Roman"/>
          <w:color w:val="000000"/>
          <w:szCs w:val="21"/>
        </w:rPr>
        <w:t>*</w:t>
      </w:r>
      <w:r>
        <w:rPr>
          <w:rFonts w:ascii="Times New Roman" w:hAnsi="Times New Roman"/>
          <w:color w:val="000000"/>
          <w:szCs w:val="21"/>
        </w:rPr>
        <w:t>**项目（项目编号</w:t>
      </w:r>
      <w:permStart w:id="1" w:edGrp="everyone"/>
      <w:r>
        <w:rPr>
          <w:rFonts w:ascii="Times New Roman" w:hAnsi="Times New Roman"/>
          <w:color w:val="000000"/>
          <w:szCs w:val="21"/>
        </w:rPr>
        <w:t>：</w:t>
      </w:r>
      <w:r>
        <w:rPr>
          <w:rFonts w:ascii="Times New Roman" w:hAnsi="Times New Roman"/>
          <w:szCs w:val="21"/>
        </w:rPr>
        <w:t>***</w:t>
      </w:r>
      <w:permEnd w:id="1"/>
      <w:r>
        <w:rPr>
          <w:rFonts w:ascii="Times New Roman" w:hAnsi="Times New Roman"/>
          <w:color w:val="000000"/>
          <w:szCs w:val="21"/>
        </w:rPr>
        <w:t>）《采购文件》、乙方的《</w:t>
      </w:r>
      <w:r>
        <w:rPr>
          <w:rFonts w:hint="eastAsia" w:ascii="Times New Roman" w:hAnsi="Times New Roman"/>
          <w:color w:val="000000"/>
          <w:szCs w:val="21"/>
        </w:rPr>
        <w:t>响应</w:t>
      </w:r>
      <w:r>
        <w:rPr>
          <w:rFonts w:ascii="Times New Roman" w:hAnsi="Times New Roman"/>
          <w:color w:val="000000"/>
          <w:szCs w:val="21"/>
        </w:rPr>
        <w:t>文件》，甲、乙双方同意签订本合同。详细技术说明及其他有关合同项目的特定信息</w:t>
      </w:r>
      <w:r>
        <w:rPr>
          <w:rFonts w:hint="eastAsia" w:ascii="Times New Roman" w:hAnsi="Times New Roman"/>
          <w:color w:val="000000"/>
          <w:szCs w:val="21"/>
        </w:rPr>
        <w:t>可</w:t>
      </w:r>
      <w:r>
        <w:rPr>
          <w:rFonts w:ascii="Times New Roman" w:hAnsi="Times New Roman"/>
          <w:color w:val="000000"/>
          <w:szCs w:val="21"/>
        </w:rPr>
        <w:t>由合同附件予以说明，合同附件及本项目的《采购文件》、《</w:t>
      </w:r>
      <w:r>
        <w:rPr>
          <w:rFonts w:hint="eastAsia" w:ascii="Times New Roman" w:hAnsi="Times New Roman"/>
          <w:color w:val="000000"/>
          <w:szCs w:val="21"/>
        </w:rPr>
        <w:t>响应</w:t>
      </w:r>
      <w:r>
        <w:rPr>
          <w:rFonts w:ascii="Times New Roman" w:hAnsi="Times New Roman"/>
          <w:color w:val="000000"/>
          <w:szCs w:val="21"/>
        </w:rPr>
        <w:t>文件》等均为本合同不可分割的部分。双方同意共同遵守</w:t>
      </w:r>
      <w:r>
        <w:rPr>
          <w:rFonts w:hint="eastAsia" w:ascii="Times New Roman" w:hAnsi="Times New Roman"/>
          <w:color w:val="000000"/>
          <w:szCs w:val="21"/>
        </w:rPr>
        <w:t>以下</w:t>
      </w:r>
      <w:r>
        <w:rPr>
          <w:rFonts w:ascii="Times New Roman" w:hAnsi="Times New Roman"/>
          <w:color w:val="000000"/>
          <w:szCs w:val="21"/>
        </w:rPr>
        <w:t>条款：</w:t>
      </w:r>
    </w:p>
    <w:bookmarkEnd w:id="35"/>
    <w:bookmarkEnd w:id="36"/>
    <w:p w14:paraId="6AB08B27">
      <w:pPr>
        <w:ind w:firstLine="420" w:firstLineChars="200"/>
        <w:rPr>
          <w:rFonts w:ascii="Times New Roman" w:hAnsi="Times New Roman"/>
          <w:color w:val="000000"/>
          <w:szCs w:val="21"/>
        </w:rPr>
      </w:pPr>
    </w:p>
    <w:p w14:paraId="5EADB4A1">
      <w:pPr>
        <w:pStyle w:val="31"/>
        <w:numPr>
          <w:ilvl w:val="0"/>
          <w:numId w:val="17"/>
        </w:numPr>
        <w:snapToGrid w:val="0"/>
        <w:ind w:firstLineChars="0"/>
        <w:rPr>
          <w:rFonts w:ascii="Times New Roman" w:hAnsi="Times New Roman"/>
          <w:b/>
          <w:bCs/>
          <w:szCs w:val="21"/>
        </w:rPr>
      </w:pPr>
      <w:r>
        <w:rPr>
          <w:rFonts w:hint="eastAsia" w:ascii="Times New Roman" w:hAnsi="Times New Roman"/>
          <w:b/>
          <w:bCs/>
          <w:szCs w:val="21"/>
        </w:rPr>
        <w:t>开发项目</w:t>
      </w:r>
      <w:r>
        <w:rPr>
          <w:rFonts w:ascii="Times New Roman" w:hAnsi="Times New Roman"/>
          <w:b/>
          <w:bCs/>
          <w:szCs w:val="21"/>
        </w:rPr>
        <w:t>信息</w:t>
      </w:r>
    </w:p>
    <w:p w14:paraId="343EDE8F">
      <w:pPr>
        <w:pStyle w:val="31"/>
        <w:numPr>
          <w:ilvl w:val="0"/>
          <w:numId w:val="18"/>
        </w:numPr>
        <w:ind w:left="0" w:firstLine="0" w:firstLineChars="0"/>
        <w:contextualSpacing/>
        <w:rPr>
          <w:rFonts w:ascii="Times New Roman" w:hAnsi="Times New Roman"/>
          <w:color w:val="000000"/>
          <w:szCs w:val="21"/>
        </w:rPr>
      </w:pPr>
      <w:r>
        <w:rPr>
          <w:rFonts w:hint="eastAsia" w:ascii="Times New Roman" w:hAnsi="Times New Roman"/>
          <w:color w:val="000000"/>
          <w:szCs w:val="21"/>
        </w:rPr>
        <w:t>软件名称：*</w:t>
      </w:r>
      <w:r>
        <w:rPr>
          <w:rFonts w:ascii="Times New Roman" w:hAnsi="Times New Roman"/>
          <w:color w:val="000000"/>
          <w:szCs w:val="21"/>
        </w:rPr>
        <w:t>**</w:t>
      </w:r>
      <w:r>
        <w:rPr>
          <w:rFonts w:hint="eastAsia" w:ascii="Times New Roman" w:hAnsi="Times New Roman"/>
          <w:color w:val="000000"/>
          <w:szCs w:val="21"/>
        </w:rPr>
        <w:t>。</w:t>
      </w:r>
    </w:p>
    <w:p w14:paraId="35F44FFD">
      <w:pPr>
        <w:pStyle w:val="31"/>
        <w:numPr>
          <w:ilvl w:val="0"/>
          <w:numId w:val="18"/>
        </w:numPr>
        <w:ind w:left="0" w:firstLine="0" w:firstLineChars="0"/>
        <w:contextualSpacing/>
        <w:rPr>
          <w:rFonts w:hint="eastAsia" w:ascii="Times New Roman" w:hAnsi="Times New Roman"/>
          <w:color w:val="000000"/>
          <w:szCs w:val="21"/>
          <w:highlight w:val="none"/>
        </w:rPr>
      </w:pPr>
      <w:r>
        <w:rPr>
          <w:rFonts w:hint="eastAsia" w:ascii="Times New Roman" w:hAnsi="Times New Roman"/>
          <w:color w:val="000000"/>
          <w:szCs w:val="21"/>
        </w:rPr>
        <w:t>软件的主要功能</w:t>
      </w:r>
      <w:r>
        <w:rPr>
          <w:rFonts w:hint="eastAsia" w:ascii="Times New Roman" w:hAnsi="Times New Roman"/>
          <w:color w:val="000000"/>
          <w:szCs w:val="21"/>
          <w:highlight w:val="none"/>
        </w:rPr>
        <w:t>：</w:t>
      </w:r>
      <w:bookmarkStart w:id="37" w:name="OLE_LINK1"/>
      <w:r>
        <w:rPr>
          <w:rFonts w:hint="eastAsia" w:ascii="Times New Roman" w:hAnsi="Times New Roman"/>
          <w:color w:val="000000"/>
          <w:szCs w:val="21"/>
          <w:highlight w:val="none"/>
        </w:rPr>
        <w:t>*</w:t>
      </w:r>
      <w:r>
        <w:rPr>
          <w:rFonts w:ascii="Times New Roman" w:hAnsi="Times New Roman"/>
          <w:color w:val="000000"/>
          <w:szCs w:val="21"/>
          <w:highlight w:val="none"/>
        </w:rPr>
        <w:t>**</w:t>
      </w:r>
      <w:r>
        <w:rPr>
          <w:rFonts w:hint="eastAsia" w:ascii="Times New Roman" w:hAnsi="Times New Roman"/>
          <w:i/>
          <w:iCs/>
          <w:color w:val="000000"/>
          <w:szCs w:val="21"/>
          <w:highlight w:val="none"/>
        </w:rPr>
        <w:t>&lt;根据项目实际情况可附附件说明</w:t>
      </w:r>
      <w:bookmarkEnd w:id="37"/>
      <w:r>
        <w:rPr>
          <w:rFonts w:hint="eastAsia" w:ascii="Times New Roman" w:hAnsi="Times New Roman"/>
          <w:i/>
          <w:iCs/>
          <w:color w:val="000000"/>
          <w:szCs w:val="21"/>
          <w:highlight w:val="none"/>
        </w:rPr>
        <w:t>&gt;</w:t>
      </w:r>
    </w:p>
    <w:p w14:paraId="4D3500B7">
      <w:pPr>
        <w:pStyle w:val="31"/>
        <w:numPr>
          <w:ilvl w:val="0"/>
          <w:numId w:val="18"/>
        </w:numPr>
        <w:ind w:left="0" w:firstLine="0" w:firstLineChars="0"/>
        <w:contextualSpacing/>
        <w:rPr>
          <w:rFonts w:ascii="Times New Roman" w:hAnsi="Times New Roman"/>
          <w:color w:val="000000"/>
          <w:szCs w:val="21"/>
          <w:highlight w:val="none"/>
        </w:rPr>
      </w:pPr>
      <w:r>
        <w:rPr>
          <w:rFonts w:ascii="Times New Roman" w:hAnsi="Times New Roman"/>
          <w:szCs w:val="21"/>
          <w:highlight w:val="none"/>
        </w:rPr>
        <w:t>软件的</w:t>
      </w:r>
      <w:r>
        <w:rPr>
          <w:rFonts w:hint="eastAsia" w:ascii="Times New Roman" w:hAnsi="Times New Roman"/>
          <w:szCs w:val="21"/>
          <w:highlight w:val="none"/>
        </w:rPr>
        <w:t>设计</w:t>
      </w:r>
      <w:r>
        <w:rPr>
          <w:rFonts w:ascii="Times New Roman" w:hAnsi="Times New Roman"/>
          <w:szCs w:val="21"/>
          <w:highlight w:val="none"/>
        </w:rPr>
        <w:t>要求：</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i/>
          <w:iCs/>
          <w:color w:val="000000"/>
          <w:szCs w:val="21"/>
          <w:highlight w:val="none"/>
        </w:rPr>
        <w:t>&lt;根据项目实际情况可附附件说明&gt;</w:t>
      </w:r>
    </w:p>
    <w:p w14:paraId="07815D92">
      <w:pPr>
        <w:pStyle w:val="31"/>
        <w:numPr>
          <w:ilvl w:val="0"/>
          <w:numId w:val="18"/>
        </w:numPr>
        <w:ind w:left="0" w:firstLine="0" w:firstLineChars="0"/>
        <w:rPr>
          <w:rFonts w:ascii="Times New Roman" w:hAnsi="Times New Roman"/>
          <w:color w:val="000000"/>
          <w:szCs w:val="21"/>
          <w:highlight w:val="none"/>
        </w:rPr>
      </w:pPr>
      <w:r>
        <w:rPr>
          <w:rFonts w:hint="eastAsia" w:ascii="Times New Roman" w:hAnsi="Times New Roman"/>
          <w:color w:val="000000"/>
          <w:szCs w:val="21"/>
          <w:highlight w:val="none"/>
        </w:rPr>
        <w:t>分项明细：</w:t>
      </w:r>
      <w:r>
        <w:rPr>
          <w:rFonts w:hint="eastAsia" w:ascii="Times New Roman" w:hAnsi="Times New Roman"/>
          <w:i/>
          <w:iCs/>
          <w:color w:val="000000"/>
          <w:szCs w:val="21"/>
          <w:highlight w:val="none"/>
        </w:rPr>
        <w:t>&lt;根据项目实际情况调整&gt;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977"/>
        <w:gridCol w:w="3686"/>
        <w:gridCol w:w="963"/>
        <w:gridCol w:w="2016"/>
      </w:tblGrid>
      <w:tr w14:paraId="55D6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41211FF9">
            <w:pPr>
              <w:pStyle w:val="31"/>
              <w:ind w:firstLine="0" w:firstLineChars="0"/>
              <w:jc w:val="center"/>
              <w:rPr>
                <w:rFonts w:ascii="Times New Roman" w:hAnsi="Times New Roman"/>
                <w:color w:val="000000"/>
                <w:szCs w:val="21"/>
              </w:rPr>
            </w:pPr>
            <w:r>
              <w:rPr>
                <w:rFonts w:ascii="Times New Roman" w:hAnsi="Times New Roman"/>
                <w:color w:val="000000"/>
                <w:szCs w:val="21"/>
              </w:rPr>
              <w:t>序号</w:t>
            </w:r>
          </w:p>
        </w:tc>
        <w:tc>
          <w:tcPr>
            <w:tcW w:w="2977" w:type="dxa"/>
            <w:noWrap w:val="0"/>
            <w:vAlign w:val="center"/>
          </w:tcPr>
          <w:p w14:paraId="4D55EE54">
            <w:pPr>
              <w:pStyle w:val="31"/>
              <w:ind w:firstLine="0" w:firstLineChars="0"/>
              <w:jc w:val="center"/>
              <w:rPr>
                <w:rFonts w:ascii="Times New Roman" w:hAnsi="Times New Roman"/>
                <w:color w:val="000000"/>
                <w:szCs w:val="21"/>
              </w:rPr>
            </w:pPr>
            <w:r>
              <w:rPr>
                <w:rFonts w:ascii="Times New Roman" w:hAnsi="Times New Roman"/>
                <w:color w:val="000000"/>
                <w:szCs w:val="21"/>
              </w:rPr>
              <w:t>分项名称</w:t>
            </w:r>
          </w:p>
        </w:tc>
        <w:tc>
          <w:tcPr>
            <w:tcW w:w="3686" w:type="dxa"/>
            <w:noWrap w:val="0"/>
            <w:vAlign w:val="center"/>
          </w:tcPr>
          <w:p w14:paraId="1914CDCB">
            <w:pPr>
              <w:pStyle w:val="31"/>
              <w:ind w:firstLine="0" w:firstLineChars="0"/>
              <w:jc w:val="center"/>
              <w:rPr>
                <w:rFonts w:ascii="Times New Roman" w:hAnsi="Times New Roman"/>
                <w:color w:val="000000"/>
                <w:szCs w:val="21"/>
              </w:rPr>
            </w:pPr>
            <w:r>
              <w:rPr>
                <w:rFonts w:ascii="Times New Roman" w:hAnsi="Times New Roman"/>
                <w:color w:val="000000"/>
                <w:szCs w:val="21"/>
              </w:rPr>
              <w:t>具体内容</w:t>
            </w:r>
          </w:p>
        </w:tc>
        <w:tc>
          <w:tcPr>
            <w:tcW w:w="963" w:type="dxa"/>
            <w:noWrap w:val="0"/>
            <w:vAlign w:val="center"/>
          </w:tcPr>
          <w:p w14:paraId="681BADCD">
            <w:pPr>
              <w:pStyle w:val="31"/>
              <w:ind w:firstLine="0" w:firstLineChars="0"/>
              <w:jc w:val="center"/>
              <w:rPr>
                <w:rFonts w:ascii="Times New Roman" w:hAnsi="Times New Roman"/>
                <w:color w:val="000000"/>
                <w:szCs w:val="21"/>
              </w:rPr>
            </w:pPr>
            <w:r>
              <w:rPr>
                <w:rFonts w:ascii="Times New Roman" w:hAnsi="Times New Roman"/>
                <w:color w:val="000000"/>
                <w:szCs w:val="21"/>
              </w:rPr>
              <w:t>分项价格（万元）</w:t>
            </w:r>
          </w:p>
        </w:tc>
        <w:tc>
          <w:tcPr>
            <w:tcW w:w="2016" w:type="dxa"/>
            <w:noWrap w:val="0"/>
            <w:vAlign w:val="top"/>
          </w:tcPr>
          <w:p w14:paraId="7DF3405C">
            <w:pPr>
              <w:pStyle w:val="31"/>
              <w:ind w:firstLine="0" w:firstLineChars="0"/>
              <w:jc w:val="center"/>
              <w:rPr>
                <w:rFonts w:ascii="Times New Roman" w:hAnsi="Times New Roman"/>
                <w:color w:val="000000"/>
                <w:szCs w:val="21"/>
              </w:rPr>
            </w:pPr>
            <w:r>
              <w:rPr>
                <w:rFonts w:ascii="Times New Roman" w:hAnsi="Times New Roman"/>
                <w:color w:val="000000"/>
                <w:szCs w:val="21"/>
              </w:rPr>
              <w:t>备注</w:t>
            </w:r>
          </w:p>
        </w:tc>
      </w:tr>
      <w:tr w14:paraId="7A18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F55596F">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2977" w:type="dxa"/>
            <w:noWrap w:val="0"/>
            <w:vAlign w:val="center"/>
          </w:tcPr>
          <w:p w14:paraId="4C469446">
            <w:pPr>
              <w:pStyle w:val="31"/>
              <w:ind w:firstLine="0" w:firstLineChars="0"/>
              <w:rPr>
                <w:rFonts w:ascii="Times New Roman" w:hAnsi="Times New Roman"/>
                <w:color w:val="000000"/>
                <w:szCs w:val="21"/>
              </w:rPr>
            </w:pPr>
          </w:p>
        </w:tc>
        <w:tc>
          <w:tcPr>
            <w:tcW w:w="3686" w:type="dxa"/>
            <w:noWrap w:val="0"/>
            <w:vAlign w:val="center"/>
          </w:tcPr>
          <w:p w14:paraId="552D290B">
            <w:pPr>
              <w:pStyle w:val="31"/>
              <w:ind w:firstLine="0" w:firstLineChars="0"/>
              <w:rPr>
                <w:rFonts w:ascii="Times New Roman" w:hAnsi="Times New Roman"/>
                <w:color w:val="000000"/>
                <w:szCs w:val="21"/>
              </w:rPr>
            </w:pPr>
          </w:p>
        </w:tc>
        <w:tc>
          <w:tcPr>
            <w:tcW w:w="963" w:type="dxa"/>
            <w:noWrap w:val="0"/>
            <w:vAlign w:val="center"/>
          </w:tcPr>
          <w:p w14:paraId="5C4B7D09">
            <w:pPr>
              <w:pStyle w:val="31"/>
              <w:ind w:firstLine="0" w:firstLineChars="0"/>
              <w:jc w:val="center"/>
              <w:rPr>
                <w:rFonts w:ascii="Times New Roman" w:hAnsi="Times New Roman"/>
                <w:color w:val="000000"/>
                <w:szCs w:val="21"/>
              </w:rPr>
            </w:pPr>
          </w:p>
        </w:tc>
        <w:tc>
          <w:tcPr>
            <w:tcW w:w="2016" w:type="dxa"/>
            <w:noWrap w:val="0"/>
            <w:vAlign w:val="top"/>
          </w:tcPr>
          <w:p w14:paraId="1E32E03B">
            <w:pPr>
              <w:pStyle w:val="31"/>
              <w:ind w:firstLine="0" w:firstLineChars="0"/>
              <w:rPr>
                <w:rFonts w:ascii="Times New Roman" w:hAnsi="Times New Roman"/>
                <w:color w:val="000000"/>
                <w:szCs w:val="21"/>
              </w:rPr>
            </w:pPr>
          </w:p>
        </w:tc>
      </w:tr>
      <w:tr w14:paraId="1140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A906CAA">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2977" w:type="dxa"/>
            <w:noWrap w:val="0"/>
            <w:vAlign w:val="center"/>
          </w:tcPr>
          <w:p w14:paraId="43933CAD">
            <w:pPr>
              <w:pStyle w:val="31"/>
              <w:ind w:firstLine="0" w:firstLineChars="0"/>
              <w:rPr>
                <w:rFonts w:ascii="Times New Roman" w:hAnsi="Times New Roman"/>
                <w:color w:val="000000"/>
                <w:szCs w:val="21"/>
              </w:rPr>
            </w:pPr>
          </w:p>
        </w:tc>
        <w:tc>
          <w:tcPr>
            <w:tcW w:w="3686" w:type="dxa"/>
            <w:noWrap w:val="0"/>
            <w:vAlign w:val="center"/>
          </w:tcPr>
          <w:p w14:paraId="6C9BB61B">
            <w:pPr>
              <w:pStyle w:val="31"/>
              <w:ind w:firstLine="0" w:firstLineChars="0"/>
              <w:rPr>
                <w:rFonts w:ascii="Times New Roman" w:hAnsi="Times New Roman"/>
                <w:color w:val="000000"/>
                <w:szCs w:val="21"/>
              </w:rPr>
            </w:pPr>
          </w:p>
        </w:tc>
        <w:tc>
          <w:tcPr>
            <w:tcW w:w="963" w:type="dxa"/>
            <w:noWrap w:val="0"/>
            <w:vAlign w:val="center"/>
          </w:tcPr>
          <w:p w14:paraId="73E07E93">
            <w:pPr>
              <w:pStyle w:val="31"/>
              <w:ind w:firstLine="0" w:firstLineChars="0"/>
              <w:jc w:val="center"/>
              <w:rPr>
                <w:rFonts w:ascii="Times New Roman" w:hAnsi="Times New Roman"/>
                <w:color w:val="000000"/>
                <w:szCs w:val="21"/>
              </w:rPr>
            </w:pPr>
          </w:p>
        </w:tc>
        <w:tc>
          <w:tcPr>
            <w:tcW w:w="2016" w:type="dxa"/>
            <w:noWrap w:val="0"/>
            <w:vAlign w:val="top"/>
          </w:tcPr>
          <w:p w14:paraId="7FB4750E">
            <w:pPr>
              <w:pStyle w:val="31"/>
              <w:ind w:firstLine="0" w:firstLineChars="0"/>
              <w:rPr>
                <w:rFonts w:ascii="Times New Roman" w:hAnsi="Times New Roman"/>
                <w:color w:val="000000"/>
                <w:szCs w:val="21"/>
              </w:rPr>
            </w:pPr>
          </w:p>
        </w:tc>
      </w:tr>
      <w:tr w14:paraId="449B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91070FB">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2977" w:type="dxa"/>
            <w:noWrap w:val="0"/>
            <w:vAlign w:val="center"/>
          </w:tcPr>
          <w:p w14:paraId="06B0D743">
            <w:pPr>
              <w:pStyle w:val="31"/>
              <w:ind w:firstLine="0" w:firstLineChars="0"/>
              <w:rPr>
                <w:rFonts w:ascii="Times New Roman" w:hAnsi="Times New Roman"/>
                <w:color w:val="000000"/>
                <w:szCs w:val="21"/>
              </w:rPr>
            </w:pPr>
          </w:p>
        </w:tc>
        <w:tc>
          <w:tcPr>
            <w:tcW w:w="3686" w:type="dxa"/>
            <w:noWrap w:val="0"/>
            <w:vAlign w:val="center"/>
          </w:tcPr>
          <w:p w14:paraId="4AAC2D6A">
            <w:pPr>
              <w:pStyle w:val="31"/>
              <w:ind w:firstLine="0" w:firstLineChars="0"/>
              <w:rPr>
                <w:rFonts w:ascii="Times New Roman" w:hAnsi="Times New Roman"/>
                <w:color w:val="000000"/>
                <w:szCs w:val="21"/>
              </w:rPr>
            </w:pPr>
          </w:p>
        </w:tc>
        <w:tc>
          <w:tcPr>
            <w:tcW w:w="963" w:type="dxa"/>
            <w:noWrap w:val="0"/>
            <w:vAlign w:val="center"/>
          </w:tcPr>
          <w:p w14:paraId="35EBA27A">
            <w:pPr>
              <w:pStyle w:val="31"/>
              <w:ind w:firstLine="0" w:firstLineChars="0"/>
              <w:jc w:val="center"/>
              <w:rPr>
                <w:rFonts w:ascii="Times New Roman" w:hAnsi="Times New Roman"/>
                <w:color w:val="000000"/>
                <w:szCs w:val="21"/>
              </w:rPr>
            </w:pPr>
          </w:p>
        </w:tc>
        <w:tc>
          <w:tcPr>
            <w:tcW w:w="2016" w:type="dxa"/>
            <w:noWrap w:val="0"/>
            <w:vAlign w:val="top"/>
          </w:tcPr>
          <w:p w14:paraId="318D736B">
            <w:pPr>
              <w:pStyle w:val="31"/>
              <w:ind w:firstLine="0" w:firstLineChars="0"/>
              <w:rPr>
                <w:rFonts w:ascii="Times New Roman" w:hAnsi="Times New Roman"/>
                <w:color w:val="000000"/>
                <w:szCs w:val="21"/>
              </w:rPr>
            </w:pPr>
          </w:p>
        </w:tc>
      </w:tr>
      <w:tr w14:paraId="5DD5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192202D">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2977" w:type="dxa"/>
            <w:noWrap w:val="0"/>
            <w:vAlign w:val="center"/>
          </w:tcPr>
          <w:p w14:paraId="790C92C0">
            <w:pPr>
              <w:pStyle w:val="31"/>
              <w:ind w:firstLine="0" w:firstLineChars="0"/>
              <w:rPr>
                <w:rFonts w:ascii="Times New Roman" w:hAnsi="Times New Roman"/>
                <w:color w:val="000000"/>
                <w:szCs w:val="21"/>
              </w:rPr>
            </w:pPr>
          </w:p>
        </w:tc>
        <w:tc>
          <w:tcPr>
            <w:tcW w:w="3686" w:type="dxa"/>
            <w:noWrap w:val="0"/>
            <w:vAlign w:val="center"/>
          </w:tcPr>
          <w:p w14:paraId="056D26D3">
            <w:pPr>
              <w:pStyle w:val="31"/>
              <w:ind w:firstLine="0" w:firstLineChars="0"/>
              <w:rPr>
                <w:rFonts w:ascii="Times New Roman" w:hAnsi="Times New Roman"/>
                <w:color w:val="000000"/>
                <w:szCs w:val="21"/>
              </w:rPr>
            </w:pPr>
          </w:p>
        </w:tc>
        <w:tc>
          <w:tcPr>
            <w:tcW w:w="963" w:type="dxa"/>
            <w:noWrap w:val="0"/>
            <w:vAlign w:val="center"/>
          </w:tcPr>
          <w:p w14:paraId="7C66BC71">
            <w:pPr>
              <w:pStyle w:val="31"/>
              <w:ind w:firstLine="0" w:firstLineChars="0"/>
              <w:jc w:val="center"/>
              <w:rPr>
                <w:rFonts w:ascii="Times New Roman" w:hAnsi="Times New Roman"/>
                <w:color w:val="000000"/>
                <w:szCs w:val="21"/>
              </w:rPr>
            </w:pPr>
          </w:p>
        </w:tc>
        <w:tc>
          <w:tcPr>
            <w:tcW w:w="2016" w:type="dxa"/>
            <w:noWrap w:val="0"/>
            <w:vAlign w:val="top"/>
          </w:tcPr>
          <w:p w14:paraId="04A152C6">
            <w:pPr>
              <w:pStyle w:val="31"/>
              <w:ind w:firstLine="0" w:firstLineChars="0"/>
              <w:rPr>
                <w:rFonts w:ascii="Times New Roman" w:hAnsi="Times New Roman"/>
                <w:color w:val="000000"/>
                <w:szCs w:val="21"/>
              </w:rPr>
            </w:pPr>
          </w:p>
        </w:tc>
      </w:tr>
    </w:tbl>
    <w:p w14:paraId="0666CFB0">
      <w:pPr>
        <w:pStyle w:val="31"/>
        <w:numPr>
          <w:ilvl w:val="0"/>
          <w:numId w:val="17"/>
        </w:numPr>
        <w:snapToGrid w:val="0"/>
        <w:ind w:firstLineChars="0"/>
        <w:rPr>
          <w:rFonts w:ascii="Times New Roman" w:hAnsi="Times New Roman"/>
          <w:b/>
          <w:bCs/>
          <w:szCs w:val="21"/>
        </w:rPr>
      </w:pPr>
      <w:r>
        <w:rPr>
          <w:rFonts w:ascii="Times New Roman" w:hAnsi="Times New Roman"/>
          <w:b/>
          <w:bCs/>
          <w:szCs w:val="21"/>
        </w:rPr>
        <w:t>合同总价</w:t>
      </w:r>
    </w:p>
    <w:p w14:paraId="1839158C">
      <w:pPr>
        <w:pStyle w:val="31"/>
        <w:numPr>
          <w:ilvl w:val="3"/>
          <w:numId w:val="17"/>
        </w:numPr>
        <w:ind w:left="0" w:firstLine="0" w:firstLineChars="0"/>
        <w:contextualSpacing/>
        <w:jc w:val="left"/>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合同总价（含税）为人民币大写：*** 圆整，即RMB *** 元，该合同总价已包括</w:t>
      </w:r>
      <w:r>
        <w:rPr>
          <w:rFonts w:hint="eastAsia" w:ascii="Times New Roman" w:hAnsi="Times New Roman"/>
          <w:szCs w:val="21"/>
        </w:rPr>
        <w:t>软件</w:t>
      </w:r>
      <w:r>
        <w:rPr>
          <w:rFonts w:ascii="Times New Roman" w:hAnsi="Times New Roman"/>
          <w:szCs w:val="21"/>
        </w:rPr>
        <w:t>设计、</w:t>
      </w:r>
      <w:r>
        <w:rPr>
          <w:rFonts w:hint="eastAsia" w:ascii="Times New Roman" w:hAnsi="Times New Roman"/>
          <w:szCs w:val="21"/>
        </w:rPr>
        <w:t>开发、交付、培训等服务、与其它第三方软件的全部接口、技术支持</w:t>
      </w:r>
      <w:r>
        <w:rPr>
          <w:rFonts w:ascii="Times New Roman" w:hAnsi="Times New Roman"/>
          <w:szCs w:val="21"/>
        </w:rPr>
        <w:t>以及乙方为全面履行</w:t>
      </w:r>
      <w:r>
        <w:rPr>
          <w:rFonts w:hint="eastAsia" w:ascii="Times New Roman" w:hAnsi="Times New Roman"/>
          <w:szCs w:val="21"/>
        </w:rPr>
        <w:t>本</w:t>
      </w:r>
      <w:r>
        <w:rPr>
          <w:rFonts w:ascii="Times New Roman" w:hAnsi="Times New Roman"/>
          <w:szCs w:val="21"/>
        </w:rPr>
        <w:t>合同义务所完成的</w:t>
      </w:r>
      <w:r>
        <w:rPr>
          <w:rFonts w:hint="eastAsia" w:ascii="Times New Roman" w:hAnsi="Times New Roman"/>
          <w:szCs w:val="21"/>
        </w:rPr>
        <w:t>其它</w:t>
      </w:r>
      <w:r>
        <w:rPr>
          <w:rFonts w:ascii="Times New Roman" w:hAnsi="Times New Roman"/>
          <w:szCs w:val="21"/>
        </w:rPr>
        <w:t>所有事项的含税费用。</w:t>
      </w:r>
    </w:p>
    <w:p w14:paraId="1A7BD30D">
      <w:pPr>
        <w:pStyle w:val="31"/>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5D0AAB34">
      <w:pPr>
        <w:pStyle w:val="31"/>
        <w:numPr>
          <w:ilvl w:val="0"/>
          <w:numId w:val="17"/>
        </w:numPr>
        <w:snapToGrid w:val="0"/>
        <w:ind w:firstLineChars="0"/>
        <w:rPr>
          <w:rFonts w:ascii="Times New Roman" w:hAnsi="Times New Roman"/>
          <w:b/>
          <w:bCs/>
          <w:color w:val="auto"/>
          <w:szCs w:val="21"/>
          <w:highlight w:val="none"/>
        </w:rPr>
      </w:pPr>
      <w:r>
        <w:rPr>
          <w:rFonts w:hint="eastAsia" w:ascii="Times New Roman" w:hAnsi="Times New Roman"/>
          <w:b/>
          <w:bCs/>
          <w:szCs w:val="21"/>
        </w:rPr>
        <w:t>工期</w:t>
      </w:r>
    </w:p>
    <w:p w14:paraId="09A22766">
      <w:pPr>
        <w:pStyle w:val="31"/>
        <w:numPr>
          <w:ilvl w:val="0"/>
          <w:numId w:val="19"/>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工期：</w:t>
      </w:r>
    </w:p>
    <w:p w14:paraId="0BE1FAD5">
      <w:pPr>
        <w:pStyle w:val="31"/>
        <w:numPr>
          <w:ilvl w:val="0"/>
          <w:numId w:val="20"/>
        </w:numPr>
        <w:snapToGrid w:val="0"/>
        <w:ind w:firstLineChars="0"/>
        <w:rPr>
          <w:rFonts w:ascii="Times New Roman" w:hAnsi="Times New Roman"/>
          <w:color w:val="auto"/>
          <w:szCs w:val="21"/>
          <w:highlight w:val="none"/>
        </w:rPr>
      </w:pPr>
      <w:r>
        <w:rPr>
          <w:rFonts w:hint="eastAsia"/>
          <w:color w:val="auto"/>
          <w:highlight w:val="none"/>
        </w:rPr>
        <w:t>实施时间：</w:t>
      </w:r>
      <w:r>
        <w:rPr>
          <w:rFonts w:hint="eastAsia" w:ascii="宋体" w:hAnsi="宋体" w:cs="宋体"/>
          <w:color w:val="auto"/>
          <w:szCs w:val="21"/>
          <w:highlight w:val="none"/>
        </w:rPr>
        <w:t>从合同签订生效之日起，需在</w:t>
      </w:r>
      <w:r>
        <w:rPr>
          <w:rFonts w:hint="eastAsia" w:ascii="宋体" w:hAnsi="宋体" w:cs="宋体"/>
          <w:color w:val="auto"/>
          <w:szCs w:val="21"/>
          <w:highlight w:val="none"/>
          <w:u w:val="single"/>
        </w:rPr>
        <w:t xml:space="preserve">5 </w:t>
      </w:r>
      <w:r>
        <w:rPr>
          <w:rFonts w:hint="eastAsia" w:ascii="宋体" w:hAnsi="宋体" w:cs="宋体"/>
          <w:color w:val="auto"/>
          <w:szCs w:val="21"/>
          <w:highlight w:val="none"/>
        </w:rPr>
        <w:t>个工作日内开始实施</w:t>
      </w:r>
      <w:r>
        <w:rPr>
          <w:rFonts w:hint="eastAsia" w:ascii="Times New Roman" w:hAnsi="Times New Roman"/>
          <w:color w:val="auto"/>
          <w:szCs w:val="21"/>
          <w:highlight w:val="none"/>
        </w:rPr>
        <w:t>。</w:t>
      </w:r>
    </w:p>
    <w:p w14:paraId="4953E86E">
      <w:pPr>
        <w:pStyle w:val="31"/>
        <w:numPr>
          <w:ilvl w:val="0"/>
          <w:numId w:val="20"/>
        </w:numPr>
        <w:snapToGrid w:val="0"/>
        <w:ind w:firstLineChars="0"/>
        <w:rPr>
          <w:rFonts w:ascii="Times New Roman" w:hAnsi="Times New Roman"/>
          <w:color w:val="auto"/>
          <w:szCs w:val="21"/>
          <w:highlight w:val="none"/>
        </w:rPr>
      </w:pPr>
      <w:r>
        <w:rPr>
          <w:rFonts w:hint="eastAsia" w:ascii="宋体" w:hAnsi="宋体" w:cs="宋体"/>
          <w:color w:val="auto"/>
          <w:szCs w:val="21"/>
          <w:highlight w:val="none"/>
        </w:rPr>
        <w:t>实施周期：本项目开始实施之日起</w:t>
      </w:r>
      <w:r>
        <w:rPr>
          <w:rFonts w:hint="eastAsia" w:ascii="宋体" w:hAnsi="宋体" w:cs="宋体"/>
          <w:b/>
          <w:bCs/>
          <w:color w:val="auto"/>
          <w:szCs w:val="21"/>
          <w:highlight w:val="none"/>
          <w:u w:val="single"/>
        </w:rPr>
        <w:t xml:space="preserve">  60 </w:t>
      </w:r>
      <w:r>
        <w:rPr>
          <w:rFonts w:hint="eastAsia" w:ascii="宋体" w:hAnsi="宋体" w:cs="宋体"/>
          <w:color w:val="auto"/>
          <w:szCs w:val="21"/>
          <w:highlight w:val="none"/>
        </w:rPr>
        <w:t>日内，完成本项目包含的所有</w:t>
      </w:r>
      <w:r>
        <w:rPr>
          <w:rFonts w:hint="eastAsia" w:ascii="宋体" w:hAnsi="宋体" w:cs="宋体"/>
          <w:b/>
          <w:bCs/>
          <w:color w:val="auto"/>
          <w:szCs w:val="21"/>
          <w:highlight w:val="none"/>
          <w:u w:val="single"/>
        </w:rPr>
        <w:t>软件</w:t>
      </w:r>
      <w:r>
        <w:rPr>
          <w:rFonts w:hint="eastAsia" w:ascii="宋体" w:hAnsi="宋体" w:cs="宋体"/>
          <w:color w:val="auto"/>
          <w:szCs w:val="21"/>
          <w:highlight w:val="none"/>
        </w:rPr>
        <w:t>功能的上线运行，并通知甲方进行验收。未在实施周期内完成，视为乙方违约并自动放弃该项目，甲方有权终止合同，合同所有款项将不予支付</w:t>
      </w:r>
      <w:r>
        <w:rPr>
          <w:rFonts w:hint="eastAsia" w:ascii="宋体" w:hAnsi="宋体" w:cs="宋体"/>
          <w:bCs/>
          <w:color w:val="auto"/>
          <w:highlight w:val="none"/>
        </w:rPr>
        <w:t>（如有履约保证金，</w:t>
      </w:r>
      <w:r>
        <w:rPr>
          <w:rFonts w:hint="eastAsia" w:ascii="宋体" w:hAnsi="宋体" w:cs="宋体"/>
          <w:color w:val="auto"/>
          <w:szCs w:val="21"/>
          <w:highlight w:val="none"/>
        </w:rPr>
        <w:t>将不予退还</w:t>
      </w:r>
      <w:r>
        <w:rPr>
          <w:rFonts w:hint="eastAsia" w:ascii="宋体" w:hAnsi="宋体" w:cs="宋体"/>
          <w:bCs/>
          <w:color w:val="auto"/>
          <w:highlight w:val="none"/>
        </w:rPr>
        <w:t>），</w:t>
      </w:r>
      <w:r>
        <w:rPr>
          <w:rFonts w:hint="eastAsia"/>
          <w:color w:val="auto"/>
          <w:highlight w:val="none"/>
        </w:rPr>
        <w:t>已支付款项，供乙方应于7个工作日内退还甲方</w:t>
      </w:r>
      <w:r>
        <w:rPr>
          <w:rFonts w:hint="eastAsia" w:ascii="Times New Roman" w:hAnsi="Times New Roman"/>
          <w:color w:val="auto"/>
          <w:szCs w:val="21"/>
          <w:highlight w:val="none"/>
        </w:rPr>
        <w:t>。</w:t>
      </w:r>
    </w:p>
    <w:p w14:paraId="4D55877F">
      <w:pPr>
        <w:pStyle w:val="31"/>
        <w:numPr>
          <w:ilvl w:val="0"/>
          <w:numId w:val="2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开发完成时间：</w:t>
      </w:r>
      <w:r>
        <w:rPr>
          <w:rFonts w:ascii="Times New Roman" w:hAnsi="Times New Roman"/>
          <w:color w:val="auto"/>
          <w:szCs w:val="21"/>
          <w:highlight w:val="none"/>
        </w:rPr>
        <w:t>202*</w:t>
      </w:r>
      <w:r>
        <w:rPr>
          <w:rFonts w:hint="eastAsia" w:ascii="Times New Roman" w:hAnsi="Times New Roman"/>
          <w:color w:val="auto"/>
          <w:szCs w:val="21"/>
          <w:highlight w:val="none"/>
        </w:rPr>
        <w:t>年*</w:t>
      </w:r>
      <w:r>
        <w:rPr>
          <w:rFonts w:ascii="Times New Roman" w:hAnsi="Times New Roman"/>
          <w:color w:val="auto"/>
          <w:szCs w:val="21"/>
          <w:highlight w:val="none"/>
        </w:rPr>
        <w:t>**</w:t>
      </w:r>
      <w:r>
        <w:rPr>
          <w:rFonts w:hint="eastAsia" w:ascii="Times New Roman" w:hAnsi="Times New Roman"/>
          <w:color w:val="auto"/>
          <w:szCs w:val="21"/>
          <w:highlight w:val="none"/>
        </w:rPr>
        <w:t>月*</w:t>
      </w:r>
      <w:r>
        <w:rPr>
          <w:rFonts w:ascii="Times New Roman" w:hAnsi="Times New Roman"/>
          <w:color w:val="auto"/>
          <w:szCs w:val="21"/>
          <w:highlight w:val="none"/>
        </w:rPr>
        <w:t>**</w:t>
      </w:r>
      <w:r>
        <w:rPr>
          <w:rFonts w:hint="eastAsia" w:ascii="Times New Roman" w:hAnsi="Times New Roman"/>
          <w:color w:val="auto"/>
          <w:szCs w:val="21"/>
          <w:highlight w:val="none"/>
        </w:rPr>
        <w:t>日。</w:t>
      </w:r>
    </w:p>
    <w:p w14:paraId="74510732">
      <w:pPr>
        <w:pStyle w:val="31"/>
        <w:numPr>
          <w:ilvl w:val="0"/>
          <w:numId w:val="20"/>
        </w:numPr>
        <w:snapToGrid w:val="0"/>
        <w:ind w:firstLineChars="0"/>
        <w:rPr>
          <w:rFonts w:ascii="Times New Roman" w:hAnsi="Times New Roman"/>
          <w:color w:val="auto"/>
          <w:szCs w:val="21"/>
          <w:highlight w:val="none"/>
          <w:u w:val="single"/>
        </w:rPr>
      </w:pPr>
      <w:r>
        <w:rPr>
          <w:rFonts w:hint="eastAsia" w:ascii="Times New Roman" w:hAnsi="Times New Roman"/>
          <w:color w:val="auto"/>
          <w:szCs w:val="21"/>
          <w:highlight w:val="none"/>
          <w:u w:val="single"/>
        </w:rPr>
        <w:t>软件开发进度见附件：《开发进度表》</w:t>
      </w:r>
      <w:r>
        <w:rPr>
          <w:rFonts w:hint="eastAsia" w:ascii="Times New Roman" w:hAnsi="Times New Roman"/>
          <w:i/>
          <w:iCs/>
          <w:color w:val="auto"/>
          <w:szCs w:val="21"/>
          <w:highlight w:val="none"/>
        </w:rPr>
        <w:t>&lt;根据项目实际情况编制&gt;</w:t>
      </w:r>
    </w:p>
    <w:p w14:paraId="0B97F670">
      <w:pPr>
        <w:pStyle w:val="31"/>
        <w:numPr>
          <w:ilvl w:val="0"/>
          <w:numId w:val="19"/>
        </w:numPr>
        <w:ind w:left="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t>如甲方原因推迟开发，甲方应向乙方提供书面延期通知书，并在确定继续开发时提供开工通知书，同时计算工期时应扣除因甲方原因造成的延期时间。</w:t>
      </w:r>
    </w:p>
    <w:p w14:paraId="69DC5929">
      <w:pPr>
        <w:pStyle w:val="31"/>
        <w:numPr>
          <w:ilvl w:val="0"/>
          <w:numId w:val="17"/>
        </w:numPr>
        <w:snapToGrid w:val="0"/>
        <w:ind w:firstLineChars="0"/>
        <w:rPr>
          <w:rFonts w:ascii="Times New Roman" w:hAnsi="Times New Roman"/>
          <w:b/>
          <w:bCs/>
          <w:color w:val="auto"/>
          <w:szCs w:val="21"/>
          <w:highlight w:val="none"/>
        </w:rPr>
      </w:pPr>
      <w:r>
        <w:rPr>
          <w:rFonts w:hint="eastAsia" w:ascii="Times New Roman" w:hAnsi="Times New Roman"/>
          <w:b/>
          <w:bCs/>
          <w:color w:val="auto"/>
          <w:szCs w:val="21"/>
          <w:highlight w:val="none"/>
        </w:rPr>
        <w:t>交付</w:t>
      </w:r>
    </w:p>
    <w:p w14:paraId="7540532A">
      <w:pPr>
        <w:pStyle w:val="31"/>
        <w:numPr>
          <w:ilvl w:val="0"/>
          <w:numId w:val="21"/>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交付的内容、形式及数量：</w:t>
      </w:r>
      <w:r>
        <w:rPr>
          <w:rFonts w:hint="eastAsia" w:ascii="Times New Roman" w:hAnsi="Times New Roman"/>
          <w:i/>
          <w:iCs/>
          <w:color w:val="auto"/>
          <w:szCs w:val="21"/>
          <w:highlight w:val="none"/>
        </w:rPr>
        <w:t>&lt;</w:t>
      </w:r>
      <w:r>
        <w:rPr>
          <w:rFonts w:ascii="Times New Roman" w:hAnsi="Times New Roman"/>
          <w:i/>
          <w:iCs/>
          <w:color w:val="auto"/>
          <w:szCs w:val="21"/>
          <w:highlight w:val="none"/>
        </w:rPr>
        <w:t>包括但不限于完成甲方功能要求的可执行软件、软件的设计文件、软件的测试报告、软件使用说明书及在开发过程中产生的其他文档</w:t>
      </w:r>
      <w:r>
        <w:rPr>
          <w:rFonts w:hint="eastAsia" w:ascii="Times New Roman" w:hAnsi="Times New Roman"/>
          <w:i/>
          <w:iCs/>
          <w:color w:val="auto"/>
          <w:szCs w:val="21"/>
          <w:highlight w:val="none"/>
        </w:rPr>
        <w:t>，根据项目实际情况编制本条款具体内容，如内容较多可附附件&gt;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8"/>
        <w:gridCol w:w="1815"/>
        <w:gridCol w:w="2694"/>
        <w:gridCol w:w="2126"/>
        <w:gridCol w:w="567"/>
        <w:gridCol w:w="567"/>
        <w:gridCol w:w="1987"/>
      </w:tblGrid>
      <w:tr w14:paraId="52BF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58" w:type="dxa"/>
            <w:noWrap w:val="0"/>
            <w:vAlign w:val="center"/>
          </w:tcPr>
          <w:p w14:paraId="2B8A92C1">
            <w:pPr>
              <w:pStyle w:val="31"/>
              <w:ind w:firstLine="0" w:firstLineChars="0"/>
              <w:jc w:val="center"/>
              <w:rPr>
                <w:rFonts w:ascii="Times New Roman" w:hAnsi="Times New Roman"/>
                <w:color w:val="auto"/>
                <w:szCs w:val="21"/>
                <w:highlight w:val="none"/>
              </w:rPr>
            </w:pPr>
            <w:r>
              <w:rPr>
                <w:rFonts w:ascii="Times New Roman" w:hAnsi="Times New Roman"/>
                <w:color w:val="auto"/>
                <w:szCs w:val="21"/>
                <w:highlight w:val="none"/>
              </w:rPr>
              <w:t>序号</w:t>
            </w:r>
          </w:p>
        </w:tc>
        <w:tc>
          <w:tcPr>
            <w:tcW w:w="1815" w:type="dxa"/>
            <w:noWrap w:val="0"/>
            <w:vAlign w:val="center"/>
          </w:tcPr>
          <w:p w14:paraId="714EE04C">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交付事项</w:t>
            </w:r>
          </w:p>
        </w:tc>
        <w:tc>
          <w:tcPr>
            <w:tcW w:w="2694" w:type="dxa"/>
            <w:noWrap w:val="0"/>
            <w:vAlign w:val="center"/>
          </w:tcPr>
          <w:p w14:paraId="29DF3D22">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交付内容</w:t>
            </w:r>
          </w:p>
        </w:tc>
        <w:tc>
          <w:tcPr>
            <w:tcW w:w="2126" w:type="dxa"/>
            <w:noWrap w:val="0"/>
            <w:vAlign w:val="center"/>
          </w:tcPr>
          <w:p w14:paraId="72FB521F">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交付形式</w:t>
            </w:r>
          </w:p>
        </w:tc>
        <w:tc>
          <w:tcPr>
            <w:tcW w:w="567" w:type="dxa"/>
            <w:noWrap w:val="0"/>
            <w:vAlign w:val="top"/>
          </w:tcPr>
          <w:p w14:paraId="465477EF">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单位</w:t>
            </w:r>
          </w:p>
        </w:tc>
        <w:tc>
          <w:tcPr>
            <w:tcW w:w="567" w:type="dxa"/>
            <w:noWrap w:val="0"/>
            <w:vAlign w:val="top"/>
          </w:tcPr>
          <w:p w14:paraId="3873F791">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数量</w:t>
            </w:r>
          </w:p>
        </w:tc>
        <w:tc>
          <w:tcPr>
            <w:tcW w:w="1987" w:type="dxa"/>
            <w:noWrap w:val="0"/>
            <w:vAlign w:val="top"/>
          </w:tcPr>
          <w:p w14:paraId="040DB0C5">
            <w:pPr>
              <w:pStyle w:val="31"/>
              <w:ind w:firstLine="0" w:firstLineChars="0"/>
              <w:jc w:val="center"/>
              <w:rPr>
                <w:rFonts w:hint="eastAsia" w:ascii="Times New Roman" w:hAnsi="Times New Roman"/>
                <w:color w:val="auto"/>
                <w:szCs w:val="21"/>
                <w:highlight w:val="none"/>
              </w:rPr>
            </w:pPr>
            <w:r>
              <w:rPr>
                <w:rFonts w:hint="eastAsia" w:ascii="Times New Roman" w:hAnsi="Times New Roman"/>
                <w:color w:val="auto"/>
                <w:szCs w:val="21"/>
                <w:highlight w:val="none"/>
              </w:rPr>
              <w:t>备注</w:t>
            </w:r>
          </w:p>
        </w:tc>
      </w:tr>
      <w:tr w14:paraId="04DF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379036E">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1</w:t>
            </w:r>
          </w:p>
        </w:tc>
        <w:tc>
          <w:tcPr>
            <w:tcW w:w="1815" w:type="dxa"/>
            <w:noWrap w:val="0"/>
            <w:vAlign w:val="center"/>
          </w:tcPr>
          <w:p w14:paraId="736CE51C">
            <w:pPr>
              <w:pStyle w:val="31"/>
              <w:ind w:firstLine="0" w:firstLineChars="0"/>
              <w:rPr>
                <w:rFonts w:ascii="Times New Roman" w:hAnsi="Times New Roman"/>
                <w:color w:val="000000"/>
                <w:szCs w:val="21"/>
              </w:rPr>
            </w:pPr>
          </w:p>
        </w:tc>
        <w:tc>
          <w:tcPr>
            <w:tcW w:w="2694" w:type="dxa"/>
            <w:noWrap w:val="0"/>
            <w:vAlign w:val="center"/>
          </w:tcPr>
          <w:p w14:paraId="7379A3D2">
            <w:pPr>
              <w:pStyle w:val="31"/>
              <w:ind w:firstLine="0" w:firstLineChars="0"/>
              <w:rPr>
                <w:rFonts w:ascii="Times New Roman" w:hAnsi="Times New Roman"/>
                <w:color w:val="000000"/>
                <w:szCs w:val="21"/>
              </w:rPr>
            </w:pPr>
          </w:p>
        </w:tc>
        <w:tc>
          <w:tcPr>
            <w:tcW w:w="2126" w:type="dxa"/>
            <w:noWrap w:val="0"/>
            <w:vAlign w:val="center"/>
          </w:tcPr>
          <w:p w14:paraId="2D4F96F2">
            <w:pPr>
              <w:pStyle w:val="31"/>
              <w:ind w:firstLine="0" w:firstLineChars="0"/>
              <w:rPr>
                <w:rFonts w:ascii="Times New Roman" w:hAnsi="Times New Roman"/>
                <w:color w:val="000000"/>
                <w:szCs w:val="21"/>
              </w:rPr>
            </w:pPr>
          </w:p>
        </w:tc>
        <w:tc>
          <w:tcPr>
            <w:tcW w:w="567" w:type="dxa"/>
            <w:noWrap w:val="0"/>
            <w:vAlign w:val="center"/>
          </w:tcPr>
          <w:p w14:paraId="39528685">
            <w:pPr>
              <w:pStyle w:val="31"/>
              <w:ind w:firstLine="0" w:firstLineChars="0"/>
              <w:jc w:val="center"/>
              <w:rPr>
                <w:rFonts w:ascii="Times New Roman" w:hAnsi="Times New Roman"/>
                <w:color w:val="000000"/>
                <w:szCs w:val="21"/>
              </w:rPr>
            </w:pPr>
          </w:p>
        </w:tc>
        <w:tc>
          <w:tcPr>
            <w:tcW w:w="567" w:type="dxa"/>
            <w:noWrap w:val="0"/>
            <w:vAlign w:val="center"/>
          </w:tcPr>
          <w:p w14:paraId="79997F3D">
            <w:pPr>
              <w:pStyle w:val="31"/>
              <w:ind w:firstLine="0" w:firstLineChars="0"/>
              <w:jc w:val="center"/>
              <w:rPr>
                <w:rFonts w:ascii="Times New Roman" w:hAnsi="Times New Roman"/>
                <w:color w:val="000000"/>
                <w:szCs w:val="21"/>
              </w:rPr>
            </w:pPr>
          </w:p>
        </w:tc>
        <w:tc>
          <w:tcPr>
            <w:tcW w:w="1987" w:type="dxa"/>
            <w:noWrap w:val="0"/>
            <w:vAlign w:val="center"/>
          </w:tcPr>
          <w:p w14:paraId="0D79B31D">
            <w:pPr>
              <w:pStyle w:val="31"/>
              <w:ind w:firstLine="0" w:firstLineChars="0"/>
              <w:rPr>
                <w:rFonts w:ascii="Times New Roman" w:hAnsi="Times New Roman"/>
                <w:color w:val="000000"/>
                <w:szCs w:val="21"/>
              </w:rPr>
            </w:pPr>
          </w:p>
        </w:tc>
      </w:tr>
      <w:tr w14:paraId="7FEE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08CEF849">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2</w:t>
            </w:r>
          </w:p>
        </w:tc>
        <w:tc>
          <w:tcPr>
            <w:tcW w:w="1815" w:type="dxa"/>
            <w:noWrap w:val="0"/>
            <w:vAlign w:val="center"/>
          </w:tcPr>
          <w:p w14:paraId="2A24DA5E">
            <w:pPr>
              <w:pStyle w:val="31"/>
              <w:ind w:firstLine="0" w:firstLineChars="0"/>
              <w:rPr>
                <w:rFonts w:ascii="Times New Roman" w:hAnsi="Times New Roman"/>
                <w:color w:val="000000"/>
                <w:szCs w:val="21"/>
              </w:rPr>
            </w:pPr>
          </w:p>
        </w:tc>
        <w:tc>
          <w:tcPr>
            <w:tcW w:w="2694" w:type="dxa"/>
            <w:noWrap w:val="0"/>
            <w:vAlign w:val="center"/>
          </w:tcPr>
          <w:p w14:paraId="091DC43A">
            <w:pPr>
              <w:pStyle w:val="31"/>
              <w:ind w:firstLine="0" w:firstLineChars="0"/>
              <w:rPr>
                <w:rFonts w:ascii="Times New Roman" w:hAnsi="Times New Roman"/>
                <w:color w:val="000000"/>
                <w:szCs w:val="21"/>
              </w:rPr>
            </w:pPr>
          </w:p>
        </w:tc>
        <w:tc>
          <w:tcPr>
            <w:tcW w:w="2126" w:type="dxa"/>
            <w:noWrap w:val="0"/>
            <w:vAlign w:val="center"/>
          </w:tcPr>
          <w:p w14:paraId="1EB30FAF">
            <w:pPr>
              <w:pStyle w:val="31"/>
              <w:ind w:firstLine="0" w:firstLineChars="0"/>
              <w:rPr>
                <w:rFonts w:ascii="Times New Roman" w:hAnsi="Times New Roman"/>
                <w:color w:val="000000"/>
                <w:szCs w:val="21"/>
              </w:rPr>
            </w:pPr>
          </w:p>
        </w:tc>
        <w:tc>
          <w:tcPr>
            <w:tcW w:w="567" w:type="dxa"/>
            <w:noWrap w:val="0"/>
            <w:vAlign w:val="center"/>
          </w:tcPr>
          <w:p w14:paraId="580584E0">
            <w:pPr>
              <w:pStyle w:val="31"/>
              <w:ind w:firstLine="0" w:firstLineChars="0"/>
              <w:jc w:val="center"/>
              <w:rPr>
                <w:rFonts w:ascii="Times New Roman" w:hAnsi="Times New Roman"/>
                <w:color w:val="000000"/>
                <w:szCs w:val="21"/>
              </w:rPr>
            </w:pPr>
          </w:p>
        </w:tc>
        <w:tc>
          <w:tcPr>
            <w:tcW w:w="567" w:type="dxa"/>
            <w:noWrap w:val="0"/>
            <w:vAlign w:val="center"/>
          </w:tcPr>
          <w:p w14:paraId="373DE996">
            <w:pPr>
              <w:pStyle w:val="31"/>
              <w:ind w:firstLine="0" w:firstLineChars="0"/>
              <w:jc w:val="center"/>
              <w:rPr>
                <w:rFonts w:ascii="Times New Roman" w:hAnsi="Times New Roman"/>
                <w:color w:val="000000"/>
                <w:szCs w:val="21"/>
              </w:rPr>
            </w:pPr>
          </w:p>
        </w:tc>
        <w:tc>
          <w:tcPr>
            <w:tcW w:w="1987" w:type="dxa"/>
            <w:noWrap w:val="0"/>
            <w:vAlign w:val="center"/>
          </w:tcPr>
          <w:p w14:paraId="3A88430A">
            <w:pPr>
              <w:pStyle w:val="31"/>
              <w:ind w:firstLine="0" w:firstLineChars="0"/>
              <w:rPr>
                <w:rFonts w:ascii="Times New Roman" w:hAnsi="Times New Roman"/>
                <w:color w:val="000000"/>
                <w:szCs w:val="21"/>
              </w:rPr>
            </w:pPr>
          </w:p>
        </w:tc>
      </w:tr>
      <w:tr w14:paraId="7DCA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EEE63A6">
            <w:pPr>
              <w:pStyle w:val="31"/>
              <w:ind w:firstLine="0" w:firstLineChars="0"/>
              <w:jc w:val="center"/>
              <w:rPr>
                <w:rFonts w:ascii="Times New Roman" w:hAnsi="Times New Roman"/>
                <w:color w:val="000000"/>
                <w:szCs w:val="21"/>
              </w:rPr>
            </w:pPr>
            <w:r>
              <w:rPr>
                <w:rFonts w:hint="eastAsia" w:ascii="Times New Roman" w:hAnsi="Times New Roman"/>
                <w:color w:val="000000"/>
                <w:szCs w:val="21"/>
              </w:rPr>
              <w:t>3</w:t>
            </w:r>
          </w:p>
        </w:tc>
        <w:tc>
          <w:tcPr>
            <w:tcW w:w="1815" w:type="dxa"/>
            <w:noWrap w:val="0"/>
            <w:vAlign w:val="center"/>
          </w:tcPr>
          <w:p w14:paraId="73486A4E">
            <w:pPr>
              <w:pStyle w:val="31"/>
              <w:ind w:firstLine="0" w:firstLineChars="0"/>
              <w:rPr>
                <w:rFonts w:ascii="Times New Roman" w:hAnsi="Times New Roman"/>
                <w:color w:val="000000"/>
                <w:szCs w:val="21"/>
              </w:rPr>
            </w:pPr>
          </w:p>
        </w:tc>
        <w:tc>
          <w:tcPr>
            <w:tcW w:w="2694" w:type="dxa"/>
            <w:noWrap w:val="0"/>
            <w:vAlign w:val="center"/>
          </w:tcPr>
          <w:p w14:paraId="7A8F33FE">
            <w:pPr>
              <w:pStyle w:val="31"/>
              <w:ind w:firstLine="0" w:firstLineChars="0"/>
              <w:rPr>
                <w:rFonts w:ascii="Times New Roman" w:hAnsi="Times New Roman"/>
                <w:color w:val="000000"/>
                <w:szCs w:val="21"/>
              </w:rPr>
            </w:pPr>
          </w:p>
        </w:tc>
        <w:tc>
          <w:tcPr>
            <w:tcW w:w="2126" w:type="dxa"/>
            <w:noWrap w:val="0"/>
            <w:vAlign w:val="center"/>
          </w:tcPr>
          <w:p w14:paraId="260C8621">
            <w:pPr>
              <w:pStyle w:val="31"/>
              <w:ind w:firstLine="0" w:firstLineChars="0"/>
              <w:rPr>
                <w:rFonts w:ascii="Times New Roman" w:hAnsi="Times New Roman"/>
                <w:color w:val="000000"/>
                <w:szCs w:val="21"/>
              </w:rPr>
            </w:pPr>
          </w:p>
        </w:tc>
        <w:tc>
          <w:tcPr>
            <w:tcW w:w="567" w:type="dxa"/>
            <w:noWrap w:val="0"/>
            <w:vAlign w:val="center"/>
          </w:tcPr>
          <w:p w14:paraId="3E4F60E4">
            <w:pPr>
              <w:pStyle w:val="31"/>
              <w:ind w:firstLine="0" w:firstLineChars="0"/>
              <w:jc w:val="center"/>
              <w:rPr>
                <w:rFonts w:ascii="Times New Roman" w:hAnsi="Times New Roman"/>
                <w:color w:val="000000"/>
                <w:szCs w:val="21"/>
              </w:rPr>
            </w:pPr>
          </w:p>
        </w:tc>
        <w:tc>
          <w:tcPr>
            <w:tcW w:w="567" w:type="dxa"/>
            <w:noWrap w:val="0"/>
            <w:vAlign w:val="center"/>
          </w:tcPr>
          <w:p w14:paraId="67F3F363">
            <w:pPr>
              <w:pStyle w:val="31"/>
              <w:ind w:firstLine="0" w:firstLineChars="0"/>
              <w:jc w:val="center"/>
              <w:rPr>
                <w:rFonts w:ascii="Times New Roman" w:hAnsi="Times New Roman"/>
                <w:color w:val="000000"/>
                <w:szCs w:val="21"/>
              </w:rPr>
            </w:pPr>
          </w:p>
        </w:tc>
        <w:tc>
          <w:tcPr>
            <w:tcW w:w="1987" w:type="dxa"/>
            <w:noWrap w:val="0"/>
            <w:vAlign w:val="center"/>
          </w:tcPr>
          <w:p w14:paraId="5E163CD4">
            <w:pPr>
              <w:pStyle w:val="31"/>
              <w:ind w:firstLine="0" w:firstLineChars="0"/>
              <w:rPr>
                <w:rFonts w:ascii="Times New Roman" w:hAnsi="Times New Roman"/>
                <w:color w:val="000000"/>
                <w:szCs w:val="21"/>
              </w:rPr>
            </w:pPr>
          </w:p>
        </w:tc>
      </w:tr>
      <w:tr w14:paraId="08290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D4E6BE2">
            <w:pPr>
              <w:pStyle w:val="31"/>
              <w:ind w:firstLine="0" w:firstLineChars="0"/>
              <w:jc w:val="center"/>
              <w:rPr>
                <w:rFonts w:hint="eastAsia" w:ascii="Times New Roman" w:hAnsi="Times New Roman"/>
                <w:color w:val="000000"/>
                <w:szCs w:val="21"/>
              </w:rPr>
            </w:pPr>
            <w:r>
              <w:rPr>
                <w:rFonts w:ascii="Times New Roman" w:hAnsi="Times New Roman"/>
                <w:color w:val="000000"/>
                <w:szCs w:val="21"/>
              </w:rPr>
              <w:t>…</w:t>
            </w:r>
          </w:p>
        </w:tc>
        <w:tc>
          <w:tcPr>
            <w:tcW w:w="1815" w:type="dxa"/>
            <w:noWrap w:val="0"/>
            <w:vAlign w:val="center"/>
          </w:tcPr>
          <w:p w14:paraId="154F604A">
            <w:pPr>
              <w:pStyle w:val="31"/>
              <w:ind w:firstLine="0" w:firstLineChars="0"/>
              <w:rPr>
                <w:rFonts w:ascii="Times New Roman" w:hAnsi="Times New Roman"/>
                <w:color w:val="000000"/>
                <w:szCs w:val="21"/>
              </w:rPr>
            </w:pPr>
          </w:p>
        </w:tc>
        <w:tc>
          <w:tcPr>
            <w:tcW w:w="2694" w:type="dxa"/>
            <w:noWrap w:val="0"/>
            <w:vAlign w:val="center"/>
          </w:tcPr>
          <w:p w14:paraId="5579814D">
            <w:pPr>
              <w:pStyle w:val="31"/>
              <w:ind w:firstLine="0" w:firstLineChars="0"/>
              <w:rPr>
                <w:rFonts w:ascii="Times New Roman" w:hAnsi="Times New Roman"/>
                <w:color w:val="000000"/>
                <w:szCs w:val="21"/>
              </w:rPr>
            </w:pPr>
          </w:p>
        </w:tc>
        <w:tc>
          <w:tcPr>
            <w:tcW w:w="2126" w:type="dxa"/>
            <w:noWrap w:val="0"/>
            <w:vAlign w:val="center"/>
          </w:tcPr>
          <w:p w14:paraId="6C7F315F">
            <w:pPr>
              <w:pStyle w:val="31"/>
              <w:ind w:firstLine="0" w:firstLineChars="0"/>
              <w:rPr>
                <w:rFonts w:ascii="Times New Roman" w:hAnsi="Times New Roman"/>
                <w:color w:val="000000"/>
                <w:szCs w:val="21"/>
              </w:rPr>
            </w:pPr>
          </w:p>
        </w:tc>
        <w:tc>
          <w:tcPr>
            <w:tcW w:w="567" w:type="dxa"/>
            <w:noWrap w:val="0"/>
            <w:vAlign w:val="center"/>
          </w:tcPr>
          <w:p w14:paraId="7203614E">
            <w:pPr>
              <w:pStyle w:val="31"/>
              <w:ind w:firstLine="0" w:firstLineChars="0"/>
              <w:jc w:val="center"/>
              <w:rPr>
                <w:rFonts w:ascii="Times New Roman" w:hAnsi="Times New Roman"/>
                <w:color w:val="000000"/>
                <w:szCs w:val="21"/>
              </w:rPr>
            </w:pPr>
          </w:p>
        </w:tc>
        <w:tc>
          <w:tcPr>
            <w:tcW w:w="567" w:type="dxa"/>
            <w:noWrap w:val="0"/>
            <w:vAlign w:val="center"/>
          </w:tcPr>
          <w:p w14:paraId="14BB4C4E">
            <w:pPr>
              <w:pStyle w:val="31"/>
              <w:ind w:firstLine="0" w:firstLineChars="0"/>
              <w:jc w:val="center"/>
              <w:rPr>
                <w:rFonts w:ascii="Times New Roman" w:hAnsi="Times New Roman"/>
                <w:color w:val="000000"/>
                <w:szCs w:val="21"/>
              </w:rPr>
            </w:pPr>
          </w:p>
        </w:tc>
        <w:tc>
          <w:tcPr>
            <w:tcW w:w="1987" w:type="dxa"/>
            <w:noWrap w:val="0"/>
            <w:vAlign w:val="center"/>
          </w:tcPr>
          <w:p w14:paraId="3CACF202">
            <w:pPr>
              <w:pStyle w:val="31"/>
              <w:ind w:firstLine="0" w:firstLineChars="0"/>
              <w:rPr>
                <w:rFonts w:ascii="Times New Roman" w:hAnsi="Times New Roman"/>
                <w:color w:val="000000"/>
                <w:szCs w:val="21"/>
              </w:rPr>
            </w:pPr>
          </w:p>
        </w:tc>
      </w:tr>
    </w:tbl>
    <w:p w14:paraId="4F1580F9">
      <w:pPr>
        <w:pStyle w:val="31"/>
        <w:numPr>
          <w:ilvl w:val="0"/>
          <w:numId w:val="21"/>
        </w:numPr>
        <w:ind w:left="0" w:firstLine="0" w:firstLineChars="0"/>
        <w:rPr>
          <w:rFonts w:ascii="Times New Roman" w:hAnsi="Times New Roman"/>
          <w:color w:val="auto"/>
          <w:szCs w:val="21"/>
          <w:highlight w:val="none"/>
        </w:rPr>
      </w:pPr>
      <w:r>
        <w:rPr>
          <w:rFonts w:hint="eastAsia" w:ascii="宋体" w:hAnsi="宋体" w:cs="宋体"/>
          <w:szCs w:val="21"/>
        </w:rPr>
        <w:t>服务地点：本项目涉</w:t>
      </w:r>
      <w:r>
        <w:rPr>
          <w:rFonts w:hint="eastAsia" w:ascii="宋体" w:hAnsi="宋体" w:cs="宋体"/>
          <w:color w:val="auto"/>
          <w:szCs w:val="21"/>
          <w:highlight w:val="none"/>
        </w:rPr>
        <w:t>及的四川省人民医院所有院区</w:t>
      </w:r>
      <w:r>
        <w:rPr>
          <w:rFonts w:hint="eastAsia" w:ascii="Times New Roman" w:hAnsi="Times New Roman"/>
          <w:color w:val="auto"/>
          <w:szCs w:val="21"/>
          <w:highlight w:val="none"/>
        </w:rPr>
        <w:t>。</w:t>
      </w:r>
    </w:p>
    <w:p w14:paraId="79E1B86D">
      <w:pPr>
        <w:pStyle w:val="31"/>
        <w:numPr>
          <w:ilvl w:val="0"/>
          <w:numId w:val="17"/>
        </w:numPr>
        <w:snapToGrid w:val="0"/>
        <w:ind w:firstLineChars="0"/>
        <w:rPr>
          <w:rFonts w:hint="eastAsia" w:ascii="Times New Roman" w:hAnsi="Times New Roman"/>
          <w:b/>
          <w:bCs/>
          <w:color w:val="auto"/>
          <w:szCs w:val="21"/>
          <w:highlight w:val="none"/>
        </w:rPr>
      </w:pPr>
      <w:r>
        <w:rPr>
          <w:rFonts w:hint="eastAsia" w:ascii="Times New Roman" w:hAnsi="Times New Roman"/>
          <w:b/>
          <w:bCs/>
          <w:color w:val="auto"/>
          <w:szCs w:val="21"/>
          <w:highlight w:val="none"/>
        </w:rPr>
        <w:t>验收</w:t>
      </w:r>
    </w:p>
    <w:p w14:paraId="6EDB510B">
      <w:pPr>
        <w:pStyle w:val="31"/>
        <w:numPr>
          <w:ilvl w:val="0"/>
          <w:numId w:val="22"/>
        </w:numPr>
        <w:ind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甲、乙双方确定，按照本合同约定的验收方案对乙方交付的开发成果进行验收。</w:t>
      </w:r>
    </w:p>
    <w:p w14:paraId="72BE01EA">
      <w:pPr>
        <w:pStyle w:val="31"/>
        <w:numPr>
          <w:ilvl w:val="0"/>
          <w:numId w:val="22"/>
        </w:numPr>
        <w:ind w:firstLineChars="0"/>
        <w:rPr>
          <w:rFonts w:ascii="Times New Roman" w:hAnsi="Times New Roman"/>
          <w:color w:val="auto"/>
          <w:szCs w:val="21"/>
          <w:highlight w:val="none"/>
        </w:rPr>
      </w:pPr>
      <w:r>
        <w:rPr>
          <w:rFonts w:hint="eastAsia" w:ascii="Times New Roman" w:hAnsi="Times New Roman"/>
          <w:color w:val="auto"/>
          <w:szCs w:val="21"/>
          <w:highlight w:val="none"/>
        </w:rPr>
        <w:t>验收方案：</w:t>
      </w:r>
    </w:p>
    <w:p w14:paraId="70F1BF50">
      <w:pPr>
        <w:pStyle w:val="31"/>
        <w:numPr>
          <w:ilvl w:val="0"/>
          <w:numId w:val="23"/>
        </w:numPr>
        <w:ind w:firstLineChars="0"/>
        <w:contextualSpacing/>
        <w:rPr>
          <w:color w:val="auto"/>
          <w:szCs w:val="21"/>
          <w:highlight w:val="none"/>
        </w:rPr>
      </w:pPr>
      <w:r>
        <w:rPr>
          <w:rFonts w:hint="eastAsia"/>
          <w:color w:val="auto"/>
          <w:szCs w:val="21"/>
          <w:highlight w:val="none"/>
        </w:rPr>
        <w:t>验收主体：甲方</w:t>
      </w:r>
    </w:p>
    <w:p w14:paraId="269C7704">
      <w:pPr>
        <w:pStyle w:val="31"/>
        <w:numPr>
          <w:ilvl w:val="0"/>
          <w:numId w:val="23"/>
        </w:numPr>
        <w:ind w:firstLineChars="0"/>
        <w:contextualSpacing/>
        <w:rPr>
          <w:color w:val="auto"/>
          <w:szCs w:val="21"/>
          <w:highlight w:val="none"/>
        </w:rPr>
      </w:pPr>
      <w:r>
        <w:rPr>
          <w:rFonts w:hint="eastAsia"/>
          <w:color w:val="auto"/>
          <w:szCs w:val="21"/>
          <w:highlight w:val="none"/>
        </w:rPr>
        <w:t>验收组织方式：自行验收</w:t>
      </w:r>
    </w:p>
    <w:p w14:paraId="0747EC01">
      <w:pPr>
        <w:pStyle w:val="31"/>
        <w:numPr>
          <w:ilvl w:val="0"/>
          <w:numId w:val="23"/>
        </w:numPr>
        <w:ind w:firstLineChars="0"/>
        <w:contextualSpacing/>
        <w:rPr>
          <w:color w:val="auto"/>
          <w:szCs w:val="21"/>
          <w:highlight w:val="none"/>
        </w:rPr>
      </w:pPr>
      <w:r>
        <w:rPr>
          <w:color w:val="auto"/>
          <w:szCs w:val="21"/>
          <w:highlight w:val="none"/>
        </w:rPr>
        <w:t>验收程序：</w:t>
      </w:r>
      <w:r>
        <w:rPr>
          <w:color w:val="auto"/>
          <w:highlight w:val="none"/>
        </w:rPr>
        <w:sym w:font="Wingdings 2" w:char="F052"/>
      </w:r>
      <w:r>
        <w:rPr>
          <w:rFonts w:hint="eastAsia"/>
          <w:color w:val="auto"/>
          <w:szCs w:val="21"/>
          <w:highlight w:val="none"/>
        </w:rPr>
        <w:t>一次性验收</w:t>
      </w:r>
      <w:r>
        <w:rPr>
          <w:color w:val="auto"/>
          <w:szCs w:val="21"/>
          <w:highlight w:val="none"/>
        </w:rPr>
        <w:t xml:space="preserve">   </w:t>
      </w:r>
      <w:r>
        <w:rPr>
          <w:color w:val="auto"/>
          <w:highlight w:val="none"/>
        </w:rPr>
        <w:sym w:font="Wingdings" w:char="F0A8"/>
      </w:r>
      <w:r>
        <w:rPr>
          <w:rFonts w:hint="eastAsia"/>
          <w:color w:val="auto"/>
          <w:szCs w:val="21"/>
          <w:highlight w:val="none"/>
        </w:rPr>
        <w:t>分段</w:t>
      </w:r>
      <w:r>
        <w:rPr>
          <w:color w:val="auto"/>
          <w:szCs w:val="21"/>
          <w:highlight w:val="none"/>
        </w:rPr>
        <w:t>/</w:t>
      </w:r>
      <w:r>
        <w:rPr>
          <w:rFonts w:hint="eastAsia"/>
          <w:color w:val="auto"/>
          <w:szCs w:val="21"/>
          <w:highlight w:val="none"/>
        </w:rPr>
        <w:t>分期验收</w:t>
      </w:r>
    </w:p>
    <w:p w14:paraId="69CE5FB8">
      <w:pPr>
        <w:pStyle w:val="31"/>
        <w:numPr>
          <w:ilvl w:val="0"/>
          <w:numId w:val="23"/>
        </w:numPr>
        <w:ind w:firstLineChars="0"/>
        <w:contextualSpacing/>
        <w:rPr>
          <w:color w:val="auto"/>
          <w:szCs w:val="21"/>
          <w:highlight w:val="none"/>
        </w:rPr>
      </w:pPr>
      <w:r>
        <w:rPr>
          <w:color w:val="auto"/>
          <w:szCs w:val="21"/>
          <w:highlight w:val="none"/>
        </w:rPr>
        <w:t>验收方式：</w:t>
      </w:r>
      <w:r>
        <w:rPr>
          <w:color w:val="auto"/>
          <w:highlight w:val="none"/>
        </w:rPr>
        <w:sym w:font="Wingdings 2" w:char="F052"/>
      </w:r>
      <w:r>
        <w:rPr>
          <w:rFonts w:hint="eastAsia"/>
          <w:color w:val="auto"/>
          <w:highlight w:val="none"/>
        </w:rPr>
        <w:t>现场整体验收</w:t>
      </w:r>
      <w:r>
        <w:rPr>
          <w:color w:val="auto"/>
          <w:kern w:val="0"/>
          <w:szCs w:val="21"/>
          <w:highlight w:val="none"/>
          <w:shd w:val="clear" w:color="auto" w:fill="FFFFFF"/>
        </w:rPr>
        <w:t xml:space="preserve">   </w:t>
      </w:r>
      <w:r>
        <w:rPr>
          <w:color w:val="auto"/>
          <w:highlight w:val="none"/>
          <w:shd w:val="clear" w:color="auto" w:fill="FFFFFF"/>
        </w:rPr>
        <w:sym w:font="Wingdings" w:char="F0A8"/>
      </w:r>
      <w:r>
        <w:rPr>
          <w:rFonts w:hint="eastAsia"/>
          <w:color w:val="auto"/>
          <w:highlight w:val="none"/>
          <w:shd w:val="clear" w:color="auto" w:fill="FFFFFF"/>
        </w:rPr>
        <w:t>考核验收</w:t>
      </w:r>
      <w:r>
        <w:rPr>
          <w:color w:val="auto"/>
          <w:kern w:val="0"/>
          <w:szCs w:val="21"/>
          <w:highlight w:val="none"/>
          <w:shd w:val="clear" w:color="auto" w:fill="FFFFFF"/>
        </w:rPr>
        <w:t xml:space="preserve">   </w:t>
      </w:r>
      <w:r>
        <w:rPr>
          <w:color w:val="auto"/>
          <w:highlight w:val="none"/>
          <w:shd w:val="clear" w:color="auto" w:fill="FFFFFF"/>
        </w:rPr>
        <w:sym w:font="Wingdings" w:char="F0A8"/>
      </w:r>
      <w:r>
        <w:rPr>
          <w:rFonts w:hint="eastAsia"/>
          <w:color w:val="auto"/>
          <w:highlight w:val="none"/>
          <w:shd w:val="clear" w:color="auto" w:fill="FFFFFF"/>
        </w:rPr>
        <w:t>其它验收方式：</w:t>
      </w:r>
      <w:r>
        <w:rPr>
          <w:color w:val="auto"/>
          <w:highlight w:val="none"/>
          <w:u w:val="single"/>
          <w:shd w:val="clear" w:color="auto" w:fill="FFFFFF"/>
        </w:rPr>
        <w:t>***</w:t>
      </w:r>
    </w:p>
    <w:p w14:paraId="5F57696D">
      <w:pPr>
        <w:pStyle w:val="31"/>
        <w:numPr>
          <w:ilvl w:val="0"/>
          <w:numId w:val="23"/>
        </w:numPr>
        <w:ind w:firstLineChars="0"/>
        <w:contextualSpacing/>
        <w:rPr>
          <w:color w:val="auto"/>
          <w:szCs w:val="21"/>
          <w:highlight w:val="none"/>
        </w:rPr>
      </w:pPr>
      <w:r>
        <w:rPr>
          <w:rFonts w:hint="eastAsia"/>
          <w:color w:val="auto"/>
          <w:szCs w:val="21"/>
          <w:highlight w:val="none"/>
        </w:rPr>
        <w:t>履约</w:t>
      </w:r>
      <w:r>
        <w:rPr>
          <w:color w:val="auto"/>
          <w:szCs w:val="21"/>
          <w:highlight w:val="none"/>
        </w:rPr>
        <w:t>验收内容：</w:t>
      </w:r>
      <w:r>
        <w:rPr>
          <w:rFonts w:hint="eastAsia"/>
          <w:color w:val="auto"/>
          <w:szCs w:val="21"/>
          <w:highlight w:val="none"/>
        </w:rPr>
        <w:t>按照甲方的采购文件要求及乙方响应文件响应情况，由乙方向甲方交付的</w:t>
      </w:r>
      <w:r>
        <w:rPr>
          <w:rFonts w:hint="eastAsia"/>
          <w:color w:val="auto"/>
          <w:szCs w:val="21"/>
          <w:highlight w:val="none"/>
          <w:u w:val="single"/>
        </w:rPr>
        <w:t>全部内容</w:t>
      </w:r>
      <w:r>
        <w:rPr>
          <w:rFonts w:hint="eastAsia"/>
          <w:color w:val="auto"/>
          <w:szCs w:val="21"/>
          <w:highlight w:val="none"/>
        </w:rPr>
        <w:t>。</w:t>
      </w:r>
    </w:p>
    <w:p w14:paraId="3B5E4929">
      <w:pPr>
        <w:pStyle w:val="31"/>
        <w:numPr>
          <w:ilvl w:val="0"/>
          <w:numId w:val="23"/>
        </w:numPr>
        <w:ind w:firstLineChars="0"/>
        <w:contextualSpacing/>
        <w:rPr>
          <w:color w:val="auto"/>
          <w:szCs w:val="21"/>
          <w:highlight w:val="none"/>
        </w:rPr>
      </w:pPr>
      <w:r>
        <w:rPr>
          <w:rFonts w:hint="eastAsia"/>
          <w:color w:val="auto"/>
          <w:szCs w:val="21"/>
          <w:highlight w:val="none"/>
        </w:rPr>
        <w:t>履约</w:t>
      </w:r>
      <w:r>
        <w:rPr>
          <w:color w:val="auto"/>
          <w:szCs w:val="21"/>
          <w:highlight w:val="none"/>
        </w:rPr>
        <w:t>验收时间：</w:t>
      </w:r>
    </w:p>
    <w:p w14:paraId="70310E1E">
      <w:pPr>
        <w:pStyle w:val="31"/>
        <w:ind w:left="420" w:leftChars="200" w:firstLine="0" w:firstLineChars="0"/>
        <w:contextualSpacing/>
        <w:rPr>
          <w:rFonts w:hint="eastAsia" w:ascii="Calibri" w:hAnsi="Calibri"/>
          <w:color w:val="auto"/>
          <w:szCs w:val="21"/>
          <w:highlight w:val="none"/>
        </w:rPr>
      </w:pPr>
      <w:r>
        <w:rPr>
          <w:color w:val="auto"/>
          <w:highlight w:val="none"/>
        </w:rPr>
        <w:sym w:font="Wingdings 2" w:char="F052"/>
      </w:r>
      <w:r>
        <w:rPr>
          <w:rFonts w:hint="eastAsia" w:ascii="Times New Roman" w:hAnsi="Times New Roman"/>
          <w:color w:val="auto"/>
          <w:szCs w:val="21"/>
          <w:highlight w:val="none"/>
        </w:rPr>
        <w:t>乙方</w:t>
      </w:r>
      <w:r>
        <w:rPr>
          <w:rFonts w:ascii="Times New Roman" w:hAnsi="Times New Roman"/>
          <w:color w:val="auto"/>
          <w:szCs w:val="21"/>
          <w:highlight w:val="none"/>
        </w:rPr>
        <w:t>完成</w:t>
      </w:r>
      <w:r>
        <w:rPr>
          <w:rFonts w:hint="eastAsia" w:ascii="Times New Roman" w:hAnsi="Times New Roman"/>
          <w:color w:val="auto"/>
          <w:szCs w:val="21"/>
          <w:highlight w:val="none"/>
        </w:rPr>
        <w:t>全部交付</w:t>
      </w:r>
      <w:r>
        <w:rPr>
          <w:rFonts w:ascii="Times New Roman" w:hAnsi="Times New Roman"/>
          <w:color w:val="auto"/>
          <w:szCs w:val="21"/>
          <w:highlight w:val="none"/>
        </w:rPr>
        <w:t>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6818B594">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2" w:char="00A3"/>
      </w:r>
      <w:r>
        <w:rPr>
          <w:rFonts w:ascii="Times New Roman" w:hAnsi="Times New Roman"/>
          <w:color w:val="auto"/>
          <w:szCs w:val="21"/>
          <w:highlight w:val="none"/>
        </w:rPr>
        <w:t>服务期满且</w:t>
      </w:r>
      <w:r>
        <w:rPr>
          <w:rFonts w:hint="eastAsia" w:ascii="Times New Roman" w:hAnsi="Times New Roman"/>
          <w:color w:val="auto"/>
          <w:szCs w:val="21"/>
          <w:highlight w:val="none"/>
        </w:rPr>
        <w:t>乙方</w:t>
      </w:r>
      <w:r>
        <w:rPr>
          <w:rFonts w:ascii="Times New Roman" w:hAnsi="Times New Roman"/>
          <w:color w:val="auto"/>
          <w:szCs w:val="21"/>
          <w:highlight w:val="none"/>
        </w:rPr>
        <w:t>完成所有服务内容后X日内通知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431B5133">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乙方</w:t>
      </w:r>
      <w:r>
        <w:rPr>
          <w:rFonts w:ascii="Times New Roman" w:hAnsi="Times New Roman"/>
          <w:color w:val="auto"/>
          <w:szCs w:val="21"/>
          <w:highlight w:val="none"/>
        </w:rPr>
        <w:t>完成每一阶段或轮次服务内容后X日内通知</w:t>
      </w:r>
      <w:r>
        <w:rPr>
          <w:rFonts w:hint="eastAsia" w:ascii="Times New Roman" w:hAnsi="Times New Roman"/>
          <w:color w:val="auto"/>
          <w:szCs w:val="21"/>
          <w:highlight w:val="none"/>
        </w:rPr>
        <w:t>甲方</w:t>
      </w:r>
      <w:r>
        <w:rPr>
          <w:rFonts w:ascii="Times New Roman" w:hAnsi="Times New Roman"/>
          <w:color w:val="auto"/>
          <w:szCs w:val="21"/>
          <w:highlight w:val="none"/>
        </w:rPr>
        <w:t>验收，</w:t>
      </w:r>
      <w:r>
        <w:rPr>
          <w:rFonts w:hint="eastAsia" w:ascii="Times New Roman" w:hAnsi="Times New Roman"/>
          <w:color w:val="auto"/>
          <w:szCs w:val="21"/>
          <w:highlight w:val="none"/>
        </w:rPr>
        <w:t>甲方</w:t>
      </w:r>
      <w:r>
        <w:rPr>
          <w:rFonts w:ascii="Times New Roman" w:hAnsi="Times New Roman"/>
          <w:color w:val="auto"/>
          <w:szCs w:val="21"/>
          <w:highlight w:val="none"/>
        </w:rPr>
        <w:t>接</w:t>
      </w:r>
      <w:r>
        <w:rPr>
          <w:rFonts w:hint="eastAsia" w:ascii="Times New Roman" w:hAnsi="Times New Roman"/>
          <w:color w:val="auto"/>
          <w:szCs w:val="21"/>
          <w:highlight w:val="none"/>
        </w:rPr>
        <w:t>乙方</w:t>
      </w:r>
      <w:r>
        <w:rPr>
          <w:rFonts w:ascii="Times New Roman" w:hAnsi="Times New Roman"/>
          <w:color w:val="auto"/>
          <w:szCs w:val="21"/>
          <w:highlight w:val="none"/>
        </w:rPr>
        <w:t>通知后X日内组织验收</w:t>
      </w:r>
    </w:p>
    <w:p w14:paraId="7A67A8E6">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甲方</w:t>
      </w:r>
      <w:r>
        <w:rPr>
          <w:rFonts w:ascii="Times New Roman" w:hAnsi="Times New Roman"/>
          <w:color w:val="auto"/>
          <w:szCs w:val="21"/>
          <w:highlight w:val="none"/>
        </w:rPr>
        <w:t>完成考核后X日内组织验收</w:t>
      </w:r>
    </w:p>
    <w:p w14:paraId="777B5BDF">
      <w:pPr>
        <w:pStyle w:val="6"/>
        <w:spacing w:after="0"/>
        <w:ind w:left="420" w:leftChars="200" w:firstLine="0" w:firstLineChars="0"/>
        <w:contextualSpacing/>
        <w:rPr>
          <w:rFonts w:ascii="Times New Roman" w:hAnsi="Times New Roman"/>
          <w:color w:val="auto"/>
          <w:szCs w:val="21"/>
          <w:highlight w:val="none"/>
          <w:shd w:val="clear" w:color="auto" w:fill="FFFFFF"/>
        </w:rPr>
      </w:pPr>
      <w:r>
        <w:rPr>
          <w:rFonts w:ascii="Times New Roman" w:hAnsi="Times New Roman"/>
          <w:color w:val="auto"/>
          <w:szCs w:val="21"/>
          <w:highlight w:val="none"/>
        </w:rPr>
        <w:sym w:font="Wingdings" w:char="F0A8"/>
      </w:r>
      <w:r>
        <w:rPr>
          <w:rFonts w:ascii="Times New Roman" w:hAnsi="Times New Roman"/>
          <w:color w:val="auto"/>
          <w:szCs w:val="21"/>
          <w:highlight w:val="none"/>
        </w:rPr>
        <w:t xml:space="preserve">其它验收时间：            </w:t>
      </w:r>
    </w:p>
    <w:p w14:paraId="2884F962">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是否邀请本项目的其他供应商：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06772A97">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是否邀请专家：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412D0514">
      <w:pPr>
        <w:pStyle w:val="31"/>
        <w:numPr>
          <w:ilvl w:val="0"/>
          <w:numId w:val="23"/>
        </w:numPr>
        <w:ind w:firstLineChars="0"/>
        <w:contextualSpacing/>
        <w:rPr>
          <w:color w:val="auto"/>
          <w:szCs w:val="21"/>
          <w:highlight w:val="none"/>
        </w:rPr>
      </w:pPr>
      <w:r>
        <w:rPr>
          <w:rFonts w:hint="eastAsia"/>
          <w:color w:val="auto"/>
          <w:szCs w:val="21"/>
          <w:highlight w:val="none"/>
        </w:rPr>
        <w:t xml:space="preserve">是否邀请服务对象：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112C2211">
      <w:pPr>
        <w:pStyle w:val="31"/>
        <w:numPr>
          <w:ilvl w:val="0"/>
          <w:numId w:val="23"/>
        </w:numPr>
        <w:ind w:firstLineChars="0"/>
        <w:contextualSpacing/>
        <w:rPr>
          <w:color w:val="auto"/>
          <w:szCs w:val="21"/>
          <w:highlight w:val="none"/>
        </w:rPr>
      </w:pPr>
      <w:r>
        <w:rPr>
          <w:color w:val="auto"/>
          <w:szCs w:val="21"/>
          <w:highlight w:val="none"/>
        </w:rPr>
        <w:t>是否</w:t>
      </w:r>
      <w:r>
        <w:rPr>
          <w:rFonts w:hint="eastAsia"/>
          <w:color w:val="auto"/>
          <w:szCs w:val="21"/>
          <w:highlight w:val="none"/>
        </w:rPr>
        <w:t>邀请</w:t>
      </w:r>
      <w:r>
        <w:rPr>
          <w:color w:val="auto"/>
          <w:szCs w:val="21"/>
          <w:highlight w:val="none"/>
        </w:rPr>
        <w:t>第三方检测机构：</w:t>
      </w:r>
      <w:r>
        <w:rPr>
          <w:color w:val="auto"/>
          <w:kern w:val="0"/>
          <w:highlight w:val="none"/>
          <w:shd w:val="clear" w:color="auto" w:fill="FFFFFF"/>
        </w:rPr>
        <w:t xml:space="preserve"> </w:t>
      </w:r>
      <w:r>
        <w:rPr>
          <w:color w:val="auto"/>
          <w:kern w:val="0"/>
          <w:highlight w:val="none"/>
          <w:shd w:val="clear" w:color="auto" w:fill="FFFFFF"/>
        </w:rPr>
        <w:sym w:font="Wingdings" w:char="F0A8"/>
      </w:r>
      <w:r>
        <w:rPr>
          <w:color w:val="auto"/>
          <w:szCs w:val="21"/>
          <w:highlight w:val="none"/>
          <w:shd w:val="clear" w:color="auto" w:fill="FFFFFF"/>
        </w:rPr>
        <w:t xml:space="preserve">是   </w:t>
      </w:r>
      <w:r>
        <w:rPr>
          <w:color w:val="auto"/>
          <w:kern w:val="0"/>
          <w:highlight w:val="none"/>
        </w:rPr>
        <w:sym w:font="Wingdings 2" w:char="F052"/>
      </w:r>
      <w:r>
        <w:rPr>
          <w:color w:val="auto"/>
          <w:szCs w:val="21"/>
          <w:highlight w:val="none"/>
          <w:shd w:val="clear" w:color="auto" w:fill="FFFFFF"/>
        </w:rPr>
        <w:t>否</w:t>
      </w:r>
    </w:p>
    <w:p w14:paraId="6CB0601B">
      <w:pPr>
        <w:pStyle w:val="31"/>
        <w:numPr>
          <w:ilvl w:val="0"/>
          <w:numId w:val="23"/>
        </w:numPr>
        <w:ind w:firstLineChars="0"/>
        <w:contextualSpacing/>
        <w:rPr>
          <w:color w:val="auto"/>
          <w:szCs w:val="21"/>
          <w:highlight w:val="none"/>
        </w:rPr>
      </w:pPr>
      <w:r>
        <w:rPr>
          <w:color w:val="auto"/>
          <w:szCs w:val="21"/>
          <w:highlight w:val="none"/>
        </w:rPr>
        <w:t>验收标准：</w:t>
      </w:r>
    </w:p>
    <w:p w14:paraId="180C8296">
      <w:pPr>
        <w:pStyle w:val="6"/>
        <w:numPr>
          <w:ilvl w:val="0"/>
          <w:numId w:val="24"/>
        </w:numPr>
        <w:spacing w:after="0"/>
        <w:ind w:firstLineChars="0"/>
        <w:contextualSpacing/>
        <w:rPr>
          <w:rFonts w:ascii="Times New Roman" w:hAnsi="Times New Roman"/>
          <w:color w:val="auto"/>
          <w:szCs w:val="21"/>
          <w:highlight w:val="none"/>
          <w:shd w:val="clear" w:color="auto" w:fill="auto"/>
        </w:rPr>
      </w:pPr>
      <w:r>
        <w:rPr>
          <w:rFonts w:ascii="Times New Roman" w:hAnsi="Times New Roman"/>
          <w:color w:val="auto"/>
          <w:szCs w:val="21"/>
          <w:highlight w:val="none"/>
          <w:shd w:val="clear" w:color="auto" w:fill="FFFFFF"/>
        </w:rPr>
        <w:t>国家相关法律法规、行业标准、技术规范。</w:t>
      </w:r>
    </w:p>
    <w:p w14:paraId="289C6D86">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甲方采购</w:t>
      </w:r>
      <w:r>
        <w:rPr>
          <w:rFonts w:ascii="Times New Roman" w:hAnsi="Times New Roman"/>
          <w:color w:val="auto"/>
          <w:szCs w:val="21"/>
          <w:highlight w:val="none"/>
        </w:rPr>
        <w:t>文件相关技术、服务要求、</w:t>
      </w:r>
      <w:r>
        <w:rPr>
          <w:rFonts w:hint="eastAsia" w:ascii="Times New Roman" w:hAnsi="Times New Roman"/>
          <w:color w:val="auto"/>
          <w:szCs w:val="21"/>
          <w:highlight w:val="none"/>
        </w:rPr>
        <w:t>乙方响应</w:t>
      </w:r>
      <w:r>
        <w:rPr>
          <w:rFonts w:ascii="Times New Roman" w:hAnsi="Times New Roman"/>
          <w:color w:val="auto"/>
          <w:szCs w:val="21"/>
          <w:highlight w:val="none"/>
        </w:rPr>
        <w:t>文件相关响应内容。</w:t>
      </w:r>
    </w:p>
    <w:p w14:paraId="369E5D17">
      <w:pPr>
        <w:pStyle w:val="6"/>
        <w:numPr>
          <w:ilvl w:val="0"/>
          <w:numId w:val="24"/>
        </w:numPr>
        <w:spacing w:after="0"/>
        <w:ind w:firstLineChars="0"/>
        <w:contextualSpacing/>
        <w:rPr>
          <w:rFonts w:hint="eastAsia" w:ascii="Times New Roman" w:hAnsi="Times New Roman"/>
          <w:color w:val="auto"/>
          <w:szCs w:val="21"/>
          <w:highlight w:val="none"/>
        </w:rPr>
      </w:pPr>
      <w:r>
        <w:rPr>
          <w:rFonts w:hint="eastAsia" w:ascii="Times New Roman" w:hAnsi="Times New Roman"/>
          <w:color w:val="auto"/>
          <w:szCs w:val="21"/>
          <w:highlight w:val="none"/>
        </w:rPr>
        <w:t>产品生产厂家出具的产品说明书、技术白皮书等官方技术资料（如涉及）。</w:t>
      </w:r>
    </w:p>
    <w:p w14:paraId="4143CD38">
      <w:pPr>
        <w:pStyle w:val="6"/>
        <w:numPr>
          <w:ilvl w:val="0"/>
          <w:numId w:val="24"/>
        </w:numPr>
        <w:spacing w:after="0"/>
        <w:ind w:firstLineChars="0"/>
        <w:contextualSpacing/>
        <w:rPr>
          <w:rFonts w:ascii="Times New Roman" w:hAnsi="Times New Roman"/>
          <w:color w:val="auto"/>
          <w:szCs w:val="21"/>
          <w:highlight w:val="none"/>
        </w:rPr>
      </w:pPr>
      <w:r>
        <w:rPr>
          <w:rFonts w:ascii="Times New Roman" w:hAnsi="Times New Roman"/>
          <w:color w:val="auto"/>
          <w:szCs w:val="21"/>
          <w:highlight w:val="none"/>
        </w:rPr>
        <w:t>如验收时，</w:t>
      </w:r>
      <w:r>
        <w:rPr>
          <w:rFonts w:hint="eastAsia" w:ascii="Times New Roman" w:hAnsi="Times New Roman"/>
          <w:color w:val="auto"/>
          <w:szCs w:val="21"/>
          <w:highlight w:val="none"/>
        </w:rPr>
        <w:t>甲方</w:t>
      </w:r>
      <w:r>
        <w:rPr>
          <w:rFonts w:ascii="Times New Roman" w:hAnsi="Times New Roman"/>
          <w:color w:val="auto"/>
          <w:szCs w:val="21"/>
          <w:highlight w:val="none"/>
        </w:rPr>
        <w:t>与</w:t>
      </w:r>
      <w:r>
        <w:rPr>
          <w:rFonts w:hint="eastAsia" w:ascii="Times New Roman" w:hAnsi="Times New Roman"/>
          <w:color w:val="auto"/>
          <w:szCs w:val="21"/>
          <w:highlight w:val="none"/>
        </w:rPr>
        <w:t>乙方</w:t>
      </w:r>
      <w:r>
        <w:rPr>
          <w:rFonts w:ascii="Times New Roman" w:hAnsi="Times New Roman"/>
          <w:color w:val="auto"/>
          <w:szCs w:val="21"/>
          <w:highlight w:val="none"/>
        </w:rPr>
        <w:t>认为本项目验收标准中的技术指标、质量要求等内容存在相互抵触或对其理解存在异议，应按照其中更严格的要求、标准等进行验收。</w:t>
      </w:r>
    </w:p>
    <w:p w14:paraId="734532CB">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参照</w:t>
      </w:r>
      <w:r>
        <w:rPr>
          <w:rFonts w:ascii="Times New Roman" w:hAnsi="Times New Roman"/>
          <w:color w:val="auto"/>
          <w:szCs w:val="21"/>
          <w:highlight w:val="none"/>
        </w:rPr>
        <w:t>《财政部关于进一步加强政府采购需求和履约验收管理的指导意见》（财库〔2016〕205号）的要求进行验收。</w:t>
      </w:r>
    </w:p>
    <w:p w14:paraId="7E2FE8FA">
      <w:pPr>
        <w:pStyle w:val="6"/>
        <w:numPr>
          <w:ilvl w:val="0"/>
          <w:numId w:val="24"/>
        </w:numPr>
        <w:spacing w:after="0"/>
        <w:ind w:firstLineChars="0"/>
        <w:contextualSpacing/>
        <w:rPr>
          <w:rFonts w:ascii="Times New Roman" w:hAnsi="Times New Roman"/>
          <w:color w:val="auto"/>
          <w:szCs w:val="21"/>
          <w:highlight w:val="none"/>
        </w:rPr>
      </w:pPr>
      <w:r>
        <w:rPr>
          <w:rFonts w:ascii="Times New Roman" w:hAnsi="Times New Roman"/>
          <w:color w:val="auto"/>
          <w:szCs w:val="21"/>
          <w:highlight w:val="none"/>
        </w:rPr>
        <w:t>如本项目验收方式为考核验收，则考核结果须为合格。</w:t>
      </w:r>
    </w:p>
    <w:p w14:paraId="200B6B22">
      <w:pPr>
        <w:pStyle w:val="6"/>
        <w:numPr>
          <w:ilvl w:val="0"/>
          <w:numId w:val="24"/>
        </w:numPr>
        <w:spacing w:after="0"/>
        <w:ind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其它标准：</w:t>
      </w:r>
      <w:r>
        <w:rPr>
          <w:rFonts w:hint="eastAsia" w:ascii="Times New Roman" w:hAnsi="Times New Roman"/>
          <w:color w:val="auto"/>
          <w:szCs w:val="21"/>
          <w:highlight w:val="none"/>
          <w:u w:val="single"/>
        </w:rPr>
        <w:t>无。</w:t>
      </w:r>
    </w:p>
    <w:p w14:paraId="0F0829AE">
      <w:pPr>
        <w:pStyle w:val="31"/>
        <w:numPr>
          <w:ilvl w:val="0"/>
          <w:numId w:val="23"/>
        </w:numPr>
        <w:ind w:firstLineChars="0"/>
        <w:contextualSpacing/>
        <w:rPr>
          <w:color w:val="auto"/>
          <w:szCs w:val="21"/>
          <w:highlight w:val="none"/>
        </w:rPr>
      </w:pPr>
      <w:r>
        <w:rPr>
          <w:color w:val="auto"/>
          <w:szCs w:val="21"/>
          <w:highlight w:val="none"/>
        </w:rPr>
        <w:t>其它验收要求：</w:t>
      </w:r>
      <w:r>
        <w:rPr>
          <w:color w:val="auto"/>
          <w:kern w:val="0"/>
          <w:szCs w:val="21"/>
          <w:highlight w:val="none"/>
          <w:u w:val="single"/>
        </w:rPr>
        <w:t>无</w:t>
      </w:r>
      <w:r>
        <w:rPr>
          <w:i/>
          <w:iCs/>
          <w:color w:val="auto"/>
          <w:kern w:val="0"/>
          <w:szCs w:val="21"/>
          <w:highlight w:val="none"/>
        </w:rPr>
        <w:t>&lt;如有请填写&gt;</w:t>
      </w:r>
    </w:p>
    <w:p w14:paraId="57A5D5D0">
      <w:pPr>
        <w:pStyle w:val="31"/>
        <w:numPr>
          <w:ilvl w:val="0"/>
          <w:numId w:val="22"/>
        </w:numPr>
        <w:ind w:left="0" w:firstLine="0" w:firstLineChars="0"/>
        <w:contextualSpacing/>
        <w:rPr>
          <w:rFonts w:ascii="Times New Roman" w:hAnsi="Times New Roman"/>
          <w:color w:val="auto"/>
          <w:szCs w:val="21"/>
          <w:highlight w:val="none"/>
        </w:rPr>
      </w:pPr>
      <w:r>
        <w:rPr>
          <w:rFonts w:hint="eastAsia" w:ascii="Times New Roman" w:hAnsi="Times New Roman"/>
          <w:color w:val="auto"/>
          <w:szCs w:val="21"/>
          <w:highlight w:val="none"/>
        </w:rPr>
        <w:t>乙方按照本合同向甲方交付的软件：</w:t>
      </w:r>
      <w:bookmarkStart w:id="38" w:name="OLE_LINK3"/>
      <w:r>
        <w:rPr>
          <w:rFonts w:hint="eastAsia" w:ascii="Times New Roman" w:hAnsi="Times New Roman"/>
          <w:i/>
          <w:iCs/>
          <w:color w:val="auto"/>
          <w:szCs w:val="21"/>
          <w:highlight w:val="none"/>
        </w:rPr>
        <w:t>&lt;根据项目实际情况选择</w:t>
      </w:r>
      <w:bookmarkEnd w:id="38"/>
      <w:r>
        <w:rPr>
          <w:rFonts w:hint="eastAsia" w:ascii="Times New Roman" w:hAnsi="Times New Roman"/>
          <w:i/>
          <w:iCs/>
          <w:color w:val="auto"/>
          <w:szCs w:val="21"/>
          <w:highlight w:val="none"/>
        </w:rPr>
        <w:t>&gt;</w:t>
      </w:r>
    </w:p>
    <w:p w14:paraId="6353CF79">
      <w:pPr>
        <w:pStyle w:val="31"/>
        <w:ind w:left="315" w:leftChars="150" w:firstLine="0" w:firstLineChars="0"/>
        <w:rPr>
          <w:rFonts w:ascii="Times New Roman" w:hAnsi="Times New Roman"/>
          <w:color w:val="auto"/>
          <w:szCs w:val="21"/>
          <w:highlight w:val="none"/>
          <w:u w:val="single"/>
        </w:rPr>
      </w:pPr>
      <w:r>
        <w:rPr>
          <w:rFonts w:hint="eastAsia" w:ascii="Times New Roman" w:hAnsi="Times New Roman"/>
          <w:color w:val="auto"/>
          <w:szCs w:val="21"/>
          <w:highlight w:val="none"/>
        </w:rPr>
        <w:sym w:font="Wingdings 2" w:char="00A3"/>
      </w:r>
      <w:r>
        <w:rPr>
          <w:rFonts w:hint="eastAsia" w:ascii="Times New Roman" w:hAnsi="Times New Roman"/>
          <w:color w:val="auto"/>
          <w:szCs w:val="21"/>
          <w:highlight w:val="none"/>
          <w:u w:val="single"/>
        </w:rPr>
        <w:t>有试运行期</w:t>
      </w:r>
      <w:r>
        <w:rPr>
          <w:rFonts w:hint="eastAsia" w:ascii="Times New Roman" w:hAnsi="Times New Roman"/>
          <w:color w:val="auto"/>
          <w:szCs w:val="21"/>
          <w:highlight w:val="none"/>
        </w:rPr>
        <w:t>，试运行期为*</w:t>
      </w:r>
      <w:r>
        <w:rPr>
          <w:rFonts w:ascii="Times New Roman" w:hAnsi="Times New Roman"/>
          <w:color w:val="auto"/>
          <w:szCs w:val="21"/>
          <w:highlight w:val="none"/>
        </w:rPr>
        <w:t>**</w:t>
      </w:r>
      <w:r>
        <w:rPr>
          <w:rFonts w:hint="eastAsia" w:ascii="Times New Roman" w:hAnsi="Times New Roman"/>
          <w:color w:val="auto"/>
          <w:szCs w:val="21"/>
          <w:highlight w:val="none"/>
        </w:rPr>
        <w:t>，</w:t>
      </w:r>
      <w:r>
        <w:rPr>
          <w:rFonts w:ascii="Times New Roman" w:hAnsi="Times New Roman"/>
          <w:color w:val="auto"/>
          <w:szCs w:val="21"/>
          <w:highlight w:val="none"/>
        </w:rPr>
        <w:t>试运行期间，如发现软件有缺陷，或性能和质量不</w:t>
      </w:r>
      <w:r>
        <w:rPr>
          <w:rFonts w:hint="eastAsia" w:ascii="Times New Roman" w:hAnsi="Times New Roman"/>
          <w:color w:val="auto"/>
          <w:szCs w:val="21"/>
          <w:highlight w:val="none"/>
        </w:rPr>
        <w:t>符合本项目</w:t>
      </w:r>
      <w:r>
        <w:rPr>
          <w:rFonts w:ascii="Times New Roman" w:hAnsi="Times New Roman"/>
          <w:color w:val="auto"/>
          <w:szCs w:val="21"/>
          <w:highlight w:val="none"/>
        </w:rPr>
        <w:t>要求</w:t>
      </w:r>
      <w:r>
        <w:rPr>
          <w:rFonts w:hint="eastAsia" w:ascii="Times New Roman" w:hAnsi="Times New Roman"/>
          <w:color w:val="auto"/>
          <w:szCs w:val="21"/>
          <w:highlight w:val="none"/>
        </w:rPr>
        <w:t>时</w:t>
      </w:r>
      <w:r>
        <w:rPr>
          <w:rFonts w:ascii="Times New Roman" w:hAnsi="Times New Roman"/>
          <w:color w:val="auto"/>
          <w:szCs w:val="21"/>
          <w:highlight w:val="none"/>
        </w:rPr>
        <w:t>，</w:t>
      </w:r>
      <w:r>
        <w:rPr>
          <w:rFonts w:hint="eastAsia" w:ascii="Times New Roman" w:hAnsi="Times New Roman"/>
          <w:color w:val="auto"/>
          <w:szCs w:val="21"/>
          <w:highlight w:val="none"/>
        </w:rPr>
        <w:t>乙方须对相关问题进行修改和更正，同时试运行期时限按照上述修改、更正期进行相应顺延。</w:t>
      </w:r>
    </w:p>
    <w:p w14:paraId="420DE748">
      <w:pPr>
        <w:pStyle w:val="31"/>
        <w:ind w:left="315" w:leftChars="15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sym w:font="Wingdings 2" w:char="0052"/>
      </w:r>
      <w:r>
        <w:rPr>
          <w:rFonts w:hint="eastAsia" w:ascii="Times New Roman" w:hAnsi="Times New Roman"/>
          <w:color w:val="auto"/>
          <w:szCs w:val="21"/>
          <w:highlight w:val="none"/>
          <w:u w:val="single"/>
        </w:rPr>
        <w:t>无试运行期</w:t>
      </w:r>
    </w:p>
    <w:p w14:paraId="0B423869">
      <w:pPr>
        <w:pStyle w:val="31"/>
        <w:numPr>
          <w:ilvl w:val="0"/>
          <w:numId w:val="22"/>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若验收交付内容涉及试运行的，经试运行达到设计使用要求、技术质量标准并经甲方认可后视为验收通过。</w:t>
      </w:r>
    </w:p>
    <w:p w14:paraId="769BE0E1">
      <w:pPr>
        <w:pStyle w:val="31"/>
        <w:numPr>
          <w:ilvl w:val="0"/>
          <w:numId w:val="2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如验收合格，双方签署验收报告</w:t>
      </w:r>
      <w:r>
        <w:rPr>
          <w:rFonts w:hint="eastAsia" w:ascii="Times New Roman" w:hAnsi="Times New Roman"/>
          <w:color w:val="auto"/>
          <w:szCs w:val="21"/>
          <w:highlight w:val="none"/>
        </w:rPr>
        <w:t>；</w:t>
      </w:r>
      <w:r>
        <w:rPr>
          <w:rFonts w:ascii="Times New Roman" w:hAnsi="Times New Roman"/>
          <w:color w:val="auto"/>
          <w:szCs w:val="21"/>
          <w:highlight w:val="none"/>
        </w:rPr>
        <w:t>如</w:t>
      </w:r>
      <w:r>
        <w:rPr>
          <w:rFonts w:hint="eastAsia" w:ascii="Times New Roman" w:hAnsi="Times New Roman"/>
          <w:color w:val="auto"/>
          <w:szCs w:val="21"/>
          <w:highlight w:val="none"/>
        </w:rPr>
        <w:t>验收不合格</w:t>
      </w:r>
      <w:r>
        <w:rPr>
          <w:rFonts w:ascii="Times New Roman" w:hAnsi="Times New Roman"/>
          <w:color w:val="auto"/>
          <w:szCs w:val="21"/>
          <w:highlight w:val="none"/>
        </w:rPr>
        <w:t>，甲方应</w:t>
      </w:r>
      <w:r>
        <w:rPr>
          <w:rFonts w:hint="eastAsia" w:ascii="Times New Roman" w:hAnsi="Times New Roman"/>
          <w:color w:val="auto"/>
          <w:szCs w:val="21"/>
          <w:highlight w:val="none"/>
        </w:rPr>
        <w:t>进行</w:t>
      </w:r>
      <w:r>
        <w:rPr>
          <w:rFonts w:ascii="Times New Roman" w:hAnsi="Times New Roman"/>
          <w:color w:val="auto"/>
          <w:szCs w:val="21"/>
          <w:highlight w:val="none"/>
        </w:rPr>
        <w:t>详尽的</w:t>
      </w:r>
      <w:r>
        <w:rPr>
          <w:rFonts w:hint="eastAsia" w:ascii="Times New Roman" w:hAnsi="Times New Roman"/>
          <w:color w:val="auto"/>
          <w:szCs w:val="21"/>
          <w:highlight w:val="none"/>
        </w:rPr>
        <w:t>现场</w:t>
      </w:r>
      <w:r>
        <w:rPr>
          <w:rFonts w:ascii="Times New Roman" w:hAnsi="Times New Roman"/>
          <w:color w:val="auto"/>
          <w:szCs w:val="21"/>
          <w:highlight w:val="none"/>
        </w:rPr>
        <w:t>记录，或由甲乙双方签署备忘录，此现场记录或备忘录可用作</w:t>
      </w:r>
      <w:r>
        <w:rPr>
          <w:rFonts w:hint="eastAsia" w:ascii="Times New Roman" w:hAnsi="Times New Roman"/>
          <w:color w:val="auto"/>
          <w:szCs w:val="21"/>
          <w:highlight w:val="none"/>
        </w:rPr>
        <w:t>修改和更正相关问题</w:t>
      </w:r>
      <w:r>
        <w:rPr>
          <w:rFonts w:ascii="Times New Roman" w:hAnsi="Times New Roman"/>
          <w:color w:val="auto"/>
          <w:szCs w:val="21"/>
          <w:highlight w:val="none"/>
        </w:rPr>
        <w:t>的有效证据，由此产生的时间延误与</w:t>
      </w:r>
      <w:r>
        <w:rPr>
          <w:rFonts w:hint="eastAsia" w:ascii="Times New Roman" w:hAnsi="Times New Roman"/>
          <w:color w:val="auto"/>
          <w:szCs w:val="21"/>
          <w:highlight w:val="none"/>
        </w:rPr>
        <w:t>经济损失</w:t>
      </w:r>
      <w:r>
        <w:rPr>
          <w:rFonts w:ascii="Times New Roman" w:hAnsi="Times New Roman"/>
          <w:color w:val="auto"/>
          <w:szCs w:val="21"/>
          <w:highlight w:val="none"/>
        </w:rPr>
        <w:t>由乙方承担，验收期限相应顺延</w:t>
      </w:r>
      <w:r>
        <w:rPr>
          <w:rFonts w:hint="eastAsia" w:ascii="Times New Roman" w:hAnsi="Times New Roman"/>
          <w:color w:val="auto"/>
          <w:szCs w:val="21"/>
          <w:highlight w:val="none"/>
        </w:rPr>
        <w:t>，且</w:t>
      </w:r>
      <w:r>
        <w:rPr>
          <w:rFonts w:ascii="Times New Roman" w:hAnsi="Times New Roman"/>
          <w:color w:val="auto"/>
          <w:szCs w:val="21"/>
          <w:highlight w:val="none"/>
        </w:rPr>
        <w:t>甲方有权拒绝签署验收报告，</w:t>
      </w:r>
      <w:r>
        <w:rPr>
          <w:rFonts w:hint="eastAsia" w:ascii="Times New Roman" w:hAnsi="Times New Roman"/>
          <w:color w:val="auto"/>
          <w:szCs w:val="21"/>
          <w:highlight w:val="none"/>
        </w:rPr>
        <w:t>并</w:t>
      </w:r>
      <w:r>
        <w:rPr>
          <w:rFonts w:ascii="Times New Roman" w:hAnsi="Times New Roman"/>
          <w:color w:val="auto"/>
          <w:szCs w:val="21"/>
          <w:highlight w:val="none"/>
        </w:rPr>
        <w:t>要求乙方无条件</w:t>
      </w:r>
      <w:r>
        <w:rPr>
          <w:rFonts w:hint="eastAsia" w:ascii="Times New Roman" w:hAnsi="Times New Roman"/>
          <w:color w:val="auto"/>
          <w:szCs w:val="21"/>
          <w:highlight w:val="none"/>
        </w:rPr>
        <w:t>修改和更正</w:t>
      </w:r>
      <w:r>
        <w:rPr>
          <w:rFonts w:ascii="Times New Roman" w:hAnsi="Times New Roman"/>
          <w:color w:val="auto"/>
          <w:szCs w:val="21"/>
          <w:highlight w:val="none"/>
        </w:rPr>
        <w:t>，</w:t>
      </w:r>
      <w:r>
        <w:rPr>
          <w:rFonts w:hint="eastAsia" w:ascii="Times New Roman" w:hAnsi="Times New Roman"/>
          <w:color w:val="auto"/>
          <w:szCs w:val="21"/>
          <w:highlight w:val="none"/>
        </w:rPr>
        <w:t>而后进行再次验收，乙方应承担因此额外产生的全部费用。如果仍不合格，甲方有权终止本合同并视作乙方不能交付而须支付合同总价</w:t>
      </w:r>
      <w:r>
        <w:rPr>
          <w:rFonts w:hint="eastAsia" w:ascii="Times New Roman" w:hAnsi="Times New Roman"/>
          <w:color w:val="auto"/>
          <w:szCs w:val="21"/>
          <w:highlight w:val="none"/>
          <w:lang w:val="en-US" w:eastAsia="zh-CN"/>
        </w:rPr>
        <w:t>10</w:t>
      </w:r>
      <w:r>
        <w:rPr>
          <w:rFonts w:ascii="Times New Roman" w:hAnsi="Times New Roman"/>
          <w:color w:val="auto"/>
          <w:szCs w:val="21"/>
          <w:highlight w:val="none"/>
        </w:rPr>
        <w:t>%的</w:t>
      </w:r>
      <w:r>
        <w:rPr>
          <w:rFonts w:hint="eastAsia" w:ascii="Times New Roman" w:hAnsi="Times New Roman"/>
          <w:color w:val="auto"/>
          <w:szCs w:val="21"/>
          <w:highlight w:val="none"/>
        </w:rPr>
        <w:t>违约金给甲方，违约金不能弥补甲方损失的，乙方应全额赔偿。</w:t>
      </w:r>
    </w:p>
    <w:p w14:paraId="679F49BF">
      <w:pPr>
        <w:pStyle w:val="31"/>
        <w:numPr>
          <w:ilvl w:val="0"/>
          <w:numId w:val="17"/>
        </w:numPr>
        <w:snapToGrid w:val="0"/>
        <w:ind w:firstLineChars="0"/>
        <w:rPr>
          <w:rFonts w:hint="eastAsia" w:ascii="Times New Roman" w:hAnsi="Times New Roman"/>
          <w:b/>
          <w:bCs/>
          <w:color w:val="auto"/>
          <w:szCs w:val="21"/>
          <w:highlight w:val="none"/>
        </w:rPr>
      </w:pPr>
      <w:r>
        <w:rPr>
          <w:rFonts w:ascii="Times New Roman" w:hAnsi="Times New Roman"/>
          <w:b/>
          <w:bCs/>
          <w:color w:val="auto"/>
          <w:szCs w:val="21"/>
          <w:highlight w:val="none"/>
        </w:rPr>
        <w:t>知识产权</w:t>
      </w:r>
      <w:r>
        <w:rPr>
          <w:rFonts w:hint="eastAsia" w:ascii="Times New Roman" w:hAnsi="Times New Roman"/>
          <w:b/>
          <w:bCs/>
          <w:color w:val="auto"/>
          <w:szCs w:val="21"/>
          <w:highlight w:val="none"/>
        </w:rPr>
        <w:t>及保密</w:t>
      </w:r>
    </w:p>
    <w:p w14:paraId="28504FFE">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甲、乙双方确定，因履行本合同所产生的开发成果及其相关知识产权归属</w:t>
      </w:r>
      <w:r>
        <w:rPr>
          <w:rFonts w:hint="eastAsia" w:ascii="Times New Roman" w:hAnsi="Times New Roman"/>
          <w:color w:val="auto"/>
          <w:szCs w:val="21"/>
          <w:highlight w:val="none"/>
          <w:u w:val="single"/>
        </w:rPr>
        <w:t>甲方所有</w:t>
      </w:r>
      <w:r>
        <w:rPr>
          <w:rFonts w:hint="eastAsia" w:ascii="Times New Roman" w:hAnsi="Times New Roman"/>
          <w:color w:val="auto"/>
          <w:szCs w:val="21"/>
          <w:highlight w:val="none"/>
        </w:rPr>
        <w:t>。</w:t>
      </w:r>
    </w:p>
    <w:p w14:paraId="03517BCD">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乙方不得在向甲方交付开发成果之前，自行将开发成果转让给第三方。</w:t>
      </w:r>
    </w:p>
    <w:p w14:paraId="22B35448">
      <w:pPr>
        <w:pStyle w:val="31"/>
        <w:numPr>
          <w:ilvl w:val="0"/>
          <w:numId w:val="25"/>
        </w:numPr>
        <w:ind w:left="0" w:firstLine="0"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17B35C2F">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甲、乙双方确定，甲方有权利用乙方按照本合同约定提供的产品，进行后续改进，由此产生的具有实质性或创造性技术进步特征的新的技术成果及其权利归属，由甲方享有。</w:t>
      </w:r>
    </w:p>
    <w:p w14:paraId="30830834">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甲、乙双方确定，本合同价格已</w:t>
      </w:r>
      <w:r>
        <w:rPr>
          <w:rFonts w:ascii="Times New Roman" w:hAnsi="Times New Roman"/>
          <w:color w:val="auto"/>
          <w:szCs w:val="21"/>
          <w:highlight w:val="none"/>
        </w:rPr>
        <w:t>包含向</w:t>
      </w:r>
      <w:r>
        <w:rPr>
          <w:rFonts w:hint="eastAsia" w:ascii="Times New Roman" w:hAnsi="Times New Roman"/>
          <w:color w:val="auto"/>
          <w:szCs w:val="21"/>
          <w:highlight w:val="none"/>
        </w:rPr>
        <w:t>本合同涉及的相关</w:t>
      </w:r>
      <w:r>
        <w:rPr>
          <w:rFonts w:ascii="Times New Roman" w:hAnsi="Times New Roman"/>
          <w:color w:val="auto"/>
          <w:szCs w:val="21"/>
          <w:highlight w:val="none"/>
        </w:rPr>
        <w:t>所有权人支付的专利权、商标权或其他知识产权的有关费用及税费。</w:t>
      </w:r>
    </w:p>
    <w:p w14:paraId="5AB91688">
      <w:pPr>
        <w:pStyle w:val="31"/>
        <w:numPr>
          <w:ilvl w:val="0"/>
          <w:numId w:val="25"/>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甲乙双方均应对本合同内容，包括但不限于项目关键技术、实施方案等予以保密，非经双方一致同意，任何一方不得将协议内容泄露、提供给第三方或用作其他不正当用途。</w:t>
      </w:r>
    </w:p>
    <w:p w14:paraId="5DCC8AA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付款方式</w:t>
      </w:r>
    </w:p>
    <w:p w14:paraId="0E302F76">
      <w:pPr>
        <w:pStyle w:val="31"/>
        <w:numPr>
          <w:ilvl w:val="0"/>
          <w:numId w:val="26"/>
        </w:numPr>
        <w:ind w:firstLineChars="0"/>
        <w:rPr>
          <w:rFonts w:ascii="Times New Roman" w:hAnsi="Times New Roman"/>
          <w:color w:val="auto"/>
          <w:szCs w:val="21"/>
          <w:highlight w:val="none"/>
        </w:rPr>
      </w:pPr>
      <w:r>
        <w:rPr>
          <w:rFonts w:hint="eastAsia" w:ascii="Times New Roman" w:hAnsi="Times New Roman"/>
          <w:color w:val="auto"/>
          <w:szCs w:val="21"/>
          <w:highlight w:val="none"/>
        </w:rPr>
        <w:t>履约保证金：</w:t>
      </w:r>
    </w:p>
    <w:p w14:paraId="765B9A36">
      <w:pPr>
        <w:pStyle w:val="6"/>
        <w:spacing w:after="0"/>
        <w:ind w:left="420" w:leftChars="200" w:firstLine="0" w:firstLineChars="0"/>
        <w:contextualSpacing/>
        <w:rPr>
          <w:rFonts w:hint="eastAsia" w:ascii="Times New Roman" w:hAnsi="Times New Roman"/>
          <w:color w:val="auto"/>
          <w:szCs w:val="21"/>
          <w:highlight w:val="none"/>
        </w:rPr>
      </w:pPr>
      <w:r>
        <w:rPr>
          <w:rFonts w:ascii="Times New Roman" w:hAnsi="Times New Roman"/>
          <w:color w:val="auto"/>
          <w:szCs w:val="21"/>
          <w:highlight w:val="none"/>
        </w:rPr>
        <w:sym w:font="Wingdings 2" w:char="F052"/>
      </w:r>
      <w:r>
        <w:rPr>
          <w:rFonts w:ascii="Times New Roman" w:hAnsi="Times New Roman"/>
          <w:color w:val="auto"/>
          <w:szCs w:val="21"/>
          <w:highlight w:val="none"/>
        </w:rPr>
        <w:t>乙方在合同签订生效之日起的***个工作日内，按合同总价***%支付履约保证金</w:t>
      </w:r>
      <w:r>
        <w:rPr>
          <w:rFonts w:hint="eastAsia" w:ascii="Times New Roman" w:hAnsi="Times New Roman"/>
          <w:color w:val="auto"/>
          <w:szCs w:val="21"/>
          <w:highlight w:val="none"/>
        </w:rPr>
        <w:t>；项目</w:t>
      </w:r>
      <w:r>
        <w:rPr>
          <w:rFonts w:ascii="Times New Roman" w:hAnsi="Times New Roman"/>
          <w:color w:val="auto"/>
          <w:szCs w:val="21"/>
          <w:highlight w:val="none"/>
        </w:rPr>
        <w:t>验收合格</w:t>
      </w:r>
      <w:r>
        <w:rPr>
          <w:rFonts w:hint="eastAsia" w:ascii="Times New Roman" w:hAnsi="Times New Roman"/>
          <w:color w:val="auto"/>
          <w:szCs w:val="21"/>
          <w:highlight w:val="none"/>
        </w:rPr>
        <w:t>且服务期结束</w:t>
      </w:r>
      <w:r>
        <w:rPr>
          <w:rFonts w:ascii="Times New Roman" w:hAnsi="Times New Roman"/>
          <w:color w:val="auto"/>
          <w:szCs w:val="21"/>
          <w:highlight w:val="none"/>
        </w:rPr>
        <w:t>之</w:t>
      </w:r>
      <w:r>
        <w:rPr>
          <w:rFonts w:hint="eastAsia" w:ascii="Times New Roman" w:hAnsi="Times New Roman"/>
          <w:color w:val="auto"/>
          <w:szCs w:val="21"/>
          <w:highlight w:val="none"/>
        </w:rPr>
        <w:t>后</w:t>
      </w:r>
      <w:r>
        <w:rPr>
          <w:rFonts w:ascii="Times New Roman" w:hAnsi="Times New Roman"/>
          <w:color w:val="auto"/>
          <w:szCs w:val="21"/>
          <w:highlight w:val="none"/>
        </w:rPr>
        <w:t>，</w:t>
      </w:r>
      <w:r>
        <w:rPr>
          <w:rFonts w:hint="eastAsia" w:ascii="宋体" w:hAnsi="宋体" w:cs="宋体"/>
          <w:color w:val="auto"/>
          <w:szCs w:val="21"/>
          <w:highlight w:val="none"/>
        </w:rPr>
        <w:t>乙方向甲方提供合法有效票据及其他相关请款资料，甲方在</w:t>
      </w:r>
      <w:r>
        <w:rPr>
          <w:rFonts w:hint="eastAsia" w:ascii="宋体" w:hAnsi="宋体" w:cs="宋体"/>
          <w:color w:val="auto"/>
          <w:szCs w:val="21"/>
          <w:highlight w:val="none"/>
          <w:u w:val="single"/>
        </w:rPr>
        <w:t xml:space="preserve"> 50 </w:t>
      </w:r>
      <w:r>
        <w:rPr>
          <w:rFonts w:hint="eastAsia" w:ascii="宋体" w:hAnsi="宋体" w:cs="宋体"/>
          <w:color w:val="auto"/>
          <w:szCs w:val="21"/>
          <w:highlight w:val="none"/>
        </w:rPr>
        <w:t>工作日内将履约保证金扣减考核金额（如涉及考核）后一次性无息退还</w:t>
      </w:r>
      <w:r>
        <w:rPr>
          <w:rFonts w:hint="eastAsia" w:ascii="Times New Roman" w:hAnsi="Times New Roman"/>
          <w:color w:val="auto"/>
          <w:szCs w:val="21"/>
          <w:highlight w:val="none"/>
        </w:rPr>
        <w:t>；</w:t>
      </w:r>
      <w:r>
        <w:rPr>
          <w:rFonts w:ascii="Times New Roman" w:hAnsi="Times New Roman"/>
          <w:color w:val="auto"/>
          <w:szCs w:val="21"/>
          <w:highlight w:val="none"/>
        </w:rPr>
        <w:t>经验收</w:t>
      </w:r>
      <w:r>
        <w:rPr>
          <w:rFonts w:hint="eastAsia" w:ascii="Times New Roman" w:hAnsi="Times New Roman"/>
          <w:color w:val="auto"/>
          <w:szCs w:val="21"/>
          <w:highlight w:val="none"/>
        </w:rPr>
        <w:t>后</w:t>
      </w:r>
      <w:r>
        <w:rPr>
          <w:rFonts w:ascii="Times New Roman" w:hAnsi="Times New Roman"/>
          <w:color w:val="auto"/>
          <w:szCs w:val="21"/>
          <w:highlight w:val="none"/>
        </w:rPr>
        <w:t>乙方履约不合格的，履约保证金不予退还。</w:t>
      </w:r>
    </w:p>
    <w:p w14:paraId="5F9CDEBE">
      <w:pPr>
        <w:pStyle w:val="6"/>
        <w:spacing w:after="0"/>
        <w:ind w:left="420" w:leftChars="200" w:firstLine="0" w:firstLineChars="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本合同不涉及履约保证金。</w:t>
      </w:r>
    </w:p>
    <w:p w14:paraId="66785294">
      <w:pPr>
        <w:pStyle w:val="31"/>
        <w:numPr>
          <w:ilvl w:val="0"/>
          <w:numId w:val="26"/>
        </w:numPr>
        <w:ind w:firstLineChars="0"/>
        <w:rPr>
          <w:rFonts w:ascii="Times New Roman" w:hAnsi="Times New Roman"/>
          <w:color w:val="auto"/>
          <w:szCs w:val="21"/>
          <w:highlight w:val="none"/>
        </w:rPr>
      </w:pPr>
      <w:r>
        <w:rPr>
          <w:rFonts w:hint="eastAsia" w:ascii="Times New Roman" w:hAnsi="Times New Roman"/>
          <w:color w:val="auto"/>
          <w:szCs w:val="21"/>
          <w:highlight w:val="none"/>
        </w:rPr>
        <w:t>本项目价款采用以下方式支付，以人民币结算：</w:t>
      </w:r>
    </w:p>
    <w:p w14:paraId="6EF13C24">
      <w:pPr>
        <w:pStyle w:val="6"/>
        <w:spacing w:after="0"/>
        <w:ind w:left="0" w:leftChars="0" w:firstLine="420" w:firstLineChars="200"/>
        <w:contextualSpacing/>
        <w:rPr>
          <w:rFonts w:hint="eastAsia" w:ascii="Times New Roman" w:hAnsi="Times New Roman"/>
          <w:color w:val="auto"/>
          <w:szCs w:val="21"/>
          <w:highlight w:val="none"/>
        </w:rPr>
      </w:pPr>
      <w:r>
        <w:rPr>
          <w:rFonts w:ascii="Times New Roman" w:hAnsi="Times New Roman"/>
          <w:color w:val="auto"/>
          <w:szCs w:val="21"/>
          <w:highlight w:val="none"/>
        </w:rPr>
        <w:sym w:font="Wingdings 2" w:char="F052"/>
      </w:r>
      <w:r>
        <w:rPr>
          <w:rFonts w:hint="eastAsia" w:ascii="Times New Roman" w:hAnsi="Times New Roman"/>
          <w:color w:val="auto"/>
          <w:szCs w:val="21"/>
          <w:highlight w:val="none"/>
        </w:rPr>
        <w:t>一次性支付：甲方</w:t>
      </w:r>
      <w:r>
        <w:rPr>
          <w:rFonts w:hint="eastAsia" w:ascii="宋体" w:hAnsi="宋体" w:cs="宋体"/>
          <w:color w:val="auto"/>
          <w:szCs w:val="21"/>
          <w:highlight w:val="none"/>
        </w:rPr>
        <w:t>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w:t>
      </w:r>
      <w:r>
        <w:rPr>
          <w:rFonts w:hint="eastAsia" w:ascii="宋体" w:hAnsi="宋体" w:cs="宋体"/>
          <w:color w:val="auto"/>
          <w:szCs w:val="21"/>
          <w:highlight w:val="none"/>
        </w:rPr>
        <w:t>向乙方支付合同总价100%的金额</w:t>
      </w:r>
      <w:r>
        <w:rPr>
          <w:rFonts w:hint="eastAsia" w:ascii="Times New Roman" w:hAnsi="Times New Roman"/>
          <w:color w:val="auto"/>
          <w:szCs w:val="21"/>
          <w:highlight w:val="none"/>
        </w:rPr>
        <w:t>。</w:t>
      </w:r>
    </w:p>
    <w:p w14:paraId="418235FE">
      <w:pPr>
        <w:pStyle w:val="6"/>
        <w:spacing w:after="0"/>
        <w:ind w:left="0" w:leftChars="0" w:firstLine="420" w:firstLineChars="200"/>
        <w:contextualSpacing/>
        <w:rPr>
          <w:rFonts w:ascii="Times New Roman" w:hAnsi="Times New Roman"/>
          <w:color w:val="auto"/>
          <w:szCs w:val="21"/>
          <w:highlight w:val="none"/>
        </w:rPr>
      </w:pPr>
      <w:r>
        <w:rPr>
          <w:rFonts w:ascii="Times New Roman" w:hAnsi="Times New Roman"/>
          <w:color w:val="auto"/>
          <w:szCs w:val="21"/>
          <w:highlight w:val="none"/>
        </w:rPr>
        <w:sym w:font="Wingdings" w:char="F0A8"/>
      </w:r>
      <w:r>
        <w:rPr>
          <w:rFonts w:hint="eastAsia" w:ascii="Times New Roman" w:hAnsi="Times New Roman"/>
          <w:color w:val="auto"/>
          <w:szCs w:val="21"/>
          <w:highlight w:val="none"/>
        </w:rPr>
        <w:t>分阶段支付：</w:t>
      </w:r>
    </w:p>
    <w:p w14:paraId="5F91B195">
      <w:pPr>
        <w:pStyle w:val="6"/>
        <w:spacing w:after="0"/>
        <w:contextualSpacing/>
        <w:jc w:val="left"/>
        <w:rPr>
          <w:rFonts w:ascii="Times New Roman" w:hAnsi="Times New Roman"/>
          <w:color w:val="auto"/>
          <w:szCs w:val="21"/>
          <w:highlight w:val="none"/>
        </w:rPr>
      </w:pPr>
      <w:r>
        <w:rPr>
          <w:rFonts w:hint="eastAsia" w:ascii="Times New Roman" w:hAnsi="Times New Roman"/>
          <w:color w:val="auto"/>
          <w:szCs w:val="21"/>
          <w:highlight w:val="none"/>
        </w:rPr>
        <w:t>（1）</w:t>
      </w:r>
      <w:r>
        <w:rPr>
          <w:rFonts w:hint="eastAsia" w:ascii="宋体" w:hAnsi="宋体" w:cs="宋体"/>
          <w:color w:val="auto"/>
          <w:szCs w:val="21"/>
          <w:highlight w:val="none"/>
        </w:rPr>
        <w:t>第一次付款：合同签订生效且</w:t>
      </w:r>
      <w:r>
        <w:rPr>
          <w:rFonts w:ascii="宋体" w:hAnsi="宋体" w:cs="宋体"/>
          <w:color w:val="auto"/>
          <w:szCs w:val="21"/>
          <w:highlight w:val="none"/>
        </w:rPr>
        <w:t>项目验收通过后，</w:t>
      </w:r>
      <w:r>
        <w:rPr>
          <w:rFonts w:hint="eastAsia" w:ascii="宋体" w:hAnsi="宋体" w:cs="宋体"/>
          <w:color w:val="auto"/>
          <w:szCs w:val="21"/>
          <w:highlight w:val="none"/>
        </w:rPr>
        <w:t>乙方</w:t>
      </w:r>
      <w:r>
        <w:rPr>
          <w:rFonts w:ascii="宋体" w:hAnsi="宋体" w:cs="宋体"/>
          <w:color w:val="auto"/>
          <w:szCs w:val="21"/>
          <w:highlight w:val="none"/>
        </w:rPr>
        <w:t xml:space="preserve"> 5 日内向</w:t>
      </w:r>
      <w:r>
        <w:rPr>
          <w:rFonts w:hint="eastAsia" w:ascii="宋体" w:hAnsi="宋体" w:cs="宋体"/>
          <w:color w:val="auto"/>
          <w:szCs w:val="21"/>
          <w:highlight w:val="none"/>
        </w:rPr>
        <w:t>甲方提供合法有效票据及其他相关请款资料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日内，向</w:t>
      </w:r>
      <w:r>
        <w:rPr>
          <w:rFonts w:hint="eastAsia" w:ascii="宋体" w:hAnsi="宋体" w:cs="宋体"/>
          <w:color w:val="auto"/>
          <w:szCs w:val="21"/>
          <w:highlight w:val="none"/>
        </w:rPr>
        <w:t>乙方</w:t>
      </w:r>
      <w:r>
        <w:rPr>
          <w:rFonts w:ascii="宋体" w:hAnsi="宋体" w:cs="宋体"/>
          <w:color w:val="auto"/>
          <w:szCs w:val="21"/>
          <w:highlight w:val="none"/>
        </w:rPr>
        <w:t xml:space="preserve">支付本次合同金额的 </w:t>
      </w:r>
      <w:r>
        <w:rPr>
          <w:rFonts w:hint="eastAsia" w:ascii="宋体" w:hAnsi="宋体" w:cs="宋体"/>
          <w:color w:val="auto"/>
          <w:szCs w:val="21"/>
          <w:highlight w:val="none"/>
        </w:rPr>
        <w:t>80</w:t>
      </w:r>
      <w:r>
        <w:rPr>
          <w:rFonts w:ascii="宋体" w:hAnsi="宋体" w:cs="宋体"/>
          <w:color w:val="auto"/>
          <w:szCs w:val="21"/>
          <w:highlight w:val="none"/>
        </w:rPr>
        <w:t>%</w:t>
      </w:r>
      <w:r>
        <w:rPr>
          <w:rFonts w:hint="eastAsia" w:ascii="Times New Roman" w:hAnsi="Times New Roman"/>
          <w:color w:val="auto"/>
          <w:szCs w:val="21"/>
          <w:highlight w:val="none"/>
        </w:rPr>
        <w:t>。</w:t>
      </w:r>
    </w:p>
    <w:p w14:paraId="31061169">
      <w:pPr>
        <w:pStyle w:val="6"/>
        <w:spacing w:after="0"/>
        <w:contextualSpacing/>
        <w:jc w:val="left"/>
        <w:rPr>
          <w:rFonts w:ascii="Times New Roman" w:hAnsi="Times New Roman"/>
          <w:color w:val="auto"/>
          <w:szCs w:val="21"/>
          <w:highlight w:val="none"/>
        </w:rPr>
      </w:pPr>
      <w:r>
        <w:rPr>
          <w:rFonts w:hint="eastAsia" w:ascii="Times New Roman" w:hAnsi="Times New Roman"/>
          <w:color w:val="auto"/>
          <w:szCs w:val="21"/>
          <w:highlight w:val="none"/>
        </w:rPr>
        <w:t>（2）</w:t>
      </w:r>
      <w:r>
        <w:rPr>
          <w:rFonts w:hint="eastAsia" w:ascii="宋体" w:hAnsi="宋体" w:eastAsia="宋体" w:cs="宋体"/>
          <w:color w:val="auto"/>
          <w:szCs w:val="21"/>
          <w:highlight w:val="none"/>
        </w:rPr>
        <w:t>第二次付款：服务期满后，乙方 5 日内向甲方提供合法有效票据及其他相关请款资料，甲方接到乙方请款资料以后</w:t>
      </w:r>
      <w:r>
        <w:rPr>
          <w:rFonts w:ascii="宋体" w:hAnsi="宋体" w:cs="宋体"/>
          <w:color w:val="auto"/>
          <w:szCs w:val="21"/>
          <w:highlight w:val="none"/>
        </w:rPr>
        <w:t>的</w:t>
      </w:r>
      <w:r>
        <w:rPr>
          <w:rFonts w:hint="eastAsia" w:ascii="宋体" w:hAnsi="宋体" w:cs="宋体"/>
          <w:color w:val="auto"/>
          <w:szCs w:val="21"/>
          <w:highlight w:val="none"/>
        </w:rPr>
        <w:t>90</w:t>
      </w:r>
      <w:r>
        <w:rPr>
          <w:rFonts w:ascii="宋体" w:hAnsi="宋体" w:cs="宋体"/>
          <w:color w:val="auto"/>
          <w:szCs w:val="21"/>
          <w:highlight w:val="none"/>
        </w:rPr>
        <w:t>日内，</w:t>
      </w:r>
      <w:r>
        <w:rPr>
          <w:rFonts w:hint="eastAsia" w:ascii="宋体" w:hAnsi="宋体" w:cs="宋体"/>
          <w:color w:val="auto"/>
          <w:szCs w:val="21"/>
          <w:highlight w:val="none"/>
        </w:rPr>
        <w:t>向乙方支付合同总价20%减去考核扣除金额（若有考核）</w:t>
      </w:r>
      <w:r>
        <w:rPr>
          <w:rFonts w:hint="eastAsia" w:ascii="Times New Roman" w:hAnsi="Times New Roman"/>
          <w:color w:val="auto"/>
          <w:szCs w:val="21"/>
          <w:highlight w:val="none"/>
        </w:rPr>
        <w:t>。</w:t>
      </w:r>
    </w:p>
    <w:p w14:paraId="775FE87D">
      <w:pPr>
        <w:pStyle w:val="6"/>
        <w:spacing w:after="0"/>
        <w:ind w:left="0" w:leftChars="0" w:firstLine="420" w:firstLineChars="200"/>
        <w:contextualSpacing/>
        <w:jc w:val="left"/>
        <w:rPr>
          <w:rFonts w:ascii="Times New Roman" w:hAnsi="Times New Roman"/>
          <w:color w:val="auto"/>
          <w:szCs w:val="21"/>
          <w:highlight w:val="none"/>
        </w:rPr>
      </w:pPr>
      <w:r>
        <w:rPr>
          <w:rFonts w:ascii="Times New Roman" w:hAnsi="Times New Roman"/>
          <w:color w:val="auto"/>
          <w:szCs w:val="21"/>
          <w:highlight w:val="none"/>
        </w:rPr>
        <w:sym w:font="Wingdings" w:char="00A8"/>
      </w:r>
      <w:r>
        <w:rPr>
          <w:rFonts w:hint="eastAsia" w:ascii="Times New Roman" w:hAnsi="Times New Roman"/>
          <w:color w:val="auto"/>
          <w:szCs w:val="21"/>
          <w:highlight w:val="none"/>
        </w:rPr>
        <w:t>实结算方式：</w:t>
      </w:r>
      <w:r>
        <w:rPr>
          <w:rFonts w:ascii="宋体" w:hAnsi="宋体" w:cs="宋体"/>
          <w:color w:val="auto"/>
          <w:szCs w:val="21"/>
          <w:highlight w:val="none"/>
        </w:rPr>
        <w:t>本项目</w:t>
      </w:r>
      <w:r>
        <w:rPr>
          <w:rFonts w:ascii="宋体" w:hAnsi="宋体" w:cs="宋体"/>
          <w:color w:val="auto"/>
          <w:szCs w:val="21"/>
          <w:highlight w:val="none"/>
          <w:u w:val="single"/>
        </w:rPr>
        <w:t>每月/每季度</w:t>
      </w:r>
      <w:r>
        <w:rPr>
          <w:rFonts w:ascii="宋体" w:hAnsi="宋体" w:cs="宋体"/>
          <w:color w:val="auto"/>
          <w:szCs w:val="21"/>
          <w:highlight w:val="none"/>
        </w:rPr>
        <w:t>结算一次 ，</w:t>
      </w:r>
      <w:r>
        <w:rPr>
          <w:rFonts w:hint="eastAsia"/>
          <w:color w:val="auto"/>
          <w:highlight w:val="none"/>
        </w:rPr>
        <w:t>根据本项目成交单价及实际验收数量</w:t>
      </w:r>
      <w:r>
        <w:rPr>
          <w:rFonts w:ascii="宋体" w:hAnsi="宋体" w:cs="宋体"/>
          <w:color w:val="auto"/>
          <w:szCs w:val="21"/>
          <w:highlight w:val="none"/>
        </w:rPr>
        <w:t>，</w:t>
      </w:r>
      <w:r>
        <w:rPr>
          <w:rFonts w:hint="eastAsia" w:ascii="宋体" w:hAnsi="宋体" w:cs="宋体"/>
          <w:color w:val="auto"/>
          <w:szCs w:val="21"/>
          <w:highlight w:val="none"/>
        </w:rPr>
        <w:t>乙方</w:t>
      </w:r>
      <w:r>
        <w:rPr>
          <w:rFonts w:ascii="宋体" w:hAnsi="宋体" w:cs="宋体"/>
          <w:color w:val="auto"/>
          <w:szCs w:val="21"/>
          <w:highlight w:val="none"/>
        </w:rPr>
        <w:t>需 5 日内向</w:t>
      </w:r>
      <w:r>
        <w:rPr>
          <w:rFonts w:hint="eastAsia" w:ascii="宋体" w:hAnsi="宋体" w:cs="宋体"/>
          <w:color w:val="auto"/>
          <w:szCs w:val="21"/>
          <w:highlight w:val="none"/>
        </w:rPr>
        <w:t>甲方提供合法有效票据及其他相关请款资料</w:t>
      </w:r>
      <w:r>
        <w:rPr>
          <w:rFonts w:ascii="宋体" w:hAnsi="宋体" w:cs="宋体"/>
          <w:color w:val="auto"/>
          <w:szCs w:val="21"/>
          <w:highlight w:val="none"/>
        </w:rPr>
        <w:t>，</w:t>
      </w:r>
      <w:r>
        <w:rPr>
          <w:rFonts w:hint="eastAsia" w:ascii="宋体" w:hAnsi="宋体" w:cs="宋体"/>
          <w:color w:val="auto"/>
          <w:szCs w:val="21"/>
          <w:highlight w:val="none"/>
        </w:rPr>
        <w:t>甲方</w:t>
      </w:r>
      <w:r>
        <w:rPr>
          <w:rFonts w:ascii="宋体" w:hAnsi="宋体" w:cs="宋体"/>
          <w:color w:val="auto"/>
          <w:szCs w:val="21"/>
          <w:highlight w:val="none"/>
        </w:rPr>
        <w:t>接到</w:t>
      </w:r>
      <w:r>
        <w:rPr>
          <w:rFonts w:hint="eastAsia" w:ascii="宋体" w:hAnsi="宋体" w:cs="宋体"/>
          <w:color w:val="auto"/>
          <w:szCs w:val="21"/>
          <w:highlight w:val="none"/>
        </w:rPr>
        <w:t>乙方</w:t>
      </w:r>
      <w:r>
        <w:rPr>
          <w:rFonts w:ascii="宋体" w:hAnsi="宋体" w:cs="宋体"/>
          <w:color w:val="auto"/>
          <w:szCs w:val="21"/>
          <w:highlight w:val="none"/>
        </w:rPr>
        <w:t>请款资料以后的</w:t>
      </w:r>
      <w:r>
        <w:rPr>
          <w:rFonts w:hint="eastAsia" w:ascii="宋体" w:hAnsi="宋体" w:cs="宋体"/>
          <w:color w:val="auto"/>
          <w:szCs w:val="21"/>
          <w:highlight w:val="none"/>
        </w:rPr>
        <w:t>55</w:t>
      </w:r>
      <w:r>
        <w:rPr>
          <w:rFonts w:ascii="宋体" w:hAnsi="宋体" w:cs="宋体"/>
          <w:color w:val="auto"/>
          <w:szCs w:val="21"/>
          <w:highlight w:val="none"/>
        </w:rPr>
        <w:t>日内支付相应价款，最终结算总价不得超过</w:t>
      </w:r>
      <w:r>
        <w:rPr>
          <w:rFonts w:hint="eastAsia" w:ascii="宋体" w:hAnsi="宋体" w:cs="宋体"/>
          <w:color w:val="auto"/>
          <w:szCs w:val="21"/>
          <w:highlight w:val="none"/>
          <w:u w:val="single"/>
        </w:rPr>
        <w:t xml:space="preserve">     </w:t>
      </w:r>
      <w:r>
        <w:rPr>
          <w:rFonts w:ascii="宋体" w:hAnsi="宋体" w:cs="宋体"/>
          <w:color w:val="auto"/>
          <w:szCs w:val="21"/>
          <w:highlight w:val="none"/>
        </w:rPr>
        <w:t>元</w:t>
      </w:r>
      <w:r>
        <w:rPr>
          <w:rFonts w:hint="eastAsia" w:ascii="Times New Roman" w:hAnsi="Times New Roman"/>
          <w:color w:val="auto"/>
          <w:szCs w:val="21"/>
          <w:highlight w:val="none"/>
        </w:rPr>
        <w:t>。</w:t>
      </w:r>
    </w:p>
    <w:p w14:paraId="013C86EE">
      <w:pPr>
        <w:pStyle w:val="31"/>
        <w:numPr>
          <w:ilvl w:val="0"/>
          <w:numId w:val="26"/>
        </w:numPr>
        <w:ind w:left="0" w:firstLine="0" w:firstLineChars="0"/>
        <w:rPr>
          <w:rFonts w:ascii="Times New Roman" w:hAnsi="Times New Roman"/>
          <w:color w:val="auto"/>
          <w:szCs w:val="21"/>
          <w:highlight w:val="none"/>
        </w:rPr>
      </w:pPr>
      <w:r>
        <w:rPr>
          <w:rFonts w:hint="eastAsia" w:ascii="Times New Roman" w:hAnsi="Times New Roman"/>
          <w:color w:val="auto"/>
          <w:szCs w:val="21"/>
          <w:highlight w:val="none"/>
        </w:rPr>
        <w:t>甲方付款前，乙方需</w:t>
      </w:r>
      <w:r>
        <w:rPr>
          <w:rFonts w:hint="eastAsia" w:ascii="宋体" w:hAnsi="宋体" w:cs="宋体"/>
          <w:color w:val="auto"/>
          <w:szCs w:val="21"/>
          <w:highlight w:val="none"/>
        </w:rPr>
        <w:t>提供合法有效票据及其他相关请款资料</w:t>
      </w:r>
      <w:r>
        <w:rPr>
          <w:rFonts w:hint="eastAsia" w:ascii="Times New Roman" w:hAnsi="Times New Roman"/>
          <w:color w:val="auto"/>
          <w:szCs w:val="21"/>
          <w:highlight w:val="none"/>
        </w:rPr>
        <w:t>，否则甲方有权拒绝支付且不承担任何违约责任，且乙方不得因此停止工作。</w:t>
      </w:r>
    </w:p>
    <w:p w14:paraId="1C19684D">
      <w:pPr>
        <w:pStyle w:val="31"/>
        <w:numPr>
          <w:ilvl w:val="0"/>
          <w:numId w:val="26"/>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乙方开票信息</w:t>
      </w:r>
      <w:r>
        <w:rPr>
          <w:rFonts w:hint="eastAsia" w:ascii="Times New Roman" w:hAnsi="Times New Roman"/>
          <w:color w:val="auto"/>
          <w:szCs w:val="21"/>
          <w:highlight w:val="none"/>
        </w:rPr>
        <w:t>中的软件</w:t>
      </w:r>
      <w:r>
        <w:rPr>
          <w:rFonts w:ascii="Times New Roman" w:hAnsi="Times New Roman"/>
          <w:color w:val="auto"/>
          <w:szCs w:val="21"/>
          <w:highlight w:val="none"/>
        </w:rPr>
        <w:t>名称与</w:t>
      </w:r>
      <w:r>
        <w:rPr>
          <w:rFonts w:hint="eastAsia" w:ascii="Times New Roman" w:hAnsi="Times New Roman"/>
          <w:color w:val="auto"/>
          <w:szCs w:val="21"/>
          <w:highlight w:val="none"/>
        </w:rPr>
        <w:t>合同</w:t>
      </w:r>
      <w:r>
        <w:rPr>
          <w:rFonts w:ascii="Times New Roman" w:hAnsi="Times New Roman"/>
          <w:color w:val="auto"/>
          <w:szCs w:val="21"/>
          <w:highlight w:val="none"/>
        </w:rPr>
        <w:t>中</w:t>
      </w:r>
      <w:r>
        <w:rPr>
          <w:rFonts w:hint="eastAsia" w:ascii="Times New Roman" w:hAnsi="Times New Roman"/>
          <w:color w:val="auto"/>
          <w:szCs w:val="21"/>
          <w:highlight w:val="none"/>
        </w:rPr>
        <w:t>软件</w:t>
      </w:r>
      <w:r>
        <w:rPr>
          <w:rFonts w:ascii="Times New Roman" w:hAnsi="Times New Roman"/>
          <w:color w:val="auto"/>
          <w:szCs w:val="21"/>
          <w:highlight w:val="none"/>
        </w:rPr>
        <w:t>名称</w:t>
      </w:r>
      <w:r>
        <w:rPr>
          <w:rFonts w:hint="eastAsia" w:ascii="Times New Roman" w:hAnsi="Times New Roman"/>
          <w:color w:val="auto"/>
          <w:szCs w:val="21"/>
          <w:highlight w:val="none"/>
        </w:rPr>
        <w:t>应</w:t>
      </w:r>
      <w:r>
        <w:rPr>
          <w:rFonts w:ascii="Times New Roman" w:hAnsi="Times New Roman"/>
          <w:color w:val="auto"/>
          <w:szCs w:val="21"/>
          <w:highlight w:val="none"/>
        </w:rPr>
        <w:t>一致。</w:t>
      </w:r>
    </w:p>
    <w:p w14:paraId="29CAD394">
      <w:pPr>
        <w:pStyle w:val="31"/>
        <w:numPr>
          <w:ilvl w:val="0"/>
          <w:numId w:val="26"/>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乙方开票信息应与合同预留账户信息一致</w:t>
      </w:r>
      <w:r>
        <w:rPr>
          <w:rFonts w:hint="eastAsia" w:ascii="Times New Roman" w:hAnsi="Times New Roman"/>
          <w:color w:val="auto"/>
          <w:szCs w:val="21"/>
          <w:highlight w:val="none"/>
        </w:rPr>
        <w:t>，</w:t>
      </w:r>
      <w:r>
        <w:rPr>
          <w:rFonts w:ascii="Times New Roman" w:hAnsi="Times New Roman"/>
          <w:color w:val="auto"/>
          <w:szCs w:val="21"/>
          <w:highlight w:val="none"/>
        </w:rPr>
        <w:t>如有变更，乙方应当在变更后3日内通知甲方</w:t>
      </w:r>
      <w:r>
        <w:rPr>
          <w:rFonts w:hint="eastAsia" w:ascii="Times New Roman" w:hAnsi="Times New Roman"/>
          <w:color w:val="auto"/>
          <w:szCs w:val="21"/>
          <w:highlight w:val="none"/>
        </w:rPr>
        <w:t>，</w:t>
      </w:r>
      <w:r>
        <w:rPr>
          <w:rFonts w:ascii="Times New Roman" w:hAnsi="Times New Roman"/>
          <w:color w:val="auto"/>
          <w:szCs w:val="21"/>
          <w:highlight w:val="none"/>
        </w:rPr>
        <w:t>否则，由此造成的损失由乙方自行承担。</w:t>
      </w:r>
    </w:p>
    <w:p w14:paraId="21E2971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售后服务</w:t>
      </w:r>
    </w:p>
    <w:p w14:paraId="45183FFA">
      <w:pPr>
        <w:pStyle w:val="31"/>
        <w:numPr>
          <w:ilvl w:val="0"/>
          <w:numId w:val="27"/>
        </w:numPr>
        <w:ind w:firstLineChars="0"/>
        <w:rPr>
          <w:rFonts w:ascii="Times New Roman" w:hAnsi="Times New Roman"/>
          <w:color w:val="auto"/>
          <w:szCs w:val="21"/>
          <w:highlight w:val="none"/>
        </w:rPr>
      </w:pPr>
      <w:r>
        <w:rPr>
          <w:rFonts w:hint="eastAsia" w:ascii="Times New Roman" w:hAnsi="Times New Roman"/>
          <w:color w:val="auto"/>
          <w:szCs w:val="21"/>
          <w:highlight w:val="none"/>
        </w:rPr>
        <w:t>软件完成安装后，乙</w:t>
      </w:r>
      <w:r>
        <w:rPr>
          <w:rFonts w:ascii="Times New Roman" w:hAnsi="Times New Roman"/>
          <w:color w:val="auto"/>
          <w:szCs w:val="21"/>
          <w:highlight w:val="none"/>
        </w:rPr>
        <w:t>方应对甲方工作人员进行培训：</w:t>
      </w:r>
      <w:r>
        <w:rPr>
          <w:rFonts w:hint="eastAsia" w:ascii="Times New Roman" w:hAnsi="Times New Roman"/>
          <w:color w:val="auto"/>
          <w:szCs w:val="21"/>
          <w:highlight w:val="none"/>
        </w:rPr>
        <w:t>*</w:t>
      </w:r>
      <w:r>
        <w:rPr>
          <w:rFonts w:ascii="Times New Roman" w:hAnsi="Times New Roman"/>
          <w:color w:val="auto"/>
          <w:szCs w:val="21"/>
          <w:highlight w:val="none"/>
        </w:rPr>
        <w:t>**</w:t>
      </w:r>
      <w:r>
        <w:rPr>
          <w:rFonts w:ascii="Times New Roman" w:hAnsi="Times New Roman"/>
          <w:color w:val="auto"/>
          <w:highlight w:val="none"/>
        </w:rPr>
        <w:t>。</w:t>
      </w:r>
      <w:r>
        <w:rPr>
          <w:rFonts w:hint="eastAsia" w:ascii="Times New Roman" w:hAnsi="Times New Roman"/>
          <w:i/>
          <w:iCs/>
          <w:color w:val="auto"/>
          <w:szCs w:val="21"/>
          <w:highlight w:val="none"/>
        </w:rPr>
        <w:t>&lt;具体培训内容</w:t>
      </w:r>
      <w:r>
        <w:rPr>
          <w:rFonts w:ascii="Times New Roman" w:hAnsi="Times New Roman"/>
          <w:i/>
          <w:iCs/>
          <w:color w:val="auto"/>
          <w:szCs w:val="21"/>
          <w:highlight w:val="none"/>
        </w:rPr>
        <w:t>可根据项目具体情况编制</w:t>
      </w:r>
      <w:r>
        <w:rPr>
          <w:rFonts w:hint="eastAsia" w:ascii="Times New Roman" w:hAnsi="Times New Roman"/>
          <w:i/>
          <w:iCs/>
          <w:color w:val="auto"/>
          <w:szCs w:val="21"/>
          <w:highlight w:val="none"/>
        </w:rPr>
        <w:t>&gt;</w:t>
      </w:r>
      <w:r>
        <w:rPr>
          <w:rFonts w:ascii="Times New Roman" w:hAnsi="Times New Roman"/>
          <w:color w:val="auto"/>
          <w:szCs w:val="21"/>
          <w:highlight w:val="none"/>
        </w:rPr>
        <w:t>并保证甲方受训技术人员熟练掌握</w:t>
      </w:r>
      <w:r>
        <w:rPr>
          <w:rFonts w:hint="eastAsia" w:ascii="Times New Roman" w:hAnsi="Times New Roman"/>
          <w:color w:val="auto"/>
          <w:szCs w:val="21"/>
          <w:highlight w:val="none"/>
        </w:rPr>
        <w:t>软件的使用方法</w:t>
      </w:r>
      <w:r>
        <w:rPr>
          <w:rFonts w:ascii="Times New Roman" w:hAnsi="Times New Roman"/>
          <w:color w:val="auto"/>
          <w:szCs w:val="21"/>
          <w:highlight w:val="none"/>
        </w:rPr>
        <w:t>，直至甲方受训技术人员能保证</w:t>
      </w:r>
      <w:r>
        <w:rPr>
          <w:rFonts w:hint="eastAsia" w:ascii="Times New Roman" w:hAnsi="Times New Roman"/>
          <w:color w:val="auto"/>
          <w:szCs w:val="21"/>
          <w:highlight w:val="none"/>
        </w:rPr>
        <w:t>软件日常</w:t>
      </w:r>
      <w:r>
        <w:rPr>
          <w:rFonts w:ascii="Times New Roman" w:hAnsi="Times New Roman"/>
          <w:color w:val="auto"/>
          <w:szCs w:val="21"/>
          <w:highlight w:val="none"/>
        </w:rPr>
        <w:t>运行并能排除一般</w:t>
      </w:r>
      <w:r>
        <w:rPr>
          <w:rFonts w:hint="eastAsia" w:ascii="Times New Roman" w:hAnsi="Times New Roman"/>
          <w:color w:val="auto"/>
          <w:szCs w:val="21"/>
          <w:highlight w:val="none"/>
        </w:rPr>
        <w:t>性</w:t>
      </w:r>
      <w:r>
        <w:rPr>
          <w:rFonts w:ascii="Times New Roman" w:hAnsi="Times New Roman"/>
          <w:color w:val="auto"/>
          <w:szCs w:val="21"/>
          <w:highlight w:val="none"/>
        </w:rPr>
        <w:t>故障。</w:t>
      </w:r>
    </w:p>
    <w:p w14:paraId="29D9A051">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质保期为验收合格后</w:t>
      </w:r>
      <w:permStart w:id="2" w:edGrp="everyone"/>
      <w:r>
        <w:rPr>
          <w:rFonts w:ascii="Times New Roman" w:hAnsi="Times New Roman"/>
          <w:color w:val="auto"/>
          <w:szCs w:val="21"/>
          <w:highlight w:val="none"/>
        </w:rPr>
        <w:t>***</w:t>
      </w:r>
      <w:permEnd w:id="2"/>
      <w:r>
        <w:rPr>
          <w:rFonts w:ascii="Times New Roman" w:hAnsi="Times New Roman"/>
          <w:color w:val="auto"/>
          <w:szCs w:val="21"/>
          <w:highlight w:val="none"/>
        </w:rPr>
        <w:t>年（合同签订后甲方验收合格且</w:t>
      </w:r>
      <w:r>
        <w:rPr>
          <w:rFonts w:hint="eastAsia" w:ascii="Times New Roman" w:hAnsi="Times New Roman"/>
          <w:color w:val="auto"/>
          <w:szCs w:val="21"/>
          <w:highlight w:val="none"/>
        </w:rPr>
        <w:t>甲乙双方签署</w:t>
      </w:r>
      <w:r>
        <w:rPr>
          <w:rFonts w:ascii="Times New Roman" w:hAnsi="Times New Roman"/>
          <w:color w:val="auto"/>
          <w:szCs w:val="21"/>
          <w:highlight w:val="none"/>
        </w:rPr>
        <w:t>验收报告之日起）</w:t>
      </w:r>
      <w:r>
        <w:rPr>
          <w:rFonts w:hint="eastAsia" w:ascii="Times New Roman" w:hAnsi="Times New Roman"/>
          <w:color w:val="auto"/>
          <w:szCs w:val="21"/>
          <w:highlight w:val="none"/>
        </w:rPr>
        <w:t>。</w:t>
      </w:r>
    </w:p>
    <w:p w14:paraId="1A4CFAE5">
      <w:pPr>
        <w:pStyle w:val="31"/>
        <w:numPr>
          <w:ilvl w:val="0"/>
          <w:numId w:val="27"/>
        </w:numPr>
        <w:ind w:firstLineChars="0"/>
        <w:rPr>
          <w:rFonts w:hint="eastAsia" w:ascii="Times New Roman" w:hAnsi="Times New Roman"/>
          <w:color w:val="auto"/>
          <w:highlight w:val="none"/>
        </w:rPr>
      </w:pPr>
      <w:r>
        <w:rPr>
          <w:rFonts w:ascii="Times New Roman" w:hAnsi="Times New Roman"/>
          <w:color w:val="auto"/>
          <w:szCs w:val="21"/>
          <w:highlight w:val="none"/>
        </w:rPr>
        <w:t>质保范围：</w:t>
      </w:r>
      <w:r>
        <w:rPr>
          <w:rFonts w:hint="eastAsia" w:ascii="Times New Roman" w:hAnsi="Times New Roman"/>
          <w:color w:val="auto"/>
          <w:highlight w:val="none"/>
        </w:rPr>
        <w:t>质保期内发现软件不符合本合同约定的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w:t>
      </w:r>
      <w:r>
        <w:rPr>
          <w:rFonts w:hint="eastAsia" w:ascii="Times New Roman" w:hAnsi="Times New Roman"/>
          <w:color w:val="auto"/>
          <w:highlight w:val="none"/>
        </w:rPr>
        <w:t>，乙方在接到通知后</w:t>
      </w:r>
      <w:r>
        <w:rPr>
          <w:rFonts w:ascii="Times New Roman" w:hAnsi="Times New Roman"/>
          <w:color w:val="auto"/>
          <w:highlight w:val="none"/>
        </w:rPr>
        <w:t>***</w:t>
      </w:r>
      <w:r>
        <w:rPr>
          <w:rFonts w:hint="eastAsia" w:ascii="Times New Roman" w:hAnsi="Times New Roman"/>
          <w:color w:val="auto"/>
          <w:highlight w:val="none"/>
        </w:rPr>
        <w:t>小时内响应到场，</w:t>
      </w:r>
      <w:r>
        <w:rPr>
          <w:rFonts w:ascii="Times New Roman" w:hAnsi="Times New Roman"/>
          <w:color w:val="auto"/>
          <w:highlight w:val="none"/>
        </w:rPr>
        <w:t>***</w:t>
      </w:r>
      <w:r>
        <w:rPr>
          <w:rFonts w:hint="eastAsia" w:ascii="Times New Roman" w:hAnsi="Times New Roman"/>
          <w:color w:val="auto"/>
          <w:highlight w:val="none"/>
        </w:rPr>
        <w:t>小时内完成调试或维修，并承担相关费用；如经乙方3次调试或维修仍不能达到本合同约定的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w:t>
      </w:r>
      <w:r>
        <w:rPr>
          <w:rFonts w:hint="eastAsia" w:ascii="Times New Roman" w:hAnsi="Times New Roman"/>
          <w:color w:val="auto"/>
          <w:highlight w:val="none"/>
        </w:rPr>
        <w:t>，甲方有权退货并追究乙方的违约责任。</w:t>
      </w:r>
    </w:p>
    <w:p w14:paraId="06985C8F">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在</w:t>
      </w:r>
      <w:r>
        <w:rPr>
          <w:rFonts w:hint="eastAsia" w:ascii="Times New Roman" w:hAnsi="Times New Roman"/>
          <w:color w:val="auto"/>
          <w:szCs w:val="21"/>
          <w:highlight w:val="none"/>
        </w:rPr>
        <w:t>质保</w:t>
      </w:r>
      <w:r>
        <w:rPr>
          <w:rFonts w:ascii="Times New Roman" w:hAnsi="Times New Roman"/>
          <w:color w:val="auto"/>
          <w:szCs w:val="21"/>
          <w:highlight w:val="none"/>
        </w:rPr>
        <w:t>期内乙方应保证甲方对</w:t>
      </w:r>
      <w:r>
        <w:rPr>
          <w:rFonts w:hint="eastAsia" w:ascii="Times New Roman" w:hAnsi="Times New Roman"/>
          <w:color w:val="auto"/>
          <w:szCs w:val="21"/>
          <w:highlight w:val="none"/>
        </w:rPr>
        <w:t>软件</w:t>
      </w:r>
      <w:r>
        <w:rPr>
          <w:rFonts w:ascii="Times New Roman" w:hAnsi="Times New Roman"/>
          <w:color w:val="auto"/>
          <w:szCs w:val="21"/>
          <w:highlight w:val="none"/>
        </w:rPr>
        <w:t>的使用因故障停用时间小于***个工作日。</w:t>
      </w:r>
    </w:p>
    <w:p w14:paraId="7690A663">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售后服务涉及费用均</w:t>
      </w:r>
      <w:r>
        <w:rPr>
          <w:rFonts w:hint="eastAsia" w:ascii="Times New Roman" w:hAnsi="Times New Roman"/>
          <w:color w:val="auto"/>
          <w:szCs w:val="21"/>
          <w:highlight w:val="none"/>
        </w:rPr>
        <w:t>已</w:t>
      </w:r>
      <w:r>
        <w:rPr>
          <w:rFonts w:ascii="Times New Roman" w:hAnsi="Times New Roman"/>
          <w:color w:val="auto"/>
          <w:szCs w:val="21"/>
          <w:highlight w:val="none"/>
        </w:rPr>
        <w:t>包含在</w:t>
      </w:r>
      <w:r>
        <w:rPr>
          <w:rFonts w:hint="eastAsia" w:ascii="Times New Roman" w:hAnsi="Times New Roman"/>
          <w:color w:val="auto"/>
          <w:szCs w:val="21"/>
          <w:highlight w:val="none"/>
        </w:rPr>
        <w:t>本</w:t>
      </w:r>
      <w:r>
        <w:rPr>
          <w:rFonts w:ascii="Times New Roman" w:hAnsi="Times New Roman"/>
          <w:color w:val="auto"/>
          <w:szCs w:val="21"/>
          <w:highlight w:val="none"/>
        </w:rPr>
        <w:t>合同总价中。</w:t>
      </w:r>
    </w:p>
    <w:p w14:paraId="5FD69B0E">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无论是质保期内还是在质保期外，若出现故障，乙方应在***小时内提供技术支持</w:t>
      </w:r>
      <w:r>
        <w:rPr>
          <w:rFonts w:hint="eastAsia" w:ascii="Times New Roman" w:hAnsi="Times New Roman"/>
          <w:color w:val="auto"/>
          <w:szCs w:val="21"/>
          <w:highlight w:val="none"/>
        </w:rPr>
        <w:t>并</w:t>
      </w:r>
      <w:r>
        <w:rPr>
          <w:rFonts w:ascii="Times New Roman" w:hAnsi="Times New Roman"/>
          <w:color w:val="auto"/>
          <w:szCs w:val="21"/>
          <w:highlight w:val="none"/>
        </w:rPr>
        <w:t>作出答复</w:t>
      </w:r>
      <w:r>
        <w:rPr>
          <w:rFonts w:hint="eastAsia" w:ascii="Times New Roman" w:hAnsi="Times New Roman"/>
          <w:color w:val="auto"/>
          <w:szCs w:val="21"/>
          <w:highlight w:val="none"/>
        </w:rPr>
        <w:t>。质保期满后甲方委托乙方继续提供维护服务的，因此产生的维护费用由甲乙双方另行商议，每年费用最高不超过</w:t>
      </w:r>
      <w:r>
        <w:rPr>
          <w:rFonts w:hint="eastAsia" w:ascii="Times New Roman" w:hAnsi="Times New Roman"/>
          <w:color w:val="auto"/>
          <w:szCs w:val="21"/>
          <w:highlight w:val="none"/>
          <w:u w:val="single"/>
        </w:rPr>
        <w:t>本合同总价</w:t>
      </w:r>
      <w:r>
        <w:rPr>
          <w:rFonts w:hint="eastAsia" w:ascii="Times New Roman" w:hAnsi="Times New Roman"/>
          <w:color w:val="auto"/>
          <w:szCs w:val="21"/>
          <w:highlight w:val="none"/>
        </w:rPr>
        <w:t>的</w:t>
      </w:r>
      <w:r>
        <w:rPr>
          <w:rFonts w:hint="eastAsia" w:ascii="Times New Roman" w:hAnsi="Times New Roman"/>
          <w:color w:val="auto"/>
          <w:szCs w:val="21"/>
          <w:highlight w:val="none"/>
          <w:u w:val="single"/>
        </w:rPr>
        <w:t>***</w:t>
      </w:r>
      <w:r>
        <w:rPr>
          <w:rFonts w:hint="eastAsia" w:ascii="Times New Roman" w:hAnsi="Times New Roman"/>
          <w:color w:val="auto"/>
          <w:szCs w:val="21"/>
          <w:highlight w:val="none"/>
        </w:rPr>
        <w:t>%。</w:t>
      </w:r>
    </w:p>
    <w:p w14:paraId="78FADE13">
      <w:pPr>
        <w:pStyle w:val="31"/>
        <w:numPr>
          <w:ilvl w:val="0"/>
          <w:numId w:val="27"/>
        </w:numPr>
        <w:ind w:firstLineChars="0"/>
        <w:rPr>
          <w:rFonts w:ascii="Times New Roman" w:hAnsi="Times New Roman"/>
          <w:color w:val="auto"/>
          <w:szCs w:val="21"/>
          <w:highlight w:val="none"/>
        </w:rPr>
      </w:pPr>
      <w:r>
        <w:rPr>
          <w:rFonts w:ascii="Times New Roman" w:hAnsi="Times New Roman"/>
          <w:color w:val="auto"/>
          <w:szCs w:val="21"/>
          <w:highlight w:val="none"/>
        </w:rPr>
        <w:tab/>
      </w:r>
      <w:r>
        <w:rPr>
          <w:rFonts w:ascii="Times New Roman" w:hAnsi="Times New Roman"/>
          <w:color w:val="auto"/>
          <w:szCs w:val="21"/>
          <w:highlight w:val="none"/>
        </w:rPr>
        <w:t>因乙方原因</w:t>
      </w:r>
      <w:r>
        <w:rPr>
          <w:rFonts w:hint="eastAsia" w:ascii="Times New Roman" w:hAnsi="Times New Roman"/>
          <w:color w:val="auto"/>
          <w:szCs w:val="21"/>
          <w:highlight w:val="none"/>
        </w:rPr>
        <w:t>致使软件不能达到</w:t>
      </w:r>
      <w:r>
        <w:rPr>
          <w:rFonts w:hint="eastAsia" w:ascii="Times New Roman" w:hAnsi="Times New Roman"/>
          <w:color w:val="auto"/>
          <w:highlight w:val="none"/>
        </w:rPr>
        <w:t>本合同约定的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要求和技术指标，按甲方实际</w:t>
      </w:r>
      <w:r>
        <w:rPr>
          <w:rFonts w:hint="eastAsia" w:ascii="Times New Roman" w:hAnsi="Times New Roman"/>
          <w:color w:val="auto"/>
          <w:szCs w:val="21"/>
          <w:highlight w:val="none"/>
        </w:rPr>
        <w:t>停用</w:t>
      </w:r>
      <w:r>
        <w:rPr>
          <w:rFonts w:ascii="Times New Roman" w:hAnsi="Times New Roman"/>
          <w:color w:val="auto"/>
          <w:szCs w:val="21"/>
          <w:highlight w:val="none"/>
        </w:rPr>
        <w:t>天数自动延长其质保期,甲方有权延后</w:t>
      </w:r>
      <w:r>
        <w:rPr>
          <w:rFonts w:hint="eastAsia" w:ascii="Times New Roman" w:hAnsi="Times New Roman"/>
          <w:color w:val="auto"/>
          <w:szCs w:val="21"/>
          <w:highlight w:val="none"/>
        </w:rPr>
        <w:t>履约保证金</w:t>
      </w:r>
      <w:r>
        <w:rPr>
          <w:rFonts w:ascii="Times New Roman" w:hAnsi="Times New Roman"/>
          <w:color w:val="auto"/>
          <w:szCs w:val="21"/>
          <w:highlight w:val="none"/>
        </w:rPr>
        <w:t>和维保费用的支付时间，并追究因此引发的乙方相应法律责任。</w:t>
      </w:r>
    </w:p>
    <w:p w14:paraId="7D84E93A">
      <w:pPr>
        <w:pStyle w:val="31"/>
        <w:numPr>
          <w:ilvl w:val="0"/>
          <w:numId w:val="27"/>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5562B38D">
      <w:pPr>
        <w:pStyle w:val="31"/>
        <w:numPr>
          <w:ilvl w:val="0"/>
          <w:numId w:val="17"/>
        </w:numPr>
        <w:snapToGrid w:val="0"/>
        <w:ind w:left="0" w:firstLine="0" w:firstLineChars="0"/>
        <w:rPr>
          <w:rFonts w:ascii="Times New Roman" w:hAnsi="Times New Roman"/>
          <w:b/>
          <w:bCs/>
          <w:color w:val="auto"/>
          <w:szCs w:val="21"/>
          <w:highlight w:val="none"/>
        </w:rPr>
      </w:pPr>
      <w:r>
        <w:rPr>
          <w:rFonts w:hint="eastAsia" w:ascii="Times New Roman" w:hAnsi="Times New Roman"/>
          <w:b/>
          <w:bCs/>
          <w:color w:val="auto"/>
          <w:szCs w:val="21"/>
          <w:highlight w:val="none"/>
        </w:rPr>
        <w:t>双方的权利和义务</w:t>
      </w:r>
    </w:p>
    <w:p w14:paraId="2FA9DE0A">
      <w:pPr>
        <w:pStyle w:val="31"/>
        <w:numPr>
          <w:ilvl w:val="0"/>
          <w:numId w:val="28"/>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甲方的权利和义务：</w:t>
      </w:r>
    </w:p>
    <w:p w14:paraId="626F7724">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甲方有权获得乙方所提交的软件交付成果、服务及相关知识产权。</w:t>
      </w:r>
    </w:p>
    <w:p w14:paraId="6F93A20C">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甲方有权及时了解和监督软件开发的进展情况。</w:t>
      </w:r>
    </w:p>
    <w:p w14:paraId="35C085AB">
      <w:pPr>
        <w:pStyle w:val="31"/>
        <w:numPr>
          <w:ilvl w:val="0"/>
          <w:numId w:val="29"/>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甲方应向乙方提供完成软件开发所必需的资料和工作条件。</w:t>
      </w:r>
    </w:p>
    <w:p w14:paraId="22B76C57">
      <w:pPr>
        <w:pStyle w:val="31"/>
        <w:numPr>
          <w:ilvl w:val="0"/>
          <w:numId w:val="29"/>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甲方应按照合同约定向乙方支付合同价款。</w:t>
      </w:r>
    </w:p>
    <w:p w14:paraId="2A308032">
      <w:pPr>
        <w:pStyle w:val="31"/>
        <w:numPr>
          <w:ilvl w:val="0"/>
          <w:numId w:val="28"/>
        </w:numPr>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乙方的权利和义务：</w:t>
      </w:r>
    </w:p>
    <w:p w14:paraId="1B25F76F">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乙方有权按照本合同约定收取合同价款。</w:t>
      </w:r>
    </w:p>
    <w:p w14:paraId="38E89B58">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乙方有权要求甲方提供软件开发所必需的资料和支持。</w:t>
      </w:r>
    </w:p>
    <w:p w14:paraId="451E190E">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60395395">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乙方应派遣身体健康、有相关工作经验和相应技能的技术人员到甲方现场并提供开发、安装、调试、测试、试运行、维护及培训等技术服务，该技术服务费用包括在本合同总价内。</w:t>
      </w:r>
    </w:p>
    <w:p w14:paraId="2608A306">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w:t>
      </w:r>
      <w:r>
        <w:rPr>
          <w:rFonts w:hint="eastAsia" w:ascii="Times New Roman" w:hAnsi="Times New Roman" w:eastAsia="宋体"/>
          <w:color w:val="auto"/>
          <w:szCs w:val="21"/>
          <w:highlight w:val="none"/>
          <w:lang w:eastAsia="zh-CN"/>
        </w:rPr>
        <w:t>承担</w:t>
      </w:r>
      <w:r>
        <w:rPr>
          <w:rFonts w:hint="eastAsia" w:ascii="Times New Roman" w:hAnsi="Times New Roman"/>
          <w:color w:val="auto"/>
          <w:szCs w:val="21"/>
          <w:highlight w:val="none"/>
        </w:rPr>
        <w:t>相应的责任。</w:t>
      </w:r>
    </w:p>
    <w:p w14:paraId="0A557A01">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2AECAF94">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04AED4A7">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49F742F0">
      <w:pPr>
        <w:pStyle w:val="31"/>
        <w:numPr>
          <w:ilvl w:val="0"/>
          <w:numId w:val="30"/>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6D9EB1D8">
      <w:pPr>
        <w:pStyle w:val="31"/>
        <w:numPr>
          <w:ilvl w:val="0"/>
          <w:numId w:val="30"/>
        </w:numPr>
        <w:snapToGrid w:val="0"/>
        <w:ind w:firstLineChars="0"/>
        <w:rPr>
          <w:rFonts w:hint="eastAsia" w:ascii="Times New Roman" w:hAnsi="Times New Roman"/>
          <w:color w:val="auto"/>
          <w:szCs w:val="21"/>
          <w:highlight w:val="none"/>
        </w:rPr>
      </w:pPr>
      <w:r>
        <w:rPr>
          <w:rFonts w:hint="eastAsia" w:ascii="Times New Roman" w:hAnsi="Times New Roman"/>
          <w:color w:val="auto"/>
          <w:szCs w:val="21"/>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790F21E2">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违约责任</w:t>
      </w:r>
      <w:r>
        <w:rPr>
          <w:rFonts w:hint="eastAsia" w:ascii="Times New Roman" w:hAnsi="Times New Roman"/>
          <w:i/>
          <w:iCs/>
          <w:color w:val="auto"/>
          <w:szCs w:val="21"/>
          <w:highlight w:val="none"/>
        </w:rPr>
        <w:t>&lt;本条款中违约金比例可根据项目实际情况确定&gt;</w:t>
      </w:r>
    </w:p>
    <w:p w14:paraId="75210481">
      <w:pPr>
        <w:pStyle w:val="31"/>
        <w:ind w:firstLine="0" w:firstLineChars="0"/>
        <w:rPr>
          <w:rFonts w:ascii="Times New Roman" w:hAnsi="Times New Roman"/>
          <w:color w:val="auto"/>
          <w:szCs w:val="21"/>
          <w:highlight w:val="none"/>
        </w:rPr>
      </w:pPr>
      <w:r>
        <w:rPr>
          <w:rFonts w:ascii="Times New Roman" w:hAnsi="Times New Roman"/>
          <w:color w:val="auto"/>
          <w:szCs w:val="21"/>
          <w:highlight w:val="none"/>
        </w:rPr>
        <w:t>1.甲方违约责任：甲方无正当理由</w:t>
      </w:r>
      <w:r>
        <w:rPr>
          <w:rFonts w:hint="eastAsia" w:ascii="Times New Roman" w:hAnsi="Times New Roman"/>
          <w:color w:val="auto"/>
          <w:szCs w:val="21"/>
          <w:highlight w:val="none"/>
        </w:rPr>
        <w:t>拒绝交付及验收的</w:t>
      </w:r>
      <w:r>
        <w:rPr>
          <w:rFonts w:ascii="Times New Roman" w:hAnsi="Times New Roman"/>
          <w:color w:val="auto"/>
          <w:szCs w:val="21"/>
          <w:highlight w:val="none"/>
        </w:rPr>
        <w:t>，甲方应偿付合同总</w:t>
      </w:r>
      <w:r>
        <w:rPr>
          <w:rFonts w:hint="eastAsia" w:ascii="Times New Roman" w:hAnsi="Times New Roman"/>
          <w:color w:val="auto"/>
          <w:szCs w:val="21"/>
          <w:highlight w:val="none"/>
        </w:rPr>
        <w:t>金额的</w:t>
      </w:r>
      <w:r>
        <w:rPr>
          <w:rFonts w:hint="eastAsia" w:ascii="Times New Roman" w:hAnsi="Times New Roman"/>
          <w:color w:val="auto"/>
          <w:szCs w:val="21"/>
          <w:highlight w:val="none"/>
          <w:u w:val="single"/>
        </w:rPr>
        <w:t>1</w:t>
      </w:r>
      <w:r>
        <w:rPr>
          <w:rFonts w:ascii="Times New Roman" w:hAnsi="Times New Roman"/>
          <w:color w:val="auto"/>
          <w:szCs w:val="21"/>
          <w:highlight w:val="none"/>
          <w:u w:val="single"/>
        </w:rPr>
        <w:t>0%</w:t>
      </w:r>
      <w:r>
        <w:rPr>
          <w:rFonts w:hint="eastAsia" w:ascii="Times New Roman" w:hAnsi="Times New Roman"/>
          <w:color w:val="auto"/>
          <w:szCs w:val="21"/>
          <w:highlight w:val="none"/>
        </w:rPr>
        <w:t>作为</w:t>
      </w:r>
      <w:r>
        <w:rPr>
          <w:rFonts w:ascii="Times New Roman" w:hAnsi="Times New Roman"/>
          <w:color w:val="auto"/>
          <w:szCs w:val="21"/>
          <w:highlight w:val="none"/>
        </w:rPr>
        <w:t>违约金。</w:t>
      </w:r>
    </w:p>
    <w:p w14:paraId="09C3D7F7">
      <w:pPr>
        <w:pStyle w:val="31"/>
        <w:ind w:firstLine="0" w:firstLineChars="0"/>
        <w:rPr>
          <w:rFonts w:ascii="Times New Roman" w:hAnsi="Times New Roman"/>
          <w:color w:val="auto"/>
          <w:szCs w:val="21"/>
          <w:highlight w:val="none"/>
        </w:rPr>
      </w:pPr>
      <w:r>
        <w:rPr>
          <w:rFonts w:ascii="Times New Roman" w:hAnsi="Times New Roman"/>
          <w:color w:val="auto"/>
          <w:szCs w:val="21"/>
          <w:highlight w:val="none"/>
        </w:rPr>
        <w:t>2.乙方违约责任：</w:t>
      </w:r>
    </w:p>
    <w:p w14:paraId="3468F53D">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乙方拒绝交付软件，或交付的软件经两次验收仍不符合本合同约定的验收标准，甲方有权解除合同，乙方须向甲方支付合同总金额的</w:t>
      </w:r>
      <w:r>
        <w:rPr>
          <w:rFonts w:hint="eastAsia" w:ascii="Times New Roman" w:hAnsi="Times New Roman"/>
          <w:color w:val="auto"/>
          <w:szCs w:val="21"/>
          <w:highlight w:val="none"/>
          <w:u w:val="single"/>
        </w:rPr>
        <w:t>10</w:t>
      </w:r>
      <w:r>
        <w:rPr>
          <w:rFonts w:hint="eastAsia" w:ascii="Times New Roman" w:hAnsi="Times New Roman"/>
          <w:color w:val="auto"/>
          <w:szCs w:val="21"/>
          <w:highlight w:val="none"/>
        </w:rPr>
        <w:t>%作为违约金，并承担其它相应的经济损失。</w:t>
      </w:r>
    </w:p>
    <w:p w14:paraId="3C552C79">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质保期内出现质量问题，</w:t>
      </w:r>
      <w:r>
        <w:rPr>
          <w:rFonts w:ascii="Times New Roman" w:hAnsi="Times New Roman"/>
          <w:color w:val="auto"/>
          <w:highlight w:val="none"/>
        </w:rPr>
        <w:t>因同一故障经乙方</w:t>
      </w:r>
      <w:r>
        <w:rPr>
          <w:rFonts w:ascii="Times New Roman" w:hAnsi="Times New Roman"/>
          <w:color w:val="auto"/>
          <w:szCs w:val="21"/>
          <w:highlight w:val="none"/>
        </w:rPr>
        <w:t>经</w:t>
      </w:r>
      <w:r>
        <w:rPr>
          <w:rFonts w:hint="eastAsia" w:ascii="Times New Roman" w:hAnsi="Times New Roman"/>
          <w:color w:val="auto"/>
          <w:szCs w:val="21"/>
          <w:highlight w:val="none"/>
          <w:u w:val="single"/>
        </w:rPr>
        <w:t>2</w:t>
      </w:r>
      <w:r>
        <w:rPr>
          <w:rFonts w:hint="eastAsia" w:ascii="Times New Roman" w:hAnsi="Times New Roman"/>
          <w:color w:val="auto"/>
          <w:szCs w:val="21"/>
          <w:highlight w:val="none"/>
        </w:rPr>
        <w:t>次</w:t>
      </w:r>
      <w:r>
        <w:rPr>
          <w:rFonts w:hint="eastAsia" w:ascii="Times New Roman" w:hAnsi="Times New Roman"/>
          <w:color w:val="auto"/>
          <w:highlight w:val="none"/>
        </w:rPr>
        <w:t>调试或维修</w:t>
      </w:r>
      <w:r>
        <w:rPr>
          <w:rFonts w:ascii="Times New Roman" w:hAnsi="Times New Roman"/>
          <w:color w:val="auto"/>
          <w:szCs w:val="21"/>
          <w:highlight w:val="none"/>
        </w:rPr>
        <w:t>仍不能达到合同约定的</w:t>
      </w:r>
      <w:r>
        <w:rPr>
          <w:rFonts w:hint="eastAsia" w:ascii="Times New Roman" w:hAnsi="Times New Roman"/>
          <w:color w:val="auto"/>
          <w:szCs w:val="21"/>
          <w:highlight w:val="none"/>
        </w:rPr>
        <w:t>功能</w:t>
      </w:r>
      <w:r>
        <w:rPr>
          <w:rFonts w:ascii="Times New Roman" w:hAnsi="Times New Roman"/>
          <w:color w:val="auto"/>
          <w:szCs w:val="21"/>
          <w:highlight w:val="none"/>
        </w:rPr>
        <w:t>要求和技术指标，甲方有权解除合同并要求退货，乙方按照合同总额的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%向甲方支付违约金</w:t>
      </w:r>
      <w:r>
        <w:rPr>
          <w:rFonts w:hint="eastAsia" w:ascii="Times New Roman" w:hAnsi="Times New Roman"/>
          <w:color w:val="auto"/>
          <w:szCs w:val="21"/>
          <w:highlight w:val="none"/>
        </w:rPr>
        <w:t>。</w:t>
      </w:r>
    </w:p>
    <w:p w14:paraId="76042614">
      <w:pPr>
        <w:pStyle w:val="31"/>
        <w:numPr>
          <w:ilvl w:val="0"/>
          <w:numId w:val="31"/>
        </w:numPr>
        <w:snapToGrid w:val="0"/>
        <w:ind w:firstLineChars="0"/>
        <w:rPr>
          <w:rFonts w:hint="eastAsia" w:ascii="Times New Roman" w:hAnsi="Times New Roman"/>
          <w:color w:val="auto"/>
          <w:szCs w:val="21"/>
          <w:highlight w:val="none"/>
        </w:rPr>
      </w:pPr>
      <w:r>
        <w:rPr>
          <w:rFonts w:ascii="Times New Roman" w:hAnsi="Times New Roman"/>
          <w:color w:val="auto"/>
          <w:szCs w:val="21"/>
          <w:highlight w:val="none"/>
        </w:rPr>
        <w:t>因乙方原因逾期</w:t>
      </w:r>
      <w:r>
        <w:rPr>
          <w:rFonts w:hint="eastAsia" w:ascii="Times New Roman" w:hAnsi="Times New Roman"/>
          <w:color w:val="auto"/>
          <w:szCs w:val="21"/>
          <w:highlight w:val="none"/>
        </w:rPr>
        <w:t>交付</w:t>
      </w:r>
      <w:r>
        <w:rPr>
          <w:rFonts w:ascii="Times New Roman" w:hAnsi="Times New Roman"/>
          <w:color w:val="auto"/>
          <w:szCs w:val="21"/>
          <w:highlight w:val="none"/>
        </w:rPr>
        <w:t>，每</w:t>
      </w:r>
      <w:r>
        <w:rPr>
          <w:rFonts w:hint="eastAsia" w:ascii="Times New Roman" w:hAnsi="Times New Roman"/>
          <w:color w:val="auto"/>
          <w:szCs w:val="21"/>
          <w:highlight w:val="none"/>
        </w:rPr>
        <w:t>逾期</w:t>
      </w:r>
      <w:r>
        <w:rPr>
          <w:rFonts w:ascii="Times New Roman" w:hAnsi="Times New Roman"/>
          <w:color w:val="auto"/>
          <w:szCs w:val="21"/>
          <w:highlight w:val="none"/>
        </w:rPr>
        <w:t>一天，须向甲方支付合同</w:t>
      </w:r>
      <w:r>
        <w:rPr>
          <w:rFonts w:hint="eastAsia" w:ascii="Times New Roman" w:hAnsi="Times New Roman"/>
          <w:color w:val="auto"/>
          <w:szCs w:val="21"/>
          <w:highlight w:val="none"/>
        </w:rPr>
        <w:t>总金额的</w:t>
      </w:r>
      <w:r>
        <w:rPr>
          <w:rFonts w:ascii="Times New Roman" w:hAnsi="Times New Roman"/>
          <w:color w:val="auto"/>
          <w:szCs w:val="21"/>
          <w:highlight w:val="none"/>
          <w:u w:val="single"/>
        </w:rPr>
        <w:t>***</w:t>
      </w:r>
      <w:r>
        <w:rPr>
          <w:rFonts w:hint="eastAsia" w:ascii="Times New Roman" w:hAnsi="Times New Roman"/>
          <w:color w:val="auto"/>
          <w:szCs w:val="21"/>
          <w:highlight w:val="none"/>
        </w:rPr>
        <w:t>‰作为</w:t>
      </w:r>
      <w:r>
        <w:rPr>
          <w:rFonts w:ascii="Times New Roman" w:hAnsi="Times New Roman"/>
          <w:color w:val="auto"/>
          <w:szCs w:val="21"/>
          <w:highlight w:val="none"/>
        </w:rPr>
        <w:t>违约金。因乙方原因逾期交货超过</w:t>
      </w:r>
      <w:r>
        <w:rPr>
          <w:rFonts w:ascii="Times New Roman" w:hAnsi="Times New Roman"/>
          <w:color w:val="auto"/>
          <w:szCs w:val="21"/>
          <w:highlight w:val="none"/>
          <w:u w:val="single"/>
        </w:rPr>
        <w:t>***</w:t>
      </w:r>
      <w:r>
        <w:rPr>
          <w:rFonts w:ascii="Times New Roman" w:hAnsi="Times New Roman"/>
          <w:color w:val="auto"/>
          <w:szCs w:val="21"/>
          <w:highlight w:val="none"/>
        </w:rPr>
        <w:t>天，甲方有权</w:t>
      </w:r>
      <w:r>
        <w:rPr>
          <w:rFonts w:hint="eastAsia" w:ascii="Times New Roman" w:hAnsi="Times New Roman"/>
          <w:color w:val="auto"/>
          <w:szCs w:val="21"/>
          <w:highlight w:val="none"/>
        </w:rPr>
        <w:t>终止</w:t>
      </w:r>
      <w:r>
        <w:rPr>
          <w:rFonts w:ascii="Times New Roman" w:hAnsi="Times New Roman"/>
          <w:color w:val="auto"/>
          <w:szCs w:val="21"/>
          <w:highlight w:val="none"/>
        </w:rPr>
        <w:t>合同</w:t>
      </w:r>
      <w:r>
        <w:rPr>
          <w:rFonts w:hint="eastAsia" w:ascii="Times New Roman" w:hAnsi="Times New Roman"/>
          <w:color w:val="auto"/>
          <w:szCs w:val="21"/>
          <w:highlight w:val="none"/>
        </w:rPr>
        <w:t>，乙方须按合同总金额的</w:t>
      </w:r>
      <w:r>
        <w:rPr>
          <w:rFonts w:hint="eastAsia" w:ascii="Times New Roman" w:hAnsi="Times New Roman"/>
          <w:color w:val="auto"/>
          <w:szCs w:val="21"/>
          <w:highlight w:val="none"/>
          <w:u w:val="single"/>
        </w:rPr>
        <w:t>10</w:t>
      </w:r>
      <w:r>
        <w:rPr>
          <w:rFonts w:hint="eastAsia" w:ascii="Times New Roman" w:hAnsi="Times New Roman"/>
          <w:color w:val="auto"/>
          <w:szCs w:val="21"/>
          <w:highlight w:val="none"/>
          <w:u w:val="none"/>
        </w:rPr>
        <w:t>%</w:t>
      </w:r>
      <w:r>
        <w:rPr>
          <w:rFonts w:hint="eastAsia" w:ascii="Times New Roman" w:hAnsi="Times New Roman"/>
          <w:color w:val="auto"/>
          <w:szCs w:val="21"/>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3EF841E6">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乙方未按合同约定及时履行培训及维护义务时，每发生一次，乙方应按合同总金额的</w:t>
      </w:r>
      <w:r>
        <w:rPr>
          <w:rFonts w:ascii="Times New Roman" w:hAnsi="Times New Roman"/>
          <w:color w:val="auto"/>
          <w:szCs w:val="21"/>
          <w:highlight w:val="none"/>
          <w:u w:val="single"/>
        </w:rPr>
        <w:t>***</w:t>
      </w:r>
      <w:r>
        <w:rPr>
          <w:rFonts w:hint="eastAsia" w:ascii="Times New Roman" w:hAnsi="Times New Roman"/>
          <w:color w:val="auto"/>
          <w:szCs w:val="21"/>
          <w:highlight w:val="none"/>
        </w:rPr>
        <w:t>‰向甲方支付违约金，乙方支付违约金的同时，仍有义务对甲方进行培训及对软件维护。</w:t>
      </w:r>
    </w:p>
    <w:p w14:paraId="50138063">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乙方在开发软件过程侵犯他人知识产权，甲方有权单方解除合同，并要求乙方赔偿所造成的损失，同时甲方有权要求对方按照合同总金额的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w:t>
      </w:r>
      <w:r>
        <w:rPr>
          <w:rFonts w:hint="eastAsia" w:ascii="Times New Roman" w:hAnsi="Times New Roman"/>
          <w:color w:val="auto"/>
          <w:szCs w:val="21"/>
          <w:highlight w:val="none"/>
        </w:rPr>
        <w:t>支付违约金。</w:t>
      </w:r>
    </w:p>
    <w:p w14:paraId="073F31D4">
      <w:pPr>
        <w:pStyle w:val="31"/>
        <w:numPr>
          <w:ilvl w:val="0"/>
          <w:numId w:val="31"/>
        </w:numPr>
        <w:snapToGrid w:val="0"/>
        <w:ind w:firstLineChars="0"/>
        <w:rPr>
          <w:rFonts w:hint="eastAsia" w:ascii="Times New Roman" w:hAnsi="Times New Roman"/>
          <w:color w:val="auto"/>
          <w:szCs w:val="21"/>
          <w:highlight w:val="none"/>
        </w:rPr>
      </w:pPr>
      <w:r>
        <w:rPr>
          <w:rFonts w:ascii="Times New Roman" w:hAnsi="Times New Roman"/>
          <w:color w:val="auto"/>
          <w:szCs w:val="21"/>
          <w:highlight w:val="none"/>
        </w:rPr>
        <w:t>乙方违反保密义务，甲方有权单方解除合同，乙方应按甲方实际损失向甲方进行赔偿并向甲方支付</w:t>
      </w:r>
      <w:r>
        <w:rPr>
          <w:rFonts w:hint="eastAsia" w:ascii="Times New Roman" w:hAnsi="Times New Roman"/>
          <w:color w:val="auto"/>
          <w:szCs w:val="21"/>
          <w:highlight w:val="none"/>
        </w:rPr>
        <w:t>合同总金额的</w:t>
      </w:r>
      <w:r>
        <w:rPr>
          <w:rFonts w:hint="eastAsia" w:ascii="Times New Roman" w:hAnsi="Times New Roman"/>
          <w:color w:val="auto"/>
          <w:szCs w:val="21"/>
          <w:highlight w:val="none"/>
          <w:u w:val="single"/>
        </w:rPr>
        <w:t>10</w:t>
      </w:r>
      <w:r>
        <w:rPr>
          <w:rFonts w:ascii="Times New Roman" w:hAnsi="Times New Roman"/>
          <w:color w:val="auto"/>
          <w:szCs w:val="21"/>
          <w:highlight w:val="none"/>
        </w:rPr>
        <w:t>%</w:t>
      </w:r>
      <w:r>
        <w:rPr>
          <w:rFonts w:hint="eastAsia" w:ascii="Times New Roman" w:hAnsi="Times New Roman"/>
          <w:color w:val="auto"/>
          <w:szCs w:val="21"/>
          <w:highlight w:val="none"/>
        </w:rPr>
        <w:t>作为</w:t>
      </w:r>
      <w:r>
        <w:rPr>
          <w:rFonts w:ascii="Times New Roman" w:hAnsi="Times New Roman"/>
          <w:color w:val="auto"/>
          <w:szCs w:val="21"/>
          <w:highlight w:val="none"/>
        </w:rPr>
        <w:t>违约金。</w:t>
      </w:r>
    </w:p>
    <w:p w14:paraId="406B079D">
      <w:pPr>
        <w:pStyle w:val="31"/>
        <w:numPr>
          <w:ilvl w:val="0"/>
          <w:numId w:val="31"/>
        </w:numPr>
        <w:snapToGrid w:val="0"/>
        <w:ind w:firstLineChars="0"/>
        <w:rPr>
          <w:rFonts w:ascii="Times New Roman" w:hAnsi="Times New Roman"/>
          <w:color w:val="auto"/>
          <w:szCs w:val="21"/>
          <w:highlight w:val="none"/>
        </w:rPr>
      </w:pPr>
      <w:r>
        <w:rPr>
          <w:rFonts w:hint="eastAsia" w:ascii="Times New Roman" w:hAnsi="Times New Roman"/>
          <w:color w:val="auto"/>
          <w:szCs w:val="21"/>
          <w:highlight w:val="none"/>
        </w:rPr>
        <w:t>乙方偿付的违约金不足以弥补甲方损失的，还应按甲方损失尚未弥补的部分，支付赔偿金给甲方。</w:t>
      </w:r>
    </w:p>
    <w:p w14:paraId="781E98D1">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w:t>
      </w:r>
      <w:r>
        <w:rPr>
          <w:rFonts w:hint="eastAsia" w:ascii="Times New Roman" w:hAnsi="Times New Roman"/>
          <w:color w:val="auto"/>
          <w:szCs w:val="21"/>
          <w:highlight w:val="none"/>
        </w:rPr>
        <w:t>交付软件因</w:t>
      </w:r>
      <w:r>
        <w:rPr>
          <w:rFonts w:ascii="Times New Roman" w:hAnsi="Times New Roman"/>
          <w:color w:val="auto"/>
          <w:szCs w:val="21"/>
          <w:highlight w:val="none"/>
        </w:rPr>
        <w:t>质量问题导致甲方及第三方人身、财产损失的，乙方承担由此造成的全部法律责任。</w:t>
      </w:r>
    </w:p>
    <w:p w14:paraId="17BBED09">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乙方未按照本合同约定的时限提供合法发票或提供发票瑕疵（包括但不限于发票种类有误、发票金额有误等），甲方付款时限相应顺延并不承担任何延期支付的违约责任。</w:t>
      </w:r>
    </w:p>
    <w:p w14:paraId="0B936AA4">
      <w:pPr>
        <w:pStyle w:val="31"/>
        <w:numPr>
          <w:ilvl w:val="0"/>
          <w:numId w:val="31"/>
        </w:numPr>
        <w:snapToGrid w:val="0"/>
        <w:ind w:firstLineChars="0"/>
        <w:rPr>
          <w:rFonts w:ascii="Times New Roman" w:hAnsi="Times New Roman"/>
          <w:color w:val="auto"/>
          <w:szCs w:val="21"/>
          <w:highlight w:val="none"/>
        </w:rPr>
      </w:pPr>
      <w:r>
        <w:rPr>
          <w:rFonts w:ascii="Times New Roman" w:hAnsi="Times New Roman"/>
          <w:color w:val="auto"/>
          <w:szCs w:val="21"/>
          <w:highlight w:val="none"/>
        </w:rPr>
        <w:t>乙方在</w:t>
      </w:r>
      <w:r>
        <w:rPr>
          <w:rFonts w:hint="eastAsia" w:ascii="Times New Roman" w:hAnsi="Times New Roman"/>
          <w:color w:val="auto"/>
          <w:szCs w:val="21"/>
          <w:highlight w:val="none"/>
        </w:rPr>
        <w:t>安装、</w:t>
      </w:r>
      <w:r>
        <w:rPr>
          <w:rFonts w:ascii="Times New Roman" w:hAnsi="Times New Roman"/>
          <w:color w:val="auto"/>
          <w:szCs w:val="21"/>
          <w:highlight w:val="none"/>
        </w:rPr>
        <w:t>调试及售后服务过程中，因未按规程</w:t>
      </w:r>
      <w:r>
        <w:rPr>
          <w:rFonts w:hint="eastAsia" w:ascii="Times New Roman" w:hAnsi="Times New Roman"/>
          <w:color w:val="auto"/>
          <w:szCs w:val="21"/>
          <w:highlight w:val="none"/>
        </w:rPr>
        <w:t>操作、</w:t>
      </w:r>
      <w:r>
        <w:rPr>
          <w:rFonts w:ascii="Times New Roman" w:hAnsi="Times New Roman"/>
          <w:color w:val="auto"/>
          <w:szCs w:val="21"/>
          <w:highlight w:val="none"/>
        </w:rPr>
        <w:t>未采取必要的安全防范措施等原因直接或间接造成甲方及第三方人身、财产损失的，由乙方承担由此造成的全部法律责任。</w:t>
      </w:r>
    </w:p>
    <w:p w14:paraId="2B3949F8">
      <w:pPr>
        <w:pStyle w:val="31"/>
        <w:numPr>
          <w:ilvl w:val="0"/>
          <w:numId w:val="31"/>
        </w:numPr>
        <w:snapToGrid w:val="0"/>
        <w:ind w:left="525" w:hanging="525" w:hangingChars="250"/>
        <w:rPr>
          <w:rFonts w:hint="eastAsia" w:ascii="Times New Roman" w:hAnsi="Times New Roman"/>
          <w:color w:val="auto"/>
          <w:szCs w:val="21"/>
          <w:highlight w:val="none"/>
        </w:rPr>
      </w:pPr>
      <w:r>
        <w:rPr>
          <w:rFonts w:hint="eastAsia" w:ascii="Times New Roman" w:hAnsi="Times New Roman"/>
          <w:color w:val="auto"/>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5ECA3452">
      <w:pPr>
        <w:pStyle w:val="31"/>
        <w:snapToGrid w:val="0"/>
        <w:ind w:firstLine="0" w:firstLineChars="0"/>
        <w:rPr>
          <w:rFonts w:ascii="Times New Roman" w:hAnsi="Times New Roman"/>
          <w:color w:val="auto"/>
          <w:szCs w:val="21"/>
          <w:highlight w:val="none"/>
        </w:rPr>
      </w:pPr>
      <w:r>
        <w:rPr>
          <w:rFonts w:hint="eastAsia" w:ascii="Times New Roman" w:hAnsi="Times New Roman"/>
          <w:color w:val="auto"/>
          <w:szCs w:val="21"/>
          <w:highlight w:val="none"/>
        </w:rPr>
        <w:t>3</w:t>
      </w:r>
      <w:r>
        <w:rPr>
          <w:rFonts w:ascii="Times New Roman" w:hAnsi="Times New Roman"/>
          <w:color w:val="auto"/>
          <w:szCs w:val="21"/>
          <w:highlight w:val="none"/>
        </w:rPr>
        <w:t>.本合同履行中如有任何一方违约，那么守约方为保障自己合法权益而产生的律师费、诉讼费、差旅费、公告费等，均由违约方承担。</w:t>
      </w:r>
    </w:p>
    <w:p w14:paraId="7032511C">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不可抗力</w:t>
      </w:r>
    </w:p>
    <w:p w14:paraId="2743F131">
      <w:pPr>
        <w:pStyle w:val="31"/>
        <w:snapToGrid w:val="0"/>
        <w:rPr>
          <w:rFonts w:ascii="Times New Roman" w:hAnsi="Times New Roman"/>
          <w:bCs/>
          <w:color w:val="auto"/>
          <w:szCs w:val="21"/>
          <w:highlight w:val="none"/>
        </w:rPr>
      </w:pPr>
      <w:r>
        <w:rPr>
          <w:rFonts w:ascii="Times New Roman" w:hAnsi="Times New Roman"/>
          <w:bCs/>
          <w:color w:val="auto"/>
          <w:szCs w:val="21"/>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bCs/>
          <w:color w:val="auto"/>
          <w:szCs w:val="21"/>
          <w:highlight w:val="none"/>
          <w:u w:val="single"/>
        </w:rPr>
        <w:t>***</w:t>
      </w:r>
      <w:r>
        <w:rPr>
          <w:rFonts w:hint="eastAsia" w:ascii="Times New Roman" w:hAnsi="Times New Roman"/>
          <w:bCs/>
          <w:color w:val="auto"/>
          <w:szCs w:val="21"/>
          <w:highlight w:val="none"/>
          <w:u w:val="single"/>
          <w:lang w:val="en-US" w:eastAsia="zh-CN"/>
        </w:rPr>
        <w:t>日</w:t>
      </w:r>
      <w:r>
        <w:rPr>
          <w:rFonts w:ascii="Times New Roman" w:hAnsi="Times New Roman"/>
          <w:bCs/>
          <w:color w:val="auto"/>
          <w:szCs w:val="21"/>
          <w:highlight w:val="none"/>
        </w:rPr>
        <w:t>，甲方有权解除合同，双方互不承担违约责任。</w:t>
      </w:r>
    </w:p>
    <w:p w14:paraId="43D4B208">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争议解决办法</w:t>
      </w:r>
    </w:p>
    <w:p w14:paraId="73F5C7A2">
      <w:pPr>
        <w:pStyle w:val="31"/>
        <w:numPr>
          <w:ilvl w:val="0"/>
          <w:numId w:val="3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因</w:t>
      </w:r>
      <w:r>
        <w:rPr>
          <w:rFonts w:hint="eastAsia" w:ascii="Times New Roman" w:hAnsi="Times New Roman"/>
          <w:color w:val="auto"/>
          <w:szCs w:val="21"/>
          <w:highlight w:val="none"/>
        </w:rPr>
        <w:t>软件</w:t>
      </w:r>
      <w:r>
        <w:rPr>
          <w:rFonts w:ascii="Times New Roman" w:hAnsi="Times New Roman"/>
          <w:color w:val="auto"/>
          <w:szCs w:val="21"/>
          <w:highlight w:val="none"/>
        </w:rPr>
        <w:t>的质量问题发生争议，由质量技术监督部门或其指定的质量鉴定机构进行质量鉴定。货物符合标准的，鉴定费由甲方承担；货物不符合质量标准的，鉴定费由乙方承担。</w:t>
      </w:r>
    </w:p>
    <w:p w14:paraId="23CA7FA0">
      <w:pPr>
        <w:pStyle w:val="31"/>
        <w:numPr>
          <w:ilvl w:val="0"/>
          <w:numId w:val="32"/>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合同履行期间,若双方发生争议，可协商或由有关部门调解解决，协商或调解不成的，任何一方均有权向甲方</w:t>
      </w:r>
      <w:r>
        <w:rPr>
          <w:rFonts w:hint="eastAsia" w:ascii="Times New Roman" w:hAnsi="Times New Roman"/>
          <w:color w:val="auto"/>
          <w:szCs w:val="21"/>
          <w:highlight w:val="none"/>
        </w:rPr>
        <w:t>所在地</w:t>
      </w:r>
      <w:r>
        <w:rPr>
          <w:rFonts w:ascii="Times New Roman" w:hAnsi="Times New Roman"/>
          <w:color w:val="auto"/>
          <w:szCs w:val="21"/>
          <w:highlight w:val="none"/>
        </w:rPr>
        <w:t>具有管辖权的人民法院起诉。</w:t>
      </w:r>
    </w:p>
    <w:p w14:paraId="7CEB1EF4">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送达</w:t>
      </w:r>
      <w:r>
        <w:rPr>
          <w:rFonts w:hint="eastAsia" w:ascii="Times New Roman" w:hAnsi="Times New Roman"/>
          <w:b/>
          <w:bCs/>
          <w:color w:val="auto"/>
          <w:szCs w:val="21"/>
          <w:highlight w:val="none"/>
        </w:rPr>
        <w:t>（送达地址是司法机关、执法机关和仲裁机关将法律文书送达给当事人的收件地址）</w:t>
      </w:r>
    </w:p>
    <w:p w14:paraId="375E751C">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38A6C33">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3D54C1DF">
      <w:pPr>
        <w:pStyle w:val="49"/>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98D3535">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其他</w:t>
      </w:r>
    </w:p>
    <w:p w14:paraId="29438519">
      <w:pPr>
        <w:pStyle w:val="31"/>
        <w:numPr>
          <w:ilvl w:val="0"/>
          <w:numId w:val="34"/>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如有未尽事宜，由双方依法订立补充合同。补充合同</w:t>
      </w:r>
      <w:r>
        <w:rPr>
          <w:rFonts w:hint="eastAsia" w:ascii="Times New Roman" w:hAnsi="Times New Roman"/>
          <w:color w:val="auto"/>
          <w:szCs w:val="21"/>
          <w:highlight w:val="none"/>
        </w:rPr>
        <w:t>及本合同</w:t>
      </w:r>
      <w:r>
        <w:rPr>
          <w:rFonts w:ascii="Times New Roman" w:hAnsi="Times New Roman"/>
          <w:color w:val="auto"/>
          <w:szCs w:val="21"/>
          <w:highlight w:val="none"/>
        </w:rPr>
        <w:t>附件</w:t>
      </w:r>
      <w:r>
        <w:rPr>
          <w:rFonts w:hint="eastAsia" w:ascii="Times New Roman" w:hAnsi="Times New Roman"/>
          <w:color w:val="auto"/>
          <w:szCs w:val="21"/>
          <w:highlight w:val="none"/>
        </w:rPr>
        <w:t>均</w:t>
      </w:r>
      <w:r>
        <w:rPr>
          <w:rFonts w:ascii="Times New Roman" w:hAnsi="Times New Roman"/>
          <w:color w:val="auto"/>
          <w:szCs w:val="21"/>
          <w:highlight w:val="none"/>
        </w:rPr>
        <w:t>为本合同的组成部分，与本合同具有同等法律效力。</w:t>
      </w:r>
    </w:p>
    <w:p w14:paraId="2E7C7D33">
      <w:pPr>
        <w:pStyle w:val="31"/>
        <w:numPr>
          <w:ilvl w:val="0"/>
          <w:numId w:val="34"/>
        </w:numPr>
        <w:ind w:left="0" w:firstLine="0" w:firstLineChars="0"/>
        <w:rPr>
          <w:rFonts w:ascii="Times New Roman" w:hAnsi="Times New Roman"/>
          <w:color w:val="auto"/>
          <w:szCs w:val="21"/>
          <w:highlight w:val="none"/>
        </w:rPr>
      </w:pPr>
      <w:r>
        <w:rPr>
          <w:rFonts w:ascii="Times New Roman" w:hAnsi="Times New Roman"/>
          <w:color w:val="auto"/>
          <w:szCs w:val="21"/>
          <w:highlight w:val="none"/>
        </w:rPr>
        <w:t>本合同一式</w:t>
      </w:r>
      <w:r>
        <w:rPr>
          <w:rFonts w:hint="eastAsia" w:ascii="Times New Roman" w:hAnsi="Times New Roman"/>
          <w:color w:val="auto"/>
          <w:szCs w:val="21"/>
          <w:highlight w:val="none"/>
        </w:rPr>
        <w:t>四</w:t>
      </w:r>
      <w:r>
        <w:rPr>
          <w:rFonts w:ascii="Times New Roman" w:hAnsi="Times New Roman"/>
          <w:color w:val="auto"/>
          <w:szCs w:val="21"/>
          <w:highlight w:val="none"/>
        </w:rPr>
        <w:t>份，自双方</w:t>
      </w:r>
      <w:r>
        <w:rPr>
          <w:rFonts w:hint="eastAsia" w:ascii="Times New Roman" w:hAnsi="Times New Roman"/>
          <w:color w:val="auto"/>
          <w:szCs w:val="21"/>
          <w:highlight w:val="none"/>
          <w:lang w:val="en-US" w:eastAsia="zh-CN"/>
        </w:rPr>
        <w:t>签字且盖章</w:t>
      </w:r>
      <w:r>
        <w:rPr>
          <w:rFonts w:ascii="Times New Roman" w:hAnsi="Times New Roman"/>
          <w:color w:val="auto"/>
          <w:szCs w:val="21"/>
          <w:highlight w:val="none"/>
        </w:rPr>
        <w:t>之日起生效。甲方三份，乙方一份。</w:t>
      </w:r>
    </w:p>
    <w:p w14:paraId="63E921F7">
      <w:pPr>
        <w:pStyle w:val="31"/>
        <w:numPr>
          <w:ilvl w:val="0"/>
          <w:numId w:val="17"/>
        </w:numPr>
        <w:snapToGrid w:val="0"/>
        <w:ind w:left="0" w:firstLine="0" w:firstLineChars="0"/>
        <w:rPr>
          <w:rFonts w:ascii="Times New Roman" w:hAnsi="Times New Roman"/>
          <w:b/>
          <w:bCs/>
          <w:color w:val="auto"/>
          <w:szCs w:val="21"/>
          <w:highlight w:val="none"/>
        </w:rPr>
      </w:pPr>
      <w:r>
        <w:rPr>
          <w:rFonts w:ascii="Times New Roman" w:hAnsi="Times New Roman"/>
          <w:b/>
          <w:bCs/>
          <w:color w:val="auto"/>
          <w:szCs w:val="21"/>
          <w:highlight w:val="none"/>
        </w:rPr>
        <w:t>合同附件</w:t>
      </w:r>
    </w:p>
    <w:p w14:paraId="6D83F280">
      <w:pPr>
        <w:rPr>
          <w:rFonts w:ascii="Times New Roman" w:hAnsi="Times New Roman"/>
          <w:i/>
          <w:iCs/>
          <w:color w:val="auto"/>
          <w:szCs w:val="21"/>
          <w:highlight w:val="none"/>
        </w:rPr>
      </w:pPr>
      <w:r>
        <w:rPr>
          <w:rFonts w:hint="eastAsia" w:ascii="Times New Roman" w:hAnsi="Times New Roman"/>
          <w:color w:val="auto"/>
          <w:szCs w:val="21"/>
          <w:highlight w:val="none"/>
        </w:rPr>
        <w:t>本合同为</w:t>
      </w:r>
      <w:r>
        <w:rPr>
          <w:rFonts w:hint="eastAsia" w:ascii="Times New Roman" w:hAnsi="Times New Roman"/>
          <w:color w:val="auto"/>
          <w:szCs w:val="21"/>
          <w:highlight w:val="none"/>
          <w:u w:val="single"/>
        </w:rPr>
        <w:t>有</w:t>
      </w:r>
      <w:r>
        <w:rPr>
          <w:rFonts w:hint="eastAsia" w:ascii="Times New Roman" w:hAnsi="Times New Roman"/>
          <w:color w:val="auto"/>
          <w:szCs w:val="21"/>
          <w:highlight w:val="none"/>
        </w:rPr>
        <w:t>附件合同。</w:t>
      </w:r>
      <w:r>
        <w:rPr>
          <w:rFonts w:hint="eastAsia" w:ascii="Times New Roman" w:hAnsi="Times New Roman"/>
          <w:i/>
          <w:iCs/>
          <w:color w:val="auto"/>
          <w:szCs w:val="21"/>
          <w:highlight w:val="none"/>
        </w:rPr>
        <w:t>&lt;根据项目实际情况编制&gt;</w:t>
      </w:r>
    </w:p>
    <w:p w14:paraId="5435ABAE">
      <w:pPr>
        <w:pStyle w:val="5"/>
        <w:rPr>
          <w:rFonts w:hint="eastAsia"/>
          <w:color w:val="auto"/>
          <w:highlight w:val="none"/>
        </w:rPr>
      </w:pPr>
      <w:r>
        <w:rPr>
          <w:rFonts w:hint="eastAsia" w:ascii="Times New Roman" w:hAnsi="Times New Roman"/>
          <w:color w:val="auto"/>
          <w:szCs w:val="21"/>
          <w:highlight w:val="none"/>
          <w:u w:val="single"/>
        </w:rPr>
        <w:t>附件：《开发进度表》</w:t>
      </w:r>
    </w:p>
    <w:p w14:paraId="4BD71E6D">
      <w:pPr>
        <w:jc w:val="center"/>
        <w:rPr>
          <w:rFonts w:hint="eastAsia"/>
          <w:color w:val="auto"/>
          <w:highlight w:val="none"/>
        </w:rPr>
      </w:pPr>
      <w:r>
        <w:rPr>
          <w:rFonts w:ascii="Times New Roman" w:hAnsi="Times New Roman"/>
          <w:color w:val="auto"/>
          <w:szCs w:val="21"/>
          <w:highlight w:val="none"/>
        </w:rPr>
        <w:t>——</w:t>
      </w:r>
      <w:r>
        <w:rPr>
          <w:rFonts w:ascii="Times New Roman" w:hAnsi="Times New Roman"/>
          <w:color w:val="auto"/>
          <w:sz w:val="18"/>
          <w:szCs w:val="18"/>
          <w:highlight w:val="none"/>
        </w:rPr>
        <w:t>以下无正文</w:t>
      </w:r>
      <w:r>
        <w:rPr>
          <w:rFonts w:ascii="Times New Roman" w:hAnsi="Times New Roman"/>
          <w:color w:val="auto"/>
          <w:szCs w:val="21"/>
          <w:highlight w:val="none"/>
        </w:rPr>
        <w:t>——</w:t>
      </w:r>
    </w:p>
    <w:tbl>
      <w:tblPr>
        <w:tblStyle w:val="14"/>
        <w:tblW w:w="5000" w:type="pct"/>
        <w:jc w:val="center"/>
        <w:tblLayout w:type="autofit"/>
        <w:tblCellMar>
          <w:top w:w="0" w:type="dxa"/>
          <w:left w:w="0" w:type="dxa"/>
          <w:bottom w:w="0" w:type="dxa"/>
          <w:right w:w="0" w:type="dxa"/>
        </w:tblCellMar>
      </w:tblPr>
      <w:tblGrid>
        <w:gridCol w:w="4962"/>
        <w:gridCol w:w="5242"/>
      </w:tblGrid>
      <w:tr w14:paraId="635420D6">
        <w:trPr>
          <w:trHeight w:val="519" w:hRule="atLeast"/>
          <w:jc w:val="center"/>
        </w:trPr>
        <w:tc>
          <w:tcPr>
            <w:tcW w:w="10214" w:type="dxa"/>
            <w:gridSpan w:val="2"/>
            <w:noWrap w:val="0"/>
            <w:vAlign w:val="top"/>
          </w:tcPr>
          <w:p w14:paraId="0AB13CB2">
            <w:pPr>
              <w:rPr>
                <w:rFonts w:hint="eastAsia"/>
                <w:color w:val="auto"/>
                <w:highlight w:val="none"/>
              </w:rPr>
            </w:pPr>
            <w:r>
              <w:rPr>
                <w:rFonts w:hint="eastAsia"/>
                <w:color w:val="auto"/>
                <w:highlight w:val="none"/>
              </w:rPr>
              <w:t>签订时间：</w:t>
            </w:r>
            <w:r>
              <w:rPr>
                <w:color w:val="auto"/>
                <w:highlight w:val="none"/>
              </w:rPr>
              <w:t>202</w:t>
            </w:r>
            <w:r>
              <w:rPr>
                <w:rFonts w:hint="eastAsia"/>
                <w:color w:val="auto"/>
                <w:highlight w:val="none"/>
              </w:rPr>
              <w:t>*</w:t>
            </w:r>
            <w:r>
              <w:rPr>
                <w:color w:val="auto"/>
                <w:highlight w:val="none"/>
              </w:rPr>
              <w:t>年</w:t>
            </w:r>
            <w:r>
              <w:rPr>
                <w:rFonts w:hint="eastAsia"/>
                <w:color w:val="auto"/>
                <w:highlight w:val="none"/>
              </w:rPr>
              <w:t>*</w:t>
            </w:r>
            <w:r>
              <w:rPr>
                <w:color w:val="auto"/>
                <w:highlight w:val="none"/>
              </w:rPr>
              <w:t>**月</w:t>
            </w:r>
            <w:r>
              <w:rPr>
                <w:rFonts w:hint="eastAsia"/>
                <w:color w:val="auto"/>
                <w:highlight w:val="none"/>
              </w:rPr>
              <w:t>*</w:t>
            </w:r>
            <w:r>
              <w:rPr>
                <w:color w:val="auto"/>
                <w:highlight w:val="none"/>
              </w:rPr>
              <w:t>**</w:t>
            </w:r>
            <w:r>
              <w:rPr>
                <w:rFonts w:hint="eastAsia"/>
                <w:color w:val="auto"/>
                <w:highlight w:val="none"/>
              </w:rPr>
              <w:t>日</w:t>
            </w:r>
          </w:p>
        </w:tc>
      </w:tr>
      <w:tr w14:paraId="3325A689">
        <w:tblPrEx>
          <w:tblCellMar>
            <w:top w:w="0" w:type="dxa"/>
            <w:left w:w="0" w:type="dxa"/>
            <w:bottom w:w="0" w:type="dxa"/>
            <w:right w:w="0" w:type="dxa"/>
          </w:tblCellMar>
        </w:tblPrEx>
        <w:trPr>
          <w:jc w:val="center"/>
        </w:trPr>
        <w:tc>
          <w:tcPr>
            <w:tcW w:w="4967" w:type="dxa"/>
            <w:noWrap w:val="0"/>
            <w:vAlign w:val="top"/>
          </w:tcPr>
          <w:p w14:paraId="59BC914A">
            <w:pPr>
              <w:rPr>
                <w:color w:val="auto"/>
                <w:highlight w:val="none"/>
              </w:rPr>
            </w:pPr>
            <w:r>
              <w:rPr>
                <w:color w:val="auto"/>
                <w:highlight w:val="none"/>
              </w:rPr>
              <w:t>甲方：四川省人民医院（盖章）</w:t>
            </w:r>
          </w:p>
          <w:p w14:paraId="11359FB6">
            <w:pPr>
              <w:rPr>
                <w:color w:val="auto"/>
                <w:highlight w:val="none"/>
              </w:rPr>
            </w:pPr>
            <w:r>
              <w:rPr>
                <w:color w:val="auto"/>
                <w:highlight w:val="none"/>
              </w:rPr>
              <w:t>法定代表人（授权代表签字）：</w:t>
            </w:r>
          </w:p>
          <w:p w14:paraId="5C06F47E">
            <w:pPr>
              <w:rPr>
                <w:color w:val="auto"/>
                <w:highlight w:val="none"/>
              </w:rPr>
            </w:pPr>
            <w:r>
              <w:rPr>
                <w:color w:val="auto"/>
                <w:highlight w:val="none"/>
              </w:rPr>
              <w:t>地    址：四川省成都市一环路西二段32号</w:t>
            </w:r>
          </w:p>
          <w:p w14:paraId="70B021A0">
            <w:pPr>
              <w:rPr>
                <w:color w:val="auto"/>
                <w:highlight w:val="none"/>
              </w:rPr>
            </w:pPr>
            <w:r>
              <w:rPr>
                <w:color w:val="auto"/>
                <w:highlight w:val="none"/>
              </w:rPr>
              <w:t>开户银行：建设银行成都青羊支行</w:t>
            </w:r>
          </w:p>
          <w:p w14:paraId="2DECE29D">
            <w:pPr>
              <w:rPr>
                <w:rFonts w:hint="eastAsia"/>
                <w:color w:val="auto"/>
                <w:highlight w:val="none"/>
              </w:rPr>
            </w:pPr>
            <w:r>
              <w:rPr>
                <w:color w:val="auto"/>
                <w:highlight w:val="none"/>
              </w:rPr>
              <w:t>账号：5100 1446 4360 5037 4282</w:t>
            </w:r>
          </w:p>
        </w:tc>
        <w:tc>
          <w:tcPr>
            <w:tcW w:w="5247" w:type="dxa"/>
            <w:noWrap w:val="0"/>
            <w:vAlign w:val="top"/>
          </w:tcPr>
          <w:p w14:paraId="4D8899BD">
            <w:pPr>
              <w:rPr>
                <w:color w:val="auto"/>
                <w:highlight w:val="none"/>
              </w:rPr>
            </w:pPr>
            <w:r>
              <w:rPr>
                <w:color w:val="auto"/>
                <w:highlight w:val="none"/>
              </w:rPr>
              <w:t>乙方：</w:t>
            </w:r>
            <w:permStart w:id="3" w:edGrp="everyone"/>
            <w:r>
              <w:rPr>
                <w:color w:val="auto"/>
                <w:highlight w:val="none"/>
              </w:rPr>
              <w:t>***</w:t>
            </w:r>
            <w:permEnd w:id="3"/>
            <w:r>
              <w:rPr>
                <w:color w:val="auto"/>
                <w:highlight w:val="none"/>
              </w:rPr>
              <w:t>（盖章）</w:t>
            </w:r>
          </w:p>
          <w:p w14:paraId="338D2E10">
            <w:pPr>
              <w:rPr>
                <w:color w:val="auto"/>
                <w:highlight w:val="none"/>
              </w:rPr>
            </w:pPr>
            <w:r>
              <w:rPr>
                <w:color w:val="auto"/>
                <w:highlight w:val="none"/>
              </w:rPr>
              <w:t>法定代表人（授权代表签字）：</w:t>
            </w:r>
          </w:p>
          <w:p w14:paraId="409AF133">
            <w:pPr>
              <w:rPr>
                <w:color w:val="auto"/>
                <w:highlight w:val="none"/>
              </w:rPr>
            </w:pPr>
            <w:r>
              <w:rPr>
                <w:color w:val="auto"/>
                <w:highlight w:val="none"/>
              </w:rPr>
              <w:t>地址：</w:t>
            </w:r>
            <w:permStart w:id="4" w:edGrp="everyone"/>
            <w:r>
              <w:rPr>
                <w:color w:val="auto"/>
                <w:highlight w:val="none"/>
              </w:rPr>
              <w:t>***</w:t>
            </w:r>
            <w:permEnd w:id="4"/>
          </w:p>
          <w:p w14:paraId="392FC54F">
            <w:pPr>
              <w:rPr>
                <w:color w:val="auto"/>
                <w:highlight w:val="none"/>
              </w:rPr>
            </w:pPr>
            <w:r>
              <w:rPr>
                <w:color w:val="auto"/>
                <w:highlight w:val="none"/>
              </w:rPr>
              <w:t>开户银行：</w:t>
            </w:r>
            <w:permStart w:id="5" w:edGrp="everyone"/>
            <w:r>
              <w:rPr>
                <w:color w:val="auto"/>
                <w:highlight w:val="none"/>
              </w:rPr>
              <w:t>***</w:t>
            </w:r>
          </w:p>
          <w:permEnd w:id="5"/>
          <w:p w14:paraId="010A8C96">
            <w:pPr>
              <w:rPr>
                <w:rFonts w:hint="eastAsia"/>
                <w:color w:val="auto"/>
                <w:highlight w:val="none"/>
              </w:rPr>
            </w:pPr>
            <w:r>
              <w:rPr>
                <w:color w:val="auto"/>
                <w:highlight w:val="none"/>
              </w:rPr>
              <w:t>账号：</w:t>
            </w:r>
            <w:permStart w:id="6" w:edGrp="everyone"/>
            <w:r>
              <w:rPr>
                <w:color w:val="auto"/>
                <w:highlight w:val="none"/>
              </w:rPr>
              <w:t>***</w:t>
            </w:r>
            <w:permEnd w:id="6"/>
          </w:p>
        </w:tc>
      </w:tr>
    </w:tbl>
    <w:p w14:paraId="663B805E">
      <w:pPr>
        <w:sectPr>
          <w:footerReference r:id="rId7" w:type="default"/>
          <w:pgSz w:w="11906" w:h="16838"/>
          <w:pgMar w:top="1134" w:right="851" w:bottom="1134" w:left="851" w:header="851" w:footer="567" w:gutter="0"/>
          <w:pgNumType w:fmt="decimal" w:start="1"/>
          <w:cols w:space="720" w:num="1"/>
          <w:docGrid w:type="lines" w:linePitch="312" w:charSpace="0"/>
        </w:sectPr>
      </w:pPr>
    </w:p>
    <w:p w14:paraId="23CB524C">
      <w:pPr>
        <w:rPr>
          <w:rFonts w:ascii="Times New Roman" w:hAnsi="Times New Roman"/>
          <w:b/>
          <w:bCs/>
          <w:szCs w:val="21"/>
        </w:rPr>
      </w:pPr>
      <w:r>
        <w:rPr>
          <w:rFonts w:hint="eastAsia" w:ascii="Times New Roman" w:hAnsi="Times New Roman"/>
          <w:b/>
          <w:bCs/>
          <w:szCs w:val="21"/>
        </w:rPr>
        <w:t>附件：开发进度表</w:t>
      </w:r>
    </w:p>
    <w:p w14:paraId="177EBF1F">
      <w:pPr>
        <w:pStyle w:val="6"/>
        <w:ind w:firstLine="0" w:firstLineChars="0"/>
        <w:contextualSpacing/>
        <w:rPr>
          <w:rFonts w:ascii="Times New Roman" w:hAnsi="Times New Roman"/>
        </w:rPr>
      </w:pPr>
    </w:p>
    <w:p w14:paraId="1A30AEB2">
      <w:pPr>
        <w:pStyle w:val="6"/>
        <w:ind w:firstLine="0" w:firstLineChars="0"/>
        <w:rPr>
          <w:rFonts w:hint="eastAsia"/>
        </w:rPr>
      </w:pPr>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9" w:type="first"/>
      <w:footerReference r:id="rId8"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D7E9">
    <w:pPr>
      <w:pStyle w:val="9"/>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BF3FB5B">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32</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6BF3FB5B">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9"/>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796E5B3A">
                          <w:pPr>
                            <w:pStyle w:val="9"/>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eastAsia="宋体"/>
                              <w:lang w:val="en-US" w:eastAsia="zh-CN"/>
                            </w:rPr>
                            <w:t>32</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796E5B3A">
                    <w:pPr>
                      <w:pStyle w:val="9"/>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eastAsia="宋体"/>
                        <w:lang w:val="en-US" w:eastAsia="zh-CN"/>
                      </w:rPr>
                      <w:t>32</w:t>
                    </w:r>
                    <w:r>
                      <w:t xml:space="preserve"> 页</w:t>
                    </w:r>
                  </w:p>
                </w:txbxContent>
              </v:textbox>
            </v:shape>
          </w:pict>
        </mc:Fallback>
      </mc:AlternateContent>
    </w:r>
    <w:r>
      <w:rPr>
        <w:rFonts w:ascii="Times New Roman" w:hAnsi="Times New Roman" w:eastAsia="宋体" w:cs="Times New Roman"/>
        <w:sz w:val="21"/>
        <w:szCs w:val="21"/>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9"/>
      <w:rPr>
        <w:rFonts w:hint="default"/>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667D013">
                          <w:pPr>
                            <w:pStyle w:val="9"/>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eastAsia="宋体"/>
                              <w:lang w:val="en-US" w:eastAsia="zh-CN"/>
                            </w:rPr>
                            <w:t>32</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667D013">
                    <w:pPr>
                      <w:pStyle w:val="9"/>
                    </w:pPr>
                    <w:r>
                      <w:t xml:space="preserve">第 </w:t>
                    </w:r>
                    <w:r>
                      <w:fldChar w:fldCharType="begin"/>
                    </w:r>
                    <w:r>
                      <w:instrText xml:space="preserve"> PAGE  \* MERGEFORMAT </w:instrText>
                    </w:r>
                    <w:r>
                      <w:fldChar w:fldCharType="separate"/>
                    </w:r>
                    <w:r>
                      <w:t>31</w:t>
                    </w:r>
                    <w:r>
                      <w:fldChar w:fldCharType="end"/>
                    </w:r>
                    <w:r>
                      <w:t xml:space="preserve"> 页 共 </w:t>
                    </w:r>
                    <w:r>
                      <w:rPr>
                        <w:rFonts w:hint="eastAsia" w:eastAsia="宋体"/>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20" w:hanging="425"/>
      </w:pPr>
      <w:rPr>
        <w:rFonts w:hint="default"/>
      </w:rPr>
    </w:lvl>
  </w:abstractNum>
  <w:abstractNum w:abstractNumId="14">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4">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3"/>
  </w:num>
  <w:num w:numId="2">
    <w:abstractNumId w:val="9"/>
  </w:num>
  <w:num w:numId="3">
    <w:abstractNumId w:val="3"/>
  </w:num>
  <w:num w:numId="4">
    <w:abstractNumId w:val="33"/>
  </w:num>
  <w:num w:numId="5">
    <w:abstractNumId w:val="13"/>
  </w:num>
  <w:num w:numId="6">
    <w:abstractNumId w:val="27"/>
  </w:num>
  <w:num w:numId="7">
    <w:abstractNumId w:val="20"/>
  </w:num>
  <w:num w:numId="8">
    <w:abstractNumId w:val="2"/>
  </w:num>
  <w:num w:numId="9">
    <w:abstractNumId w:val="0"/>
  </w:num>
  <w:num w:numId="10">
    <w:abstractNumId w:val="14"/>
  </w:num>
  <w:num w:numId="11">
    <w:abstractNumId w:val="1"/>
  </w:num>
  <w:num w:numId="12">
    <w:abstractNumId w:val="31"/>
  </w:num>
  <w:num w:numId="13">
    <w:abstractNumId w:val="12"/>
  </w:num>
  <w:num w:numId="14">
    <w:abstractNumId w:val="11"/>
  </w:num>
  <w:num w:numId="15">
    <w:abstractNumId w:val="5"/>
  </w:num>
  <w:num w:numId="16">
    <w:abstractNumId w:val="24"/>
  </w:num>
  <w:num w:numId="17">
    <w:abstractNumId w:val="6"/>
  </w:num>
  <w:num w:numId="18">
    <w:abstractNumId w:val="29"/>
  </w:num>
  <w:num w:numId="19">
    <w:abstractNumId w:val="4"/>
  </w:num>
  <w:num w:numId="20">
    <w:abstractNumId w:val="19"/>
  </w:num>
  <w:num w:numId="21">
    <w:abstractNumId w:val="18"/>
  </w:num>
  <w:num w:numId="22">
    <w:abstractNumId w:val="32"/>
  </w:num>
  <w:num w:numId="23">
    <w:abstractNumId w:val="25"/>
  </w:num>
  <w:num w:numId="24">
    <w:abstractNumId w:val="7"/>
  </w:num>
  <w:num w:numId="25">
    <w:abstractNumId w:val="15"/>
  </w:num>
  <w:num w:numId="26">
    <w:abstractNumId w:val="17"/>
  </w:num>
  <w:num w:numId="27">
    <w:abstractNumId w:val="30"/>
  </w:num>
  <w:num w:numId="28">
    <w:abstractNumId w:val="28"/>
  </w:num>
  <w:num w:numId="29">
    <w:abstractNumId w:val="21"/>
  </w:num>
  <w:num w:numId="30">
    <w:abstractNumId w:val="16"/>
  </w:num>
  <w:num w:numId="31">
    <w:abstractNumId w:val="8"/>
  </w:num>
  <w:num w:numId="32">
    <w:abstractNumId w:val="22"/>
  </w:num>
  <w:num w:numId="33">
    <w:abstractNumId w:val="1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8F4C90"/>
    <w:rsid w:val="020C008E"/>
    <w:rsid w:val="029A38EC"/>
    <w:rsid w:val="032842F9"/>
    <w:rsid w:val="03763AA5"/>
    <w:rsid w:val="04E1148C"/>
    <w:rsid w:val="051931EE"/>
    <w:rsid w:val="051E25B2"/>
    <w:rsid w:val="053578FC"/>
    <w:rsid w:val="05AB5E10"/>
    <w:rsid w:val="065663FB"/>
    <w:rsid w:val="067508F8"/>
    <w:rsid w:val="06826B71"/>
    <w:rsid w:val="06DE46EF"/>
    <w:rsid w:val="074D53D1"/>
    <w:rsid w:val="08CB3FC4"/>
    <w:rsid w:val="0A486323"/>
    <w:rsid w:val="0AD656DD"/>
    <w:rsid w:val="0AF90E34"/>
    <w:rsid w:val="0B204BAA"/>
    <w:rsid w:val="0B4E34C6"/>
    <w:rsid w:val="0B552AA6"/>
    <w:rsid w:val="0B9C39D7"/>
    <w:rsid w:val="0B9F6417"/>
    <w:rsid w:val="0BC1013B"/>
    <w:rsid w:val="0BD25EA5"/>
    <w:rsid w:val="0BED0D1B"/>
    <w:rsid w:val="0C2D757F"/>
    <w:rsid w:val="0C3E763F"/>
    <w:rsid w:val="0C4C20FB"/>
    <w:rsid w:val="0C915D60"/>
    <w:rsid w:val="0CC7352F"/>
    <w:rsid w:val="0D3D7C96"/>
    <w:rsid w:val="0D5F7C0C"/>
    <w:rsid w:val="0D833B11"/>
    <w:rsid w:val="0DD622EF"/>
    <w:rsid w:val="0DF90060"/>
    <w:rsid w:val="0DFF5E39"/>
    <w:rsid w:val="0E341099"/>
    <w:rsid w:val="0E5434E9"/>
    <w:rsid w:val="0E7019A5"/>
    <w:rsid w:val="0EC87A33"/>
    <w:rsid w:val="0F525F00"/>
    <w:rsid w:val="0F781459"/>
    <w:rsid w:val="0F9D0940"/>
    <w:rsid w:val="10376C1E"/>
    <w:rsid w:val="105F7F23"/>
    <w:rsid w:val="108F6A5A"/>
    <w:rsid w:val="10AD5132"/>
    <w:rsid w:val="113A274F"/>
    <w:rsid w:val="11494E5B"/>
    <w:rsid w:val="11A1591C"/>
    <w:rsid w:val="120F276F"/>
    <w:rsid w:val="124C7D2B"/>
    <w:rsid w:val="126D4B79"/>
    <w:rsid w:val="12C1461A"/>
    <w:rsid w:val="13081A3E"/>
    <w:rsid w:val="1340403C"/>
    <w:rsid w:val="136E5EEF"/>
    <w:rsid w:val="14045069"/>
    <w:rsid w:val="1457788F"/>
    <w:rsid w:val="14787805"/>
    <w:rsid w:val="147C72F5"/>
    <w:rsid w:val="15957368"/>
    <w:rsid w:val="15B42ABF"/>
    <w:rsid w:val="162C0264"/>
    <w:rsid w:val="17620A24"/>
    <w:rsid w:val="17A0154D"/>
    <w:rsid w:val="18075128"/>
    <w:rsid w:val="180B10BC"/>
    <w:rsid w:val="188350F6"/>
    <w:rsid w:val="189F1804"/>
    <w:rsid w:val="18BB296F"/>
    <w:rsid w:val="18D05E62"/>
    <w:rsid w:val="18D771F0"/>
    <w:rsid w:val="19397563"/>
    <w:rsid w:val="193E101D"/>
    <w:rsid w:val="19B25567"/>
    <w:rsid w:val="19DD2D01"/>
    <w:rsid w:val="1A3650F2"/>
    <w:rsid w:val="1A9A2283"/>
    <w:rsid w:val="1B261D69"/>
    <w:rsid w:val="1B5763C6"/>
    <w:rsid w:val="1B925650"/>
    <w:rsid w:val="1BDE10A2"/>
    <w:rsid w:val="1C275D99"/>
    <w:rsid w:val="1C4F709D"/>
    <w:rsid w:val="1C676ADD"/>
    <w:rsid w:val="1C790AFD"/>
    <w:rsid w:val="1C9F6277"/>
    <w:rsid w:val="1D322C47"/>
    <w:rsid w:val="1D8A4831"/>
    <w:rsid w:val="1D9B2F98"/>
    <w:rsid w:val="1DA84CB7"/>
    <w:rsid w:val="1E024BEA"/>
    <w:rsid w:val="1E6004DA"/>
    <w:rsid w:val="1E840723"/>
    <w:rsid w:val="1E894AE9"/>
    <w:rsid w:val="20087C8F"/>
    <w:rsid w:val="200C3C23"/>
    <w:rsid w:val="201C373B"/>
    <w:rsid w:val="20992FDD"/>
    <w:rsid w:val="2100305C"/>
    <w:rsid w:val="210C1A01"/>
    <w:rsid w:val="2116462E"/>
    <w:rsid w:val="2130749E"/>
    <w:rsid w:val="22042CE5"/>
    <w:rsid w:val="223B434C"/>
    <w:rsid w:val="228850B7"/>
    <w:rsid w:val="23533917"/>
    <w:rsid w:val="235A6A54"/>
    <w:rsid w:val="2389558B"/>
    <w:rsid w:val="23B51EDC"/>
    <w:rsid w:val="23FE1AD5"/>
    <w:rsid w:val="24156E1F"/>
    <w:rsid w:val="24CE2760"/>
    <w:rsid w:val="2503311B"/>
    <w:rsid w:val="260A783C"/>
    <w:rsid w:val="2677791D"/>
    <w:rsid w:val="268D7140"/>
    <w:rsid w:val="26CD33AF"/>
    <w:rsid w:val="26D44D6F"/>
    <w:rsid w:val="27D03788"/>
    <w:rsid w:val="27F37477"/>
    <w:rsid w:val="280B656E"/>
    <w:rsid w:val="28DB23E5"/>
    <w:rsid w:val="297C274F"/>
    <w:rsid w:val="297E0FC2"/>
    <w:rsid w:val="298C3AA9"/>
    <w:rsid w:val="2A1F4553"/>
    <w:rsid w:val="2B0F45C8"/>
    <w:rsid w:val="2B45448D"/>
    <w:rsid w:val="2B5B15BB"/>
    <w:rsid w:val="2B830B12"/>
    <w:rsid w:val="2C994A91"/>
    <w:rsid w:val="2CA945A8"/>
    <w:rsid w:val="2CED0939"/>
    <w:rsid w:val="2CFE2B46"/>
    <w:rsid w:val="2D0D2D89"/>
    <w:rsid w:val="2D7B7CF2"/>
    <w:rsid w:val="2DC4138A"/>
    <w:rsid w:val="2DCC49F2"/>
    <w:rsid w:val="2DF33D2D"/>
    <w:rsid w:val="2E19750B"/>
    <w:rsid w:val="2E2E1209"/>
    <w:rsid w:val="2E67296D"/>
    <w:rsid w:val="2E7806D6"/>
    <w:rsid w:val="2E953036"/>
    <w:rsid w:val="2F1C5505"/>
    <w:rsid w:val="2F1F1070"/>
    <w:rsid w:val="2F335C20"/>
    <w:rsid w:val="2F3A3BDD"/>
    <w:rsid w:val="2F3E6F9F"/>
    <w:rsid w:val="2F974B8C"/>
    <w:rsid w:val="2FC736C3"/>
    <w:rsid w:val="310F3573"/>
    <w:rsid w:val="3192385D"/>
    <w:rsid w:val="31B5579D"/>
    <w:rsid w:val="32000BDF"/>
    <w:rsid w:val="327411B4"/>
    <w:rsid w:val="3287538B"/>
    <w:rsid w:val="32CB34CA"/>
    <w:rsid w:val="33030EB6"/>
    <w:rsid w:val="33497B0A"/>
    <w:rsid w:val="33A87367"/>
    <w:rsid w:val="33B57CD6"/>
    <w:rsid w:val="34180991"/>
    <w:rsid w:val="34190265"/>
    <w:rsid w:val="345179FF"/>
    <w:rsid w:val="346040E6"/>
    <w:rsid w:val="34F07218"/>
    <w:rsid w:val="35264A4C"/>
    <w:rsid w:val="3532368F"/>
    <w:rsid w:val="35F20D1A"/>
    <w:rsid w:val="36343134"/>
    <w:rsid w:val="363B44C3"/>
    <w:rsid w:val="36BE6EA2"/>
    <w:rsid w:val="36D93CDC"/>
    <w:rsid w:val="371B42F4"/>
    <w:rsid w:val="3763616F"/>
    <w:rsid w:val="37B95FE7"/>
    <w:rsid w:val="37C96C92"/>
    <w:rsid w:val="37E40B8A"/>
    <w:rsid w:val="38514471"/>
    <w:rsid w:val="385775AE"/>
    <w:rsid w:val="386C12AB"/>
    <w:rsid w:val="38A1734A"/>
    <w:rsid w:val="38A81C3F"/>
    <w:rsid w:val="38F81DDC"/>
    <w:rsid w:val="399565E0"/>
    <w:rsid w:val="39BC591B"/>
    <w:rsid w:val="39D07618"/>
    <w:rsid w:val="39FC21BB"/>
    <w:rsid w:val="3A1C285D"/>
    <w:rsid w:val="3A2801BE"/>
    <w:rsid w:val="3A6D3892"/>
    <w:rsid w:val="3A7E7074"/>
    <w:rsid w:val="3B311935"/>
    <w:rsid w:val="3B714E2B"/>
    <w:rsid w:val="3B822B94"/>
    <w:rsid w:val="3B9C1EA7"/>
    <w:rsid w:val="3BBF5B96"/>
    <w:rsid w:val="3C0D6901"/>
    <w:rsid w:val="3C236125"/>
    <w:rsid w:val="3C3A63A3"/>
    <w:rsid w:val="3D1837B0"/>
    <w:rsid w:val="3D1E68EC"/>
    <w:rsid w:val="3D5B18EE"/>
    <w:rsid w:val="3DC56D68"/>
    <w:rsid w:val="3DFF0247"/>
    <w:rsid w:val="3E1F1FE5"/>
    <w:rsid w:val="3EA352FB"/>
    <w:rsid w:val="3EDE6333"/>
    <w:rsid w:val="3F185CE9"/>
    <w:rsid w:val="3F220916"/>
    <w:rsid w:val="3F884943"/>
    <w:rsid w:val="3FBD0E9A"/>
    <w:rsid w:val="3FC512A1"/>
    <w:rsid w:val="3FCC262F"/>
    <w:rsid w:val="402266F3"/>
    <w:rsid w:val="40662A84"/>
    <w:rsid w:val="40B51316"/>
    <w:rsid w:val="41390199"/>
    <w:rsid w:val="41434B73"/>
    <w:rsid w:val="418238EE"/>
    <w:rsid w:val="42073DF3"/>
    <w:rsid w:val="42D02437"/>
    <w:rsid w:val="430640AA"/>
    <w:rsid w:val="43BB6C43"/>
    <w:rsid w:val="43C04259"/>
    <w:rsid w:val="43C05B54"/>
    <w:rsid w:val="43D146B8"/>
    <w:rsid w:val="43DD4E0B"/>
    <w:rsid w:val="43E837B0"/>
    <w:rsid w:val="43FE4D82"/>
    <w:rsid w:val="441177D6"/>
    <w:rsid w:val="441A7E0D"/>
    <w:rsid w:val="45592BB7"/>
    <w:rsid w:val="46054AED"/>
    <w:rsid w:val="46146ADE"/>
    <w:rsid w:val="46377A12"/>
    <w:rsid w:val="46677DCD"/>
    <w:rsid w:val="468C6D22"/>
    <w:rsid w:val="46B362F7"/>
    <w:rsid w:val="474156B1"/>
    <w:rsid w:val="47491CA4"/>
    <w:rsid w:val="476D64A6"/>
    <w:rsid w:val="47C00CCC"/>
    <w:rsid w:val="48376AB4"/>
    <w:rsid w:val="488F069E"/>
    <w:rsid w:val="48AA54D8"/>
    <w:rsid w:val="494D47E1"/>
    <w:rsid w:val="498E0956"/>
    <w:rsid w:val="49A90C47"/>
    <w:rsid w:val="49B70D1D"/>
    <w:rsid w:val="49E35145"/>
    <w:rsid w:val="4A003601"/>
    <w:rsid w:val="4A1E7BAE"/>
    <w:rsid w:val="4A34774F"/>
    <w:rsid w:val="4A800BE6"/>
    <w:rsid w:val="4AC76815"/>
    <w:rsid w:val="4B0C247A"/>
    <w:rsid w:val="4B517E8D"/>
    <w:rsid w:val="4B663938"/>
    <w:rsid w:val="4C431ECB"/>
    <w:rsid w:val="4C51283A"/>
    <w:rsid w:val="4C756154"/>
    <w:rsid w:val="4CA0731E"/>
    <w:rsid w:val="4CEC2563"/>
    <w:rsid w:val="4CF51D9E"/>
    <w:rsid w:val="4CF82CB6"/>
    <w:rsid w:val="4D0E072B"/>
    <w:rsid w:val="4D1D44CA"/>
    <w:rsid w:val="4D4F4C44"/>
    <w:rsid w:val="4DA16EA9"/>
    <w:rsid w:val="4DB40612"/>
    <w:rsid w:val="4DBC7557"/>
    <w:rsid w:val="4DEC79E7"/>
    <w:rsid w:val="4E473EF5"/>
    <w:rsid w:val="4E870795"/>
    <w:rsid w:val="4EC73630"/>
    <w:rsid w:val="4F091DE1"/>
    <w:rsid w:val="4F132029"/>
    <w:rsid w:val="4F29184C"/>
    <w:rsid w:val="4F391364"/>
    <w:rsid w:val="4F443F90"/>
    <w:rsid w:val="4F5F701C"/>
    <w:rsid w:val="4F6B58A1"/>
    <w:rsid w:val="4FCE7CFE"/>
    <w:rsid w:val="4FD36D7D"/>
    <w:rsid w:val="4FDC68BF"/>
    <w:rsid w:val="4FE439C5"/>
    <w:rsid w:val="500E7836"/>
    <w:rsid w:val="503404A9"/>
    <w:rsid w:val="506A211C"/>
    <w:rsid w:val="507B60D8"/>
    <w:rsid w:val="5100482F"/>
    <w:rsid w:val="5144296E"/>
    <w:rsid w:val="51EE28D9"/>
    <w:rsid w:val="51FE0D6E"/>
    <w:rsid w:val="52391DA6"/>
    <w:rsid w:val="528D20F2"/>
    <w:rsid w:val="52972F71"/>
    <w:rsid w:val="529E1C09"/>
    <w:rsid w:val="52D7511B"/>
    <w:rsid w:val="5314011E"/>
    <w:rsid w:val="534E1882"/>
    <w:rsid w:val="53520B81"/>
    <w:rsid w:val="53A019B1"/>
    <w:rsid w:val="545A4256"/>
    <w:rsid w:val="54817A35"/>
    <w:rsid w:val="54B020C8"/>
    <w:rsid w:val="54D20290"/>
    <w:rsid w:val="54F65018"/>
    <w:rsid w:val="55006BAB"/>
    <w:rsid w:val="556C5FEF"/>
    <w:rsid w:val="56066443"/>
    <w:rsid w:val="56666EE2"/>
    <w:rsid w:val="56682C5A"/>
    <w:rsid w:val="568A2F61"/>
    <w:rsid w:val="56D71B8E"/>
    <w:rsid w:val="56E61DD1"/>
    <w:rsid w:val="57624FD6"/>
    <w:rsid w:val="59BD4057"/>
    <w:rsid w:val="5A0E6D1C"/>
    <w:rsid w:val="5A9D4E9D"/>
    <w:rsid w:val="5ABA77FD"/>
    <w:rsid w:val="5AC32B55"/>
    <w:rsid w:val="5B780C22"/>
    <w:rsid w:val="5B7B3430"/>
    <w:rsid w:val="5BFD3497"/>
    <w:rsid w:val="5C003935"/>
    <w:rsid w:val="5C553C81"/>
    <w:rsid w:val="5C89392A"/>
    <w:rsid w:val="5CE31F05"/>
    <w:rsid w:val="5CFA0384"/>
    <w:rsid w:val="5CFB7F7B"/>
    <w:rsid w:val="5CFD7E74"/>
    <w:rsid w:val="5E1216FE"/>
    <w:rsid w:val="5E4E4E2C"/>
    <w:rsid w:val="5E8F0FA0"/>
    <w:rsid w:val="5ED41285"/>
    <w:rsid w:val="5F0947DD"/>
    <w:rsid w:val="5F5D4BFA"/>
    <w:rsid w:val="5FAB005C"/>
    <w:rsid w:val="5FAB3BB8"/>
    <w:rsid w:val="60822D96"/>
    <w:rsid w:val="60882223"/>
    <w:rsid w:val="60BE084B"/>
    <w:rsid w:val="60F11A9E"/>
    <w:rsid w:val="61131A15"/>
    <w:rsid w:val="61FF01EB"/>
    <w:rsid w:val="620829BD"/>
    <w:rsid w:val="6299419B"/>
    <w:rsid w:val="62D16373"/>
    <w:rsid w:val="62D82F16"/>
    <w:rsid w:val="62F42106"/>
    <w:rsid w:val="635B58F5"/>
    <w:rsid w:val="63DD3E3D"/>
    <w:rsid w:val="63DE27AE"/>
    <w:rsid w:val="640B10C9"/>
    <w:rsid w:val="64346872"/>
    <w:rsid w:val="64AA6B34"/>
    <w:rsid w:val="65424FBE"/>
    <w:rsid w:val="65E258D7"/>
    <w:rsid w:val="66334C73"/>
    <w:rsid w:val="66970432"/>
    <w:rsid w:val="66C20165"/>
    <w:rsid w:val="66E16B34"/>
    <w:rsid w:val="66E53E53"/>
    <w:rsid w:val="6727621A"/>
    <w:rsid w:val="67892A30"/>
    <w:rsid w:val="67902011"/>
    <w:rsid w:val="67C1666E"/>
    <w:rsid w:val="67E73BFB"/>
    <w:rsid w:val="683C5CF5"/>
    <w:rsid w:val="68462BCD"/>
    <w:rsid w:val="684844AC"/>
    <w:rsid w:val="68701E42"/>
    <w:rsid w:val="688768E9"/>
    <w:rsid w:val="69416EAD"/>
    <w:rsid w:val="694F7E51"/>
    <w:rsid w:val="6A225B71"/>
    <w:rsid w:val="6A617C95"/>
    <w:rsid w:val="6A890F99"/>
    <w:rsid w:val="6AA81420"/>
    <w:rsid w:val="6B00125C"/>
    <w:rsid w:val="6B993E13"/>
    <w:rsid w:val="6BE36D4D"/>
    <w:rsid w:val="6C040682"/>
    <w:rsid w:val="6CF070AE"/>
    <w:rsid w:val="6D564496"/>
    <w:rsid w:val="6DC36570"/>
    <w:rsid w:val="6E470F4F"/>
    <w:rsid w:val="6E7A1325"/>
    <w:rsid w:val="6ECB7DD2"/>
    <w:rsid w:val="6EDC3D8E"/>
    <w:rsid w:val="70311EB7"/>
    <w:rsid w:val="711315BD"/>
    <w:rsid w:val="71573B9F"/>
    <w:rsid w:val="719721EE"/>
    <w:rsid w:val="72227D09"/>
    <w:rsid w:val="7260609B"/>
    <w:rsid w:val="72C55A38"/>
    <w:rsid w:val="7327134F"/>
    <w:rsid w:val="732A5565"/>
    <w:rsid w:val="736C7698"/>
    <w:rsid w:val="737E1108"/>
    <w:rsid w:val="73A3131E"/>
    <w:rsid w:val="73BA4A84"/>
    <w:rsid w:val="747477EB"/>
    <w:rsid w:val="74820F33"/>
    <w:rsid w:val="74CA3328"/>
    <w:rsid w:val="74D3178F"/>
    <w:rsid w:val="75A506B2"/>
    <w:rsid w:val="75BA6BBF"/>
    <w:rsid w:val="75C31803"/>
    <w:rsid w:val="75DA1174"/>
    <w:rsid w:val="75F25C45"/>
    <w:rsid w:val="76085468"/>
    <w:rsid w:val="762A7AD4"/>
    <w:rsid w:val="76761669"/>
    <w:rsid w:val="768F26FA"/>
    <w:rsid w:val="769D1B10"/>
    <w:rsid w:val="76CA6BC2"/>
    <w:rsid w:val="774C5829"/>
    <w:rsid w:val="78281DF2"/>
    <w:rsid w:val="78362761"/>
    <w:rsid w:val="783764D9"/>
    <w:rsid w:val="78931961"/>
    <w:rsid w:val="79181E66"/>
    <w:rsid w:val="7A0348C4"/>
    <w:rsid w:val="7A2D7B93"/>
    <w:rsid w:val="7AB43E11"/>
    <w:rsid w:val="7BB87930"/>
    <w:rsid w:val="7BF96512"/>
    <w:rsid w:val="7C792C1C"/>
    <w:rsid w:val="7CE65DD7"/>
    <w:rsid w:val="7D2A03BA"/>
    <w:rsid w:val="7D6C09D3"/>
    <w:rsid w:val="7DB163E5"/>
    <w:rsid w:val="7DC425BD"/>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next w:val="6"/>
    <w:link w:val="34"/>
    <w:qFormat/>
    <w:uiPriority w:val="0"/>
    <w:rPr>
      <w:rFonts w:eastAsia="Times New Roman"/>
    </w:rPr>
  </w:style>
  <w:style w:type="paragraph" w:styleId="6">
    <w:name w:val="Body Text First Indent"/>
    <w:basedOn w:val="5"/>
    <w:link w:val="50"/>
    <w:semiHidden/>
    <w:unhideWhenUsed/>
    <w:qFormat/>
    <w:uiPriority w:val="99"/>
    <w:pPr>
      <w:spacing w:line="440" w:lineRule="exact"/>
      <w:ind w:firstLine="420" w:firstLineChars="200"/>
    </w:pPr>
    <w:rPr>
      <w:szCs w:val="20"/>
    </w:rPr>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8"/>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8"/>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6"/>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34</Pages>
  <Words>20525</Words>
  <Characters>21229</Characters>
  <Lines>59</Lines>
  <Paragraphs>16</Paragraphs>
  <TotalTime>36</TotalTime>
  <ScaleCrop>false</ScaleCrop>
  <LinksUpToDate>false</LinksUpToDate>
  <CharactersWithSpaces>21601</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蔡</cp:lastModifiedBy>
  <dcterms:modified xsi:type="dcterms:W3CDTF">2026-05-12T07:42:44Z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