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rPr>
      </w:pPr>
    </w:p>
    <w:p w14:paraId="267C341F">
      <w:pPr>
        <w:spacing w:line="360" w:lineRule="auto"/>
        <w:ind w:firstLine="610" w:firstLineChars="100"/>
        <w:jc w:val="center"/>
        <w:rPr>
          <w:rFonts w:hint="default"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w:t>
      </w:r>
      <w:r>
        <w:rPr>
          <w:rFonts w:hint="eastAsia" w:ascii="STHeiti Regular" w:hAnsi="STHeiti Regular" w:eastAsia="STHeiti Regular" w:cs="STHeiti Regular"/>
          <w:b/>
          <w:color w:val="auto"/>
          <w:spacing w:val="24"/>
          <w:sz w:val="56"/>
          <w:szCs w:val="56"/>
          <w:u w:val="none" w:color="auto"/>
          <w:lang w:val="en-US" w:eastAsia="zh-CN"/>
        </w:rPr>
        <w:t>锦江医务室内网专线</w:t>
      </w:r>
      <w:r>
        <w:rPr>
          <w:rFonts w:ascii="STHeiti Regular" w:hAnsi="STHeiti Regular" w:eastAsia="STHeiti Regular" w:cs="STHeiti Regular"/>
          <w:b/>
          <w:color w:val="auto"/>
          <w:spacing w:val="24"/>
          <w:sz w:val="56"/>
          <w:szCs w:val="56"/>
        </w:rPr>
        <w:t>采购项目</w:t>
      </w:r>
    </w:p>
    <w:p w14:paraId="05E859BD">
      <w:pPr>
        <w:rPr>
          <w:rFonts w:hint="default" w:ascii="黑体" w:hAnsi="黑体" w:eastAsia="黑体" w:cs="黑体"/>
          <w:bCs/>
          <w:color w:val="auto"/>
        </w:rPr>
      </w:pPr>
    </w:p>
    <w:p w14:paraId="3DC75E4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478D9F5">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4B4E51C3">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16A383C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1A0420C6">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2B6A027B">
      <w:pPr>
        <w:rPr>
          <w:rFonts w:hint="default" w:ascii="黑体" w:hAnsi="黑体" w:eastAsia="黑体" w:cs="黑体"/>
          <w:color w:val="auto"/>
        </w:rPr>
      </w:pPr>
    </w:p>
    <w:p w14:paraId="1CEDE527">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D7CD30B">
      <w:pPr>
        <w:spacing w:line="440" w:lineRule="exact"/>
        <w:jc w:val="center"/>
        <w:rPr>
          <w:rFonts w:hint="default" w:ascii="黑体" w:hAnsi="黑体" w:eastAsia="黑体" w:cs="黑体"/>
          <w:b/>
          <w:color w:val="auto"/>
          <w:sz w:val="36"/>
          <w:szCs w:val="36"/>
        </w:rPr>
      </w:pPr>
    </w:p>
    <w:p w14:paraId="68B950F1">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10</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286328CF">
          <w:pPr>
            <w:spacing w:line="360" w:lineRule="auto"/>
            <w:jc w:val="center"/>
            <w:rPr>
              <w:rFonts w:hint="default" w:ascii="黑体" w:hAnsi="黑体" w:eastAsia="黑体" w:cs="黑体"/>
              <w:color w:val="auto"/>
              <w:sz w:val="32"/>
              <w:szCs w:val="32"/>
            </w:rPr>
          </w:pPr>
          <w:bookmarkStart w:id="47" w:name="_GoBack"/>
          <w:bookmarkEnd w:id="47"/>
          <w:r>
            <w:rPr>
              <w:rFonts w:ascii="黑体" w:hAnsi="黑体" w:eastAsia="黑体" w:cs="黑体"/>
              <w:color w:val="auto"/>
              <w:sz w:val="32"/>
              <w:szCs w:val="32"/>
            </w:rPr>
            <w:t>目录</w:t>
          </w:r>
        </w:p>
        <w:p w14:paraId="7F215F51">
          <w:pPr>
            <w:pStyle w:val="10"/>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52A9A0">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4423B1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BE0A9C7">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4DE36BE">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0BE7162E">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B4A9FA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DAB0D1">
          <w:pPr>
            <w:pStyle w:val="10"/>
            <w:tabs>
              <w:tab w:val="right" w:leader="dot" w:pos="8294"/>
            </w:tabs>
            <w:spacing w:line="360" w:lineRule="auto"/>
            <w:rPr>
              <w:rFonts w:ascii="仿宋" w:hAnsi="仿宋" w:eastAsia="仿宋" w:cs="仿宋"/>
              <w:sz w:val="24"/>
              <w:szCs w:val="24"/>
            </w:rPr>
          </w:pPr>
        </w:p>
        <w:p w14:paraId="38BE06C9">
          <w:pPr>
            <w:pStyle w:val="10"/>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6D172415">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2BD03C61">
      <w:pPr>
        <w:pStyle w:val="2"/>
        <w:ind w:firstLine="0"/>
        <w:rPr>
          <w:lang w:val="zh-TW" w:eastAsia="zh-TW"/>
        </w:rPr>
      </w:pPr>
      <w:bookmarkStart w:id="0" w:name="_Toc21451"/>
      <w:bookmarkStart w:id="1" w:name="第一章"/>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0"/>
    </w:p>
    <w:bookmarkEnd w:id="1"/>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6EA92DBA">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6B4C2643">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6364D58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5F98854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793CF018">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31D3AE9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21FC5A8D">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692A9109">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10B00D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四川省人民医院锦江医务室内网专线采购项目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E9F11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22D264C2">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C702DC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CGZX-YXX20261379</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14F1AE8E">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6C2430C">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3592E572">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人民币</w:t>
            </w:r>
            <w:r>
              <w:rPr>
                <w:rFonts w:hint="eastAsia" w:ascii="仿宋" w:hAnsi="仿宋" w:eastAsia="仿宋" w:cs="仿宋"/>
                <w:color w:val="auto"/>
                <w:sz w:val="22"/>
                <w:szCs w:val="22"/>
                <w:u w:val="single" w:color="auto"/>
                <w:lang w:val="en-US" w:eastAsia="zh-CN"/>
              </w:rPr>
              <w:t>30000</w:t>
            </w:r>
            <w:r>
              <w:rPr>
                <w:rFonts w:ascii="仿宋" w:hAnsi="仿宋" w:eastAsia="仿宋" w:cs="仿宋"/>
                <w:color w:val="auto"/>
                <w:sz w:val="22"/>
                <w:szCs w:val="22"/>
              </w:rPr>
              <w:t>元</w:t>
            </w:r>
            <w:r>
              <w:rPr>
                <w:rFonts w:hint="eastAsia" w:ascii="仿宋" w:hAnsi="仿宋" w:eastAsia="仿宋" w:cs="仿宋"/>
                <w:color w:val="auto"/>
                <w:sz w:val="22"/>
                <w:szCs w:val="22"/>
                <w:lang w:val="en-US" w:eastAsia="zh-CN"/>
              </w:rPr>
              <w:t>。</w:t>
            </w:r>
          </w:p>
          <w:p w14:paraId="5F79283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3765B55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3E9DA5D">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4D6AF7E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1BB4414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DD17B97">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87F0BDF">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1CF756C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7E4D6B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sz w:val="22"/>
                <w:szCs w:val="22"/>
              </w:rPr>
            </w:pPr>
          </w:p>
        </w:tc>
        <w:tc>
          <w:tcPr>
            <w:tcW w:w="1765" w:type="dxa"/>
            <w:vAlign w:val="center"/>
          </w:tcPr>
          <w:p w14:paraId="7B1D2228">
            <w:pPr>
              <w:pStyle w:val="31"/>
              <w:widowControl/>
              <w:spacing w:line="24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7B4421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26F9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7F39A3EC">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6152A306">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26950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1D46F44D">
            <w:pPr>
              <w:spacing w:line="24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616F036">
            <w:pPr>
              <w:pStyle w:val="5"/>
              <w:spacing w:line="24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790A27F9">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14:paraId="15AC6BED">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12B52F4E">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BE46C65">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151F4D37">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CE1E762">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176817B">
            <w:pPr>
              <w:pStyle w:val="5"/>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28FB3F7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9BDB6FB">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0E21885D">
            <w:pPr>
              <w:spacing w:line="24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3A361510">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47D2E273">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0046353D">
            <w:pPr>
              <w:pStyle w:val="35"/>
              <w:spacing w:line="24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499A9BBB">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4B552748">
            <w:pPr>
              <w:pStyle w:val="35"/>
              <w:spacing w:line="240" w:lineRule="auto"/>
              <w:jc w:val="center"/>
              <w:rPr>
                <w:rFonts w:ascii="仿宋" w:hAnsi="仿宋" w:eastAsia="仿宋" w:cs="仿宋"/>
                <w:sz w:val="22"/>
                <w:szCs w:val="22"/>
              </w:rPr>
            </w:pPr>
          </w:p>
        </w:tc>
        <w:tc>
          <w:tcPr>
            <w:tcW w:w="6801" w:type="dxa"/>
            <w:tcBorders>
              <w:top w:val="single" w:color="auto" w:sz="4" w:space="0"/>
            </w:tcBorders>
            <w:vAlign w:val="center"/>
          </w:tcPr>
          <w:p w14:paraId="1CD0C089">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0F771746">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66C48130">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23387AA">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3DE86A2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183C916A">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66A35B09">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3E845B5">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20C6F7A3">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0C16FB9D">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68BF6FE1">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1333ED46">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A22446F">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554AA0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C0B0E54">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7F31932A">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1D5F4B3">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81965EC">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询比价文件</w:t>
            </w:r>
          </w:p>
          <w:p w14:paraId="4167E1FB">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49552C74">
            <w:pPr>
              <w:pStyle w:val="35"/>
              <w:spacing w:line="24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3DD50C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31524B3D">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3D1D395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252D2103">
            <w:pPr>
              <w:spacing w:line="24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w:t>
            </w:r>
            <w:r>
              <w:rPr>
                <w:rFonts w:hint="eastAsia" w:ascii="仿宋" w:hAnsi="仿宋" w:eastAsia="仿宋" w:cs="仿宋"/>
                <w:color w:val="auto"/>
                <w:sz w:val="22"/>
                <w:lang w:eastAsia="zh-CN"/>
              </w:rPr>
              <w:t>的除外</w:t>
            </w:r>
            <w:r>
              <w:rPr>
                <w:rFonts w:ascii="仿宋" w:hAnsi="仿宋" w:eastAsia="仿宋" w:cs="仿宋"/>
                <w:color w:val="auto"/>
                <w:sz w:val="22"/>
              </w:rPr>
              <w:t>）</w:t>
            </w:r>
            <w:r>
              <w:rPr>
                <w:rFonts w:ascii="仿宋" w:hAnsi="仿宋" w:eastAsia="仿宋" w:cs="仿宋"/>
                <w:color w:val="auto"/>
                <w:sz w:val="22"/>
                <w:szCs w:val="22"/>
              </w:rPr>
              <w:t>；</w:t>
            </w:r>
          </w:p>
          <w:p w14:paraId="4F582D3B">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CC12AB">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23F4E29E">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04A69F98">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074535AE">
            <w:pPr>
              <w:pStyle w:val="35"/>
              <w:spacing w:line="24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529152D">
            <w:pPr>
              <w:pStyle w:val="35"/>
              <w:spacing w:line="24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38AFA6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65B44689">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5002D3CE">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17845E1B">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赵</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87394475</w:t>
            </w:r>
          </w:p>
          <w:p w14:paraId="4C1AE43C">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u w:val="none" w:color="auto"/>
              </w:rPr>
              <w:t>医学信息中心部门</w:t>
            </w:r>
          </w:p>
          <w:p w14:paraId="3EB2B501">
            <w:pPr>
              <w:spacing w:line="240" w:lineRule="auto"/>
              <w:ind w:left="210" w:leftChars="100"/>
              <w:rPr>
                <w:rFonts w:hint="default" w:ascii="仿宋" w:hAnsi="仿宋" w:eastAsia="仿宋" w:cs="仿宋"/>
                <w:color w:val="auto"/>
                <w:sz w:val="22"/>
                <w:szCs w:val="22"/>
                <w:lang w:val="en-US"/>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刘</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87393250</w:t>
            </w:r>
          </w:p>
          <w:p w14:paraId="68D6ADB8">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0ED35B3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5D5E1721">
            <w:pPr>
              <w:spacing w:line="24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1F8B0E8C">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34B9DE09">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5987DC8E">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C2512E5">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552B6D4">
      <w:pPr>
        <w:rPr>
          <w:rStyle w:val="20"/>
          <w:rFonts w:hint="default" w:asciiTheme="majorEastAsia" w:hAnsiTheme="majorEastAsia" w:eastAsiaTheme="majorEastAsia"/>
          <w:b/>
          <w:bCs/>
          <w:color w:val="auto"/>
          <w:szCs w:val="32"/>
        </w:rPr>
      </w:pPr>
      <w:bookmarkStart w:id="2" w:name="第二章"/>
      <w:r>
        <w:rPr>
          <w:color w:val="auto"/>
        </w:rPr>
        <w:t xml:space="preserve"> </w:t>
      </w:r>
    </w:p>
    <w:p w14:paraId="113CC27A">
      <w:pPr>
        <w:rPr>
          <w:rStyle w:val="20"/>
          <w:rFonts w:hint="default" w:asciiTheme="majorEastAsia" w:hAnsiTheme="majorEastAsia" w:eastAsiaTheme="majorEastAsia"/>
          <w:b/>
          <w:bCs/>
          <w:color w:val="auto"/>
          <w:szCs w:val="32"/>
        </w:rPr>
      </w:pPr>
      <w:bookmarkStart w:id="3" w:name="_Toc18086"/>
      <w:r>
        <w:rPr>
          <w:rStyle w:val="20"/>
          <w:rFonts w:hint="default" w:asciiTheme="majorEastAsia" w:hAnsiTheme="majorEastAsia" w:eastAsiaTheme="majorEastAsia"/>
          <w:b/>
          <w:bCs/>
          <w:color w:val="auto"/>
          <w:szCs w:val="32"/>
          <w:u w:val="none"/>
        </w:rPr>
        <w:br w:type="page"/>
      </w:r>
    </w:p>
    <w:p w14:paraId="62FD8587">
      <w:pPr>
        <w:pStyle w:val="2"/>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4"/>
        <w:tblW w:w="899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430"/>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430" w:type="dxa"/>
            <w:tcBorders>
              <w:top w:val="single" w:color="auto" w:sz="18" w:space="0"/>
            </w:tcBorders>
            <w:vAlign w:val="center"/>
          </w:tcPr>
          <w:p w14:paraId="32F889A0">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03C48317">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24E5B32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430" w:type="dxa"/>
            <w:tcBorders>
              <w:bottom w:val="single" w:color="auto" w:sz="4" w:space="0"/>
            </w:tcBorders>
            <w:vAlign w:val="center"/>
          </w:tcPr>
          <w:p w14:paraId="650EB537">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004AE99C">
            <w:pPr>
              <w:spacing w:line="24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4F0A4FE">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EF67B45">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40E3C382">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7CD029F7">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8E6DD78">
            <w:pPr>
              <w:numPr>
                <w:ilvl w:val="0"/>
                <w:numId w:val="11"/>
              </w:numPr>
              <w:spacing w:line="24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2A559A42">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10B913F">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23CFEB5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报价文件格式：详见本采购文件第四章。</w:t>
            </w:r>
          </w:p>
          <w:p w14:paraId="7A85219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报价文件语言：</w:t>
            </w:r>
          </w:p>
          <w:p w14:paraId="60661FF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085E93A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3BAB7F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D57715A">
            <w:pPr>
              <w:spacing w:line="24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w:t>
            </w:r>
            <w:r>
              <w:rPr>
                <w:rFonts w:hint="eastAsia" w:ascii="Times New Roman" w:hAnsi="Times New Roman" w:eastAsia="仿宋" w:cs="Times New Roman"/>
                <w:sz w:val="22"/>
                <w:lang w:eastAsia="zh-CN"/>
              </w:rPr>
              <w:t>）</w:t>
            </w:r>
            <w:r>
              <w:rPr>
                <w:rFonts w:ascii="Times New Roman" w:hAnsi="Times New Roman" w:eastAsia="仿宋" w:cs="Times New Roman"/>
                <w:sz w:val="22"/>
              </w:rPr>
              <w:t>畅通，并确保其具备澄清、说明</w:t>
            </w:r>
            <w:r>
              <w:rPr>
                <w:rFonts w:hint="eastAsia" w:ascii="Times New Roman" w:hAnsi="Times New Roman" w:eastAsia="仿宋" w:cs="Times New Roman"/>
                <w:sz w:val="22"/>
                <w:lang w:eastAsia="zh-CN"/>
              </w:rPr>
              <w:t>、</w:t>
            </w:r>
            <w:r>
              <w:rPr>
                <w:rFonts w:ascii="Times New Roman" w:hAnsi="Times New Roman" w:eastAsia="仿宋" w:cs="Times New Roman"/>
                <w:sz w:val="22"/>
              </w:rPr>
              <w:t>更正</w:t>
            </w:r>
            <w:r>
              <w:rPr>
                <w:rFonts w:hint="eastAsia" w:ascii="Times New Roman" w:hAnsi="Times New Roman" w:eastAsia="仿宋" w:cs="Times New Roman"/>
                <w:sz w:val="22"/>
                <w:lang w:eastAsia="zh-CN"/>
              </w:rPr>
              <w:t>以及</w:t>
            </w:r>
            <w:r>
              <w:rPr>
                <w:rFonts w:ascii="Times New Roman" w:hAnsi="Times New Roman" w:eastAsia="仿宋" w:cs="Times New Roman"/>
                <w:sz w:val="22"/>
              </w:rPr>
              <w:t>在采购人使用的电子化招采平台上进行操作等条件（在接到通知后的在评审委员会规定时间内未回复做无效处理）。</w:t>
            </w:r>
          </w:p>
          <w:p w14:paraId="3D6D161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响应报价低于采购项目最高限价45％的，即响应报价＜采购项目最高限价×45％；</w:t>
            </w:r>
          </w:p>
          <w:p w14:paraId="6ED2A569">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24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Tamil MN" w:hAnsi="Tamil MN" w:eastAsia="仿宋" w:cs="Tamil MN"/>
                <w:sz w:val="22"/>
              </w:rPr>
              <w:t>①</w:t>
            </w:r>
            <w:r>
              <w:rPr>
                <w:rFonts w:hint="default" w:ascii="Times New Roman" w:hAnsi="Times New Roman" w:eastAsia="仿宋" w:cs="Times New Roman"/>
                <w:sz w:val="22"/>
              </w:rPr>
              <w:t>项至第</w:t>
            </w:r>
            <w:r>
              <w:rPr>
                <w:rFonts w:ascii="Tamil MN" w:hAnsi="Tamil MN" w:eastAsia="仿宋" w:cs="Tamil MN"/>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24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2B3578CF">
            <w:pPr>
              <w:spacing w:line="240" w:lineRule="auto"/>
              <w:ind w:left="210" w:leftChars="100"/>
              <w:rPr>
                <w:rFonts w:hint="default"/>
              </w:rPr>
            </w:pPr>
            <w:r>
              <w:rPr>
                <w:rFonts w:ascii="Tamil MN" w:hAnsi="Tamil MN" w:eastAsia="仿宋" w:cs="Tamil MN"/>
                <w:sz w:val="22"/>
              </w:rPr>
              <w:t>④</w:t>
            </w:r>
            <w:r>
              <w:rPr>
                <w:rFonts w:ascii="Times New Roman" w:hAnsi="Times New Roman" w:eastAsia="仿宋" w:cs="Times New Roman"/>
                <w:sz w:val="22"/>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430" w:type="dxa"/>
            <w:vAlign w:val="center"/>
          </w:tcPr>
          <w:p w14:paraId="6AF3949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D97ECBA">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686151E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报价产品应为经检验合格的生产厂家原装全新合格产品，供应商承诺的质量、技术和其他要求，符合国家相关的质量标准和出厂标准并提供产品合格证。</w:t>
            </w:r>
          </w:p>
          <w:p w14:paraId="788F8C1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若出现质量问题，中选供应商负责按照采购人要求办理退货并承担因产品质量导致的经济和法律责任。</w:t>
            </w:r>
          </w:p>
          <w:p w14:paraId="35FF312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1F6836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91B4B72">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572A567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符合本采购文件要求的质量、技术和其他要求，及中选供应商承诺的质量、技术和其他服务内容，并符合国家相关的质量标准和出厂标准。</w:t>
            </w:r>
          </w:p>
          <w:p w14:paraId="0E44F6D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若出现质量问题，中选供应商负责按照采购人要求承担相应的经济和法律责任。</w:t>
            </w:r>
          </w:p>
          <w:p w14:paraId="06BE727F">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ascii="仿宋" w:hAnsi="仿宋" w:eastAsia="仿宋" w:cs="仿宋"/>
                <w:color w:val="auto"/>
                <w:sz w:val="22"/>
                <w:szCs w:val="22"/>
              </w:rPr>
              <w:t>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1EE82C2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F3223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4974ABD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供应商应保证在本项目中使用的任何技术、产品和服务（包括部分使用），不会产生因第三方提出侵犯其专利权、商标权或其它知识产权而引起的法律和经济纠纷</w:t>
            </w:r>
            <w:r>
              <w:rPr>
                <w:rFonts w:hint="eastAsia" w:ascii="仿宋" w:hAnsi="仿宋" w:eastAsia="仿宋" w:cs="仿宋"/>
                <w:color w:val="auto"/>
                <w:sz w:val="22"/>
                <w:szCs w:val="22"/>
                <w:lang w:eastAsia="zh-CN"/>
              </w:rPr>
              <w:t>。</w:t>
            </w:r>
            <w:r>
              <w:rPr>
                <w:rFonts w:ascii="仿宋" w:hAnsi="仿宋" w:eastAsia="仿宋" w:cs="仿宋"/>
                <w:color w:val="auto"/>
                <w:sz w:val="22"/>
                <w:szCs w:val="22"/>
              </w:rPr>
              <w:t>如因专利权、商标权或其它知识产权而引起法律和经济纠纷，由供应商承担所有相关责任。采购人享有本项目实施过程中产生的知识成果及知识产权。</w:t>
            </w:r>
          </w:p>
          <w:p w14:paraId="1BF032D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FBBE0BF">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75A9D600">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0F83BD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供应商在参与采购活动过程中，不得有任何违法乱纪的行为。</w:t>
            </w:r>
          </w:p>
          <w:p w14:paraId="4C02243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若报价文件存在虚假响应，将作无效处理，若是中选后发现的，采购人将取消中选资格。</w:t>
            </w:r>
          </w:p>
          <w:p w14:paraId="093330E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若涉及上述</w:t>
            </w:r>
            <w:r>
              <w:rPr>
                <w:rFonts w:hint="eastAsia" w:ascii="仿宋" w:hAnsi="仿宋" w:eastAsia="仿宋" w:cs="仿宋"/>
                <w:color w:val="auto"/>
                <w:sz w:val="22"/>
                <w:szCs w:val="22"/>
                <w:lang w:eastAsia="zh-CN"/>
              </w:rPr>
              <w:t>行为</w:t>
            </w:r>
            <w:r>
              <w:rPr>
                <w:rFonts w:ascii="仿宋" w:hAnsi="仿宋" w:eastAsia="仿宋" w:cs="仿宋"/>
                <w:color w:val="auto"/>
                <w:sz w:val="22"/>
                <w:szCs w:val="22"/>
              </w:rPr>
              <w:t>，采购人将在官方网站对相关情况进行通报同时追究涉及供应商的相关法律责任。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0ABBA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72EEFA4">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7EAC1C60">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6B2A2A8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AF440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DD1B476">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r>
              <w:rPr>
                <w:rFonts w:hint="eastAsia" w:ascii="Times New Roman" w:hAnsi="Times New Roman" w:eastAsia="仿宋" w:cs="Times New Roman"/>
                <w:sz w:val="22"/>
                <w:szCs w:val="22"/>
                <w:lang w:eastAsia="zh-CN"/>
              </w:rPr>
              <w:t>。</w:t>
            </w:r>
          </w:p>
          <w:p w14:paraId="1104C645">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7F370FC4">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7E64D613">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7D758B1D">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2166CD40">
            <w:pPr>
              <w:spacing w:line="240" w:lineRule="auto"/>
              <w:ind w:left="210" w:leftChars="100"/>
              <w:rPr>
                <w:rFonts w:hint="default" w:ascii="仿宋" w:hAnsi="仿宋" w:eastAsia="仿宋" w:cs="仿宋"/>
                <w:color w:val="auto"/>
                <w:sz w:val="21"/>
                <w:szCs w:val="20"/>
              </w:rPr>
            </w:pPr>
            <w:r>
              <w:rPr>
                <w:rFonts w:ascii="仿宋" w:hAnsi="仿宋" w:eastAsia="仿宋" w:cs="仿宋"/>
                <w:color w:val="auto"/>
                <w:sz w:val="21"/>
                <w:szCs w:val="20"/>
              </w:rPr>
              <w:t>（1）质疑函：明确具体质疑事项、事实依据和法律依据，质疑请求。</w:t>
            </w:r>
          </w:p>
          <w:p w14:paraId="7FDCD182">
            <w:pPr>
              <w:spacing w:line="24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555E707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378E038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E2ABB71">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2865D6FD">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65F561D4">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联系招标采购中心（028-8739</w:t>
            </w:r>
            <w:r>
              <w:rPr>
                <w:rFonts w:hint="eastAsia" w:ascii="Times New Roman" w:hAnsi="Times New Roman" w:eastAsia="仿宋" w:cs="Times New Roman"/>
                <w:color w:val="auto"/>
                <w:sz w:val="22"/>
                <w:szCs w:val="22"/>
                <w:u w:val="single"/>
                <w:lang w:val="en-US" w:eastAsia="zh-CN"/>
              </w:rPr>
              <w:t>4475</w:t>
            </w:r>
            <w:r>
              <w:rPr>
                <w:rFonts w:ascii="Times New Roman" w:hAnsi="Times New Roman" w:eastAsia="仿宋" w:cs="Times New Roman"/>
                <w:color w:val="auto"/>
                <w:sz w:val="22"/>
                <w:szCs w:val="22"/>
                <w:u w:val="single"/>
              </w:rPr>
              <w:t xml:space="preserve"> </w:t>
            </w:r>
            <w:r>
              <w:rPr>
                <w:rFonts w:ascii="仿宋" w:hAnsi="仿宋" w:eastAsia="仿宋" w:cs="仿宋"/>
                <w:color w:val="auto"/>
                <w:sz w:val="22"/>
                <w:szCs w:val="22"/>
                <w:lang w:val="zh-CN"/>
              </w:rPr>
              <w:t>）并将合同初稿发送至</w:t>
            </w:r>
            <w:r>
              <w:rPr>
                <w:rFonts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sbc3241@vip.163.com</w:t>
            </w:r>
            <w:r>
              <w:rPr>
                <w:rFonts w:ascii="仿宋" w:hAnsi="仿宋" w:eastAsia="仿宋" w:cs="仿宋"/>
                <w:color w:val="auto"/>
                <w:sz w:val="22"/>
                <w:szCs w:val="22"/>
                <w:u w:val="single"/>
              </w:rPr>
              <w:t xml:space="preserve"> </w:t>
            </w:r>
            <w:r>
              <w:rPr>
                <w:rFonts w:ascii="仿宋" w:hAnsi="仿宋" w:eastAsia="仿宋" w:cs="仿宋"/>
                <w:color w:val="auto"/>
                <w:sz w:val="22"/>
                <w:szCs w:val="22"/>
              </w:rPr>
              <w:t>。</w:t>
            </w:r>
          </w:p>
          <w:p w14:paraId="11B6EB85">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3175F73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994DF9">
            <w:pPr>
              <w:spacing w:line="24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342BD9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20850EB">
            <w:pPr>
              <w:pStyle w:val="31"/>
              <w:spacing w:line="24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04150F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参与询比价产生的一切费用由供应商自行承担。</w:t>
            </w:r>
          </w:p>
          <w:p w14:paraId="36F8E53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本采购文件中的条款为实质性要求，供应商必须符合和满足，否则将视为无效响应处理。</w:t>
            </w:r>
          </w:p>
          <w:p w14:paraId="057DA26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“采购人”系指本次组织采购项目的四川省人民医院。</w:t>
            </w:r>
          </w:p>
          <w:p w14:paraId="3FCC3132">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（4）</w:t>
            </w:r>
            <w:r>
              <w:rPr>
                <w:rFonts w:ascii="仿宋" w:hAnsi="仿宋" w:eastAsia="仿宋" w:cs="仿宋"/>
                <w:color w:val="auto"/>
                <w:sz w:val="22"/>
                <w:szCs w:val="22"/>
              </w:rPr>
              <w:t>本文件中的“供应商”系指获取了本项目采购文件，拟参与本次询比价采购活动的潜在供应商。</w:t>
            </w:r>
          </w:p>
          <w:p w14:paraId="17881499">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（5）</w:t>
            </w:r>
            <w:r>
              <w:rPr>
                <w:rFonts w:ascii="仿宋" w:hAnsi="仿宋" w:eastAsia="仿宋" w:cs="仿宋"/>
                <w:color w:val="auto"/>
                <w:sz w:val="22"/>
                <w:szCs w:val="22"/>
              </w:rPr>
              <w:t>若遇特殊情况，采购人有权终止采购项目。</w:t>
            </w:r>
          </w:p>
          <w:p w14:paraId="5A8AE55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（6）</w:t>
            </w:r>
            <w:r>
              <w:rPr>
                <w:rFonts w:ascii="仿宋" w:hAnsi="仿宋" w:eastAsia="仿宋" w:cs="仿宋"/>
                <w:color w:val="auto"/>
                <w:sz w:val="22"/>
                <w:szCs w:val="22"/>
              </w:rPr>
              <w:t>本采购文件最终解释权归采购人所有。</w:t>
            </w:r>
          </w:p>
        </w:tc>
      </w:tr>
    </w:tbl>
    <w:p w14:paraId="2A65ADB5">
      <w:pPr>
        <w:rPr>
          <w:rStyle w:val="20"/>
          <w:rFonts w:hint="default" w:asciiTheme="majorEastAsia" w:hAnsiTheme="majorEastAsia" w:eastAsiaTheme="majorEastAsia"/>
          <w:b/>
          <w:bCs/>
          <w:color w:val="auto"/>
          <w:sz w:val="32"/>
          <w:szCs w:val="32"/>
          <w:u w:val="none"/>
          <w:lang w:eastAsia="zh-TW"/>
        </w:rPr>
      </w:pPr>
      <w:bookmarkStart w:id="4" w:name="第三章"/>
      <w:r>
        <w:rPr>
          <w:rStyle w:val="20"/>
          <w:rFonts w:cs="Times New Roman" w:asciiTheme="majorEastAsia" w:hAnsiTheme="majorEastAsia" w:eastAsiaTheme="majorEastAsia"/>
          <w:b/>
          <w:bCs/>
          <w:color w:val="auto"/>
          <w:sz w:val="32"/>
          <w:szCs w:val="32"/>
          <w:u w:val="none"/>
        </w:rPr>
        <w:br w:type="page"/>
      </w:r>
    </w:p>
    <w:p w14:paraId="19C5B66C">
      <w:pPr>
        <w:pStyle w:val="2"/>
        <w:ind w:firstLine="0"/>
        <w:rPr>
          <w:rStyle w:val="20"/>
          <w:rFonts w:asciiTheme="majorEastAsia" w:hAnsiTheme="majorEastAsia" w:eastAsiaTheme="majorEastAsia"/>
          <w:sz w:val="32"/>
          <w:szCs w:val="32"/>
          <w:u w:val="none"/>
          <w:lang w:eastAsia="zh-TW"/>
        </w:rPr>
      </w:pPr>
      <w:bookmarkStart w:id="5"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5"/>
    </w:p>
    <w:bookmarkEnd w:id="4"/>
    <w:p w14:paraId="50F41384">
      <w:pPr>
        <w:pStyle w:val="3"/>
        <w:rPr>
          <w:rFonts w:ascii="仿宋" w:hAnsi="仿宋" w:eastAsia="仿宋" w:cs="仿宋"/>
          <w:sz w:val="22"/>
          <w:szCs w:val="22"/>
        </w:rPr>
      </w:pPr>
      <w:bookmarkStart w:id="6" w:name="_Toc5866"/>
      <w:r>
        <w:rPr>
          <w:rFonts w:ascii="仿宋" w:hAnsi="仿宋" w:eastAsia="仿宋" w:cs="仿宋"/>
          <w:sz w:val="22"/>
          <w:szCs w:val="22"/>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9"/>
        <w:gridCol w:w="1772"/>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序号</w:t>
            </w:r>
          </w:p>
        </w:tc>
        <w:tc>
          <w:tcPr>
            <w:tcW w:w="3836" w:type="dxa"/>
            <w:vAlign w:val="center"/>
          </w:tcPr>
          <w:p w14:paraId="3EC34C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资格要求内容</w:t>
            </w:r>
          </w:p>
        </w:tc>
        <w:tc>
          <w:tcPr>
            <w:tcW w:w="3615" w:type="dxa"/>
            <w:vAlign w:val="center"/>
          </w:tcPr>
          <w:p w14:paraId="6554120C">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通过条件</w:t>
            </w:r>
          </w:p>
        </w:tc>
        <w:tc>
          <w:tcPr>
            <w:tcW w:w="1787" w:type="dxa"/>
            <w:vAlign w:val="center"/>
          </w:tcPr>
          <w:p w14:paraId="654546E6">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3836" w:type="dxa"/>
            <w:vAlign w:val="center"/>
          </w:tcPr>
          <w:p w14:paraId="638AF208">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具有良好的商业信誉和健全的财务会计制度</w:t>
            </w:r>
          </w:p>
        </w:tc>
        <w:tc>
          <w:tcPr>
            <w:tcW w:w="3615" w:type="dxa"/>
            <w:vMerge w:val="restart"/>
            <w:vAlign w:val="center"/>
          </w:tcPr>
          <w:p w14:paraId="64741623">
            <w:pPr>
              <w:rPr>
                <w:rFonts w:hint="eastAsia" w:ascii="仿宋" w:hAnsi="仿宋" w:eastAsia="仿宋" w:cs="仿宋"/>
                <w:color w:val="auto"/>
                <w:sz w:val="22"/>
                <w:szCs w:val="22"/>
              </w:rPr>
            </w:pPr>
            <w:r>
              <w:rPr>
                <w:rFonts w:hint="eastAsia" w:ascii="仿宋" w:hAnsi="仿宋" w:eastAsia="仿宋" w:cs="仿宋"/>
                <w:color w:val="auto"/>
                <w:sz w:val="22"/>
                <w:szCs w:val="22"/>
              </w:rPr>
              <w:t>统一提供承诺函</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格式见</w:t>
            </w:r>
            <w:r>
              <w:rPr>
                <w:rFonts w:ascii="仿宋" w:hAnsi="仿宋" w:eastAsia="仿宋" w:cs="仿宋"/>
                <w:color w:val="auto"/>
                <w:sz w:val="22"/>
                <w:szCs w:val="22"/>
              </w:rPr>
              <w:t>本文件</w:t>
            </w:r>
            <w:r>
              <w:rPr>
                <w:rFonts w:hint="eastAsia" w:ascii="仿宋" w:hAnsi="仿宋" w:eastAsia="仿宋" w:cs="仿宋"/>
                <w:color w:val="auto"/>
                <w:sz w:val="22"/>
                <w:szCs w:val="22"/>
              </w:rPr>
              <w:t>第</w:t>
            </w:r>
            <w:r>
              <w:rPr>
                <w:rFonts w:ascii="仿宋" w:hAnsi="仿宋" w:eastAsia="仿宋" w:cs="仿宋"/>
                <w:color w:val="auto"/>
                <w:sz w:val="22"/>
                <w:szCs w:val="22"/>
              </w:rPr>
              <w:t>四</w:t>
            </w:r>
            <w:r>
              <w:rPr>
                <w:rFonts w:hint="eastAsia" w:ascii="仿宋" w:hAnsi="仿宋" w:eastAsia="仿宋" w:cs="仿宋"/>
                <w:color w:val="auto"/>
                <w:sz w:val="22"/>
                <w:szCs w:val="22"/>
              </w:rPr>
              <w:t>章)</w:t>
            </w:r>
          </w:p>
        </w:tc>
        <w:tc>
          <w:tcPr>
            <w:tcW w:w="1787" w:type="dxa"/>
            <w:vMerge w:val="restart"/>
            <w:vAlign w:val="center"/>
          </w:tcPr>
          <w:p w14:paraId="548238DF">
            <w:pPr>
              <w:pStyle w:val="5"/>
              <w:jc w:val="center"/>
              <w:rPr>
                <w:rFonts w:hint="eastAsia" w:ascii="仿宋" w:hAnsi="仿宋" w:eastAsia="仿宋" w:cs="仿宋"/>
                <w:color w:val="auto"/>
                <w:sz w:val="22"/>
                <w:szCs w:val="22"/>
              </w:rPr>
            </w:pPr>
            <w:r>
              <w:rPr>
                <w:rFonts w:ascii="仿宋" w:hAnsi="仿宋" w:eastAsia="仿宋" w:cs="仿宋"/>
                <w:color w:val="auto"/>
                <w:sz w:val="22"/>
                <w:szCs w:val="22"/>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2</w:t>
            </w:r>
          </w:p>
        </w:tc>
        <w:tc>
          <w:tcPr>
            <w:tcW w:w="3836" w:type="dxa"/>
            <w:vAlign w:val="center"/>
          </w:tcPr>
          <w:p w14:paraId="43E8193E">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具有履行合同所必需的设备和专业技术能力</w:t>
            </w:r>
          </w:p>
        </w:tc>
        <w:tc>
          <w:tcPr>
            <w:tcW w:w="3615" w:type="dxa"/>
            <w:vMerge w:val="continue"/>
            <w:vAlign w:val="center"/>
          </w:tcPr>
          <w:p w14:paraId="3A1D29A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BD2D19E">
            <w:pPr>
              <w:pStyle w:val="5"/>
              <w:rPr>
                <w:rFonts w:hint="eastAsia" w:ascii="仿宋" w:hAnsi="仿宋" w:eastAsia="仿宋" w:cs="仿宋"/>
                <w:color w:val="auto"/>
                <w:sz w:val="22"/>
                <w:szCs w:val="22"/>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jc w:val="center"/>
              <w:rPr>
                <w:rFonts w:hint="eastAsia" w:ascii="仿宋" w:hAnsi="仿宋" w:eastAsia="仿宋" w:cs="仿宋"/>
                <w:color w:val="auto"/>
                <w:sz w:val="22"/>
                <w:szCs w:val="22"/>
              </w:rPr>
            </w:pPr>
            <w:r>
              <w:rPr>
                <w:rFonts w:hint="eastAsia" w:ascii="仿宋" w:hAnsi="仿宋" w:eastAsia="仿宋" w:cs="仿宋"/>
                <w:color w:val="auto"/>
                <w:sz w:val="22"/>
                <w:szCs w:val="22"/>
              </w:rPr>
              <w:t>3</w:t>
            </w:r>
          </w:p>
        </w:tc>
        <w:tc>
          <w:tcPr>
            <w:tcW w:w="3836" w:type="dxa"/>
            <w:vAlign w:val="center"/>
          </w:tcPr>
          <w:p w14:paraId="7673E322">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有依法缴纳税收和社会保障资金的良好记录</w:t>
            </w:r>
          </w:p>
        </w:tc>
        <w:tc>
          <w:tcPr>
            <w:tcW w:w="3615" w:type="dxa"/>
            <w:vMerge w:val="continue"/>
            <w:vAlign w:val="center"/>
          </w:tcPr>
          <w:p w14:paraId="56DD79C0">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99491E5">
            <w:pPr>
              <w:pStyle w:val="5"/>
              <w:rPr>
                <w:rFonts w:hint="eastAsia" w:ascii="仿宋" w:hAnsi="仿宋" w:eastAsia="仿宋" w:cs="仿宋"/>
                <w:color w:val="auto"/>
                <w:sz w:val="22"/>
                <w:szCs w:val="22"/>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jc w:val="center"/>
              <w:rPr>
                <w:rFonts w:hint="eastAsia" w:ascii="仿宋" w:hAnsi="仿宋" w:eastAsia="仿宋" w:cs="仿宋"/>
                <w:color w:val="auto"/>
                <w:sz w:val="22"/>
                <w:szCs w:val="22"/>
              </w:rPr>
            </w:pPr>
            <w:r>
              <w:rPr>
                <w:rFonts w:hint="eastAsia" w:ascii="仿宋" w:hAnsi="仿宋" w:eastAsia="仿宋" w:cs="仿宋"/>
                <w:color w:val="auto"/>
                <w:sz w:val="22"/>
                <w:szCs w:val="22"/>
              </w:rPr>
              <w:t>4</w:t>
            </w:r>
          </w:p>
        </w:tc>
        <w:tc>
          <w:tcPr>
            <w:tcW w:w="3836" w:type="dxa"/>
            <w:vAlign w:val="center"/>
          </w:tcPr>
          <w:p w14:paraId="2FE3D340">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参加本次采购活动前三年内，在经营活动中没有重大违法记录</w:t>
            </w:r>
          </w:p>
        </w:tc>
        <w:tc>
          <w:tcPr>
            <w:tcW w:w="3615" w:type="dxa"/>
            <w:vMerge w:val="continue"/>
            <w:vAlign w:val="center"/>
          </w:tcPr>
          <w:p w14:paraId="522C15B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049002C">
            <w:pPr>
              <w:pStyle w:val="5"/>
              <w:rPr>
                <w:rFonts w:hint="eastAsia" w:ascii="仿宋" w:hAnsi="仿宋" w:eastAsia="仿宋" w:cs="仿宋"/>
                <w:color w:val="auto"/>
                <w:sz w:val="22"/>
                <w:szCs w:val="22"/>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jc w:val="center"/>
              <w:rPr>
                <w:rFonts w:hint="eastAsia" w:ascii="仿宋" w:hAnsi="仿宋" w:eastAsia="仿宋" w:cs="仿宋"/>
                <w:color w:val="auto"/>
                <w:sz w:val="22"/>
                <w:szCs w:val="22"/>
              </w:rPr>
            </w:pPr>
            <w:r>
              <w:rPr>
                <w:rFonts w:hint="eastAsia" w:ascii="仿宋" w:hAnsi="仿宋" w:eastAsia="仿宋" w:cs="仿宋"/>
                <w:color w:val="auto"/>
                <w:sz w:val="22"/>
                <w:szCs w:val="22"/>
              </w:rPr>
              <w:t>5</w:t>
            </w:r>
          </w:p>
        </w:tc>
        <w:tc>
          <w:tcPr>
            <w:tcW w:w="3836" w:type="dxa"/>
            <w:vAlign w:val="center"/>
          </w:tcPr>
          <w:p w14:paraId="564A5D0B">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法律、行政法规规定的其他条件</w:t>
            </w:r>
          </w:p>
        </w:tc>
        <w:tc>
          <w:tcPr>
            <w:tcW w:w="3615" w:type="dxa"/>
            <w:vMerge w:val="continue"/>
            <w:vAlign w:val="center"/>
          </w:tcPr>
          <w:p w14:paraId="7DE05472">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2214975F">
            <w:pPr>
              <w:pStyle w:val="5"/>
              <w:rPr>
                <w:rFonts w:hint="eastAsia" w:ascii="仿宋" w:hAnsi="仿宋" w:eastAsia="仿宋" w:cs="仿宋"/>
                <w:color w:val="auto"/>
                <w:sz w:val="22"/>
                <w:szCs w:val="22"/>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jc w:val="center"/>
              <w:rPr>
                <w:rFonts w:hint="eastAsia" w:ascii="仿宋" w:hAnsi="仿宋" w:eastAsia="仿宋" w:cs="仿宋"/>
                <w:color w:val="auto"/>
                <w:sz w:val="22"/>
                <w:szCs w:val="22"/>
              </w:rPr>
            </w:pPr>
            <w:r>
              <w:rPr>
                <w:rFonts w:hint="eastAsia" w:ascii="仿宋" w:hAnsi="仿宋" w:eastAsia="仿宋" w:cs="仿宋"/>
                <w:color w:val="auto"/>
                <w:sz w:val="22"/>
                <w:szCs w:val="22"/>
              </w:rPr>
              <w:t>6</w:t>
            </w:r>
          </w:p>
        </w:tc>
        <w:tc>
          <w:tcPr>
            <w:tcW w:w="3836" w:type="dxa"/>
            <w:vAlign w:val="center"/>
          </w:tcPr>
          <w:p w14:paraId="2926AF7F">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未被列入失信被执行人、重大税收违法案件当事人名单、政府采购严重违法失信行为记录名单</w:t>
            </w:r>
          </w:p>
        </w:tc>
        <w:tc>
          <w:tcPr>
            <w:tcW w:w="3615" w:type="dxa"/>
            <w:vMerge w:val="continue"/>
            <w:vAlign w:val="center"/>
          </w:tcPr>
          <w:p w14:paraId="4C275DD3">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1D473475">
            <w:pPr>
              <w:pStyle w:val="5"/>
              <w:rPr>
                <w:rFonts w:hint="eastAsia" w:ascii="仿宋" w:hAnsi="仿宋" w:eastAsia="仿宋" w:cs="仿宋"/>
                <w:color w:val="auto"/>
                <w:sz w:val="22"/>
                <w:szCs w:val="22"/>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jc w:val="center"/>
              <w:rPr>
                <w:rFonts w:hint="eastAsia" w:ascii="仿宋" w:hAnsi="仿宋" w:eastAsia="仿宋" w:cs="仿宋"/>
                <w:color w:val="auto"/>
                <w:sz w:val="22"/>
                <w:szCs w:val="22"/>
              </w:rPr>
            </w:pPr>
            <w:r>
              <w:rPr>
                <w:rFonts w:hint="eastAsia" w:ascii="仿宋" w:hAnsi="仿宋" w:eastAsia="仿宋" w:cs="仿宋"/>
                <w:color w:val="auto"/>
                <w:sz w:val="22"/>
                <w:szCs w:val="22"/>
              </w:rPr>
              <w:t>7</w:t>
            </w:r>
          </w:p>
        </w:tc>
        <w:tc>
          <w:tcPr>
            <w:tcW w:w="3836" w:type="dxa"/>
            <w:vAlign w:val="center"/>
          </w:tcPr>
          <w:p w14:paraId="38B76FC8">
            <w:pPr>
              <w:widowControl/>
              <w:rPr>
                <w:rFonts w:hint="eastAsia" w:ascii="仿宋" w:hAnsi="仿宋" w:eastAsia="仿宋" w:cs="仿宋"/>
                <w:color w:val="auto"/>
                <w:sz w:val="22"/>
                <w:szCs w:val="22"/>
              </w:rPr>
            </w:pPr>
            <w:r>
              <w:rPr>
                <w:rFonts w:ascii="仿宋" w:hAnsi="仿宋" w:eastAsia="仿宋" w:cs="仿宋"/>
                <w:color w:val="auto"/>
                <w:sz w:val="22"/>
                <w:szCs w:val="22"/>
              </w:rPr>
              <w:t>供应商</w:t>
            </w:r>
            <w:r>
              <w:rPr>
                <w:rFonts w:hint="eastAsia" w:ascii="仿宋" w:hAnsi="仿宋" w:eastAsia="仿宋" w:cs="仿宋"/>
                <w:color w:val="auto"/>
                <w:sz w:val="22"/>
                <w:szCs w:val="22"/>
              </w:rPr>
              <w:t>应具备独立承担民事责任的能力及行业主管部门要求的各项资质</w:t>
            </w:r>
          </w:p>
        </w:tc>
        <w:tc>
          <w:tcPr>
            <w:tcW w:w="3615" w:type="dxa"/>
            <w:vMerge w:val="continue"/>
            <w:vAlign w:val="center"/>
          </w:tcPr>
          <w:p w14:paraId="7048165B">
            <w:pPr>
              <w:pStyle w:val="31"/>
              <w:numPr>
                <w:ilvl w:val="0"/>
                <w:numId w:val="12"/>
              </w:numPr>
              <w:ind w:firstLineChars="0"/>
              <w:rPr>
                <w:rFonts w:hint="eastAsia" w:ascii="仿宋" w:hAnsi="仿宋" w:eastAsia="仿宋" w:cs="仿宋"/>
                <w:color w:val="auto"/>
                <w:sz w:val="22"/>
                <w:szCs w:val="22"/>
              </w:rPr>
            </w:pPr>
          </w:p>
        </w:tc>
        <w:tc>
          <w:tcPr>
            <w:tcW w:w="1787" w:type="dxa"/>
            <w:vMerge w:val="continue"/>
            <w:vAlign w:val="center"/>
          </w:tcPr>
          <w:p w14:paraId="188EA4EF">
            <w:pPr>
              <w:pStyle w:val="5"/>
              <w:rPr>
                <w:rFonts w:hint="eastAsia" w:ascii="仿宋" w:hAnsi="仿宋" w:eastAsia="仿宋" w:cs="仿宋"/>
                <w:color w:val="auto"/>
                <w:sz w:val="22"/>
                <w:szCs w:val="22"/>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jc w:val="center"/>
              <w:rPr>
                <w:rFonts w:hint="eastAsia" w:ascii="仿宋" w:hAnsi="仿宋" w:eastAsia="仿宋" w:cs="仿宋"/>
                <w:color w:val="auto"/>
                <w:sz w:val="22"/>
                <w:szCs w:val="22"/>
              </w:rPr>
            </w:pPr>
            <w:r>
              <w:rPr>
                <w:rFonts w:hint="eastAsia" w:ascii="仿宋" w:hAnsi="仿宋" w:eastAsia="仿宋" w:cs="仿宋"/>
                <w:color w:val="auto"/>
                <w:sz w:val="22"/>
                <w:szCs w:val="22"/>
              </w:rPr>
              <w:t>8</w:t>
            </w:r>
          </w:p>
        </w:tc>
        <w:tc>
          <w:tcPr>
            <w:tcW w:w="3836" w:type="dxa"/>
            <w:vAlign w:val="center"/>
          </w:tcPr>
          <w:p w14:paraId="6EC713D7">
            <w:pPr>
              <w:widowControl/>
              <w:rPr>
                <w:rFonts w:hint="eastAsia" w:ascii="仿宋" w:hAnsi="仿宋" w:eastAsia="仿宋" w:cs="仿宋"/>
                <w:bCs/>
                <w:color w:val="auto"/>
                <w:sz w:val="22"/>
                <w:szCs w:val="22"/>
              </w:rPr>
            </w:pPr>
            <w:r>
              <w:rPr>
                <w:rFonts w:hint="eastAsia" w:ascii="仿宋" w:hAnsi="仿宋" w:eastAsia="仿宋" w:cs="仿宋"/>
                <w:bCs/>
                <w:color w:val="auto"/>
                <w:sz w:val="22"/>
                <w:szCs w:val="22"/>
                <w:lang w:val="zh-TW" w:eastAsia="zh-TW"/>
              </w:rPr>
              <w:t>法定代表人授权委托书</w:t>
            </w:r>
          </w:p>
        </w:tc>
        <w:tc>
          <w:tcPr>
            <w:tcW w:w="3615" w:type="dxa"/>
            <w:vAlign w:val="center"/>
          </w:tcPr>
          <w:p w14:paraId="6651247A">
            <w:pPr>
              <w:jc w:val="left"/>
              <w:rPr>
                <w:rFonts w:hint="eastAsia" w:ascii="仿宋" w:hAnsi="仿宋" w:eastAsia="仿宋" w:cs="仿宋"/>
                <w:color w:val="auto"/>
                <w:sz w:val="22"/>
                <w:szCs w:val="22"/>
              </w:rPr>
            </w:pPr>
            <w:r>
              <w:rPr>
                <w:rFonts w:hint="eastAsia" w:ascii="仿宋" w:hAnsi="仿宋" w:eastAsia="仿宋" w:cs="仿宋"/>
                <w:color w:val="auto"/>
                <w:sz w:val="22"/>
                <w:szCs w:val="22"/>
              </w:rPr>
              <w:t>参选代理人授权书（加盖</w:t>
            </w:r>
            <w:r>
              <w:rPr>
                <w:rFonts w:ascii="仿宋" w:hAnsi="仿宋" w:eastAsia="仿宋" w:cs="仿宋"/>
                <w:color w:val="auto"/>
                <w:sz w:val="22"/>
                <w:szCs w:val="22"/>
              </w:rPr>
              <w:t>供应商</w:t>
            </w:r>
            <w:r>
              <w:rPr>
                <w:rFonts w:hint="eastAsia" w:ascii="仿宋" w:hAnsi="仿宋" w:eastAsia="仿宋" w:cs="仿宋"/>
                <w:color w:val="auto"/>
                <w:sz w:val="22"/>
                <w:szCs w:val="22"/>
              </w:rPr>
              <w:t>公章）。参选代理人身份证正反面复印件（加盖</w:t>
            </w:r>
            <w:r>
              <w:rPr>
                <w:rFonts w:ascii="仿宋" w:hAnsi="仿宋" w:eastAsia="仿宋" w:cs="仿宋"/>
                <w:color w:val="auto"/>
                <w:sz w:val="22"/>
                <w:szCs w:val="22"/>
              </w:rPr>
              <w:t>供应商</w:t>
            </w:r>
            <w:r>
              <w:rPr>
                <w:rFonts w:hint="eastAsia" w:ascii="仿宋" w:hAnsi="仿宋" w:eastAsia="仿宋" w:cs="仿宋"/>
                <w:color w:val="auto"/>
                <w:sz w:val="22"/>
                <w:szCs w:val="22"/>
              </w:rPr>
              <w:t>公章）。</w:t>
            </w:r>
          </w:p>
        </w:tc>
        <w:tc>
          <w:tcPr>
            <w:tcW w:w="1787" w:type="dxa"/>
            <w:vAlign w:val="center"/>
          </w:tcPr>
          <w:p w14:paraId="51F14272">
            <w:pPr>
              <w:pStyle w:val="5"/>
              <w:rPr>
                <w:rFonts w:hint="eastAsia" w:ascii="仿宋" w:hAnsi="仿宋" w:eastAsia="仿宋" w:cs="仿宋"/>
                <w:color w:val="auto"/>
                <w:sz w:val="22"/>
                <w:szCs w:val="22"/>
              </w:rPr>
            </w:pPr>
            <w:r>
              <w:rPr>
                <w:rFonts w:ascii="仿宋" w:hAnsi="仿宋" w:eastAsia="仿宋" w:cs="仿宋"/>
                <w:color w:val="auto"/>
                <w:sz w:val="22"/>
                <w:szCs w:val="22"/>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jc w:val="center"/>
              <w:rPr>
                <w:rFonts w:hint="eastAsia" w:ascii="仿宋" w:hAnsi="仿宋" w:eastAsia="仿宋" w:cs="仿宋"/>
                <w:color w:val="auto"/>
                <w:sz w:val="22"/>
                <w:szCs w:val="22"/>
              </w:rPr>
            </w:pPr>
            <w:r>
              <w:rPr>
                <w:rFonts w:ascii="仿宋" w:hAnsi="仿宋" w:eastAsia="仿宋" w:cs="仿宋"/>
                <w:color w:val="auto"/>
                <w:sz w:val="22"/>
                <w:szCs w:val="22"/>
              </w:rPr>
              <w:t>9</w:t>
            </w:r>
          </w:p>
        </w:tc>
        <w:tc>
          <w:tcPr>
            <w:tcW w:w="3836" w:type="dxa"/>
            <w:vAlign w:val="center"/>
          </w:tcPr>
          <w:p w14:paraId="0EE1B3A8">
            <w:pPr>
              <w:widowControl/>
              <w:rPr>
                <w:rFonts w:hint="eastAsia" w:ascii="仿宋" w:hAnsi="仿宋" w:eastAsia="仿宋" w:cs="仿宋"/>
                <w:bCs/>
                <w:color w:val="auto"/>
                <w:sz w:val="22"/>
                <w:szCs w:val="22"/>
                <w:lang w:val="zh-TW" w:eastAsia="zh-TW"/>
              </w:rPr>
            </w:pPr>
            <w:r>
              <w:rPr>
                <w:rFonts w:ascii="仿宋" w:hAnsi="仿宋" w:eastAsia="仿宋" w:cs="仿宋"/>
                <w:bCs/>
                <w:color w:val="auto"/>
                <w:sz w:val="22"/>
                <w:szCs w:val="22"/>
                <w:lang w:val="zh-TW" w:eastAsia="zh-TW"/>
              </w:rPr>
              <w:t>其它资格要求：</w:t>
            </w:r>
            <w:r>
              <w:rPr>
                <w:rFonts w:hint="eastAsia" w:ascii="仿宋" w:hAnsi="仿宋" w:eastAsia="仿宋" w:cs="仿宋"/>
                <w:bCs/>
                <w:color w:val="auto"/>
                <w:sz w:val="22"/>
                <w:szCs w:val="22"/>
                <w:lang w:val="zh-TW" w:eastAsia="zh-TW"/>
              </w:rPr>
              <w:t>供应商应具备有效的《基础电信业务经营许可证》或《增值电信业务经营许可证》</w:t>
            </w:r>
          </w:p>
        </w:tc>
        <w:tc>
          <w:tcPr>
            <w:tcW w:w="3615" w:type="dxa"/>
            <w:vAlign w:val="center"/>
          </w:tcPr>
          <w:p w14:paraId="03B5FDB1">
            <w:pPr>
              <w:widowControl/>
              <w:jc w:val="left"/>
              <w:rPr>
                <w:rFonts w:hint="eastAsia" w:ascii="仿宋" w:hAnsi="仿宋" w:eastAsia="仿宋" w:cs="仿宋"/>
                <w:bCs/>
                <w:color w:val="auto"/>
                <w:sz w:val="22"/>
                <w:szCs w:val="22"/>
                <w:lang w:val="zh-TW" w:eastAsia="zh-TW"/>
              </w:rPr>
            </w:pPr>
            <w:r>
              <w:rPr>
                <w:rFonts w:hint="eastAsia" w:ascii="仿宋" w:hAnsi="仿宋" w:eastAsia="仿宋" w:cs="仿宋"/>
                <w:bCs/>
                <w:color w:val="auto"/>
                <w:sz w:val="22"/>
                <w:szCs w:val="22"/>
                <w:lang w:val="zh-TW" w:eastAsia="zh-TW"/>
              </w:rPr>
              <w:t>供应商提供有效期内证书复印件（加盖供应商公章）</w:t>
            </w:r>
          </w:p>
        </w:tc>
        <w:tc>
          <w:tcPr>
            <w:tcW w:w="1787" w:type="dxa"/>
            <w:vAlign w:val="center"/>
          </w:tcPr>
          <w:p w14:paraId="77D2119D">
            <w:pPr>
              <w:pStyle w:val="5"/>
              <w:jc w:val="center"/>
              <w:rPr>
                <w:rFonts w:hint="eastAsia" w:ascii="仿宋" w:hAnsi="仿宋" w:eastAsia="仿宋" w:cs="仿宋"/>
                <w:color w:val="auto"/>
                <w:sz w:val="22"/>
                <w:szCs w:val="22"/>
              </w:rPr>
            </w:pPr>
          </w:p>
        </w:tc>
      </w:tr>
    </w:tbl>
    <w:p w14:paraId="3DFB0D3C">
      <w:pPr>
        <w:pStyle w:val="5"/>
        <w:rPr>
          <w:rFonts w:hint="default" w:ascii="Times New Roman" w:hAnsi="Times New Roman" w:eastAsia="宋体" w:cs="Times New Roman"/>
          <w:color w:val="auto"/>
          <w:lang w:eastAsia="zh-TW"/>
        </w:rPr>
      </w:pPr>
    </w:p>
    <w:p w14:paraId="633782EC">
      <w:pPr>
        <w:pStyle w:val="3"/>
        <w:rPr>
          <w:rFonts w:ascii="仿宋" w:hAnsi="仿宋" w:eastAsia="仿宋" w:cs="仿宋"/>
          <w:sz w:val="22"/>
          <w:szCs w:val="22"/>
        </w:rPr>
      </w:pPr>
      <w:bookmarkStart w:id="7" w:name="_Toc21556"/>
      <w:r>
        <w:rPr>
          <w:rStyle w:val="43"/>
          <w:rFonts w:ascii="仿宋" w:hAnsi="仿宋" w:eastAsia="仿宋" w:cs="仿宋"/>
          <w:b/>
          <w:bCs/>
          <w:sz w:val="22"/>
          <w:szCs w:val="22"/>
        </w:rPr>
        <w:t>采购需求</w:t>
      </w:r>
      <w:r>
        <w:rPr>
          <w:rFonts w:ascii="仿宋" w:hAnsi="仿宋" w:eastAsia="仿宋" w:cs="仿宋"/>
          <w:sz w:val="22"/>
          <w:szCs w:val="22"/>
        </w:rPr>
        <w:t>：</w:t>
      </w:r>
      <w:bookmarkEnd w:id="7"/>
    </w:p>
    <w:p w14:paraId="63A6868D">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采购内容及相关要求：</w:t>
      </w:r>
    </w:p>
    <w:p w14:paraId="1F5AA2C6">
      <w:pPr>
        <w:pStyle w:val="13"/>
        <w:spacing w:line="360" w:lineRule="auto"/>
        <w:ind w:firstLine="44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1.采购清单</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6"/>
        <w:gridCol w:w="2190"/>
        <w:gridCol w:w="1922"/>
        <w:gridCol w:w="1282"/>
        <w:gridCol w:w="1133"/>
        <w:gridCol w:w="2355"/>
      </w:tblGrid>
      <w:tr w14:paraId="47CB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47" w:type="dxa"/>
            <w:shd w:val="clear" w:color="auto" w:fill="auto"/>
            <w:tcMar>
              <w:top w:w="0" w:type="dxa"/>
              <w:left w:w="105" w:type="dxa"/>
              <w:bottom w:w="0" w:type="dxa"/>
              <w:right w:w="105" w:type="dxa"/>
            </w:tcMar>
            <w:vAlign w:val="top"/>
          </w:tcPr>
          <w:p w14:paraId="0D4DF8A3">
            <w:pPr>
              <w:pStyle w:val="12"/>
              <w:rPr>
                <w:rFonts w:hint="eastAsia" w:ascii="仿宋" w:hAnsi="仿宋" w:eastAsia="仿宋" w:cs="仿宋"/>
                <w:b/>
                <w:bCs/>
                <w:kern w:val="0"/>
                <w:sz w:val="22"/>
                <w:szCs w:val="22"/>
              </w:rPr>
            </w:pPr>
            <w:r>
              <w:rPr>
                <w:rFonts w:hint="eastAsia" w:ascii="仿宋" w:hAnsi="仿宋" w:eastAsia="仿宋" w:cs="仿宋"/>
                <w:b/>
                <w:bCs/>
                <w:sz w:val="22"/>
                <w:szCs w:val="22"/>
              </w:rPr>
              <w:t>序号</w:t>
            </w:r>
          </w:p>
        </w:tc>
        <w:tc>
          <w:tcPr>
            <w:tcW w:w="2193" w:type="dxa"/>
            <w:shd w:val="clear" w:color="auto" w:fill="auto"/>
            <w:tcMar>
              <w:top w:w="0" w:type="dxa"/>
              <w:left w:w="105" w:type="dxa"/>
              <w:bottom w:w="0" w:type="dxa"/>
              <w:right w:w="105" w:type="dxa"/>
            </w:tcMar>
            <w:vAlign w:val="top"/>
          </w:tcPr>
          <w:p w14:paraId="5D5C8320">
            <w:pPr>
              <w:pStyle w:val="12"/>
              <w:rPr>
                <w:rFonts w:hint="eastAsia" w:ascii="仿宋" w:hAnsi="仿宋" w:eastAsia="仿宋" w:cs="仿宋"/>
                <w:b/>
                <w:bCs/>
                <w:kern w:val="0"/>
                <w:sz w:val="22"/>
                <w:szCs w:val="22"/>
              </w:rPr>
            </w:pPr>
            <w:r>
              <w:rPr>
                <w:rFonts w:hint="eastAsia" w:ascii="仿宋" w:hAnsi="仿宋" w:eastAsia="仿宋" w:cs="仿宋"/>
                <w:b/>
                <w:bCs/>
                <w:sz w:val="22"/>
                <w:szCs w:val="22"/>
              </w:rPr>
              <w:t>品名</w:t>
            </w:r>
          </w:p>
        </w:tc>
        <w:tc>
          <w:tcPr>
            <w:tcW w:w="1924" w:type="dxa"/>
            <w:shd w:val="clear" w:color="auto" w:fill="auto"/>
            <w:tcMar>
              <w:top w:w="0" w:type="dxa"/>
              <w:left w:w="105" w:type="dxa"/>
              <w:bottom w:w="0" w:type="dxa"/>
              <w:right w:w="105" w:type="dxa"/>
            </w:tcMar>
            <w:vAlign w:val="top"/>
          </w:tcPr>
          <w:p w14:paraId="5D878859">
            <w:pPr>
              <w:pStyle w:val="12"/>
              <w:rPr>
                <w:rFonts w:hint="eastAsia" w:ascii="仿宋" w:hAnsi="仿宋" w:eastAsia="仿宋" w:cs="仿宋"/>
                <w:b/>
                <w:bCs/>
                <w:kern w:val="0"/>
                <w:sz w:val="22"/>
                <w:szCs w:val="22"/>
              </w:rPr>
            </w:pPr>
            <w:r>
              <w:rPr>
                <w:rFonts w:hint="eastAsia" w:ascii="仿宋" w:hAnsi="仿宋" w:eastAsia="仿宋" w:cs="仿宋"/>
                <w:b/>
                <w:bCs/>
                <w:sz w:val="22"/>
                <w:szCs w:val="22"/>
              </w:rPr>
              <w:t>详细描述</w:t>
            </w:r>
          </w:p>
        </w:tc>
        <w:tc>
          <w:tcPr>
            <w:tcW w:w="1283" w:type="dxa"/>
            <w:shd w:val="clear" w:color="auto" w:fill="auto"/>
            <w:tcMar>
              <w:top w:w="0" w:type="dxa"/>
              <w:left w:w="105" w:type="dxa"/>
              <w:bottom w:w="0" w:type="dxa"/>
              <w:right w:w="105" w:type="dxa"/>
            </w:tcMar>
            <w:vAlign w:val="top"/>
          </w:tcPr>
          <w:p w14:paraId="2CE738AA">
            <w:pPr>
              <w:pStyle w:val="12"/>
              <w:rPr>
                <w:rFonts w:hint="eastAsia" w:ascii="仿宋" w:hAnsi="仿宋" w:eastAsia="仿宋" w:cs="仿宋"/>
                <w:b/>
                <w:bCs/>
                <w:kern w:val="0"/>
                <w:sz w:val="22"/>
                <w:szCs w:val="22"/>
              </w:rPr>
            </w:pPr>
            <w:r>
              <w:rPr>
                <w:rFonts w:hint="eastAsia" w:ascii="仿宋" w:hAnsi="仿宋" w:eastAsia="仿宋" w:cs="仿宋"/>
                <w:b/>
                <w:bCs/>
                <w:sz w:val="22"/>
                <w:szCs w:val="22"/>
              </w:rPr>
              <w:t>数量</w:t>
            </w:r>
          </w:p>
        </w:tc>
        <w:tc>
          <w:tcPr>
            <w:tcW w:w="1134" w:type="dxa"/>
            <w:shd w:val="clear" w:color="auto" w:fill="auto"/>
            <w:tcMar>
              <w:top w:w="0" w:type="dxa"/>
              <w:left w:w="105" w:type="dxa"/>
              <w:bottom w:w="0" w:type="dxa"/>
              <w:right w:w="105" w:type="dxa"/>
            </w:tcMar>
            <w:vAlign w:val="top"/>
          </w:tcPr>
          <w:p w14:paraId="14FD6861">
            <w:pPr>
              <w:pStyle w:val="12"/>
              <w:rPr>
                <w:rFonts w:hint="eastAsia" w:ascii="仿宋" w:hAnsi="仿宋" w:eastAsia="仿宋" w:cs="仿宋"/>
                <w:b/>
                <w:bCs/>
                <w:kern w:val="0"/>
                <w:sz w:val="22"/>
                <w:szCs w:val="22"/>
              </w:rPr>
            </w:pPr>
            <w:r>
              <w:rPr>
                <w:rFonts w:hint="eastAsia" w:ascii="仿宋" w:hAnsi="仿宋" w:eastAsia="仿宋" w:cs="仿宋"/>
                <w:b/>
                <w:bCs/>
                <w:sz w:val="22"/>
                <w:szCs w:val="22"/>
              </w:rPr>
              <w:t>单位</w:t>
            </w:r>
          </w:p>
        </w:tc>
        <w:tc>
          <w:tcPr>
            <w:tcW w:w="2357" w:type="dxa"/>
            <w:shd w:val="clear" w:color="auto" w:fill="auto"/>
            <w:tcMar>
              <w:top w:w="0" w:type="dxa"/>
              <w:left w:w="105" w:type="dxa"/>
              <w:bottom w:w="0" w:type="dxa"/>
              <w:right w:w="105" w:type="dxa"/>
            </w:tcMar>
            <w:vAlign w:val="top"/>
          </w:tcPr>
          <w:p w14:paraId="1492F331">
            <w:pPr>
              <w:pStyle w:val="12"/>
              <w:rPr>
                <w:rFonts w:hint="eastAsia" w:ascii="仿宋" w:hAnsi="仿宋" w:eastAsia="仿宋" w:cs="仿宋"/>
                <w:b/>
                <w:bCs/>
                <w:kern w:val="0"/>
                <w:sz w:val="22"/>
                <w:szCs w:val="22"/>
              </w:rPr>
            </w:pPr>
            <w:r>
              <w:rPr>
                <w:rFonts w:hint="eastAsia" w:ascii="仿宋" w:hAnsi="仿宋" w:eastAsia="仿宋" w:cs="仿宋"/>
                <w:b/>
                <w:bCs/>
                <w:sz w:val="22"/>
                <w:szCs w:val="22"/>
              </w:rPr>
              <w:t>限高单价（元）</w:t>
            </w:r>
          </w:p>
        </w:tc>
      </w:tr>
      <w:tr w14:paraId="62AF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47" w:type="dxa"/>
            <w:shd w:val="clear" w:color="auto" w:fill="auto"/>
            <w:tcMar>
              <w:top w:w="0" w:type="dxa"/>
              <w:left w:w="105" w:type="dxa"/>
              <w:bottom w:w="0" w:type="dxa"/>
              <w:right w:w="105" w:type="dxa"/>
            </w:tcMar>
            <w:vAlign w:val="top"/>
          </w:tcPr>
          <w:p w14:paraId="4D92E697">
            <w:pPr>
              <w:pStyle w:val="12"/>
              <w:rPr>
                <w:rFonts w:hint="eastAsia" w:ascii="仿宋" w:hAnsi="仿宋" w:eastAsia="仿宋" w:cs="仿宋"/>
                <w:kern w:val="0"/>
                <w:sz w:val="22"/>
                <w:szCs w:val="22"/>
              </w:rPr>
            </w:pPr>
            <w:r>
              <w:rPr>
                <w:rFonts w:hint="eastAsia" w:ascii="仿宋" w:hAnsi="仿宋" w:eastAsia="仿宋" w:cs="仿宋"/>
                <w:b w:val="0"/>
                <w:bCs w:val="0"/>
                <w:sz w:val="22"/>
                <w:szCs w:val="22"/>
              </w:rPr>
              <w:t>1</w:t>
            </w:r>
          </w:p>
        </w:tc>
        <w:tc>
          <w:tcPr>
            <w:tcW w:w="2193" w:type="dxa"/>
            <w:shd w:val="clear" w:color="auto" w:fill="auto"/>
            <w:tcMar>
              <w:top w:w="0" w:type="dxa"/>
              <w:left w:w="105" w:type="dxa"/>
              <w:bottom w:w="0" w:type="dxa"/>
              <w:right w:w="105" w:type="dxa"/>
            </w:tcMar>
            <w:vAlign w:val="top"/>
          </w:tcPr>
          <w:p w14:paraId="38AAA177">
            <w:pPr>
              <w:pStyle w:val="12"/>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1924" w:type="dxa"/>
            <w:shd w:val="clear" w:color="auto" w:fill="auto"/>
            <w:tcMar>
              <w:top w:w="0" w:type="dxa"/>
              <w:left w:w="105" w:type="dxa"/>
              <w:bottom w:w="0" w:type="dxa"/>
              <w:right w:w="105" w:type="dxa"/>
            </w:tcMar>
            <w:vAlign w:val="top"/>
          </w:tcPr>
          <w:p w14:paraId="0C260BBB">
            <w:pPr>
              <w:pStyle w:val="12"/>
              <w:rPr>
                <w:rFonts w:hint="eastAsia" w:ascii="仿宋" w:hAnsi="仿宋" w:eastAsia="仿宋" w:cs="仿宋"/>
                <w:kern w:val="0"/>
                <w:sz w:val="22"/>
                <w:szCs w:val="22"/>
              </w:rPr>
            </w:pPr>
            <w:r>
              <w:rPr>
                <w:rFonts w:hint="eastAsia" w:ascii="仿宋" w:hAnsi="仿宋" w:eastAsia="仿宋" w:cs="仿宋"/>
                <w:kern w:val="0"/>
                <w:sz w:val="22"/>
                <w:szCs w:val="22"/>
              </w:rPr>
              <w:t>本地1000M</w:t>
            </w:r>
          </w:p>
        </w:tc>
        <w:tc>
          <w:tcPr>
            <w:tcW w:w="1283" w:type="dxa"/>
            <w:shd w:val="clear" w:color="auto" w:fill="auto"/>
            <w:tcMar>
              <w:top w:w="0" w:type="dxa"/>
              <w:left w:w="105" w:type="dxa"/>
              <w:bottom w:w="0" w:type="dxa"/>
              <w:right w:w="105" w:type="dxa"/>
            </w:tcMar>
            <w:vAlign w:val="top"/>
          </w:tcPr>
          <w:p w14:paraId="0046751D">
            <w:pPr>
              <w:pStyle w:val="12"/>
              <w:rPr>
                <w:rFonts w:hint="eastAsia" w:ascii="仿宋" w:hAnsi="仿宋" w:eastAsia="仿宋" w:cs="仿宋"/>
                <w:kern w:val="0"/>
                <w:sz w:val="22"/>
                <w:szCs w:val="22"/>
              </w:rPr>
            </w:pPr>
            <w:r>
              <w:rPr>
                <w:rFonts w:hint="eastAsia" w:ascii="仿宋" w:hAnsi="仿宋" w:eastAsia="仿宋" w:cs="仿宋"/>
                <w:kern w:val="0"/>
                <w:sz w:val="22"/>
                <w:szCs w:val="22"/>
              </w:rPr>
              <w:t>1</w:t>
            </w:r>
          </w:p>
        </w:tc>
        <w:tc>
          <w:tcPr>
            <w:tcW w:w="1134" w:type="dxa"/>
            <w:shd w:val="clear" w:color="auto" w:fill="auto"/>
            <w:tcMar>
              <w:top w:w="0" w:type="dxa"/>
              <w:left w:w="105" w:type="dxa"/>
              <w:bottom w:w="0" w:type="dxa"/>
              <w:right w:w="105" w:type="dxa"/>
            </w:tcMar>
            <w:vAlign w:val="top"/>
          </w:tcPr>
          <w:p w14:paraId="20D1E799">
            <w:pPr>
              <w:pStyle w:val="12"/>
              <w:rPr>
                <w:rFonts w:hint="eastAsia" w:ascii="仿宋" w:hAnsi="仿宋" w:eastAsia="仿宋" w:cs="仿宋"/>
                <w:kern w:val="0"/>
                <w:sz w:val="22"/>
                <w:szCs w:val="22"/>
              </w:rPr>
            </w:pPr>
            <w:r>
              <w:rPr>
                <w:rFonts w:hint="eastAsia" w:ascii="仿宋" w:hAnsi="仿宋" w:eastAsia="仿宋" w:cs="仿宋"/>
                <w:kern w:val="0"/>
                <w:sz w:val="22"/>
                <w:szCs w:val="22"/>
              </w:rPr>
              <w:t>条</w:t>
            </w:r>
          </w:p>
        </w:tc>
        <w:tc>
          <w:tcPr>
            <w:tcW w:w="2357" w:type="dxa"/>
            <w:shd w:val="clear" w:color="auto" w:fill="auto"/>
            <w:tcMar>
              <w:top w:w="0" w:type="dxa"/>
              <w:left w:w="105" w:type="dxa"/>
              <w:bottom w:w="0" w:type="dxa"/>
              <w:right w:w="105" w:type="dxa"/>
            </w:tcMar>
            <w:vAlign w:val="top"/>
          </w:tcPr>
          <w:p w14:paraId="310868DA">
            <w:pPr>
              <w:pStyle w:val="12"/>
              <w:rPr>
                <w:rFonts w:hint="eastAsia" w:ascii="仿宋" w:hAnsi="仿宋" w:eastAsia="仿宋" w:cs="仿宋"/>
                <w:kern w:val="0"/>
                <w:sz w:val="22"/>
                <w:szCs w:val="22"/>
              </w:rPr>
            </w:pPr>
            <w:r>
              <w:rPr>
                <w:rFonts w:hint="eastAsia" w:ascii="仿宋" w:hAnsi="仿宋" w:eastAsia="仿宋" w:cs="仿宋"/>
                <w:kern w:val="0"/>
                <w:sz w:val="22"/>
                <w:szCs w:val="22"/>
              </w:rPr>
              <w:t>30000</w:t>
            </w:r>
          </w:p>
        </w:tc>
      </w:tr>
    </w:tbl>
    <w:p w14:paraId="2A39CF16">
      <w:pPr>
        <w:pStyle w:val="13"/>
        <w:spacing w:line="360" w:lineRule="auto"/>
        <w:ind w:firstLine="420" w:firstLineChars="200"/>
      </w:pPr>
    </w:p>
    <w:p w14:paraId="75BE4741">
      <w:pPr>
        <w:pStyle w:val="13"/>
        <w:spacing w:line="360" w:lineRule="auto"/>
        <w:ind w:firstLine="44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color w:val="auto"/>
          <w:sz w:val="22"/>
          <w:szCs w:val="22"/>
          <w:lang w:eastAsia="zh-CN"/>
        </w:rPr>
        <w:t>2</w:t>
      </w:r>
      <w:r>
        <w:rPr>
          <w:rFonts w:hint="eastAsia" w:ascii="仿宋" w:hAnsi="仿宋" w:eastAsia="仿宋" w:cs="仿宋"/>
          <w:color w:val="auto"/>
          <w:sz w:val="22"/>
          <w:szCs w:val="22"/>
          <w:lang w:val="en-US" w:eastAsia="zh-CN"/>
        </w:rPr>
        <w:t>.</w:t>
      </w:r>
      <w:r>
        <w:rPr>
          <w:rFonts w:hint="eastAsia" w:ascii="仿宋" w:hAnsi="仿宋" w:eastAsia="仿宋" w:cs="仿宋"/>
          <w:color w:val="auto"/>
          <w:sz w:val="22"/>
          <w:szCs w:val="22"/>
        </w:rPr>
        <w:t>接口清单</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无</w:t>
      </w:r>
    </w:p>
    <w:p w14:paraId="30FF3B45">
      <w:pPr>
        <w:pStyle w:val="13"/>
        <w:rPr>
          <w:rFonts w:hint="eastAsia" w:ascii="仿宋" w:hAnsi="仿宋" w:eastAsia="仿宋" w:cs="仿宋"/>
          <w:color w:val="auto"/>
          <w:sz w:val="22"/>
          <w:szCs w:val="22"/>
          <w:lang w:val="en-US" w:eastAsia="zh-CN"/>
        </w:rPr>
      </w:pPr>
      <w:r>
        <w:rPr>
          <w:rFonts w:hint="eastAsia" w:ascii="仿宋" w:hAnsi="仿宋" w:eastAsia="仿宋" w:cs="仿宋"/>
          <w:b w:val="0"/>
          <w:bCs w:val="0"/>
          <w:color w:val="auto"/>
          <w:sz w:val="22"/>
          <w:szCs w:val="22"/>
          <w:lang w:val="en-US" w:eastAsia="zh-CN"/>
        </w:rPr>
        <w:t>3.</w:t>
      </w:r>
      <w:r>
        <w:rPr>
          <w:rFonts w:hint="eastAsia" w:ascii="仿宋" w:hAnsi="仿宋" w:eastAsia="仿宋" w:cs="仿宋"/>
          <w:b w:val="0"/>
          <w:bCs w:val="0"/>
          <w:color w:val="auto"/>
          <w:kern w:val="2"/>
          <w:sz w:val="22"/>
          <w:szCs w:val="22"/>
        </w:rPr>
        <w:t>参数</w:t>
      </w:r>
      <w:r>
        <w:rPr>
          <w:rFonts w:hint="eastAsia" w:ascii="仿宋" w:hAnsi="仿宋" w:eastAsia="仿宋" w:cs="仿宋"/>
          <w:b w:val="0"/>
          <w:bCs w:val="0"/>
          <w:color w:val="auto"/>
          <w:kern w:val="2"/>
          <w:sz w:val="22"/>
          <w:szCs w:val="22"/>
          <w:lang w:val="en-US" w:eastAsia="zh-CN"/>
        </w:rPr>
        <w:t>设置</w:t>
      </w:r>
    </w:p>
    <w:tbl>
      <w:tblPr>
        <w:tblStyle w:val="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34"/>
        <w:gridCol w:w="2045"/>
        <w:gridCol w:w="6747"/>
      </w:tblGrid>
      <w:tr w14:paraId="0FCC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4544182C">
            <w:pPr>
              <w:pStyle w:val="12"/>
              <w:jc w:val="center"/>
              <w:rPr>
                <w:rFonts w:hint="eastAsia" w:ascii="仿宋" w:hAnsi="仿宋" w:eastAsia="仿宋" w:cs="仿宋"/>
                <w:b/>
                <w:bCs/>
                <w:kern w:val="0"/>
                <w:sz w:val="22"/>
                <w:szCs w:val="22"/>
              </w:rPr>
            </w:pPr>
            <w:r>
              <w:rPr>
                <w:rFonts w:hint="eastAsia" w:ascii="仿宋" w:hAnsi="仿宋" w:eastAsia="仿宋" w:cs="仿宋"/>
                <w:b/>
                <w:bCs/>
                <w:sz w:val="22"/>
                <w:szCs w:val="22"/>
              </w:rPr>
              <w:t>序号</w:t>
            </w:r>
          </w:p>
        </w:tc>
        <w:tc>
          <w:tcPr>
            <w:tcW w:w="1062" w:type="pct"/>
            <w:shd w:val="clear" w:color="auto" w:fill="auto"/>
            <w:tcMar>
              <w:top w:w="0" w:type="dxa"/>
              <w:left w:w="105" w:type="dxa"/>
              <w:bottom w:w="0" w:type="dxa"/>
              <w:right w:w="105" w:type="dxa"/>
            </w:tcMar>
            <w:vAlign w:val="top"/>
          </w:tcPr>
          <w:p w14:paraId="291F2007">
            <w:pPr>
              <w:pStyle w:val="12"/>
              <w:jc w:val="center"/>
              <w:rPr>
                <w:rFonts w:hint="eastAsia" w:ascii="仿宋" w:hAnsi="仿宋" w:eastAsia="仿宋" w:cs="仿宋"/>
                <w:b/>
                <w:bCs/>
                <w:kern w:val="0"/>
                <w:sz w:val="22"/>
                <w:szCs w:val="22"/>
              </w:rPr>
            </w:pPr>
            <w:r>
              <w:rPr>
                <w:rFonts w:hint="eastAsia" w:ascii="仿宋" w:hAnsi="仿宋" w:eastAsia="仿宋" w:cs="仿宋"/>
                <w:b/>
                <w:bCs/>
                <w:sz w:val="22"/>
                <w:szCs w:val="22"/>
              </w:rPr>
              <w:t>系统</w:t>
            </w:r>
          </w:p>
        </w:tc>
        <w:tc>
          <w:tcPr>
            <w:tcW w:w="3504" w:type="pct"/>
            <w:shd w:val="clear" w:color="auto" w:fill="auto"/>
            <w:tcMar>
              <w:top w:w="0" w:type="dxa"/>
              <w:left w:w="105" w:type="dxa"/>
              <w:bottom w:w="0" w:type="dxa"/>
              <w:right w:w="105" w:type="dxa"/>
            </w:tcMar>
            <w:vAlign w:val="top"/>
          </w:tcPr>
          <w:p w14:paraId="4ECD94C3">
            <w:pPr>
              <w:pStyle w:val="12"/>
              <w:jc w:val="center"/>
              <w:rPr>
                <w:rFonts w:hint="eastAsia" w:ascii="仿宋" w:hAnsi="仿宋" w:eastAsia="仿宋" w:cs="仿宋"/>
                <w:b/>
                <w:bCs/>
                <w:kern w:val="0"/>
                <w:sz w:val="22"/>
                <w:szCs w:val="22"/>
              </w:rPr>
            </w:pPr>
            <w:r>
              <w:rPr>
                <w:rFonts w:hint="eastAsia" w:ascii="仿宋" w:hAnsi="仿宋" w:eastAsia="仿宋" w:cs="仿宋"/>
                <w:b/>
                <w:bCs/>
                <w:sz w:val="22"/>
                <w:szCs w:val="22"/>
              </w:rPr>
              <w:t>参数</w:t>
            </w:r>
          </w:p>
        </w:tc>
      </w:tr>
      <w:tr w14:paraId="3A43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51FF4A9F">
            <w:pPr>
              <w:pStyle w:val="12"/>
              <w:jc w:val="center"/>
              <w:rPr>
                <w:rFonts w:hint="eastAsia" w:ascii="仿宋" w:hAnsi="仿宋" w:eastAsia="仿宋" w:cs="仿宋"/>
                <w:kern w:val="0"/>
                <w:sz w:val="22"/>
                <w:szCs w:val="22"/>
              </w:rPr>
            </w:pPr>
            <w:r>
              <w:rPr>
                <w:rFonts w:hint="eastAsia" w:ascii="仿宋" w:hAnsi="仿宋" w:eastAsia="仿宋" w:cs="仿宋"/>
                <w:b w:val="0"/>
                <w:bCs w:val="0"/>
                <w:sz w:val="22"/>
                <w:szCs w:val="22"/>
              </w:rPr>
              <w:t>1</w:t>
            </w:r>
          </w:p>
        </w:tc>
        <w:tc>
          <w:tcPr>
            <w:tcW w:w="1062" w:type="pct"/>
            <w:shd w:val="clear" w:color="auto" w:fill="auto"/>
            <w:tcMar>
              <w:top w:w="0" w:type="dxa"/>
              <w:left w:w="105" w:type="dxa"/>
              <w:bottom w:w="0" w:type="dxa"/>
              <w:right w:w="105" w:type="dxa"/>
            </w:tcMar>
            <w:vAlign w:val="center"/>
          </w:tcPr>
          <w:p w14:paraId="32BF566B">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3504" w:type="pct"/>
            <w:shd w:val="clear" w:color="auto" w:fill="auto"/>
            <w:tcMar>
              <w:top w:w="0" w:type="dxa"/>
              <w:left w:w="105" w:type="dxa"/>
              <w:bottom w:w="0" w:type="dxa"/>
              <w:right w:w="105" w:type="dxa"/>
            </w:tcMar>
            <w:vAlign w:val="top"/>
          </w:tcPr>
          <w:p w14:paraId="75281BDD">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满足</w:t>
            </w:r>
            <w:r>
              <w:rPr>
                <w:rFonts w:hint="eastAsia" w:ascii="仿宋" w:hAnsi="仿宋" w:eastAsia="仿宋" w:cs="仿宋"/>
                <w:kern w:val="0"/>
                <w:sz w:val="22"/>
                <w:szCs w:val="22"/>
                <w:lang w:val="en-US" w:eastAsia="zh-CN"/>
              </w:rPr>
              <w:t>采购人</w:t>
            </w:r>
            <w:r>
              <w:rPr>
                <w:rFonts w:hint="eastAsia" w:ascii="仿宋" w:hAnsi="仿宋" w:eastAsia="仿宋" w:cs="仿宋"/>
                <w:kern w:val="0"/>
                <w:sz w:val="22"/>
                <w:szCs w:val="22"/>
              </w:rPr>
              <w:t>内网点到点千兆传输要求，线路稳定。</w:t>
            </w:r>
          </w:p>
        </w:tc>
      </w:tr>
      <w:tr w14:paraId="7EC8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74E55EF8">
            <w:pPr>
              <w:pStyle w:val="12"/>
              <w:jc w:val="center"/>
              <w:rPr>
                <w:rFonts w:hint="eastAsia" w:ascii="仿宋" w:hAnsi="仿宋" w:eastAsia="仿宋" w:cs="仿宋"/>
                <w:kern w:val="0"/>
                <w:sz w:val="22"/>
                <w:szCs w:val="22"/>
              </w:rPr>
            </w:pPr>
            <w:r>
              <w:rPr>
                <w:rFonts w:hint="eastAsia" w:ascii="仿宋" w:hAnsi="仿宋" w:eastAsia="仿宋" w:cs="仿宋"/>
                <w:b w:val="0"/>
                <w:bCs w:val="0"/>
                <w:sz w:val="22"/>
                <w:szCs w:val="22"/>
              </w:rPr>
              <w:t>2</w:t>
            </w:r>
          </w:p>
        </w:tc>
        <w:tc>
          <w:tcPr>
            <w:tcW w:w="1062" w:type="pct"/>
            <w:shd w:val="clear" w:color="auto" w:fill="auto"/>
            <w:tcMar>
              <w:top w:w="0" w:type="dxa"/>
              <w:left w:w="105" w:type="dxa"/>
              <w:bottom w:w="0" w:type="dxa"/>
              <w:right w:w="105" w:type="dxa"/>
            </w:tcMar>
            <w:vAlign w:val="center"/>
          </w:tcPr>
          <w:p w14:paraId="4F46040C">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3504" w:type="pct"/>
            <w:shd w:val="clear" w:color="auto" w:fill="auto"/>
            <w:tcMar>
              <w:top w:w="0" w:type="dxa"/>
              <w:left w:w="105" w:type="dxa"/>
              <w:bottom w:w="0" w:type="dxa"/>
              <w:right w:w="105" w:type="dxa"/>
            </w:tcMar>
            <w:vAlign w:val="top"/>
          </w:tcPr>
          <w:p w14:paraId="21D94A49">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保障线路安全性，内外网物理分离。</w:t>
            </w:r>
          </w:p>
        </w:tc>
      </w:tr>
      <w:tr w14:paraId="3F9E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056F2EB9">
            <w:pPr>
              <w:pStyle w:val="12"/>
              <w:jc w:val="center"/>
              <w:rPr>
                <w:rFonts w:hint="eastAsia" w:ascii="仿宋" w:hAnsi="仿宋" w:eastAsia="仿宋" w:cs="仿宋"/>
                <w:kern w:val="0"/>
                <w:sz w:val="22"/>
                <w:szCs w:val="22"/>
              </w:rPr>
            </w:pPr>
            <w:r>
              <w:rPr>
                <w:rFonts w:hint="eastAsia" w:ascii="仿宋" w:hAnsi="仿宋" w:eastAsia="仿宋" w:cs="仿宋"/>
                <w:b w:val="0"/>
                <w:bCs w:val="0"/>
                <w:sz w:val="22"/>
                <w:szCs w:val="22"/>
              </w:rPr>
              <w:t>3</w:t>
            </w:r>
          </w:p>
        </w:tc>
        <w:tc>
          <w:tcPr>
            <w:tcW w:w="1062" w:type="pct"/>
            <w:shd w:val="clear" w:color="auto" w:fill="auto"/>
            <w:tcMar>
              <w:top w:w="0" w:type="dxa"/>
              <w:left w:w="105" w:type="dxa"/>
              <w:bottom w:w="0" w:type="dxa"/>
              <w:right w:w="105" w:type="dxa"/>
            </w:tcMar>
            <w:vAlign w:val="center"/>
          </w:tcPr>
          <w:p w14:paraId="4ED06A03">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3504" w:type="pct"/>
            <w:shd w:val="clear" w:color="auto" w:fill="auto"/>
            <w:tcMar>
              <w:top w:w="0" w:type="dxa"/>
              <w:left w:w="105" w:type="dxa"/>
              <w:bottom w:w="0" w:type="dxa"/>
              <w:right w:w="105" w:type="dxa"/>
            </w:tcMar>
            <w:vAlign w:val="top"/>
          </w:tcPr>
          <w:p w14:paraId="3FC7621B">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保障线路24小时通畅，若出现网络故障有备用线路可供使用。</w:t>
            </w:r>
          </w:p>
        </w:tc>
      </w:tr>
      <w:tr w14:paraId="3570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7CA32003">
            <w:pPr>
              <w:pStyle w:val="12"/>
              <w:jc w:val="center"/>
              <w:rPr>
                <w:rFonts w:hint="eastAsia" w:ascii="仿宋" w:hAnsi="仿宋" w:eastAsia="仿宋" w:cs="仿宋"/>
                <w:kern w:val="0"/>
                <w:sz w:val="22"/>
                <w:szCs w:val="22"/>
              </w:rPr>
            </w:pPr>
            <w:r>
              <w:rPr>
                <w:rFonts w:hint="eastAsia" w:ascii="仿宋" w:hAnsi="仿宋" w:eastAsia="仿宋" w:cs="仿宋"/>
                <w:b w:val="0"/>
                <w:bCs w:val="0"/>
                <w:sz w:val="22"/>
                <w:szCs w:val="22"/>
              </w:rPr>
              <w:t>4</w:t>
            </w:r>
          </w:p>
        </w:tc>
        <w:tc>
          <w:tcPr>
            <w:tcW w:w="1062" w:type="pct"/>
            <w:shd w:val="clear" w:color="auto" w:fill="auto"/>
            <w:tcMar>
              <w:top w:w="0" w:type="dxa"/>
              <w:left w:w="105" w:type="dxa"/>
              <w:bottom w:w="0" w:type="dxa"/>
              <w:right w:w="105" w:type="dxa"/>
            </w:tcMar>
            <w:vAlign w:val="center"/>
          </w:tcPr>
          <w:p w14:paraId="33E3DDB2">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3504" w:type="pct"/>
            <w:shd w:val="clear" w:color="auto" w:fill="auto"/>
            <w:tcMar>
              <w:top w:w="0" w:type="dxa"/>
              <w:left w:w="105" w:type="dxa"/>
              <w:bottom w:w="0" w:type="dxa"/>
              <w:right w:w="105" w:type="dxa"/>
            </w:tcMar>
            <w:vAlign w:val="top"/>
          </w:tcPr>
          <w:p w14:paraId="774809F3">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保证专网两端内网IP可以二层互通。</w:t>
            </w:r>
          </w:p>
        </w:tc>
      </w:tr>
      <w:tr w14:paraId="00E1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7A566EAA">
            <w:pPr>
              <w:pStyle w:val="12"/>
              <w:jc w:val="center"/>
              <w:rPr>
                <w:rFonts w:hint="eastAsia" w:ascii="仿宋" w:hAnsi="仿宋" w:eastAsia="仿宋" w:cs="仿宋"/>
                <w:kern w:val="0"/>
                <w:sz w:val="22"/>
                <w:szCs w:val="22"/>
              </w:rPr>
            </w:pPr>
            <w:r>
              <w:rPr>
                <w:rFonts w:hint="eastAsia" w:ascii="仿宋" w:hAnsi="仿宋" w:eastAsia="仿宋" w:cs="仿宋"/>
                <w:b w:val="0"/>
                <w:bCs w:val="0"/>
                <w:sz w:val="22"/>
                <w:szCs w:val="22"/>
              </w:rPr>
              <w:t>5</w:t>
            </w:r>
          </w:p>
        </w:tc>
        <w:tc>
          <w:tcPr>
            <w:tcW w:w="1062" w:type="pct"/>
            <w:shd w:val="clear" w:color="auto" w:fill="auto"/>
            <w:tcMar>
              <w:top w:w="0" w:type="dxa"/>
              <w:left w:w="105" w:type="dxa"/>
              <w:bottom w:w="0" w:type="dxa"/>
              <w:right w:w="105" w:type="dxa"/>
            </w:tcMar>
            <w:vAlign w:val="center"/>
          </w:tcPr>
          <w:p w14:paraId="7AF36162">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3504" w:type="pct"/>
            <w:shd w:val="clear" w:color="auto" w:fill="auto"/>
            <w:tcMar>
              <w:top w:w="0" w:type="dxa"/>
              <w:left w:w="105" w:type="dxa"/>
              <w:bottom w:w="0" w:type="dxa"/>
              <w:right w:w="105" w:type="dxa"/>
            </w:tcMar>
            <w:vAlign w:val="top"/>
          </w:tcPr>
          <w:p w14:paraId="312F66E9">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时延,端到端不丢包情况下的网络转发数据所用时间，包括传输时延和传输节点处理时延。本地网内≤10ms。</w:t>
            </w:r>
          </w:p>
        </w:tc>
      </w:tr>
      <w:tr w14:paraId="0400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3" w:type="pct"/>
            <w:shd w:val="clear" w:color="auto" w:fill="auto"/>
            <w:tcMar>
              <w:top w:w="0" w:type="dxa"/>
              <w:left w:w="105" w:type="dxa"/>
              <w:bottom w:w="0" w:type="dxa"/>
              <w:right w:w="105" w:type="dxa"/>
            </w:tcMar>
            <w:vAlign w:val="top"/>
          </w:tcPr>
          <w:p w14:paraId="29520E6A">
            <w:pPr>
              <w:pStyle w:val="12"/>
              <w:jc w:val="center"/>
              <w:rPr>
                <w:rFonts w:hint="eastAsia" w:ascii="仿宋" w:hAnsi="仿宋" w:eastAsia="仿宋" w:cs="仿宋"/>
                <w:kern w:val="0"/>
                <w:sz w:val="22"/>
                <w:szCs w:val="22"/>
              </w:rPr>
            </w:pPr>
            <w:r>
              <w:rPr>
                <w:rFonts w:hint="eastAsia" w:ascii="仿宋" w:hAnsi="仿宋" w:eastAsia="仿宋" w:cs="仿宋"/>
                <w:b w:val="0"/>
                <w:bCs w:val="0"/>
                <w:sz w:val="22"/>
                <w:szCs w:val="22"/>
              </w:rPr>
              <w:t>6</w:t>
            </w:r>
          </w:p>
        </w:tc>
        <w:tc>
          <w:tcPr>
            <w:tcW w:w="1062" w:type="pct"/>
            <w:shd w:val="clear" w:color="auto" w:fill="auto"/>
            <w:tcMar>
              <w:top w:w="0" w:type="dxa"/>
              <w:left w:w="105" w:type="dxa"/>
              <w:bottom w:w="0" w:type="dxa"/>
              <w:right w:w="105" w:type="dxa"/>
            </w:tcMar>
            <w:vAlign w:val="center"/>
          </w:tcPr>
          <w:p w14:paraId="61468A92">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数据专线</w:t>
            </w:r>
          </w:p>
        </w:tc>
        <w:tc>
          <w:tcPr>
            <w:tcW w:w="3504" w:type="pct"/>
            <w:shd w:val="clear" w:color="auto" w:fill="auto"/>
            <w:tcMar>
              <w:top w:w="0" w:type="dxa"/>
              <w:left w:w="105" w:type="dxa"/>
              <w:bottom w:w="0" w:type="dxa"/>
              <w:right w:w="105" w:type="dxa"/>
            </w:tcMar>
            <w:vAlign w:val="top"/>
          </w:tcPr>
          <w:p w14:paraId="7D1FD448">
            <w:pPr>
              <w:pStyle w:val="12"/>
              <w:jc w:val="center"/>
              <w:rPr>
                <w:rFonts w:hint="eastAsia" w:ascii="仿宋" w:hAnsi="仿宋" w:eastAsia="仿宋" w:cs="仿宋"/>
                <w:kern w:val="0"/>
                <w:sz w:val="22"/>
                <w:szCs w:val="22"/>
              </w:rPr>
            </w:pPr>
            <w:r>
              <w:rPr>
                <w:rFonts w:hint="eastAsia" w:ascii="仿宋" w:hAnsi="仿宋" w:eastAsia="仿宋" w:cs="仿宋"/>
                <w:kern w:val="0"/>
                <w:sz w:val="22"/>
                <w:szCs w:val="22"/>
              </w:rPr>
              <w:t>丢包率 在网络稳定状态下由于网络资源缺乏造成的不能转发的数据帧和总数据帧的百分比在正常带宽负荷下（负荷小于70％）≤0.1%（挂表测试为准）。</w:t>
            </w:r>
          </w:p>
        </w:tc>
      </w:tr>
    </w:tbl>
    <w:p w14:paraId="3BAFDC9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lang w:val="en-US" w:eastAsia="zh-CN"/>
        </w:rPr>
        <w:t>3</w:t>
      </w:r>
      <w:r>
        <w:rPr>
          <w:rFonts w:hint="eastAsia" w:ascii="仿宋" w:hAnsi="仿宋" w:eastAsia="仿宋" w:cs="仿宋"/>
          <w:kern w:val="2"/>
          <w:sz w:val="22"/>
          <w:szCs w:val="22"/>
          <w:lang w:eastAsia="zh-CN"/>
        </w:rPr>
        <w:t>）</w:t>
      </w:r>
      <w:r>
        <w:rPr>
          <w:rFonts w:hint="eastAsia" w:ascii="仿宋" w:hAnsi="仿宋" w:eastAsia="仿宋" w:cs="仿宋"/>
          <w:kern w:val="2"/>
          <w:sz w:val="22"/>
          <w:szCs w:val="22"/>
          <w:lang w:val="en-US" w:eastAsia="zh-CN"/>
        </w:rPr>
        <w:t>服务</w:t>
      </w:r>
      <w:r>
        <w:rPr>
          <w:rFonts w:hint="eastAsia" w:ascii="仿宋" w:hAnsi="仿宋" w:eastAsia="仿宋" w:cs="仿宋"/>
          <w:kern w:val="2"/>
          <w:sz w:val="22"/>
          <w:szCs w:val="22"/>
          <w:lang w:eastAsia="zh-CN"/>
        </w:rPr>
        <w:t>要求：</w:t>
      </w:r>
    </w:p>
    <w:tbl>
      <w:tblPr>
        <w:tblStyle w:val="14"/>
        <w:tblW w:w="4994"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1666"/>
        <w:gridCol w:w="5611"/>
        <w:gridCol w:w="1575"/>
      </w:tblGrid>
      <w:tr w14:paraId="6785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65" w:type="dxa"/>
            <w:shd w:val="clear" w:color="auto" w:fill="auto"/>
            <w:tcMar>
              <w:top w:w="0" w:type="dxa"/>
              <w:left w:w="105" w:type="dxa"/>
              <w:bottom w:w="0" w:type="dxa"/>
              <w:right w:w="105" w:type="dxa"/>
            </w:tcMar>
            <w:vAlign w:val="top"/>
          </w:tcPr>
          <w:p w14:paraId="4E3A7AD3">
            <w:pPr>
              <w:pStyle w:val="49"/>
              <w:autoSpaceDE w:val="0"/>
              <w:spacing w:beforeAutospacing="0" w:afterAutospacing="0" w:line="240" w:lineRule="auto"/>
              <w:jc w:val="center"/>
              <w:rPr>
                <w:rStyle w:val="50"/>
                <w:rFonts w:hint="eastAsia" w:ascii="仿宋" w:hAnsi="仿宋" w:eastAsia="仿宋" w:cs="仿宋"/>
                <w:b/>
                <w:sz w:val="22"/>
                <w:szCs w:val="22"/>
              </w:rPr>
            </w:pPr>
            <w:r>
              <w:rPr>
                <w:rStyle w:val="50"/>
                <w:b/>
              </w:rPr>
              <w:t>序号</w:t>
            </w:r>
          </w:p>
        </w:tc>
        <w:tc>
          <w:tcPr>
            <w:tcW w:w="1668" w:type="dxa"/>
            <w:shd w:val="clear" w:color="auto" w:fill="auto"/>
            <w:tcMar>
              <w:top w:w="0" w:type="dxa"/>
              <w:left w:w="105" w:type="dxa"/>
              <w:bottom w:w="0" w:type="dxa"/>
              <w:right w:w="105" w:type="dxa"/>
            </w:tcMar>
            <w:vAlign w:val="top"/>
          </w:tcPr>
          <w:p w14:paraId="5B053A6F">
            <w:pPr>
              <w:pStyle w:val="49"/>
              <w:keepNext w:val="0"/>
              <w:keepLines w:val="0"/>
              <w:widowControl/>
              <w:suppressLineNumbers w:val="0"/>
              <w:autoSpaceDE w:val="0"/>
              <w:autoSpaceDN/>
              <w:spacing w:beforeAutospacing="0" w:afterAutospacing="0" w:line="240" w:lineRule="auto"/>
              <w:jc w:val="center"/>
              <w:rPr>
                <w:rStyle w:val="50"/>
                <w:rFonts w:ascii="仿宋" w:hAnsi="仿宋" w:eastAsia="仿宋" w:cs="仿宋"/>
                <w:b/>
                <w:sz w:val="22"/>
                <w:szCs w:val="22"/>
              </w:rPr>
            </w:pPr>
            <w:r>
              <w:rPr>
                <w:rStyle w:val="50"/>
                <w:rFonts w:hint="eastAsia" w:ascii="仿宋" w:hAnsi="仿宋" w:eastAsia="仿宋" w:cs="仿宋"/>
                <w:b/>
                <w:bCs w:val="0"/>
                <w:sz w:val="22"/>
                <w:szCs w:val="22"/>
              </w:rPr>
              <w:t>服务类型</w:t>
            </w:r>
          </w:p>
        </w:tc>
        <w:tc>
          <w:tcPr>
            <w:tcW w:w="5619" w:type="dxa"/>
            <w:shd w:val="clear" w:color="auto" w:fill="auto"/>
            <w:tcMar>
              <w:top w:w="0" w:type="dxa"/>
              <w:left w:w="105" w:type="dxa"/>
              <w:bottom w:w="0" w:type="dxa"/>
              <w:right w:w="105" w:type="dxa"/>
            </w:tcMar>
            <w:vAlign w:val="top"/>
          </w:tcPr>
          <w:p w14:paraId="2D0221C1">
            <w:pPr>
              <w:pStyle w:val="49"/>
              <w:keepNext w:val="0"/>
              <w:keepLines w:val="0"/>
              <w:widowControl/>
              <w:suppressLineNumbers w:val="0"/>
              <w:autoSpaceDE w:val="0"/>
              <w:autoSpaceDN/>
              <w:spacing w:beforeAutospacing="0" w:afterAutospacing="0" w:line="240" w:lineRule="auto"/>
              <w:jc w:val="center"/>
              <w:rPr>
                <w:rStyle w:val="50"/>
                <w:rFonts w:ascii="仿宋" w:hAnsi="仿宋" w:eastAsia="仿宋" w:cs="仿宋"/>
                <w:b/>
                <w:sz w:val="22"/>
                <w:szCs w:val="22"/>
              </w:rPr>
            </w:pPr>
            <w:r>
              <w:rPr>
                <w:rStyle w:val="50"/>
                <w:rFonts w:hint="eastAsia" w:ascii="仿宋" w:hAnsi="仿宋" w:eastAsia="仿宋" w:cs="仿宋"/>
                <w:b/>
                <w:bCs w:val="0"/>
                <w:sz w:val="22"/>
                <w:szCs w:val="22"/>
              </w:rPr>
              <w:t>服务内容</w:t>
            </w:r>
          </w:p>
        </w:tc>
        <w:tc>
          <w:tcPr>
            <w:tcW w:w="1576" w:type="dxa"/>
            <w:shd w:val="clear" w:color="auto" w:fill="auto"/>
            <w:tcMar>
              <w:top w:w="0" w:type="dxa"/>
              <w:left w:w="105" w:type="dxa"/>
              <w:bottom w:w="0" w:type="dxa"/>
              <w:right w:w="105" w:type="dxa"/>
            </w:tcMar>
            <w:vAlign w:val="top"/>
          </w:tcPr>
          <w:p w14:paraId="06D97DFF">
            <w:pPr>
              <w:pStyle w:val="49"/>
              <w:keepNext w:val="0"/>
              <w:keepLines w:val="0"/>
              <w:widowControl/>
              <w:suppressLineNumbers w:val="0"/>
              <w:autoSpaceDE w:val="0"/>
              <w:autoSpaceDN/>
              <w:spacing w:beforeAutospacing="0" w:afterAutospacing="0" w:line="240" w:lineRule="auto"/>
              <w:jc w:val="center"/>
              <w:rPr>
                <w:rFonts w:hint="eastAsia" w:ascii="仿宋" w:hAnsi="仿宋" w:eastAsia="仿宋" w:cs="仿宋"/>
                <w:kern w:val="0"/>
                <w:sz w:val="22"/>
                <w:szCs w:val="22"/>
              </w:rPr>
            </w:pPr>
            <w:r>
              <w:rPr>
                <w:rStyle w:val="50"/>
                <w:rFonts w:hint="eastAsia" w:ascii="仿宋" w:hAnsi="仿宋" w:eastAsia="仿宋" w:cs="仿宋"/>
                <w:b/>
                <w:bCs w:val="0"/>
                <w:sz w:val="22"/>
                <w:szCs w:val="22"/>
              </w:rPr>
              <w:t>服务期</w:t>
            </w:r>
          </w:p>
        </w:tc>
      </w:tr>
      <w:tr w14:paraId="1268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5" w:type="dxa"/>
            <w:shd w:val="clear" w:color="auto" w:fill="auto"/>
            <w:tcMar>
              <w:top w:w="0" w:type="dxa"/>
              <w:left w:w="105" w:type="dxa"/>
              <w:bottom w:w="0" w:type="dxa"/>
              <w:right w:w="105" w:type="dxa"/>
            </w:tcMar>
            <w:vAlign w:val="center"/>
          </w:tcPr>
          <w:p w14:paraId="3584C53A">
            <w:pPr>
              <w:pStyle w:val="49"/>
              <w:keepNext w:val="0"/>
              <w:keepLines w:val="0"/>
              <w:widowControl/>
              <w:suppressLineNumbers w:val="0"/>
              <w:autoSpaceDE w:val="0"/>
              <w:autoSpaceDN/>
              <w:spacing w:beforeAutospacing="0" w:afterAutospacing="0" w:line="240" w:lineRule="auto"/>
              <w:jc w:val="center"/>
              <w:rPr>
                <w:rFonts w:hint="eastAsia" w:ascii="仿宋" w:hAnsi="仿宋" w:eastAsia="仿宋" w:cs="仿宋"/>
                <w:kern w:val="0"/>
                <w:sz w:val="22"/>
                <w:szCs w:val="22"/>
              </w:rPr>
            </w:pPr>
            <w:r>
              <w:rPr>
                <w:rStyle w:val="50"/>
                <w:rFonts w:hint="eastAsia" w:ascii="仿宋" w:hAnsi="仿宋" w:eastAsia="仿宋" w:cs="仿宋"/>
                <w:b/>
                <w:bCs w:val="0"/>
                <w:sz w:val="22"/>
                <w:szCs w:val="22"/>
              </w:rPr>
              <w:t>1</w:t>
            </w:r>
          </w:p>
        </w:tc>
        <w:tc>
          <w:tcPr>
            <w:tcW w:w="1668" w:type="dxa"/>
            <w:shd w:val="clear" w:color="auto" w:fill="auto"/>
            <w:tcMar>
              <w:top w:w="0" w:type="dxa"/>
              <w:left w:w="105" w:type="dxa"/>
              <w:bottom w:w="0" w:type="dxa"/>
              <w:right w:w="105" w:type="dxa"/>
            </w:tcMar>
            <w:vAlign w:val="center"/>
          </w:tcPr>
          <w:p w14:paraId="02E21C22">
            <w:pPr>
              <w:pStyle w:val="49"/>
              <w:keepNext w:val="0"/>
              <w:keepLines w:val="0"/>
              <w:widowControl/>
              <w:suppressLineNumbers w:val="0"/>
              <w:autoSpaceDE w:val="0"/>
              <w:autoSpaceDN/>
              <w:spacing w:beforeAutospacing="0" w:afterAutospacing="0" w:line="240" w:lineRule="auto"/>
              <w:jc w:val="center"/>
              <w:rPr>
                <w:rFonts w:hint="eastAsia" w:ascii="仿宋" w:hAnsi="仿宋" w:eastAsia="仿宋" w:cs="仿宋"/>
                <w:kern w:val="0"/>
                <w:sz w:val="22"/>
                <w:szCs w:val="22"/>
              </w:rPr>
            </w:pPr>
            <w:r>
              <w:rPr>
                <w:rStyle w:val="50"/>
                <w:rFonts w:hint="eastAsia" w:ascii="仿宋" w:hAnsi="仿宋" w:eastAsia="仿宋" w:cs="仿宋"/>
                <w:b/>
                <w:bCs w:val="0"/>
                <w:sz w:val="22"/>
                <w:szCs w:val="22"/>
              </w:rPr>
              <w:t>基本服务</w:t>
            </w:r>
          </w:p>
        </w:tc>
        <w:tc>
          <w:tcPr>
            <w:tcW w:w="5619" w:type="dxa"/>
            <w:shd w:val="clear" w:color="auto" w:fill="auto"/>
            <w:tcMar>
              <w:top w:w="0" w:type="dxa"/>
              <w:left w:w="105" w:type="dxa"/>
              <w:bottom w:w="0" w:type="dxa"/>
              <w:right w:w="105" w:type="dxa"/>
            </w:tcMar>
            <w:vAlign w:val="top"/>
          </w:tcPr>
          <w:p w14:paraId="428CCF89">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基本服务至少满足以下内容：</w:t>
            </w:r>
          </w:p>
          <w:p w14:paraId="1AE162DF">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1、稳定性：</w:t>
            </w:r>
            <w:r>
              <w:rPr>
                <w:rFonts w:hint="eastAsia" w:ascii="仿宋" w:hAnsi="仿宋" w:eastAsia="仿宋" w:cs="仿宋"/>
                <w:kern w:val="0"/>
                <w:sz w:val="22"/>
                <w:szCs w:val="22"/>
              </w:rPr>
              <w:t>服务期内需保障业务稳定，不无故出现崩溃或宕机现象；</w:t>
            </w:r>
          </w:p>
          <w:p w14:paraId="0DE9539D">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2、安全性：</w:t>
            </w:r>
            <w:r>
              <w:rPr>
                <w:rFonts w:hint="eastAsia" w:ascii="仿宋" w:hAnsi="仿宋" w:eastAsia="仿宋" w:cs="仿宋"/>
                <w:kern w:val="0"/>
                <w:sz w:val="22"/>
                <w:szCs w:val="22"/>
              </w:rPr>
              <w:t>具备完善的安全防护机制，做好数据备份，在合同签订后15个工作日内提交《安全事件应急响应手册》，重大安全事件（数据泄露、勒索病毒等）30 分钟内电话通报、2小时内到场、4小时内出具初步处置报告；</w:t>
            </w:r>
          </w:p>
          <w:p w14:paraId="7A065D97">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3、数据质量：</w:t>
            </w:r>
            <w:r>
              <w:rPr>
                <w:rFonts w:hint="eastAsia" w:ascii="仿宋" w:hAnsi="仿宋" w:eastAsia="仿宋" w:cs="仿宋"/>
                <w:kern w:val="0"/>
                <w:sz w:val="22"/>
                <w:szCs w:val="22"/>
              </w:rPr>
              <w:t>供应商收到异议后，</w:t>
            </w:r>
            <w:r>
              <w:rPr>
                <w:rFonts w:hint="eastAsia" w:ascii="仿宋" w:hAnsi="仿宋" w:eastAsia="仿宋" w:cs="仿宋"/>
                <w:kern w:val="0"/>
                <w:sz w:val="22"/>
                <w:szCs w:val="22"/>
                <w:lang w:eastAsia="zh-CN"/>
              </w:rPr>
              <w:t>成交</w:t>
            </w:r>
            <w:r>
              <w:rPr>
                <w:rFonts w:hint="eastAsia" w:ascii="仿宋" w:hAnsi="仿宋" w:eastAsia="仿宋" w:cs="仿宋"/>
                <w:kern w:val="0"/>
                <w:sz w:val="22"/>
                <w:szCs w:val="22"/>
              </w:rPr>
              <w:t>供应商应在5个工作日内对数据质量问题进行原因查找和反馈，30个工作日内对数据质量问题进行数据清洗；</w:t>
            </w:r>
          </w:p>
          <w:p w14:paraId="21D6966C">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4、响应速度：</w:t>
            </w:r>
            <w:r>
              <w:rPr>
                <w:rFonts w:hint="eastAsia" w:ascii="仿宋" w:hAnsi="仿宋" w:eastAsia="仿宋" w:cs="仿宋"/>
                <w:kern w:val="0"/>
                <w:sz w:val="22"/>
                <w:szCs w:val="22"/>
              </w:rPr>
              <w:t>服务期内，采购人通过电话、微信、现场提出的支持需求，供应商须在需求提出的当日完成响应；</w:t>
            </w:r>
          </w:p>
          <w:p w14:paraId="1C0CFE1D">
            <w:pPr>
              <w:pStyle w:val="49"/>
              <w:keepNext w:val="0"/>
              <w:keepLines w:val="0"/>
              <w:widowControl/>
              <w:suppressLineNumbers w:val="0"/>
              <w:shd w:val="clear"/>
              <w:autoSpaceDE w:val="0"/>
              <w:autoSpaceDN/>
              <w:spacing w:beforeAutospacing="0" w:afterAutospacing="0"/>
              <w:rPr>
                <w:rFonts w:hint="eastAsia" w:ascii="仿宋" w:hAnsi="仿宋" w:eastAsia="仿宋" w:cs="仿宋"/>
                <w:kern w:val="0"/>
                <w:sz w:val="22"/>
                <w:szCs w:val="22"/>
                <w:shd w:val="clear" w:fill="FFFF00"/>
              </w:rPr>
            </w:pPr>
            <w:r>
              <w:rPr>
                <w:rStyle w:val="50"/>
                <w:rFonts w:hint="eastAsia" w:ascii="仿宋" w:hAnsi="仿宋" w:eastAsia="仿宋" w:cs="仿宋"/>
                <w:b/>
                <w:bCs w:val="0"/>
                <w:sz w:val="22"/>
                <w:szCs w:val="22"/>
                <w:shd w:val="clear"/>
              </w:rPr>
              <w:t>5、备件供应：</w:t>
            </w:r>
            <w:r>
              <w:rPr>
                <w:rFonts w:hint="eastAsia" w:ascii="仿宋" w:hAnsi="仿宋" w:eastAsia="仿宋" w:cs="仿宋"/>
                <w:kern w:val="0"/>
                <w:sz w:val="22"/>
                <w:szCs w:val="22"/>
                <w:shd w:val="clear"/>
              </w:rPr>
              <w:t>服务期内设备故障并经排查，明确2小时内无法恢复，应当在4小时内提供相同类型和性能的可用机器恢复业务工作，直至故障排除</w:t>
            </w:r>
            <w:r>
              <w:rPr>
                <w:rFonts w:hint="eastAsia" w:ascii="仿宋" w:hAnsi="仿宋" w:eastAsia="仿宋" w:cs="仿宋"/>
                <w:kern w:val="0"/>
                <w:sz w:val="22"/>
                <w:szCs w:val="22"/>
                <w:shd w:val="clear"/>
                <w:lang w:eastAsia="zh-CN"/>
              </w:rPr>
              <w:t>；</w:t>
            </w:r>
          </w:p>
          <w:p w14:paraId="5CEE76C5">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6、定期巡检：</w:t>
            </w:r>
            <w:r>
              <w:rPr>
                <w:rFonts w:hint="eastAsia" w:ascii="仿宋" w:hAnsi="仿宋" w:eastAsia="仿宋" w:cs="仿宋"/>
                <w:kern w:val="0"/>
                <w:sz w:val="22"/>
                <w:szCs w:val="22"/>
              </w:rPr>
              <w:t>服务期内每月提供至少1次软硬件服务期巡检报告；</w:t>
            </w:r>
          </w:p>
          <w:p w14:paraId="6A44B022">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7、培训服务：</w:t>
            </w:r>
            <w:r>
              <w:rPr>
                <w:rFonts w:hint="eastAsia" w:ascii="仿宋" w:hAnsi="仿宋" w:eastAsia="仿宋" w:cs="仿宋"/>
                <w:kern w:val="0"/>
                <w:sz w:val="22"/>
                <w:szCs w:val="22"/>
              </w:rPr>
              <w:t>每年提供≥2次培训服务，并提交培训方案和签到表；</w:t>
            </w:r>
          </w:p>
          <w:p w14:paraId="0958886B">
            <w:pPr>
              <w:pStyle w:val="49"/>
              <w:keepNext w:val="0"/>
              <w:keepLines w:val="0"/>
              <w:widowControl/>
              <w:suppressLineNumbers w:val="0"/>
              <w:spacing w:beforeAutospacing="0" w:afterAutospacing="0"/>
              <w:rPr>
                <w:rFonts w:hint="eastAsia" w:ascii="仿宋" w:hAnsi="仿宋" w:eastAsia="仿宋" w:cs="仿宋"/>
                <w:kern w:val="0"/>
                <w:sz w:val="22"/>
                <w:szCs w:val="22"/>
              </w:rPr>
            </w:pPr>
            <w:r>
              <w:rPr>
                <w:rStyle w:val="50"/>
                <w:rFonts w:hint="eastAsia" w:ascii="仿宋" w:hAnsi="仿宋" w:eastAsia="仿宋" w:cs="仿宋"/>
                <w:b/>
                <w:bCs w:val="0"/>
                <w:sz w:val="22"/>
                <w:szCs w:val="22"/>
              </w:rPr>
              <w:t>8、文档服务：</w:t>
            </w:r>
            <w:r>
              <w:rPr>
                <w:rFonts w:hint="eastAsia" w:ascii="仿宋" w:hAnsi="仿宋" w:eastAsia="仿宋" w:cs="仿宋"/>
                <w:kern w:val="0"/>
                <w:sz w:val="22"/>
                <w:szCs w:val="22"/>
              </w:rPr>
              <w:t>无</w:t>
            </w:r>
          </w:p>
          <w:p w14:paraId="79458623">
            <w:pPr>
              <w:pStyle w:val="49"/>
              <w:keepNext w:val="0"/>
              <w:keepLines w:val="0"/>
              <w:widowControl/>
              <w:suppressLineNumbers w:val="0"/>
              <w:spacing w:beforeAutospacing="0" w:afterAutospacing="0"/>
              <w:rPr>
                <w:rFonts w:hint="eastAsia" w:ascii="仿宋" w:hAnsi="仿宋" w:eastAsia="仿宋" w:cs="仿宋"/>
                <w:kern w:val="0"/>
                <w:sz w:val="22"/>
                <w:szCs w:val="22"/>
              </w:rPr>
            </w:pPr>
            <w:r>
              <w:rPr>
                <w:rFonts w:hint="eastAsia" w:ascii="仿宋" w:hAnsi="仿宋" w:eastAsia="仿宋" w:cs="仿宋"/>
                <w:b/>
                <w:bCs/>
                <w:kern w:val="0"/>
                <w:sz w:val="22"/>
                <w:szCs w:val="22"/>
              </w:rPr>
              <w:t>9、</w:t>
            </w:r>
            <w:r>
              <w:rPr>
                <w:rStyle w:val="50"/>
                <w:rFonts w:hint="eastAsia" w:ascii="仿宋" w:hAnsi="仿宋" w:eastAsia="仿宋" w:cs="仿宋"/>
                <w:b/>
                <w:bCs w:val="0"/>
                <w:sz w:val="22"/>
                <w:szCs w:val="22"/>
              </w:rPr>
              <w:t>人员服务：</w:t>
            </w:r>
            <w:r>
              <w:rPr>
                <w:rFonts w:hint="eastAsia" w:ascii="仿宋" w:hAnsi="仿宋" w:eastAsia="仿宋" w:cs="仿宋"/>
                <w:kern w:val="0"/>
                <w:sz w:val="22"/>
                <w:szCs w:val="22"/>
              </w:rPr>
              <w:t>无</w:t>
            </w:r>
          </w:p>
          <w:p w14:paraId="17B8EAA9">
            <w:pPr>
              <w:pStyle w:val="49"/>
              <w:keepNext w:val="0"/>
              <w:keepLines w:val="0"/>
              <w:widowControl/>
              <w:suppressLineNumbers w:val="0"/>
              <w:autoSpaceDE w:val="0"/>
              <w:autoSpaceDN/>
              <w:spacing w:beforeAutospacing="0" w:afterAutospacing="0"/>
              <w:ind w:left="0" w:firstLine="0"/>
              <w:rPr>
                <w:rFonts w:hint="eastAsia" w:ascii="仿宋" w:hAnsi="仿宋" w:eastAsia="仿宋" w:cs="仿宋"/>
                <w:kern w:val="0"/>
                <w:sz w:val="22"/>
                <w:szCs w:val="22"/>
              </w:rPr>
            </w:pPr>
            <w:r>
              <w:rPr>
                <w:rFonts w:hint="eastAsia" w:ascii="仿宋" w:hAnsi="仿宋" w:eastAsia="仿宋" w:cs="仿宋"/>
                <w:b/>
                <w:bCs/>
                <w:kern w:val="0"/>
                <w:sz w:val="22"/>
                <w:szCs w:val="22"/>
              </w:rPr>
              <w:t>10、</w:t>
            </w:r>
            <w:r>
              <w:rPr>
                <w:rStyle w:val="50"/>
                <w:rFonts w:hint="eastAsia" w:ascii="仿宋" w:hAnsi="仿宋" w:eastAsia="仿宋" w:cs="仿宋"/>
                <w:b/>
                <w:bCs w:val="0"/>
                <w:sz w:val="22"/>
                <w:szCs w:val="22"/>
              </w:rPr>
              <w:t>其他：</w:t>
            </w:r>
          </w:p>
          <w:p w14:paraId="4352A56D">
            <w:pPr>
              <w:pStyle w:val="49"/>
              <w:keepNext w:val="0"/>
              <w:keepLines w:val="0"/>
              <w:widowControl/>
              <w:suppressLineNumbers w:val="0"/>
              <w:spacing w:beforeAutospacing="0" w:afterAutospacing="0"/>
              <w:rPr>
                <w:rFonts w:hint="eastAsia" w:ascii="仿宋" w:hAnsi="仿宋" w:eastAsia="仿宋" w:cs="仿宋"/>
                <w:kern w:val="0"/>
                <w:sz w:val="22"/>
                <w:szCs w:val="22"/>
              </w:rPr>
            </w:pPr>
            <w:r>
              <w:rPr>
                <w:rFonts w:hint="eastAsia" w:ascii="仿宋" w:hAnsi="仿宋" w:eastAsia="仿宋" w:cs="仿宋"/>
                <w:kern w:val="0"/>
                <w:sz w:val="22"/>
                <w:szCs w:val="22"/>
              </w:rPr>
              <w:t>1）</w:t>
            </w:r>
            <w:r>
              <w:rPr>
                <w:rFonts w:hint="eastAsia" w:ascii="仿宋" w:hAnsi="仿宋" w:eastAsia="仿宋" w:cs="仿宋"/>
                <w:kern w:val="0"/>
                <w:sz w:val="22"/>
                <w:szCs w:val="22"/>
                <w:lang w:eastAsia="zh-CN"/>
              </w:rPr>
              <w:t>成交</w:t>
            </w:r>
            <w:r>
              <w:rPr>
                <w:rFonts w:hint="eastAsia" w:ascii="仿宋" w:hAnsi="仿宋" w:eastAsia="仿宋" w:cs="仿宋"/>
                <w:kern w:val="0"/>
                <w:sz w:val="22"/>
                <w:szCs w:val="22"/>
              </w:rPr>
              <w:t>供应商应当与本项目相关的第三方保持有痕的沟通，明确项目的具体要求和功能等方面的细节。采购人负责组织、监督和验收，以确保项目的顺利完成。</w:t>
            </w:r>
          </w:p>
          <w:p w14:paraId="0DC7B6E6">
            <w:pPr>
              <w:pStyle w:val="49"/>
              <w:keepNext w:val="0"/>
              <w:keepLines w:val="0"/>
              <w:widowControl/>
              <w:suppressLineNumbers w:val="0"/>
              <w:spacing w:beforeAutospacing="0" w:afterAutospacing="0"/>
              <w:rPr>
                <w:rFonts w:hint="default" w:ascii="仿宋" w:hAnsi="仿宋" w:eastAsia="仿宋" w:cs="仿宋"/>
                <w:kern w:val="0"/>
                <w:sz w:val="22"/>
                <w:szCs w:val="22"/>
                <w:lang w:val="en-US" w:eastAsia="zh-CN"/>
              </w:rPr>
            </w:pPr>
            <w:r>
              <w:rPr>
                <w:rFonts w:hint="eastAsia" w:ascii="仿宋" w:hAnsi="仿宋" w:eastAsia="仿宋" w:cs="仿宋"/>
                <w:kern w:val="0"/>
                <w:sz w:val="22"/>
                <w:szCs w:val="22"/>
              </w:rPr>
              <w:t>2）如涉及因本项目开发的系统原因造成采购人的经济损失，由</w:t>
            </w:r>
            <w:r>
              <w:rPr>
                <w:rFonts w:hint="eastAsia" w:ascii="仿宋" w:hAnsi="仿宋" w:eastAsia="仿宋" w:cs="仿宋"/>
                <w:kern w:val="0"/>
                <w:sz w:val="22"/>
                <w:szCs w:val="22"/>
                <w:lang w:eastAsia="zh-CN"/>
              </w:rPr>
              <w:t>成交</w:t>
            </w:r>
            <w:r>
              <w:rPr>
                <w:rFonts w:hint="eastAsia" w:ascii="仿宋" w:hAnsi="仿宋" w:eastAsia="仿宋" w:cs="仿宋"/>
                <w:kern w:val="0"/>
                <w:sz w:val="22"/>
                <w:szCs w:val="22"/>
              </w:rPr>
              <w:t>供应商负责向采购人进行赔偿。</w:t>
            </w:r>
          </w:p>
        </w:tc>
        <w:tc>
          <w:tcPr>
            <w:tcW w:w="1576" w:type="dxa"/>
            <w:vMerge w:val="restart"/>
            <w:shd w:val="clear" w:color="auto" w:fill="auto"/>
            <w:tcMar>
              <w:top w:w="0" w:type="dxa"/>
              <w:left w:w="105" w:type="dxa"/>
              <w:bottom w:w="0" w:type="dxa"/>
              <w:right w:w="105" w:type="dxa"/>
            </w:tcMar>
            <w:vAlign w:val="center"/>
          </w:tcPr>
          <w:p w14:paraId="5D46AA62">
            <w:pPr>
              <w:pStyle w:val="49"/>
              <w:keepNext w:val="0"/>
              <w:keepLines w:val="0"/>
              <w:widowControl/>
              <w:suppressLineNumbers w:val="0"/>
              <w:autoSpaceDE w:val="0"/>
              <w:autoSpaceDN/>
              <w:spacing w:beforeAutospacing="0" w:afterAutospacing="0" w:line="240" w:lineRule="auto"/>
              <w:jc w:val="center"/>
              <w:rPr>
                <w:rFonts w:hint="eastAsia" w:ascii="仿宋" w:hAnsi="仿宋" w:eastAsia="仿宋" w:cs="仿宋"/>
                <w:kern w:val="0"/>
                <w:sz w:val="22"/>
                <w:szCs w:val="22"/>
              </w:rPr>
            </w:pPr>
          </w:p>
          <w:p w14:paraId="691ADE25">
            <w:pPr>
              <w:pStyle w:val="49"/>
              <w:keepNext w:val="0"/>
              <w:keepLines w:val="0"/>
              <w:widowControl/>
              <w:suppressLineNumbers w:val="0"/>
              <w:autoSpaceDE w:val="0"/>
              <w:autoSpaceDN/>
              <w:spacing w:beforeAutospacing="0" w:afterAutospacing="0" w:line="240" w:lineRule="auto"/>
              <w:rPr>
                <w:rFonts w:hint="eastAsia" w:ascii="仿宋" w:hAnsi="仿宋" w:eastAsia="仿宋" w:cs="仿宋"/>
                <w:kern w:val="0"/>
                <w:sz w:val="22"/>
                <w:szCs w:val="22"/>
                <w:lang w:eastAsia="zh-CN"/>
              </w:rPr>
            </w:pPr>
            <w:r>
              <w:rPr>
                <w:rFonts w:hint="eastAsia" w:ascii="仿宋" w:hAnsi="仿宋" w:eastAsia="仿宋" w:cs="仿宋"/>
                <w:kern w:val="0"/>
                <w:sz w:val="22"/>
                <w:szCs w:val="22"/>
              </w:rPr>
              <w:t>2026年10月19日至2027年10月18日</w:t>
            </w:r>
            <w:r>
              <w:rPr>
                <w:rFonts w:hint="eastAsia" w:ascii="仿宋" w:hAnsi="仿宋" w:eastAsia="仿宋" w:cs="仿宋"/>
                <w:kern w:val="0"/>
                <w:sz w:val="22"/>
                <w:szCs w:val="22"/>
                <w:lang w:eastAsia="zh-CN"/>
              </w:rPr>
              <w:t>，若合同签订生效之日晚于2026年10月19日，则以合同签订之日作为服务期起始时间</w:t>
            </w:r>
          </w:p>
        </w:tc>
      </w:tr>
      <w:tr w14:paraId="6228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5" w:type="dxa"/>
            <w:shd w:val="clear" w:color="auto" w:fill="auto"/>
            <w:tcMar>
              <w:top w:w="0" w:type="dxa"/>
              <w:left w:w="105" w:type="dxa"/>
              <w:bottom w:w="0" w:type="dxa"/>
              <w:right w:w="105" w:type="dxa"/>
            </w:tcMar>
            <w:vAlign w:val="center"/>
          </w:tcPr>
          <w:p w14:paraId="7FA43669">
            <w:pPr>
              <w:pStyle w:val="49"/>
              <w:keepNext w:val="0"/>
              <w:keepLines w:val="0"/>
              <w:widowControl/>
              <w:suppressLineNumbers w:val="0"/>
              <w:autoSpaceDE w:val="0"/>
              <w:autoSpaceDN/>
              <w:spacing w:beforeAutospacing="0" w:afterAutospacing="0" w:line="240" w:lineRule="auto"/>
              <w:jc w:val="center"/>
              <w:rPr>
                <w:rFonts w:hint="eastAsia" w:ascii="仿宋" w:hAnsi="仿宋" w:eastAsia="仿宋" w:cs="仿宋"/>
                <w:kern w:val="0"/>
                <w:sz w:val="22"/>
                <w:szCs w:val="22"/>
              </w:rPr>
            </w:pPr>
            <w:r>
              <w:rPr>
                <w:rStyle w:val="50"/>
                <w:rFonts w:hint="eastAsia" w:ascii="仿宋" w:hAnsi="仿宋" w:eastAsia="仿宋" w:cs="仿宋"/>
                <w:b/>
                <w:bCs w:val="0"/>
                <w:sz w:val="22"/>
                <w:szCs w:val="22"/>
              </w:rPr>
              <w:t>2</w:t>
            </w:r>
          </w:p>
        </w:tc>
        <w:tc>
          <w:tcPr>
            <w:tcW w:w="1668" w:type="dxa"/>
            <w:shd w:val="clear" w:color="auto" w:fill="auto"/>
            <w:tcMar>
              <w:top w:w="0" w:type="dxa"/>
              <w:left w:w="105" w:type="dxa"/>
              <w:bottom w:w="0" w:type="dxa"/>
              <w:right w:w="105" w:type="dxa"/>
            </w:tcMar>
            <w:vAlign w:val="center"/>
          </w:tcPr>
          <w:p w14:paraId="25911595">
            <w:pPr>
              <w:pStyle w:val="49"/>
              <w:keepNext w:val="0"/>
              <w:keepLines w:val="0"/>
              <w:widowControl/>
              <w:suppressLineNumbers w:val="0"/>
              <w:autoSpaceDE w:val="0"/>
              <w:autoSpaceDN/>
              <w:spacing w:beforeAutospacing="0" w:afterAutospacing="0" w:line="240" w:lineRule="auto"/>
              <w:jc w:val="center"/>
              <w:rPr>
                <w:rFonts w:hint="eastAsia" w:ascii="仿宋" w:hAnsi="仿宋" w:eastAsia="仿宋" w:cs="仿宋"/>
                <w:kern w:val="0"/>
                <w:sz w:val="22"/>
                <w:szCs w:val="22"/>
              </w:rPr>
            </w:pPr>
            <w:r>
              <w:rPr>
                <w:rStyle w:val="50"/>
                <w:rFonts w:hint="eastAsia" w:ascii="仿宋" w:hAnsi="仿宋" w:eastAsia="仿宋" w:cs="仿宋"/>
                <w:b/>
                <w:bCs w:val="0"/>
                <w:sz w:val="22"/>
                <w:szCs w:val="22"/>
              </w:rPr>
              <w:t>质保服务</w:t>
            </w:r>
          </w:p>
        </w:tc>
        <w:tc>
          <w:tcPr>
            <w:tcW w:w="5619" w:type="dxa"/>
            <w:shd w:val="clear" w:color="auto" w:fill="auto"/>
            <w:tcMar>
              <w:top w:w="0" w:type="dxa"/>
              <w:left w:w="105" w:type="dxa"/>
              <w:bottom w:w="0" w:type="dxa"/>
              <w:right w:w="105" w:type="dxa"/>
            </w:tcMar>
            <w:vAlign w:val="center"/>
          </w:tcPr>
          <w:p w14:paraId="2D35ECB4">
            <w:pPr>
              <w:pStyle w:val="49"/>
              <w:keepNext w:val="0"/>
              <w:keepLines w:val="0"/>
              <w:widowControl/>
              <w:suppressLineNumbers w:val="0"/>
              <w:autoSpaceDE w:val="0"/>
              <w:autoSpaceDN/>
              <w:spacing w:beforeAutospacing="0" w:afterAutospacing="0"/>
              <w:jc w:val="both"/>
              <w:rPr>
                <w:rFonts w:hint="eastAsia" w:ascii="仿宋" w:hAnsi="仿宋" w:eastAsia="仿宋" w:cs="仿宋"/>
                <w:kern w:val="0"/>
                <w:sz w:val="22"/>
                <w:szCs w:val="22"/>
              </w:rPr>
            </w:pPr>
            <w:r>
              <w:rPr>
                <w:rFonts w:hint="eastAsia" w:ascii="仿宋" w:hAnsi="仿宋" w:eastAsia="仿宋" w:cs="仿宋"/>
                <w:kern w:val="0"/>
                <w:sz w:val="22"/>
                <w:szCs w:val="22"/>
              </w:rPr>
              <w:t>保证数据专线正常运行，提供7*24小时原厂质保服务。</w:t>
            </w:r>
          </w:p>
        </w:tc>
        <w:tc>
          <w:tcPr>
            <w:tcW w:w="1576" w:type="dxa"/>
            <w:vMerge w:val="continue"/>
            <w:shd w:val="clear" w:color="auto" w:fill="auto"/>
            <w:tcMar>
              <w:top w:w="0" w:type="dxa"/>
              <w:left w:w="105" w:type="dxa"/>
              <w:bottom w:w="0" w:type="dxa"/>
              <w:right w:w="105" w:type="dxa"/>
            </w:tcMar>
            <w:vAlign w:val="top"/>
          </w:tcPr>
          <w:p w14:paraId="57E8A77B">
            <w:pPr>
              <w:pStyle w:val="49"/>
              <w:keepNext w:val="0"/>
              <w:keepLines w:val="0"/>
              <w:widowControl/>
              <w:suppressLineNumbers w:val="0"/>
              <w:autoSpaceDE w:val="0"/>
              <w:autoSpaceDN/>
              <w:spacing w:beforeAutospacing="0" w:afterAutospacing="0" w:line="240" w:lineRule="auto"/>
              <w:rPr>
                <w:rFonts w:hint="eastAsia" w:ascii="仿宋" w:hAnsi="仿宋" w:eastAsia="仿宋" w:cs="仿宋"/>
                <w:kern w:val="0"/>
                <w:sz w:val="22"/>
                <w:szCs w:val="22"/>
              </w:rPr>
            </w:pPr>
          </w:p>
        </w:tc>
      </w:tr>
    </w:tbl>
    <w:p w14:paraId="53771E6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p>
    <w:p w14:paraId="0684C1DE">
      <w:pPr>
        <w:pStyle w:val="5"/>
        <w:spacing w:line="360" w:lineRule="auto"/>
        <w:rPr>
          <w:rFonts w:hint="eastAsia" w:ascii="仿宋" w:hAnsi="仿宋" w:eastAsia="仿宋" w:cs="仿宋"/>
          <w:color w:val="auto"/>
          <w:sz w:val="22"/>
          <w:szCs w:val="22"/>
        </w:rPr>
      </w:pPr>
      <w:r>
        <w:rPr>
          <w:rFonts w:hint="eastAsia" w:ascii="仿宋" w:hAnsi="仿宋" w:eastAsia="仿宋" w:cs="仿宋"/>
          <w:kern w:val="2"/>
          <w:sz w:val="22"/>
          <w:szCs w:val="22"/>
        </w:rPr>
        <w:br w:type="page"/>
      </w:r>
    </w:p>
    <w:p w14:paraId="2E0E11AE">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商务要求：</w:t>
      </w:r>
    </w:p>
    <w:p w14:paraId="79EF52C3">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color w:val="auto"/>
          <w:sz w:val="22"/>
          <w:szCs w:val="22"/>
          <w:lang w:val="en-US" w:eastAsia="zh-CN"/>
        </w:rPr>
        <w:t>1.</w:t>
      </w:r>
      <w:r>
        <w:rPr>
          <w:rFonts w:hint="eastAsia" w:ascii="仿宋" w:hAnsi="仿宋" w:eastAsia="仿宋" w:cs="仿宋"/>
          <w:b w:val="0"/>
          <w:sz w:val="22"/>
          <w:szCs w:val="22"/>
          <w:vertAlign w:val="baseline"/>
          <w:lang w:val="en-US" w:eastAsia="zh-CN"/>
        </w:rPr>
        <w:t>服务地点：本项目涉及的四川省人民医院所有院区。</w:t>
      </w:r>
    </w:p>
    <w:p w14:paraId="2D7A79F2">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2.付款条件：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522C44">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3.履约验收方案</w:t>
      </w:r>
    </w:p>
    <w:p w14:paraId="1323BC1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(1)验收主体:采购人</w:t>
      </w:r>
    </w:p>
    <w:p w14:paraId="7C9F995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(2)验收组织方式:自行验收</w:t>
      </w:r>
    </w:p>
    <w:p w14:paraId="267DF45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(3)验收程序:一次性验收</w:t>
      </w:r>
    </w:p>
    <w:p w14:paraId="6204470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(4)验收方式:现场整体验收</w:t>
      </w:r>
    </w:p>
    <w:p w14:paraId="61A3F9E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(5)履约验收内容:按照基于本项目采购需求编制的采购文件要求及供应商响应文件情况，由供应商向采购人提供的全部服务。</w:t>
      </w:r>
    </w:p>
    <w:p w14:paraId="293F1AD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(6)履约验收时间:服务期满且供应商完成所有服务内容后5日内通知采购人验收，采购人接供应商通知后10日内组织验收。</w:t>
      </w:r>
    </w:p>
    <w:p w14:paraId="1FF9912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(7)是否邀请本项目的其他供应商:否</w:t>
      </w:r>
    </w:p>
    <w:p w14:paraId="2207BF9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(8)是否邀请专家：否</w:t>
      </w:r>
    </w:p>
    <w:p w14:paraId="5A99BFF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(9)是否邀请服务对象：否</w:t>
      </w:r>
    </w:p>
    <w:p w14:paraId="4065127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(10)是否邀请第三方检测机构：否</w:t>
      </w:r>
    </w:p>
    <w:p w14:paraId="197FF0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(11)验收标准</w:t>
      </w:r>
    </w:p>
    <w:p w14:paraId="364DD7B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1)国家相关法律法规、行业标准、技术规范。</w:t>
      </w:r>
    </w:p>
    <w:p w14:paraId="7CAE970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2)基于本项目采购需求编制的采购文件相关技术、服务要求、供应商响应文件相关响应内容。</w:t>
      </w:r>
    </w:p>
    <w:p w14:paraId="7A9B3FB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3)产品生产厂家出具的产品说明书、技术白皮书、医疗器械注册证或备案凭证等官方技术资料（如涉及）。</w:t>
      </w:r>
    </w:p>
    <w:p w14:paraId="1060F27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4)如验收时，采购人与供应商认为本项目验收标准中的技术指标、质量要求等内容存在相互抵触或对其理解存在异议，应按照其中更严格的要求、标准等进行验收。</w:t>
      </w:r>
    </w:p>
    <w:p w14:paraId="3400256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5)参照《财政部关于进一步加强政府采购需求和履约验收管理的指导意见》（财库〔2016〕205号）的要求进行验收。</w:t>
      </w:r>
    </w:p>
    <w:p w14:paraId="39D65A6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6)如本项目验收方式为考核验收，则考核结果须为合格。</w:t>
      </w:r>
    </w:p>
    <w:p w14:paraId="212FB2A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7）其它标准：无。</w:t>
      </w:r>
    </w:p>
    <w:p w14:paraId="0173901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r>
        <w:rPr>
          <w:rFonts w:hint="eastAsia" w:ascii="仿宋" w:hAnsi="仿宋" w:eastAsia="仿宋" w:cs="仿宋"/>
          <w:sz w:val="22"/>
          <w:szCs w:val="22"/>
          <w:lang w:val="en-US" w:eastAsia="zh-CN"/>
        </w:rPr>
        <w:t>（12）履约验收其它事项：无。</w:t>
      </w:r>
    </w:p>
    <w:p w14:paraId="7BDDE2EB">
      <w:pPr>
        <w:rPr>
          <w:rFonts w:hint="eastAsia" w:ascii="仿宋" w:hAnsi="仿宋" w:eastAsia="仿宋" w:cs="仿宋"/>
          <w:b/>
          <w:bCs/>
          <w:color w:val="auto"/>
          <w:szCs w:val="36"/>
          <w:lang w:val="zh-TW"/>
        </w:rPr>
      </w:pPr>
      <w:r>
        <w:rPr>
          <w:rFonts w:hint="eastAsia" w:ascii="仿宋" w:hAnsi="仿宋" w:eastAsia="仿宋" w:cs="仿宋"/>
          <w:color w:val="auto"/>
          <w:lang w:val="zh-TW"/>
        </w:rPr>
        <w:br w:type="page"/>
      </w:r>
    </w:p>
    <w:p w14:paraId="676F9ACB">
      <w:pPr>
        <w:pStyle w:val="2"/>
        <w:rPr>
          <w:rFonts w:cs="Times New Roman" w:asciiTheme="majorEastAsia" w:hAnsiTheme="majorEastAsia" w:eastAsiaTheme="majorEastAsia"/>
          <w:szCs w:val="36"/>
          <w:lang w:val="zh-TW"/>
        </w:rPr>
      </w:pPr>
      <w:bookmarkStart w:id="8" w:name="_Toc15867"/>
      <w:bookmarkStart w:id="9" w:name="第四章"/>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3F9247B2">
      <w:pPr>
        <w:pStyle w:val="5"/>
        <w:numPr>
          <w:ilvl w:val="0"/>
          <w:numId w:val="14"/>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9D54B5B">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36B8DE24">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6D2EDD1F">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461C3C2">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759FB719">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3B11485E">
      <w:pPr>
        <w:pStyle w:val="5"/>
        <w:jc w:val="left"/>
        <w:rPr>
          <w:rFonts w:hint="default" w:ascii="Times New Roman" w:hAnsi="Times New Roman" w:eastAsia="宋体" w:cs="Times New Roman"/>
          <w:color w:val="auto"/>
          <w:sz w:val="24"/>
          <w:szCs w:val="24"/>
        </w:rPr>
      </w:pPr>
    </w:p>
    <w:p w14:paraId="2112230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FD5A392">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51F0F972">
      <w:pPr>
        <w:pStyle w:val="5"/>
        <w:jc w:val="center"/>
        <w:rPr>
          <w:rFonts w:hint="default" w:ascii="Times New Roman" w:hAnsi="Times New Roman" w:eastAsia="宋体" w:cs="Times New Roman"/>
          <w:b/>
          <w:bCs/>
          <w:color w:val="auto"/>
          <w:sz w:val="24"/>
          <w:szCs w:val="24"/>
          <w:lang w:val="zh-TW"/>
        </w:rPr>
      </w:pPr>
    </w:p>
    <w:p w14:paraId="249E695A">
      <w:pPr>
        <w:jc w:val="left"/>
        <w:rPr>
          <w:rFonts w:hint="default" w:ascii="Times New Roman" w:hAnsi="Times New Roman" w:eastAsia="宋体" w:cs="Times New Roman"/>
          <w:color w:val="auto"/>
          <w:sz w:val="24"/>
          <w:szCs w:val="24"/>
        </w:rPr>
      </w:pPr>
      <w:bookmarkStart w:id="10" w:name="_Toc9428"/>
      <w:bookmarkStart w:id="11" w:name="_Toc30609"/>
      <w:bookmarkStart w:id="12" w:name="_Toc19851"/>
    </w:p>
    <w:p w14:paraId="6C3C5A7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62686179">
      <w:pPr>
        <w:jc w:val="left"/>
        <w:rPr>
          <w:rFonts w:hint="default" w:ascii="Times New Roman" w:hAnsi="Times New Roman" w:eastAsia="宋体" w:cs="Times New Roman"/>
          <w:b/>
          <w:bCs/>
          <w:color w:val="auto"/>
          <w:sz w:val="28"/>
          <w:szCs w:val="28"/>
        </w:rPr>
      </w:pPr>
      <w:bookmarkStart w:id="13" w:name="_Toc1544"/>
      <w:bookmarkStart w:id="14" w:name="_Toc9041"/>
      <w:bookmarkStart w:id="15" w:name="_Toc32352"/>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597046BB">
      <w:pPr>
        <w:rPr>
          <w:rFonts w:hint="default" w:ascii="Times New Roman" w:hAnsi="Times New Roman" w:eastAsia="宋体" w:cs="Times New Roman"/>
          <w:color w:val="auto"/>
        </w:rPr>
      </w:pPr>
    </w:p>
    <w:p w14:paraId="435663BA">
      <w:pPr>
        <w:rPr>
          <w:rFonts w:hint="default" w:ascii="Times New Roman" w:hAnsi="Times New Roman" w:eastAsia="宋体" w:cs="Times New Roman"/>
          <w:color w:val="auto"/>
        </w:rPr>
      </w:pPr>
    </w:p>
    <w:p w14:paraId="643CB0B5">
      <w:pPr>
        <w:rPr>
          <w:rFonts w:hint="default" w:ascii="Times New Roman" w:hAnsi="Times New Roman" w:eastAsia="宋体" w:cs="Times New Roman"/>
          <w:color w:val="auto"/>
        </w:rPr>
      </w:pPr>
    </w:p>
    <w:p w14:paraId="0753FD4E">
      <w:pPr>
        <w:jc w:val="left"/>
        <w:rPr>
          <w:rFonts w:hint="default" w:ascii="Times New Roman" w:hAnsi="Times New Roman" w:eastAsia="宋体" w:cs="Times New Roman"/>
          <w:color w:val="auto"/>
          <w:sz w:val="84"/>
          <w:szCs w:val="24"/>
        </w:rPr>
      </w:pPr>
      <w:bookmarkStart w:id="16" w:name="_Toc21472"/>
      <w:bookmarkStart w:id="17" w:name="_Toc24097"/>
    </w:p>
    <w:bookmarkEnd w:id="16"/>
    <w:bookmarkEnd w:id="17"/>
    <w:p w14:paraId="3C293BE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14EAF677">
      <w:pPr>
        <w:rPr>
          <w:rFonts w:hint="default" w:ascii="Times New Roman" w:hAnsi="Times New Roman" w:eastAsia="宋体" w:cs="Times New Roman"/>
          <w:color w:val="auto"/>
        </w:rPr>
      </w:pPr>
    </w:p>
    <w:p w14:paraId="14FDF0E6">
      <w:pPr>
        <w:rPr>
          <w:rFonts w:hint="default" w:ascii="Times New Roman" w:hAnsi="Times New Roman" w:eastAsia="宋体" w:cs="Times New Roman"/>
          <w:color w:val="auto"/>
        </w:rPr>
      </w:pPr>
    </w:p>
    <w:p w14:paraId="6D0F6DD6">
      <w:pPr>
        <w:rPr>
          <w:rFonts w:hint="default" w:ascii="Times New Roman" w:hAnsi="Times New Roman" w:eastAsia="宋体" w:cs="Times New Roman"/>
          <w:color w:val="auto"/>
        </w:rPr>
      </w:pPr>
    </w:p>
    <w:p w14:paraId="03F5931F">
      <w:pPr>
        <w:rPr>
          <w:rFonts w:hint="default" w:ascii="Times New Roman" w:hAnsi="Times New Roman" w:eastAsia="宋体" w:cs="Times New Roman"/>
          <w:color w:val="auto"/>
        </w:rPr>
      </w:pPr>
    </w:p>
    <w:p w14:paraId="7F19C0C8">
      <w:pPr>
        <w:rPr>
          <w:rFonts w:hint="default" w:ascii="Times New Roman" w:hAnsi="Times New Roman" w:eastAsia="宋体" w:cs="Times New Roman"/>
          <w:color w:val="auto"/>
        </w:rPr>
      </w:pPr>
    </w:p>
    <w:p w14:paraId="1A05C586">
      <w:pPr>
        <w:jc w:val="left"/>
        <w:rPr>
          <w:rFonts w:hint="default" w:ascii="Times New Roman" w:hAnsi="Times New Roman" w:eastAsia="宋体" w:cs="Times New Roman"/>
          <w:color w:val="auto"/>
          <w:sz w:val="28"/>
          <w:szCs w:val="24"/>
        </w:rPr>
      </w:pPr>
      <w:bookmarkStart w:id="18" w:name="_Toc24859"/>
      <w:bookmarkStart w:id="19" w:name="_Toc32749"/>
      <w:bookmarkStart w:id="20" w:name="_Toc17163"/>
      <w:bookmarkStart w:id="21" w:name="_Toc1690"/>
    </w:p>
    <w:p w14:paraId="6A776BBC">
      <w:pPr>
        <w:jc w:val="left"/>
        <w:rPr>
          <w:rFonts w:hint="default" w:ascii="Times New Roman" w:hAnsi="Times New Roman" w:eastAsia="宋体" w:cs="Times New Roman"/>
          <w:color w:val="auto"/>
          <w:sz w:val="28"/>
          <w:szCs w:val="24"/>
        </w:rPr>
      </w:pPr>
    </w:p>
    <w:p w14:paraId="026D0522">
      <w:pPr>
        <w:jc w:val="left"/>
        <w:rPr>
          <w:rFonts w:hint="default" w:ascii="Times New Roman" w:hAnsi="Times New Roman" w:eastAsia="宋体" w:cs="Times New Roman"/>
          <w:color w:val="auto"/>
          <w:sz w:val="28"/>
          <w:szCs w:val="24"/>
        </w:rPr>
      </w:pPr>
    </w:p>
    <w:p w14:paraId="2B6AAA2B">
      <w:pPr>
        <w:jc w:val="left"/>
        <w:rPr>
          <w:rFonts w:hint="default" w:ascii="Times New Roman" w:hAnsi="Times New Roman" w:eastAsia="宋体" w:cs="Times New Roman"/>
          <w:color w:val="auto"/>
          <w:sz w:val="28"/>
          <w:szCs w:val="24"/>
        </w:rPr>
      </w:pPr>
    </w:p>
    <w:p w14:paraId="360EEBAC">
      <w:pPr>
        <w:jc w:val="left"/>
        <w:rPr>
          <w:rFonts w:hint="default" w:ascii="Times New Roman" w:hAnsi="Times New Roman" w:eastAsia="宋体" w:cs="Times New Roman"/>
          <w:color w:val="auto"/>
          <w:sz w:val="28"/>
          <w:szCs w:val="24"/>
        </w:rPr>
      </w:pPr>
    </w:p>
    <w:p w14:paraId="7573EADD">
      <w:pPr>
        <w:jc w:val="left"/>
        <w:rPr>
          <w:rFonts w:hint="default" w:ascii="Times New Roman" w:hAnsi="Times New Roman" w:eastAsia="宋体" w:cs="Times New Roman"/>
          <w:color w:val="auto"/>
          <w:sz w:val="28"/>
          <w:szCs w:val="24"/>
        </w:rPr>
      </w:pPr>
    </w:p>
    <w:p w14:paraId="7B062820">
      <w:pPr>
        <w:jc w:val="left"/>
        <w:rPr>
          <w:rFonts w:hint="default" w:ascii="Times New Roman" w:hAnsi="Times New Roman" w:eastAsia="宋体" w:cs="Times New Roman"/>
          <w:color w:val="auto"/>
          <w:sz w:val="28"/>
          <w:szCs w:val="24"/>
        </w:rPr>
      </w:pPr>
    </w:p>
    <w:p w14:paraId="363E5FF7">
      <w:pPr>
        <w:jc w:val="left"/>
        <w:rPr>
          <w:rFonts w:hint="default" w:ascii="Times New Roman" w:hAnsi="Times New Roman" w:eastAsia="宋体" w:cs="Times New Roman"/>
          <w:color w:val="auto"/>
          <w:sz w:val="28"/>
          <w:szCs w:val="24"/>
        </w:rPr>
      </w:pPr>
    </w:p>
    <w:p w14:paraId="11F468D1">
      <w:pPr>
        <w:jc w:val="left"/>
        <w:rPr>
          <w:rFonts w:hint="default" w:ascii="Times New Roman" w:hAnsi="Times New Roman" w:eastAsia="宋体" w:cs="Times New Roman"/>
          <w:color w:val="auto"/>
          <w:sz w:val="28"/>
          <w:szCs w:val="24"/>
        </w:rPr>
      </w:pPr>
    </w:p>
    <w:p w14:paraId="6865C47C">
      <w:pPr>
        <w:jc w:val="left"/>
        <w:rPr>
          <w:rFonts w:hint="default" w:ascii="Times New Roman" w:hAnsi="Times New Roman" w:eastAsia="宋体" w:cs="Times New Roman"/>
          <w:color w:val="auto"/>
          <w:sz w:val="28"/>
          <w:szCs w:val="24"/>
        </w:rPr>
      </w:pPr>
    </w:p>
    <w:p w14:paraId="232FA97B">
      <w:pPr>
        <w:jc w:val="left"/>
        <w:rPr>
          <w:rFonts w:hint="default" w:ascii="Times New Roman" w:hAnsi="Times New Roman" w:eastAsia="宋体" w:cs="Times New Roman"/>
          <w:color w:val="auto"/>
          <w:sz w:val="28"/>
          <w:szCs w:val="24"/>
        </w:rPr>
      </w:pPr>
    </w:p>
    <w:p w14:paraId="7685A4C1">
      <w:pPr>
        <w:jc w:val="left"/>
        <w:rPr>
          <w:rFonts w:hint="default" w:ascii="Times New Roman" w:hAnsi="Times New Roman" w:eastAsia="宋体" w:cs="Times New Roman"/>
          <w:color w:val="auto"/>
          <w:sz w:val="28"/>
          <w:szCs w:val="24"/>
        </w:rPr>
      </w:pPr>
    </w:p>
    <w:p w14:paraId="000E6E7D">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4B153F4">
      <w:pPr>
        <w:pStyle w:val="5"/>
        <w:rPr>
          <w:rFonts w:hint="default" w:eastAsia="宋体"/>
          <w:color w:val="auto"/>
        </w:rPr>
      </w:pPr>
    </w:p>
    <w:p w14:paraId="61EE875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16CBEC74">
      <w:pPr>
        <w:pStyle w:val="5"/>
        <w:rPr>
          <w:rFonts w:hint="default" w:eastAsia="宋体"/>
          <w:color w:val="auto"/>
        </w:rPr>
      </w:pPr>
    </w:p>
    <w:p w14:paraId="283AE6AC">
      <w:pPr>
        <w:jc w:val="left"/>
        <w:rPr>
          <w:rFonts w:hint="default" w:ascii="Times New Roman" w:hAnsi="Times New Roman" w:eastAsia="宋体" w:cs="Times New Roman"/>
          <w:b/>
          <w:bCs/>
          <w:color w:val="auto"/>
          <w:sz w:val="28"/>
          <w:szCs w:val="24"/>
        </w:rPr>
      </w:pPr>
      <w:bookmarkStart w:id="22" w:name="_Toc27135"/>
      <w:bookmarkStart w:id="23" w:name="_Toc27526"/>
      <w:bookmarkStart w:id="24" w:name="_Toc5996"/>
      <w:bookmarkStart w:id="25" w:name="_Toc2989"/>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76B027BA">
      <w:pPr>
        <w:pStyle w:val="5"/>
        <w:rPr>
          <w:rFonts w:hint="default" w:ascii="Times New Roman" w:hAnsi="Times New Roman" w:eastAsia="宋体" w:cs="Times New Roman"/>
          <w:color w:val="auto"/>
        </w:rPr>
      </w:pPr>
    </w:p>
    <w:p w14:paraId="5EF10334">
      <w:pPr>
        <w:pStyle w:val="5"/>
        <w:rPr>
          <w:rFonts w:hint="default" w:ascii="Times New Roman" w:hAnsi="Times New Roman" w:eastAsia="宋体" w:cs="Times New Roman"/>
          <w:color w:val="auto"/>
        </w:rPr>
      </w:pPr>
    </w:p>
    <w:p w14:paraId="5F14CCA9">
      <w:pPr>
        <w:pStyle w:val="5"/>
        <w:rPr>
          <w:rFonts w:hint="default" w:ascii="Times New Roman" w:hAnsi="Times New Roman" w:eastAsia="宋体" w:cs="Times New Roman"/>
          <w:color w:val="auto"/>
        </w:rPr>
      </w:pPr>
    </w:p>
    <w:p w14:paraId="3BFC6961">
      <w:pPr>
        <w:pStyle w:val="5"/>
        <w:rPr>
          <w:rFonts w:hint="default" w:ascii="Times New Roman" w:hAnsi="Times New Roman" w:eastAsia="宋体" w:cs="Times New Roman"/>
          <w:color w:val="auto"/>
        </w:rPr>
      </w:pPr>
    </w:p>
    <w:p w14:paraId="5D637CFD">
      <w:pPr>
        <w:pStyle w:val="5"/>
        <w:rPr>
          <w:rFonts w:hint="default" w:ascii="Times New Roman" w:hAnsi="Times New Roman" w:eastAsia="宋体" w:cs="Times New Roman"/>
          <w:color w:val="auto"/>
        </w:rPr>
      </w:pPr>
    </w:p>
    <w:p w14:paraId="4CBECC14">
      <w:pPr>
        <w:pStyle w:val="5"/>
        <w:jc w:val="center"/>
        <w:rPr>
          <w:rFonts w:hint="default" w:ascii="Times New Roman" w:hAnsi="Times New Roman" w:eastAsia="宋体" w:cs="Times New Roman"/>
          <w:b/>
          <w:bCs/>
          <w:color w:val="auto"/>
          <w:sz w:val="24"/>
          <w:szCs w:val="24"/>
          <w:lang w:val="zh-TW" w:eastAsia="zh-TW"/>
        </w:rPr>
      </w:pPr>
      <w:bookmarkStart w:id="26" w:name="_Toc2031"/>
      <w:bookmarkStart w:id="27" w:name="_Toc19987"/>
      <w:bookmarkStart w:id="28" w:name="_Toc7233"/>
      <w:bookmarkStart w:id="29" w:name="_Toc5056"/>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1BCC25FC">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01D9F06B">
      <w:pPr>
        <w:pStyle w:val="5"/>
        <w:jc w:val="left"/>
        <w:rPr>
          <w:rFonts w:hint="default" w:ascii="Times New Roman" w:hAnsi="Times New Roman" w:eastAsia="宋体" w:cs="Times New Roman"/>
          <w:b/>
          <w:bCs/>
          <w:color w:val="auto"/>
          <w:lang w:val="zh-TW"/>
        </w:rPr>
      </w:pPr>
    </w:p>
    <w:p w14:paraId="20E8F15F">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14:paraId="23807B58">
      <w:pPr>
        <w:pStyle w:val="5"/>
        <w:rPr>
          <w:rFonts w:hint="default" w:ascii="Times New Roman" w:hAnsi="Times New Roman" w:eastAsia="宋体" w:cs="Times New Roman"/>
          <w:color w:val="auto"/>
        </w:rPr>
      </w:pPr>
    </w:p>
    <w:p w14:paraId="1308A16F">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4D25D73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0755D06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t>
      </w:r>
      <w:r>
        <w:rPr>
          <w:rFonts w:hint="eastAsia" w:ascii="宋体" w:hAnsi="宋体" w:eastAsia="宋体" w:cs="宋体"/>
          <w:color w:val="auto"/>
          <w:lang w:eastAsia="zh-CN"/>
        </w:rPr>
        <w:t>（</w:t>
      </w:r>
      <w:r>
        <w:rPr>
          <w:rFonts w:ascii="宋体" w:hAnsi="宋体" w:eastAsia="宋体" w:cs="宋体"/>
          <w:color w:val="auto"/>
        </w:rPr>
        <w:t>www.creditchina.gov.cn</w:t>
      </w:r>
      <w:r>
        <w:rPr>
          <w:rFonts w:hint="eastAsia" w:ascii="宋体" w:hAnsi="宋体" w:eastAsia="宋体" w:cs="宋体"/>
          <w:color w:val="auto"/>
          <w:lang w:eastAsia="zh-CN"/>
        </w:rPr>
        <w:t>）</w:t>
      </w:r>
      <w:r>
        <w:rPr>
          <w:rFonts w:ascii="宋体" w:hAnsi="宋体" w:eastAsia="宋体" w:cs="宋体"/>
          <w:color w:val="auto"/>
        </w:rPr>
        <w:t>、中国政府采购网</w:t>
      </w:r>
      <w:r>
        <w:rPr>
          <w:rFonts w:hint="eastAsia" w:ascii="宋体" w:hAnsi="宋体" w:eastAsia="宋体" w:cs="宋体"/>
          <w:color w:val="auto"/>
          <w:lang w:eastAsia="zh-CN"/>
        </w:rPr>
        <w:t>（</w:t>
      </w:r>
      <w:r>
        <w:rPr>
          <w:rFonts w:ascii="宋体" w:hAnsi="宋体" w:eastAsia="宋体" w:cs="宋体"/>
          <w:color w:val="auto"/>
        </w:rPr>
        <w:t>www.ccgp.gov.cn</w:t>
      </w:r>
      <w:r>
        <w:rPr>
          <w:rFonts w:hint="eastAsia" w:ascii="宋体" w:hAnsi="宋体" w:eastAsia="宋体" w:cs="宋体"/>
          <w:color w:val="auto"/>
          <w:lang w:eastAsia="zh-CN"/>
        </w:rPr>
        <w:t>）</w:t>
      </w:r>
      <w:r>
        <w:rPr>
          <w:rFonts w:ascii="宋体" w:hAnsi="宋体" w:eastAsia="宋体" w:cs="宋体"/>
          <w:color w:val="auto"/>
        </w:rPr>
        <w:t>渠道信用记录失信被执行人、重大税收违法案件当事人名单、政府采购严重违法失信行为记录名单；未处于政府部门禁止代理政府采购业务处罚期。</w:t>
      </w:r>
    </w:p>
    <w:p w14:paraId="11A76BF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3E83064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4F68BB99">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756370C0">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02E96EC3">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504AEFCD">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rPr>
      </w:pPr>
    </w:p>
    <w:p w14:paraId="1250CBFB">
      <w:pPr>
        <w:adjustRightInd w:val="0"/>
        <w:spacing w:line="360" w:lineRule="auto"/>
        <w:contextualSpacing/>
        <w:jc w:val="right"/>
        <w:rPr>
          <w:rFonts w:hint="default" w:ascii="宋体" w:hAnsi="宋体" w:eastAsia="宋体" w:cs="宋体"/>
          <w:color w:val="auto"/>
        </w:rPr>
      </w:pPr>
    </w:p>
    <w:p w14:paraId="40AE14A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715C2F66">
      <w:pPr>
        <w:pStyle w:val="5"/>
        <w:spacing w:line="360" w:lineRule="auto"/>
        <w:rPr>
          <w:rFonts w:hint="default" w:ascii="宋体" w:hAnsi="宋体" w:eastAsia="宋体" w:cs="宋体"/>
          <w:color w:val="auto"/>
        </w:rPr>
      </w:pPr>
    </w:p>
    <w:p w14:paraId="7893543D">
      <w:pPr>
        <w:pStyle w:val="5"/>
        <w:spacing w:line="360" w:lineRule="auto"/>
        <w:rPr>
          <w:rFonts w:hint="default" w:ascii="宋体" w:hAnsi="宋体" w:eastAsia="宋体" w:cs="宋体"/>
          <w:color w:val="auto"/>
        </w:rPr>
      </w:pPr>
      <w:r>
        <w:rPr>
          <w:rFonts w:ascii="宋体" w:hAnsi="宋体" w:eastAsia="宋体" w:cs="宋体"/>
          <w:color w:val="auto"/>
        </w:rPr>
        <w:t>供应商</w:t>
      </w:r>
      <w:r>
        <w:rPr>
          <w:rFonts w:hint="eastAsia" w:ascii="宋体" w:hAnsi="宋体" w:eastAsia="宋体" w:cs="宋体"/>
          <w:color w:val="auto"/>
          <w:lang w:eastAsia="zh-CN"/>
        </w:rPr>
        <w:t>法人代表签字</w:t>
      </w:r>
      <w:r>
        <w:rPr>
          <w:rFonts w:ascii="宋体" w:hAnsi="宋体" w:eastAsia="宋体" w:cs="宋体"/>
          <w:color w:val="auto"/>
        </w:rPr>
        <w:t>（章）：</w:t>
      </w:r>
    </w:p>
    <w:p w14:paraId="47138F7C">
      <w:pPr>
        <w:pStyle w:val="5"/>
        <w:spacing w:line="360" w:lineRule="auto"/>
        <w:contextualSpacing/>
        <w:jc w:val="left"/>
        <w:rPr>
          <w:rFonts w:hint="default" w:ascii="宋体" w:hAnsi="宋体" w:eastAsia="宋体" w:cs="宋体"/>
          <w:color w:val="auto"/>
        </w:rPr>
      </w:pPr>
    </w:p>
    <w:p w14:paraId="54747478">
      <w:pPr>
        <w:pStyle w:val="5"/>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12A4F31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D0D93FD">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lang w:val="zh-TW" w:eastAsia="zh-TW"/>
        </w:rPr>
      </w:pPr>
    </w:p>
    <w:p w14:paraId="486B3188">
      <w:pPr>
        <w:pStyle w:val="5"/>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5358190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75C50D96">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23A730D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6009CA53">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72A3B5A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0D7CD04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rPr>
      </w:pPr>
    </w:p>
    <w:p w14:paraId="0BBD113B">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6F4ACB3D">
      <w:pPr>
        <w:snapToGrid w:val="0"/>
        <w:spacing w:line="540" w:lineRule="exact"/>
        <w:ind w:firstLine="280"/>
        <w:rPr>
          <w:rFonts w:hint="default" w:ascii="仿宋" w:hAnsi="仿宋" w:eastAsia="仿宋" w:cs="仿宋"/>
          <w:color w:val="auto"/>
          <w:sz w:val="28"/>
          <w:szCs w:val="28"/>
        </w:rPr>
      </w:pPr>
    </w:p>
    <w:p w14:paraId="2363D5F4">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4813AF9B">
      <w:pPr>
        <w:snapToGrid w:val="0"/>
        <w:spacing w:line="540" w:lineRule="exact"/>
        <w:ind w:firstLine="280"/>
        <w:rPr>
          <w:rFonts w:hint="default" w:ascii="仿宋" w:hAnsi="仿宋" w:eastAsia="仿宋" w:cs="仿宋"/>
          <w:color w:val="auto"/>
          <w:sz w:val="28"/>
          <w:szCs w:val="28"/>
        </w:rPr>
      </w:pPr>
    </w:p>
    <w:p w14:paraId="3644AF77">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rPr>
      </w:pPr>
    </w:p>
    <w:p w14:paraId="6504C192">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0282F5DA">
      <w:pPr>
        <w:pStyle w:val="5"/>
        <w:jc w:val="left"/>
        <w:rPr>
          <w:rFonts w:hint="default" w:cs="Times New Roman" w:asciiTheme="majorEastAsia" w:hAnsiTheme="majorEastAsia" w:eastAsiaTheme="majorEastAsia"/>
          <w:b/>
          <w:bCs/>
          <w:color w:val="auto"/>
          <w:sz w:val="30"/>
          <w:szCs w:val="30"/>
          <w:lang w:val="zh-TW" w:eastAsia="zh-TW"/>
        </w:rPr>
      </w:pPr>
    </w:p>
    <w:p w14:paraId="751E70AD">
      <w:pPr>
        <w:pStyle w:val="5"/>
        <w:jc w:val="left"/>
        <w:rPr>
          <w:rFonts w:hint="default" w:cs="Times New Roman" w:asciiTheme="majorEastAsia" w:hAnsiTheme="majorEastAsia" w:eastAsiaTheme="majorEastAsia"/>
          <w:b/>
          <w:bCs/>
          <w:color w:val="auto"/>
          <w:sz w:val="30"/>
          <w:szCs w:val="30"/>
          <w:lang w:val="zh-TW" w:eastAsia="zh-TW"/>
        </w:rPr>
      </w:pPr>
    </w:p>
    <w:p w14:paraId="2BD59DC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3D13A31B">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35651049">
      <w:pPr>
        <w:pStyle w:val="5"/>
        <w:jc w:val="center"/>
        <w:rPr>
          <w:rFonts w:hint="default" w:ascii="Times New Roman" w:hAnsi="Times New Roman" w:eastAsia="宋体" w:cs="Times New Roman"/>
          <w:b/>
          <w:bCs/>
          <w:color w:val="auto"/>
          <w:sz w:val="36"/>
          <w:szCs w:val="36"/>
          <w:lang w:eastAsia="zh-TW"/>
        </w:rPr>
      </w:pPr>
    </w:p>
    <w:p w14:paraId="012E9352">
      <w:pPr>
        <w:pStyle w:val="5"/>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5"/>
        <w:gridCol w:w="4663"/>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ED243E">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F943BB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F95140D">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2EF66A">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2C748219">
      <w:pPr>
        <w:pStyle w:val="5"/>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rPr>
      </w:pPr>
    </w:p>
    <w:p w14:paraId="4C25287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488ED3F8">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14:paraId="1208678C">
      <w:pPr>
        <w:rPr>
          <w:rFonts w:hint="default"/>
          <w:color w:val="auto"/>
        </w:rPr>
      </w:pPr>
    </w:p>
    <w:bookmarkEnd w:id="31"/>
    <w:p w14:paraId="67792911">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w:t>
      </w:r>
      <w:r>
        <w:rPr>
          <w:rFonts w:hint="eastAsia" w:ascii="宋体" w:hAnsi="宋体" w:eastAsia="宋体" w:cs="宋体"/>
          <w:color w:val="auto"/>
          <w:lang w:eastAsia="zh-CN"/>
        </w:rPr>
        <w:t>，</w:t>
      </w:r>
      <w:r>
        <w:rPr>
          <w:rFonts w:ascii="宋体" w:hAnsi="宋体" w:eastAsia="宋体" w:cs="宋体"/>
          <w:color w:val="auto"/>
        </w:rPr>
        <w:t>对此次评审活动中我方所承诺的条款已经完全明确</w:t>
      </w:r>
      <w:r>
        <w:rPr>
          <w:rFonts w:hint="eastAsia" w:ascii="宋体" w:hAnsi="宋体" w:eastAsia="宋体" w:cs="宋体"/>
          <w:color w:val="auto"/>
          <w:lang w:eastAsia="zh-CN"/>
        </w:rPr>
        <w:t>，</w:t>
      </w:r>
      <w:r>
        <w:rPr>
          <w:rFonts w:ascii="宋体" w:hAnsi="宋体" w:eastAsia="宋体" w:cs="宋体"/>
          <w:color w:val="auto"/>
        </w:rPr>
        <w:t>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lang w:eastAsia="zh-CN"/>
        </w:rPr>
        <w:t>，</w:t>
      </w:r>
      <w:r>
        <w:rPr>
          <w:rFonts w:ascii="宋体" w:hAnsi="宋体" w:eastAsia="宋体" w:cs="宋体"/>
          <w:color w:val="auto"/>
        </w:rPr>
        <w:t>本单位愿承担一切责任（包括赔偿损失、取消评审及中选资格等），我单位报价为：</w:t>
      </w:r>
    </w:p>
    <w:p w14:paraId="0AB9B52E">
      <w:pPr>
        <w:widowControl/>
        <w:spacing w:line="360" w:lineRule="auto"/>
        <w:jc w:val="left"/>
        <w:rPr>
          <w:rFonts w:ascii="宋体" w:hAnsi="宋体" w:eastAsia="宋体" w:cs="宋体"/>
          <w:color w:val="auto"/>
        </w:rPr>
      </w:pPr>
    </w:p>
    <w:tbl>
      <w:tblPr>
        <w:tblStyle w:val="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5"/>
        <w:gridCol w:w="2187"/>
        <w:gridCol w:w="1920"/>
        <w:gridCol w:w="1280"/>
        <w:gridCol w:w="1132"/>
        <w:gridCol w:w="2352"/>
      </w:tblGrid>
      <w:tr w14:paraId="0E23F7FA">
        <w:tblPrEx>
          <w:tblCellMar>
            <w:top w:w="15" w:type="dxa"/>
            <w:left w:w="15" w:type="dxa"/>
            <w:bottom w:w="15" w:type="dxa"/>
            <w:right w:w="15" w:type="dxa"/>
          </w:tblCellMar>
        </w:tblPrEx>
        <w:trPr>
          <w:jc w:val="center"/>
        </w:trPr>
        <w:tc>
          <w:tcPr>
            <w:tcW w:w="746" w:type="dxa"/>
            <w:shd w:val="clear" w:color="auto" w:fill="auto"/>
            <w:tcMar>
              <w:top w:w="0" w:type="dxa"/>
              <w:left w:w="105" w:type="dxa"/>
              <w:bottom w:w="0" w:type="dxa"/>
              <w:right w:w="105" w:type="dxa"/>
            </w:tcMar>
            <w:vAlign w:val="top"/>
          </w:tcPr>
          <w:p w14:paraId="7339CCB1">
            <w:pPr>
              <w:pStyle w:val="12"/>
              <w:keepNext w:val="0"/>
              <w:keepLines w:val="0"/>
              <w:widowControl/>
              <w:suppressLineNumbers w:val="0"/>
              <w:autoSpaceDE w:val="0"/>
              <w:autoSpaceDN/>
              <w:rPr>
                <w:rFonts w:hint="eastAsia" w:ascii="宋体" w:hAnsi="宋体" w:eastAsia="宋体" w:cs="宋体"/>
                <w:b/>
                <w:bCs/>
                <w:kern w:val="0"/>
                <w:sz w:val="22"/>
                <w:szCs w:val="22"/>
              </w:rPr>
            </w:pPr>
            <w:r>
              <w:rPr>
                <w:rFonts w:hint="eastAsia" w:ascii="宋体" w:hAnsi="宋体" w:eastAsia="宋体" w:cs="宋体"/>
                <w:b/>
                <w:bCs/>
                <w:sz w:val="22"/>
                <w:szCs w:val="22"/>
              </w:rPr>
              <w:t>序号</w:t>
            </w:r>
          </w:p>
        </w:tc>
        <w:tc>
          <w:tcPr>
            <w:tcW w:w="2190" w:type="dxa"/>
            <w:shd w:val="clear" w:color="auto" w:fill="auto"/>
            <w:tcMar>
              <w:top w:w="0" w:type="dxa"/>
              <w:left w:w="105" w:type="dxa"/>
              <w:bottom w:w="0" w:type="dxa"/>
              <w:right w:w="105" w:type="dxa"/>
            </w:tcMar>
            <w:vAlign w:val="top"/>
          </w:tcPr>
          <w:p w14:paraId="65109029">
            <w:pPr>
              <w:pStyle w:val="12"/>
              <w:keepNext w:val="0"/>
              <w:keepLines w:val="0"/>
              <w:widowControl/>
              <w:suppressLineNumbers w:val="0"/>
              <w:autoSpaceDE w:val="0"/>
              <w:autoSpaceDN/>
              <w:rPr>
                <w:rFonts w:hint="eastAsia" w:ascii="宋体" w:hAnsi="宋体" w:eastAsia="宋体" w:cs="宋体"/>
                <w:b/>
                <w:bCs/>
                <w:kern w:val="0"/>
                <w:sz w:val="22"/>
                <w:szCs w:val="22"/>
              </w:rPr>
            </w:pPr>
            <w:r>
              <w:rPr>
                <w:rFonts w:hint="eastAsia" w:ascii="宋体" w:hAnsi="宋体" w:eastAsia="宋体" w:cs="宋体"/>
                <w:b/>
                <w:bCs/>
                <w:sz w:val="22"/>
                <w:szCs w:val="22"/>
              </w:rPr>
              <w:t>品名</w:t>
            </w:r>
          </w:p>
        </w:tc>
        <w:tc>
          <w:tcPr>
            <w:tcW w:w="1922" w:type="dxa"/>
            <w:shd w:val="clear" w:color="auto" w:fill="auto"/>
            <w:tcMar>
              <w:top w:w="0" w:type="dxa"/>
              <w:left w:w="105" w:type="dxa"/>
              <w:bottom w:w="0" w:type="dxa"/>
              <w:right w:w="105" w:type="dxa"/>
            </w:tcMar>
            <w:vAlign w:val="top"/>
          </w:tcPr>
          <w:p w14:paraId="675604EA">
            <w:pPr>
              <w:pStyle w:val="12"/>
              <w:keepNext w:val="0"/>
              <w:keepLines w:val="0"/>
              <w:widowControl/>
              <w:suppressLineNumbers w:val="0"/>
              <w:autoSpaceDE w:val="0"/>
              <w:autoSpaceDN/>
              <w:rPr>
                <w:rFonts w:hint="eastAsia" w:ascii="宋体" w:hAnsi="宋体" w:eastAsia="宋体" w:cs="宋体"/>
                <w:b/>
                <w:bCs/>
                <w:kern w:val="0"/>
                <w:sz w:val="22"/>
                <w:szCs w:val="22"/>
              </w:rPr>
            </w:pPr>
            <w:r>
              <w:rPr>
                <w:rFonts w:hint="eastAsia" w:ascii="宋体" w:hAnsi="宋体" w:eastAsia="宋体" w:cs="宋体"/>
                <w:b/>
                <w:bCs/>
                <w:sz w:val="22"/>
                <w:szCs w:val="22"/>
              </w:rPr>
              <w:t>详细描述</w:t>
            </w:r>
          </w:p>
        </w:tc>
        <w:tc>
          <w:tcPr>
            <w:tcW w:w="1282" w:type="dxa"/>
            <w:shd w:val="clear" w:color="auto" w:fill="auto"/>
            <w:tcMar>
              <w:top w:w="0" w:type="dxa"/>
              <w:left w:w="105" w:type="dxa"/>
              <w:bottom w:w="0" w:type="dxa"/>
              <w:right w:w="105" w:type="dxa"/>
            </w:tcMar>
            <w:vAlign w:val="top"/>
          </w:tcPr>
          <w:p w14:paraId="35750918">
            <w:pPr>
              <w:pStyle w:val="12"/>
              <w:keepNext w:val="0"/>
              <w:keepLines w:val="0"/>
              <w:widowControl/>
              <w:suppressLineNumbers w:val="0"/>
              <w:autoSpaceDE w:val="0"/>
              <w:autoSpaceDN/>
              <w:rPr>
                <w:rFonts w:hint="eastAsia" w:ascii="宋体" w:hAnsi="宋体" w:eastAsia="宋体" w:cs="宋体"/>
                <w:b/>
                <w:bCs/>
                <w:kern w:val="0"/>
                <w:sz w:val="22"/>
                <w:szCs w:val="22"/>
              </w:rPr>
            </w:pPr>
            <w:r>
              <w:rPr>
                <w:rFonts w:hint="eastAsia" w:ascii="宋体" w:hAnsi="宋体" w:eastAsia="宋体" w:cs="宋体"/>
                <w:b/>
                <w:bCs/>
                <w:sz w:val="22"/>
                <w:szCs w:val="22"/>
              </w:rPr>
              <w:t>数量</w:t>
            </w:r>
          </w:p>
        </w:tc>
        <w:tc>
          <w:tcPr>
            <w:tcW w:w="1133" w:type="dxa"/>
            <w:shd w:val="clear" w:color="auto" w:fill="auto"/>
            <w:tcMar>
              <w:top w:w="0" w:type="dxa"/>
              <w:left w:w="105" w:type="dxa"/>
              <w:bottom w:w="0" w:type="dxa"/>
              <w:right w:w="105" w:type="dxa"/>
            </w:tcMar>
            <w:vAlign w:val="top"/>
          </w:tcPr>
          <w:p w14:paraId="34300CA9">
            <w:pPr>
              <w:pStyle w:val="12"/>
              <w:keepNext w:val="0"/>
              <w:keepLines w:val="0"/>
              <w:widowControl/>
              <w:suppressLineNumbers w:val="0"/>
              <w:autoSpaceDE w:val="0"/>
              <w:autoSpaceDN/>
              <w:rPr>
                <w:rFonts w:hint="eastAsia" w:ascii="宋体" w:hAnsi="宋体" w:eastAsia="宋体" w:cs="宋体"/>
                <w:b/>
                <w:bCs/>
                <w:kern w:val="0"/>
                <w:sz w:val="22"/>
                <w:szCs w:val="22"/>
              </w:rPr>
            </w:pPr>
            <w:r>
              <w:rPr>
                <w:rFonts w:hint="eastAsia" w:ascii="宋体" w:hAnsi="宋体" w:eastAsia="宋体" w:cs="宋体"/>
                <w:b/>
                <w:bCs/>
                <w:sz w:val="22"/>
                <w:szCs w:val="22"/>
              </w:rPr>
              <w:t>单位</w:t>
            </w:r>
          </w:p>
        </w:tc>
        <w:tc>
          <w:tcPr>
            <w:tcW w:w="2355" w:type="dxa"/>
            <w:shd w:val="clear" w:color="auto" w:fill="auto"/>
            <w:tcMar>
              <w:top w:w="0" w:type="dxa"/>
              <w:left w:w="105" w:type="dxa"/>
              <w:bottom w:w="0" w:type="dxa"/>
              <w:right w:w="105" w:type="dxa"/>
            </w:tcMar>
            <w:vAlign w:val="top"/>
          </w:tcPr>
          <w:p w14:paraId="42C0E5B6">
            <w:pPr>
              <w:pStyle w:val="12"/>
              <w:keepNext w:val="0"/>
              <w:keepLines w:val="0"/>
              <w:widowControl/>
              <w:suppressLineNumbers w:val="0"/>
              <w:autoSpaceDE w:val="0"/>
              <w:autoSpaceDN/>
              <w:rPr>
                <w:rFonts w:hint="eastAsia" w:ascii="宋体" w:hAnsi="宋体" w:eastAsia="宋体" w:cs="宋体"/>
                <w:b/>
                <w:bCs/>
                <w:kern w:val="0"/>
                <w:sz w:val="22"/>
                <w:szCs w:val="22"/>
              </w:rPr>
            </w:pPr>
            <w:r>
              <w:rPr>
                <w:rFonts w:hint="eastAsia" w:ascii="宋体" w:hAnsi="宋体" w:eastAsia="宋体" w:cs="宋体"/>
                <w:b/>
                <w:bCs/>
                <w:sz w:val="22"/>
                <w:szCs w:val="22"/>
                <w:lang w:val="en-US" w:eastAsia="zh-CN"/>
              </w:rPr>
              <w:t>报</w:t>
            </w:r>
            <w:r>
              <w:rPr>
                <w:rFonts w:hint="eastAsia" w:ascii="宋体" w:hAnsi="宋体" w:eastAsia="宋体" w:cs="宋体"/>
                <w:b/>
                <w:bCs/>
                <w:sz w:val="22"/>
                <w:szCs w:val="22"/>
              </w:rPr>
              <w:t>价（元）</w:t>
            </w:r>
          </w:p>
        </w:tc>
      </w:tr>
      <w:tr w14:paraId="0031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46" w:type="dxa"/>
            <w:shd w:val="clear" w:color="auto" w:fill="auto"/>
            <w:tcMar>
              <w:top w:w="0" w:type="dxa"/>
              <w:left w:w="105" w:type="dxa"/>
              <w:bottom w:w="0" w:type="dxa"/>
              <w:right w:w="105" w:type="dxa"/>
            </w:tcMar>
            <w:vAlign w:val="top"/>
          </w:tcPr>
          <w:p w14:paraId="056E920D">
            <w:pPr>
              <w:pStyle w:val="12"/>
              <w:keepNext w:val="0"/>
              <w:keepLines w:val="0"/>
              <w:widowControl/>
              <w:suppressLineNumbers w:val="0"/>
              <w:autoSpaceDE w:val="0"/>
              <w:autoSpaceDN/>
              <w:rPr>
                <w:rFonts w:hint="eastAsia" w:ascii="宋体" w:hAnsi="宋体" w:eastAsia="宋体" w:cs="宋体"/>
                <w:kern w:val="0"/>
                <w:sz w:val="22"/>
                <w:szCs w:val="22"/>
              </w:rPr>
            </w:pPr>
            <w:r>
              <w:rPr>
                <w:rFonts w:hint="eastAsia" w:ascii="宋体" w:hAnsi="宋体" w:eastAsia="宋体" w:cs="宋体"/>
                <w:b w:val="0"/>
                <w:bCs w:val="0"/>
                <w:sz w:val="22"/>
                <w:szCs w:val="22"/>
              </w:rPr>
              <w:t>1</w:t>
            </w:r>
          </w:p>
        </w:tc>
        <w:tc>
          <w:tcPr>
            <w:tcW w:w="2190" w:type="dxa"/>
            <w:shd w:val="clear" w:color="auto" w:fill="auto"/>
            <w:tcMar>
              <w:top w:w="0" w:type="dxa"/>
              <w:left w:w="105" w:type="dxa"/>
              <w:bottom w:w="0" w:type="dxa"/>
              <w:right w:w="105" w:type="dxa"/>
            </w:tcMar>
            <w:vAlign w:val="top"/>
          </w:tcPr>
          <w:p w14:paraId="3C94CA8D">
            <w:pPr>
              <w:pStyle w:val="12"/>
              <w:keepNext w:val="0"/>
              <w:keepLines w:val="0"/>
              <w:widowControl/>
              <w:suppressLineNumbers w:val="0"/>
              <w:autoSpaceDE w:val="0"/>
              <w:autoSpaceDN/>
              <w:rPr>
                <w:rFonts w:hint="eastAsia" w:ascii="宋体" w:hAnsi="宋体" w:eastAsia="宋体" w:cs="宋体"/>
                <w:kern w:val="0"/>
                <w:sz w:val="22"/>
                <w:szCs w:val="22"/>
              </w:rPr>
            </w:pPr>
            <w:r>
              <w:rPr>
                <w:rFonts w:hint="eastAsia" w:ascii="宋体" w:hAnsi="宋体" w:eastAsia="宋体" w:cs="宋体"/>
                <w:kern w:val="0"/>
                <w:sz w:val="22"/>
                <w:szCs w:val="22"/>
              </w:rPr>
              <w:t>数据专线</w:t>
            </w:r>
          </w:p>
        </w:tc>
        <w:tc>
          <w:tcPr>
            <w:tcW w:w="1922" w:type="dxa"/>
            <w:shd w:val="clear" w:color="auto" w:fill="auto"/>
            <w:tcMar>
              <w:top w:w="0" w:type="dxa"/>
              <w:left w:w="105" w:type="dxa"/>
              <w:bottom w:w="0" w:type="dxa"/>
              <w:right w:w="105" w:type="dxa"/>
            </w:tcMar>
            <w:vAlign w:val="top"/>
          </w:tcPr>
          <w:p w14:paraId="6F68D8AC">
            <w:pPr>
              <w:pStyle w:val="12"/>
              <w:keepNext w:val="0"/>
              <w:keepLines w:val="0"/>
              <w:widowControl/>
              <w:suppressLineNumbers w:val="0"/>
              <w:autoSpaceDE w:val="0"/>
              <w:autoSpaceDN/>
              <w:rPr>
                <w:rFonts w:hint="eastAsia" w:ascii="宋体" w:hAnsi="宋体" w:eastAsia="宋体" w:cs="宋体"/>
                <w:kern w:val="0"/>
                <w:sz w:val="22"/>
                <w:szCs w:val="22"/>
              </w:rPr>
            </w:pPr>
            <w:r>
              <w:rPr>
                <w:rFonts w:hint="eastAsia" w:ascii="宋体" w:hAnsi="宋体" w:eastAsia="宋体" w:cs="宋体"/>
                <w:kern w:val="0"/>
                <w:sz w:val="22"/>
                <w:szCs w:val="22"/>
              </w:rPr>
              <w:t>本地1000M</w:t>
            </w:r>
          </w:p>
        </w:tc>
        <w:tc>
          <w:tcPr>
            <w:tcW w:w="1282" w:type="dxa"/>
            <w:shd w:val="clear" w:color="auto" w:fill="auto"/>
            <w:tcMar>
              <w:top w:w="0" w:type="dxa"/>
              <w:left w:w="105" w:type="dxa"/>
              <w:bottom w:w="0" w:type="dxa"/>
              <w:right w:w="105" w:type="dxa"/>
            </w:tcMar>
            <w:vAlign w:val="top"/>
          </w:tcPr>
          <w:p w14:paraId="786D3484">
            <w:pPr>
              <w:pStyle w:val="12"/>
              <w:keepNext w:val="0"/>
              <w:keepLines w:val="0"/>
              <w:widowControl/>
              <w:suppressLineNumbers w:val="0"/>
              <w:autoSpaceDE w:val="0"/>
              <w:autoSpaceDN/>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1133" w:type="dxa"/>
            <w:shd w:val="clear" w:color="auto" w:fill="auto"/>
            <w:tcMar>
              <w:top w:w="0" w:type="dxa"/>
              <w:left w:w="105" w:type="dxa"/>
              <w:bottom w:w="0" w:type="dxa"/>
              <w:right w:w="105" w:type="dxa"/>
            </w:tcMar>
            <w:vAlign w:val="top"/>
          </w:tcPr>
          <w:p w14:paraId="1281B9E5">
            <w:pPr>
              <w:pStyle w:val="12"/>
              <w:keepNext w:val="0"/>
              <w:keepLines w:val="0"/>
              <w:widowControl/>
              <w:suppressLineNumbers w:val="0"/>
              <w:autoSpaceDE w:val="0"/>
              <w:autoSpaceDN/>
              <w:rPr>
                <w:rFonts w:hint="eastAsia" w:ascii="宋体" w:hAnsi="宋体" w:eastAsia="宋体" w:cs="宋体"/>
                <w:kern w:val="0"/>
                <w:sz w:val="22"/>
                <w:szCs w:val="22"/>
              </w:rPr>
            </w:pPr>
            <w:r>
              <w:rPr>
                <w:rFonts w:hint="eastAsia" w:ascii="宋体" w:hAnsi="宋体" w:eastAsia="宋体" w:cs="宋体"/>
                <w:kern w:val="0"/>
                <w:sz w:val="22"/>
                <w:szCs w:val="22"/>
              </w:rPr>
              <w:t>条</w:t>
            </w:r>
          </w:p>
        </w:tc>
        <w:tc>
          <w:tcPr>
            <w:tcW w:w="2355" w:type="dxa"/>
            <w:shd w:val="clear" w:color="auto" w:fill="auto"/>
            <w:tcMar>
              <w:top w:w="0" w:type="dxa"/>
              <w:left w:w="105" w:type="dxa"/>
              <w:bottom w:w="0" w:type="dxa"/>
              <w:right w:w="105" w:type="dxa"/>
            </w:tcMar>
            <w:vAlign w:val="top"/>
          </w:tcPr>
          <w:p w14:paraId="09663EE4">
            <w:pPr>
              <w:pStyle w:val="12"/>
              <w:keepNext w:val="0"/>
              <w:keepLines w:val="0"/>
              <w:widowControl/>
              <w:suppressLineNumbers w:val="0"/>
              <w:rPr>
                <w:rFonts w:hint="eastAsia" w:ascii="宋体" w:hAnsi="宋体" w:eastAsia="宋体" w:cs="宋体"/>
                <w:kern w:val="0"/>
                <w:sz w:val="22"/>
                <w:szCs w:val="22"/>
              </w:rPr>
            </w:pPr>
          </w:p>
        </w:tc>
      </w:tr>
      <w:tr w14:paraId="2244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46" w:type="dxa"/>
            <w:shd w:val="clear" w:color="auto" w:fill="auto"/>
            <w:tcMar>
              <w:top w:w="0" w:type="dxa"/>
              <w:left w:w="105" w:type="dxa"/>
              <w:bottom w:w="0" w:type="dxa"/>
              <w:right w:w="105" w:type="dxa"/>
            </w:tcMar>
            <w:vAlign w:val="top"/>
          </w:tcPr>
          <w:p w14:paraId="323BBB09">
            <w:pPr>
              <w:pStyle w:val="12"/>
              <w:keepNext w:val="0"/>
              <w:keepLines w:val="0"/>
              <w:widowControl/>
              <w:suppressLineNumbers w:val="0"/>
              <w:autoSpaceDE w:val="0"/>
              <w:autoSpaceDN/>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合计</w:t>
            </w:r>
          </w:p>
        </w:tc>
        <w:tc>
          <w:tcPr>
            <w:tcW w:w="8882" w:type="dxa"/>
            <w:gridSpan w:val="5"/>
            <w:shd w:val="clear" w:color="auto" w:fill="auto"/>
            <w:tcMar>
              <w:top w:w="0" w:type="dxa"/>
              <w:left w:w="105" w:type="dxa"/>
              <w:bottom w:w="0" w:type="dxa"/>
              <w:right w:w="105" w:type="dxa"/>
            </w:tcMar>
            <w:vAlign w:val="top"/>
          </w:tcPr>
          <w:p w14:paraId="7F0BA8CD">
            <w:pPr>
              <w:pStyle w:val="12"/>
              <w:keepNext w:val="0"/>
              <w:keepLines w:val="0"/>
              <w:widowControl/>
              <w:suppressLineNumbers w:val="0"/>
              <w:rPr>
                <w:rFonts w:hint="eastAsia" w:ascii="仿宋" w:hAnsi="仿宋" w:eastAsia="仿宋" w:cs="仿宋"/>
                <w:kern w:val="0"/>
                <w:sz w:val="22"/>
                <w:szCs w:val="22"/>
              </w:rPr>
            </w:pPr>
            <w:r>
              <w:rPr>
                <w:rFonts w:hint="eastAsia" w:ascii="宋体" w:hAnsi="宋体" w:eastAsia="宋体" w:cs="宋体"/>
                <w:color w:val="auto"/>
                <w:lang w:val="en-US" w:eastAsia="zh-CN"/>
              </w:rPr>
              <w:t xml:space="preserve">大写：                   小写：                     </w:t>
            </w:r>
          </w:p>
        </w:tc>
      </w:tr>
    </w:tbl>
    <w:p w14:paraId="0AF67C18">
      <w:pPr>
        <w:widowControl/>
        <w:spacing w:line="360" w:lineRule="auto"/>
        <w:jc w:val="left"/>
        <w:rPr>
          <w:rFonts w:ascii="宋体" w:hAnsi="宋体" w:eastAsia="宋体" w:cs="宋体"/>
          <w:color w:val="auto"/>
        </w:rPr>
      </w:pPr>
    </w:p>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rPr>
      </w:pPr>
    </w:p>
    <w:p w14:paraId="6C9909C5">
      <w:pPr>
        <w:widowControl/>
        <w:spacing w:line="360" w:lineRule="auto"/>
        <w:jc w:val="left"/>
        <w:rPr>
          <w:rFonts w:hint="default" w:ascii="宋体" w:hAnsi="宋体" w:eastAsia="宋体" w:cs="宋体"/>
          <w:color w:val="auto"/>
        </w:rPr>
      </w:pPr>
    </w:p>
    <w:p w14:paraId="4618CAB2">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024D95E">
      <w:pPr>
        <w:widowControl/>
        <w:spacing w:line="360" w:lineRule="auto"/>
        <w:jc w:val="left"/>
        <w:rPr>
          <w:rFonts w:hint="default" w:ascii="宋体" w:hAnsi="宋体" w:eastAsia="宋体" w:cs="宋体"/>
          <w:color w:val="auto"/>
        </w:rPr>
      </w:pPr>
      <w:r>
        <w:rPr>
          <w:rFonts w:ascii="宋体" w:hAnsi="宋体" w:eastAsia="宋体" w:cs="宋体"/>
          <w:color w:val="auto"/>
        </w:rPr>
        <w:t>法定代</w:t>
      </w:r>
      <w:r>
        <w:rPr>
          <w:rFonts w:hint="eastAsia" w:ascii="宋体" w:hAnsi="宋体" w:eastAsia="宋体" w:cs="宋体"/>
          <w:color w:val="auto"/>
          <w:lang w:eastAsia="zh-CN"/>
        </w:rPr>
        <w:t>表人</w:t>
      </w:r>
      <w:r>
        <w:rPr>
          <w:rFonts w:ascii="宋体" w:hAnsi="宋体" w:eastAsia="宋体" w:cs="宋体"/>
          <w:color w:val="auto"/>
        </w:rPr>
        <w:t>（负责人）或授权代表人</w:t>
      </w:r>
    </w:p>
    <w:p w14:paraId="60B3C8A8">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C25C93E">
      <w:pPr>
        <w:spacing w:line="360" w:lineRule="auto"/>
        <w:jc w:val="right"/>
        <w:rPr>
          <w:rFonts w:hint="default" w:ascii="宋体" w:hAnsi="宋体" w:eastAsia="宋体" w:cs="宋体"/>
          <w:color w:val="auto"/>
        </w:rPr>
      </w:pPr>
    </w:p>
    <w:p w14:paraId="00A6452A">
      <w:pPr>
        <w:spacing w:line="360" w:lineRule="auto"/>
        <w:jc w:val="both"/>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05B8167B">
      <w:pPr>
        <w:widowControl/>
        <w:jc w:val="left"/>
        <w:rPr>
          <w:rFonts w:hint="default" w:ascii="Times New Roman" w:hAnsi="Times New Roman" w:eastAsia="宋体" w:cs="Times New Roman"/>
          <w:color w:val="auto"/>
          <w:lang w:val="zh-TW" w:eastAsia="zh-TW"/>
        </w:rPr>
      </w:pPr>
    </w:p>
    <w:p w14:paraId="02432556">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64FBF924">
      <w:pPr>
        <w:pStyle w:val="5"/>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3191D8AC">
      <w:pPr>
        <w:pStyle w:val="5"/>
        <w:rPr>
          <w:rFonts w:hint="default" w:ascii="Times New Roman" w:hAnsi="Times New Roman" w:eastAsia="Wingdings" w:cs="Times New Roman"/>
          <w:b/>
          <w:bCs/>
          <w:color w:val="auto"/>
          <w:sz w:val="36"/>
          <w:szCs w:val="36"/>
          <w:lang w:val="zh-TW" w:eastAsia="zh-TW"/>
        </w:rPr>
      </w:pPr>
    </w:p>
    <w:p w14:paraId="43321793">
      <w:pPr>
        <w:pStyle w:val="5"/>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73BF3B1D">
      <w:pPr>
        <w:pStyle w:val="5"/>
        <w:rPr>
          <w:rFonts w:hint="default" w:ascii="Times New Roman" w:hAnsi="Times New Roman" w:eastAsia="Wingdings" w:cs="Times New Roman"/>
          <w:b/>
          <w:bCs/>
          <w:color w:val="auto"/>
          <w:sz w:val="36"/>
          <w:szCs w:val="36"/>
          <w:lang w:val="zh-TW" w:eastAsia="zh-TW"/>
        </w:rPr>
      </w:pPr>
    </w:p>
    <w:p w14:paraId="0A4BCA24">
      <w:pPr>
        <w:pStyle w:val="5"/>
        <w:rPr>
          <w:rFonts w:hint="default" w:ascii="Times New Roman" w:hAnsi="Times New Roman" w:eastAsia="Wingdings" w:cs="Times New Roman"/>
          <w:b/>
          <w:bCs/>
          <w:color w:val="auto"/>
          <w:sz w:val="36"/>
          <w:szCs w:val="36"/>
          <w:lang w:val="zh-TW" w:eastAsia="zh-TW"/>
        </w:rPr>
      </w:pPr>
    </w:p>
    <w:bookmarkEnd w:id="32"/>
    <w:p w14:paraId="18966B45">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bookmarkEnd w:id="33"/>
    <w:p w14:paraId="7A68B6E9">
      <w:pPr>
        <w:pStyle w:val="2"/>
        <w:ind w:firstLine="0"/>
        <w:rPr>
          <w:rFonts w:hint="eastAsia" w:ascii="仿宋" w:hAnsi="仿宋" w:eastAsia="仿宋" w:cs="仿宋"/>
          <w:lang w:val="zh-TW" w:eastAsia="zh-TW"/>
        </w:rPr>
      </w:pPr>
      <w:bookmarkStart w:id="34" w:name="_Toc11837"/>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0"/>
          <w:rFonts w:hint="eastAsia" w:ascii="仿宋" w:hAnsi="仿宋" w:eastAsia="仿宋" w:cs="仿宋"/>
          <w:szCs w:val="32"/>
          <w:lang w:val="zh-TW" w:eastAsia="zh-TW"/>
        </w:rPr>
        <w:t>合同</w:t>
      </w:r>
      <w:r>
        <w:rPr>
          <w:rStyle w:val="20"/>
          <w:rFonts w:hint="eastAsia" w:ascii="仿宋" w:hAnsi="仿宋" w:eastAsia="仿宋" w:cs="仿宋"/>
          <w:szCs w:val="32"/>
          <w:lang w:val="zh-TW"/>
        </w:rPr>
        <w:t>（协议）</w:t>
      </w:r>
      <w:r>
        <w:rPr>
          <w:rStyle w:val="20"/>
          <w:rFonts w:hint="eastAsia" w:ascii="仿宋" w:hAnsi="仿宋" w:eastAsia="仿宋" w:cs="仿宋"/>
          <w:szCs w:val="32"/>
          <w:lang w:val="zh-TW" w:eastAsia="zh-TW"/>
        </w:rPr>
        <w:t>主要条款</w:t>
      </w:r>
      <w:r>
        <w:rPr>
          <w:rFonts w:hint="eastAsia" w:ascii="仿宋" w:hAnsi="仿宋" w:eastAsia="仿宋" w:cs="仿宋"/>
          <w:lang w:val="zh-TW" w:eastAsia="zh-TW"/>
        </w:rPr>
        <w:fldChar w:fldCharType="end"/>
      </w:r>
      <w:bookmarkEnd w:id="34"/>
    </w:p>
    <w:p w14:paraId="1E3DF9DD">
      <w:pPr>
        <w:pStyle w:val="5"/>
        <w:jc w:val="center"/>
        <w:rPr>
          <w:rFonts w:hint="eastAsia" w:ascii="仿宋" w:hAnsi="仿宋" w:eastAsia="仿宋" w:cs="仿宋"/>
          <w:color w:val="auto"/>
          <w:szCs w:val="20"/>
        </w:rPr>
      </w:pPr>
      <w:r>
        <w:rPr>
          <w:rFonts w:hint="eastAsia" w:ascii="仿宋" w:hAnsi="仿宋" w:eastAsia="仿宋" w:cs="仿宋"/>
          <w:color w:val="auto"/>
          <w:sz w:val="32"/>
          <w:szCs w:val="32"/>
        </w:rPr>
        <w:t xml:space="preserve">  </w:t>
      </w:r>
    </w:p>
    <w:p w14:paraId="2D744FF1">
      <w:pPr>
        <w:pStyle w:val="39"/>
        <w:spacing w:line="360" w:lineRule="auto"/>
        <w:rPr>
          <w:rFonts w:hint="eastAsia" w:ascii="仿宋" w:hAnsi="仿宋" w:eastAsia="仿宋" w:cs="仿宋"/>
          <w:sz w:val="48"/>
          <w:szCs w:val="48"/>
        </w:rPr>
      </w:pPr>
      <w:r>
        <w:rPr>
          <w:rFonts w:hint="eastAsia" w:ascii="仿宋" w:hAnsi="仿宋" w:eastAsia="仿宋" w:cs="仿宋"/>
          <w:sz w:val="48"/>
          <w:szCs w:val="48"/>
        </w:rPr>
        <w:t>***服务项目</w:t>
      </w:r>
    </w:p>
    <w:p w14:paraId="622B975B">
      <w:pPr>
        <w:pStyle w:val="39"/>
        <w:spacing w:line="360" w:lineRule="auto"/>
        <w:rPr>
          <w:rFonts w:hint="eastAsia" w:ascii="仿宋" w:hAnsi="仿宋" w:eastAsia="仿宋" w:cs="仿宋"/>
          <w:sz w:val="48"/>
          <w:szCs w:val="48"/>
        </w:rPr>
      </w:pPr>
      <w:r>
        <w:rPr>
          <w:rFonts w:hint="eastAsia" w:ascii="仿宋" w:hAnsi="仿宋" w:eastAsia="仿宋" w:cs="仿宋"/>
          <w:sz w:val="48"/>
          <w:szCs w:val="48"/>
        </w:rPr>
        <w:t>采购合同</w:t>
      </w:r>
    </w:p>
    <w:p w14:paraId="3987C57D">
      <w:pPr>
        <w:spacing w:line="360" w:lineRule="auto"/>
        <w:rPr>
          <w:rFonts w:hint="eastAsia" w:ascii="仿宋" w:hAnsi="仿宋" w:eastAsia="仿宋" w:cs="仿宋"/>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425" w:num="1"/>
          <w:docGrid w:linePitch="312" w:charSpace="0"/>
        </w:sectPr>
      </w:pPr>
    </w:p>
    <w:p w14:paraId="51A81929">
      <w:pPr>
        <w:adjustRightInd w:val="0"/>
        <w:spacing w:line="360" w:lineRule="auto"/>
        <w:ind w:firstLine="420" w:firstLineChars="200"/>
        <w:contextualSpacing/>
        <w:jc w:val="left"/>
        <w:rPr>
          <w:rFonts w:hint="eastAsia" w:ascii="仿宋" w:hAnsi="仿宋" w:eastAsia="仿宋" w:cs="仿宋"/>
          <w:color w:val="000000"/>
          <w:szCs w:val="21"/>
        </w:rPr>
      </w:pPr>
    </w:p>
    <w:p w14:paraId="38DA1C0D">
      <w:pPr>
        <w:adjustRightInd w:val="0"/>
        <w:spacing w:line="360" w:lineRule="auto"/>
        <w:ind w:firstLine="420" w:firstLineChars="200"/>
        <w:contextualSpacing/>
        <w:jc w:val="left"/>
        <w:rPr>
          <w:rFonts w:hint="eastAsia" w:ascii="仿宋" w:hAnsi="仿宋" w:eastAsia="仿宋" w:cs="仿宋"/>
          <w:color w:val="000000"/>
          <w:szCs w:val="21"/>
        </w:rPr>
      </w:pPr>
    </w:p>
    <w:tbl>
      <w:tblPr>
        <w:tblStyle w:val="14"/>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合同编号</w:t>
            </w:r>
            <w:r>
              <w:rPr>
                <w:rFonts w:hint="eastAsia" w:ascii="仿宋" w:hAnsi="仿宋" w:eastAsia="仿宋" w:cs="仿宋"/>
                <w:color w:val="000000"/>
                <w:szCs w:val="21"/>
              </w:rPr>
              <w:t>：CGZX-***</w:t>
            </w:r>
          </w:p>
          <w:p w14:paraId="2F6BC159">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签订地点</w:t>
            </w:r>
            <w:r>
              <w:rPr>
                <w:rFonts w:hint="eastAsia" w:ascii="仿宋" w:hAnsi="仿宋" w:eastAsia="仿宋" w:cs="仿宋"/>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pacing w:line="360" w:lineRule="auto"/>
              <w:rPr>
                <w:rFonts w:hint="eastAsia" w:ascii="仿宋" w:hAnsi="仿宋" w:eastAsia="仿宋" w:cs="仿宋"/>
                <w:szCs w:val="21"/>
              </w:rPr>
            </w:pPr>
            <w:r>
              <w:rPr>
                <w:rFonts w:hint="eastAsia" w:ascii="仿宋" w:hAnsi="仿宋" w:eastAsia="仿宋" w:cs="仿宋"/>
                <w:b/>
                <w:bCs/>
                <w:szCs w:val="21"/>
              </w:rPr>
              <w:t>采购人（以下简称甲方）</w:t>
            </w:r>
            <w:r>
              <w:rPr>
                <w:rFonts w:hint="eastAsia" w:ascii="仿宋" w:hAnsi="仿宋" w:eastAsia="仿宋" w:cs="仿宋"/>
                <w:szCs w:val="21"/>
              </w:rPr>
              <w:t>：四川省人民医院</w:t>
            </w:r>
          </w:p>
          <w:p w14:paraId="2FDD4CAB">
            <w:pPr>
              <w:spacing w:line="360" w:lineRule="auto"/>
              <w:rPr>
                <w:rFonts w:hint="eastAsia" w:ascii="仿宋" w:hAnsi="仿宋" w:eastAsia="仿宋" w:cs="仿宋"/>
                <w:szCs w:val="21"/>
              </w:rPr>
            </w:pPr>
            <w:r>
              <w:rPr>
                <w:rFonts w:hint="eastAsia" w:ascii="仿宋" w:hAnsi="仿宋" w:eastAsia="仿宋" w:cs="仿宋"/>
                <w:b/>
                <w:bCs/>
                <w:szCs w:val="21"/>
              </w:rPr>
              <w:t>地址</w:t>
            </w:r>
            <w:r>
              <w:rPr>
                <w:rFonts w:hint="eastAsia" w:ascii="仿宋" w:hAnsi="仿宋" w:eastAsia="仿宋" w:cs="仿宋"/>
                <w:szCs w:val="21"/>
              </w:rPr>
              <w:t>：四川省成都市一环路西二段32号</w:t>
            </w:r>
          </w:p>
          <w:p w14:paraId="57D306C0">
            <w:pPr>
              <w:spacing w:line="360" w:lineRule="auto"/>
              <w:rPr>
                <w:rFonts w:hint="eastAsia" w:ascii="仿宋" w:hAnsi="仿宋" w:eastAsia="仿宋" w:cs="仿宋"/>
                <w:szCs w:val="21"/>
              </w:rPr>
            </w:pPr>
            <w:r>
              <w:rPr>
                <w:rFonts w:hint="eastAsia" w:ascii="仿宋" w:hAnsi="仿宋" w:eastAsia="仿宋" w:cs="仿宋"/>
                <w:b/>
                <w:bCs/>
                <w:szCs w:val="21"/>
              </w:rPr>
              <w:t>项目联系人</w:t>
            </w:r>
            <w:r>
              <w:rPr>
                <w:rFonts w:hint="eastAsia" w:ascii="仿宋" w:hAnsi="仿宋" w:eastAsia="仿宋" w:cs="仿宋"/>
                <w:szCs w:val="21"/>
              </w:rPr>
              <w:t xml:space="preserve">：*** </w:t>
            </w:r>
            <w:r>
              <w:rPr>
                <w:rFonts w:hint="eastAsia" w:ascii="仿宋" w:hAnsi="仿宋" w:eastAsia="仿宋" w:cs="仿宋"/>
                <w:b/>
                <w:bCs/>
                <w:szCs w:val="21"/>
              </w:rPr>
              <w:t>电话</w:t>
            </w:r>
            <w:r>
              <w:rPr>
                <w:rFonts w:hint="eastAsia" w:ascii="仿宋" w:hAnsi="仿宋" w:eastAsia="仿宋" w:cs="仿宋"/>
                <w:szCs w:val="21"/>
              </w:rPr>
              <w:t>：***</w:t>
            </w:r>
          </w:p>
          <w:p w14:paraId="55B6CA4B">
            <w:pPr>
              <w:spacing w:line="360" w:lineRule="auto"/>
              <w:rPr>
                <w:rFonts w:hint="eastAsia" w:ascii="仿宋" w:hAnsi="仿宋" w:eastAsia="仿宋" w:cs="仿宋"/>
              </w:rPr>
            </w:pPr>
            <w:r>
              <w:rPr>
                <w:rFonts w:hint="eastAsia" w:ascii="仿宋" w:hAnsi="仿宋" w:eastAsia="仿宋" w:cs="仿宋"/>
                <w:b/>
                <w:bCs/>
                <w:szCs w:val="21"/>
              </w:rPr>
              <w:t>电子邮件：</w:t>
            </w:r>
            <w:r>
              <w:rPr>
                <w:rFonts w:hint="eastAsia" w:ascii="仿宋" w:hAnsi="仿宋" w:eastAsia="仿宋" w:cs="仿宋"/>
                <w:szCs w:val="21"/>
              </w:rPr>
              <w:t>***</w:t>
            </w:r>
          </w:p>
        </w:tc>
        <w:tc>
          <w:tcPr>
            <w:tcW w:w="5242" w:type="dxa"/>
          </w:tcPr>
          <w:p w14:paraId="607B7137">
            <w:pPr>
              <w:spacing w:line="360" w:lineRule="auto"/>
              <w:rPr>
                <w:rFonts w:hint="eastAsia" w:ascii="仿宋" w:hAnsi="仿宋" w:eastAsia="仿宋" w:cs="仿宋"/>
                <w:b/>
                <w:bCs/>
                <w:szCs w:val="21"/>
              </w:rPr>
            </w:pPr>
            <w:r>
              <w:rPr>
                <w:rFonts w:hint="eastAsia" w:ascii="仿宋" w:hAnsi="仿宋" w:eastAsia="仿宋" w:cs="仿宋"/>
                <w:b/>
                <w:bCs/>
                <w:szCs w:val="21"/>
              </w:rPr>
              <w:t>供应商（以下简称乙方）：***</w:t>
            </w:r>
          </w:p>
          <w:p w14:paraId="7AB3403D">
            <w:pPr>
              <w:spacing w:line="360" w:lineRule="auto"/>
              <w:rPr>
                <w:rFonts w:hint="eastAsia" w:ascii="仿宋" w:hAnsi="仿宋" w:eastAsia="仿宋" w:cs="仿宋"/>
                <w:b/>
                <w:bCs/>
                <w:szCs w:val="21"/>
              </w:rPr>
            </w:pPr>
            <w:r>
              <w:rPr>
                <w:rFonts w:hint="eastAsia" w:ascii="仿宋" w:hAnsi="仿宋" w:eastAsia="仿宋" w:cs="仿宋"/>
                <w:b/>
                <w:bCs/>
                <w:szCs w:val="21"/>
              </w:rPr>
              <w:t>地址：***</w:t>
            </w:r>
          </w:p>
          <w:p w14:paraId="49B46EA1">
            <w:pPr>
              <w:spacing w:line="360" w:lineRule="auto"/>
              <w:rPr>
                <w:rFonts w:hint="eastAsia" w:ascii="仿宋" w:hAnsi="仿宋" w:eastAsia="仿宋" w:cs="仿宋"/>
                <w:b/>
                <w:bCs/>
                <w:szCs w:val="21"/>
              </w:rPr>
            </w:pPr>
            <w:r>
              <w:rPr>
                <w:rFonts w:hint="eastAsia" w:ascii="仿宋" w:hAnsi="仿宋" w:eastAsia="仿宋" w:cs="仿宋"/>
                <w:b/>
                <w:bCs/>
                <w:szCs w:val="21"/>
              </w:rPr>
              <w:t>移动电话：***</w:t>
            </w:r>
          </w:p>
          <w:p w14:paraId="2A04E3BE">
            <w:pPr>
              <w:spacing w:line="360" w:lineRule="auto"/>
              <w:contextualSpacing/>
              <w:rPr>
                <w:rFonts w:hint="eastAsia" w:ascii="仿宋" w:hAnsi="仿宋" w:eastAsia="仿宋" w:cs="仿宋"/>
                <w:b/>
                <w:bCs/>
                <w:szCs w:val="21"/>
              </w:rPr>
            </w:pPr>
            <w:r>
              <w:rPr>
                <w:rFonts w:hint="eastAsia" w:ascii="仿宋" w:hAnsi="仿宋" w:eastAsia="仿宋" w:cs="仿宋"/>
                <w:b/>
                <w:bCs/>
                <w:szCs w:val="21"/>
              </w:rPr>
              <w:t>联系人：***</w:t>
            </w:r>
          </w:p>
          <w:p w14:paraId="18A1ADEB">
            <w:pPr>
              <w:spacing w:line="360" w:lineRule="auto"/>
              <w:rPr>
                <w:rFonts w:hint="eastAsia" w:ascii="仿宋" w:hAnsi="仿宋" w:eastAsia="仿宋" w:cs="仿宋"/>
                <w:bCs/>
                <w:szCs w:val="21"/>
              </w:rPr>
            </w:pPr>
            <w:r>
              <w:rPr>
                <w:rFonts w:hint="eastAsia" w:ascii="仿宋" w:hAnsi="仿宋" w:eastAsia="仿宋" w:cs="仿宋"/>
                <w:b/>
                <w:bCs/>
                <w:szCs w:val="21"/>
              </w:rPr>
              <w:t>电子邮件：</w:t>
            </w:r>
            <w:r>
              <w:rPr>
                <w:rFonts w:hint="eastAsia" w:ascii="仿宋" w:hAnsi="仿宋" w:eastAsia="仿宋" w:cs="仿宋"/>
                <w:szCs w:val="21"/>
              </w:rPr>
              <w:t>***</w:t>
            </w:r>
          </w:p>
        </w:tc>
      </w:tr>
    </w:tbl>
    <w:p w14:paraId="5F2EEB2D">
      <w:pPr>
        <w:spacing w:line="360" w:lineRule="auto"/>
        <w:ind w:firstLine="420" w:firstLineChars="200"/>
        <w:contextualSpacing/>
        <w:jc w:val="left"/>
        <w:rPr>
          <w:rFonts w:hint="eastAsia" w:ascii="仿宋" w:hAnsi="仿宋" w:eastAsia="仿宋" w:cs="仿宋"/>
          <w:color w:val="000000"/>
          <w:szCs w:val="21"/>
        </w:rPr>
      </w:pPr>
    </w:p>
    <w:p w14:paraId="2600F949">
      <w:pPr>
        <w:adjustRightInd w:val="0"/>
        <w:spacing w:line="360" w:lineRule="auto"/>
        <w:ind w:firstLine="420" w:firstLineChars="200"/>
        <w:contextualSpacing/>
        <w:jc w:val="left"/>
        <w:rPr>
          <w:rFonts w:hint="eastAsia" w:ascii="仿宋" w:hAnsi="仿宋" w:eastAsia="仿宋" w:cs="仿宋"/>
          <w:b/>
          <w:szCs w:val="21"/>
          <w:highlight w:val="none"/>
        </w:rPr>
      </w:pPr>
      <w:r>
        <w:rPr>
          <w:rFonts w:hint="eastAsia" w:ascii="仿宋" w:hAnsi="仿宋" w:eastAsia="仿宋" w:cs="仿宋"/>
          <w:color w:val="000000"/>
          <w:szCs w:val="21"/>
        </w:rPr>
        <w:t>根据《中华人民共和国民法典》及甲方发布的***项目（项目编号</w:t>
      </w:r>
      <w:permStart w:id="0" w:edGrp="everyone"/>
      <w:r>
        <w:rPr>
          <w:rFonts w:hint="eastAsia" w:ascii="仿宋" w:hAnsi="仿宋" w:eastAsia="仿宋" w:cs="仿宋"/>
          <w:color w:val="000000"/>
          <w:szCs w:val="21"/>
        </w:rPr>
        <w:t>：</w:t>
      </w:r>
      <w:r>
        <w:rPr>
          <w:rFonts w:hint="eastAsia" w:ascii="仿宋" w:hAnsi="仿宋" w:eastAsia="仿宋" w:cs="仿宋"/>
          <w:szCs w:val="21"/>
        </w:rPr>
        <w:t>***</w:t>
      </w:r>
      <w:permEnd w:id="0"/>
      <w:r>
        <w:rPr>
          <w:rFonts w:hint="eastAsia" w:ascii="仿宋" w:hAnsi="仿宋" w:eastAsia="仿宋" w:cs="仿宋"/>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r>
        <w:rPr>
          <w:rFonts w:hint="eastAsia" w:ascii="仿宋" w:hAnsi="仿宋" w:eastAsia="仿宋" w:cs="仿宋"/>
          <w:color w:val="000000"/>
          <w:szCs w:val="21"/>
          <w:highlight w:val="none"/>
        </w:rPr>
        <w:t>：</w:t>
      </w:r>
    </w:p>
    <w:p w14:paraId="0E683A7E">
      <w:pPr>
        <w:spacing w:line="360" w:lineRule="auto"/>
        <w:contextualSpacing/>
        <w:jc w:val="left"/>
        <w:rPr>
          <w:rFonts w:hint="eastAsia" w:ascii="仿宋" w:hAnsi="仿宋" w:eastAsia="仿宋" w:cs="仿宋"/>
          <w:b/>
          <w:szCs w:val="21"/>
          <w:highlight w:val="none"/>
        </w:rPr>
      </w:pPr>
    </w:p>
    <w:p w14:paraId="4F98A68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合同标的</w:t>
      </w:r>
    </w:p>
    <w:p w14:paraId="2E385537">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标的名称：</w:t>
      </w:r>
      <w:permStart w:id="1" w:edGrp="everyone"/>
      <w:r>
        <w:rPr>
          <w:rFonts w:hint="eastAsia" w:ascii="仿宋" w:hAnsi="仿宋" w:eastAsia="仿宋" w:cs="仿宋"/>
          <w:szCs w:val="21"/>
          <w:highlight w:val="none"/>
        </w:rPr>
        <w:t>***</w:t>
      </w:r>
      <w:permEnd w:id="1"/>
      <w:r>
        <w:rPr>
          <w:rFonts w:hint="eastAsia" w:ascii="仿宋" w:hAnsi="仿宋" w:eastAsia="仿宋" w:cs="仿宋"/>
          <w:szCs w:val="21"/>
          <w:highlight w:val="none"/>
        </w:rPr>
        <w:t>。</w:t>
      </w:r>
    </w:p>
    <w:p w14:paraId="4229FB38">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乙方向甲方提供服务的主要内容：***。</w:t>
      </w:r>
    </w:p>
    <w:p w14:paraId="5F975DD2">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服务分项明细：</w:t>
      </w:r>
      <w:r>
        <w:rPr>
          <w:rFonts w:hint="eastAsia" w:ascii="仿宋" w:hAnsi="仿宋" w:eastAsia="仿宋" w:cs="仿宋"/>
          <w:i/>
          <w:iCs/>
          <w:color w:val="000000"/>
          <w:szCs w:val="21"/>
          <w:highlight w:val="none"/>
          <w:lang w:val="zh-CN"/>
        </w:rPr>
        <w:t>&lt;本条款如不涉及请删除；按实结算项目的单价，请在第二条及附件1中进行编制说明。&gt;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977" w:type="dxa"/>
            <w:vAlign w:val="center"/>
          </w:tcPr>
          <w:p w14:paraId="42032E31">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分项服务名称</w:t>
            </w:r>
          </w:p>
        </w:tc>
        <w:tc>
          <w:tcPr>
            <w:tcW w:w="3686" w:type="dxa"/>
            <w:vAlign w:val="center"/>
          </w:tcPr>
          <w:p w14:paraId="0F0FDBF4">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具体内容</w:t>
            </w:r>
          </w:p>
        </w:tc>
        <w:tc>
          <w:tcPr>
            <w:tcW w:w="963" w:type="dxa"/>
            <w:vAlign w:val="center"/>
          </w:tcPr>
          <w:p w14:paraId="6E75E46C">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分项价格（万元）</w:t>
            </w:r>
          </w:p>
        </w:tc>
        <w:tc>
          <w:tcPr>
            <w:tcW w:w="2016" w:type="dxa"/>
          </w:tcPr>
          <w:p w14:paraId="3BC8F9B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977" w:type="dxa"/>
            <w:vAlign w:val="center"/>
          </w:tcPr>
          <w:p w14:paraId="629F7C51">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1B711F72">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5DD02118">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149276E7">
            <w:pPr>
              <w:pStyle w:val="31"/>
              <w:spacing w:line="360" w:lineRule="auto"/>
              <w:ind w:firstLine="0" w:firstLineChars="0"/>
              <w:rPr>
                <w:rFonts w:hint="eastAsia" w:ascii="仿宋" w:hAnsi="仿宋" w:eastAsia="仿宋" w:cs="仿宋"/>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977" w:type="dxa"/>
            <w:vAlign w:val="center"/>
          </w:tcPr>
          <w:p w14:paraId="0E44D544">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01B65D9C">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4C31DD39">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3000AC5A">
            <w:pPr>
              <w:pStyle w:val="31"/>
              <w:spacing w:line="360" w:lineRule="auto"/>
              <w:ind w:firstLine="0" w:firstLineChars="0"/>
              <w:rPr>
                <w:rFonts w:hint="eastAsia" w:ascii="仿宋" w:hAnsi="仿宋" w:eastAsia="仿宋" w:cs="仿宋"/>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2977" w:type="dxa"/>
            <w:vAlign w:val="center"/>
          </w:tcPr>
          <w:p w14:paraId="71D5F885">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38AC0A57">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3B15876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43F7F4B9">
            <w:pPr>
              <w:pStyle w:val="31"/>
              <w:spacing w:line="360" w:lineRule="auto"/>
              <w:ind w:firstLine="0" w:firstLineChars="0"/>
              <w:rPr>
                <w:rFonts w:hint="eastAsia" w:ascii="仿宋" w:hAnsi="仿宋" w:eastAsia="仿宋" w:cs="仿宋"/>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2977" w:type="dxa"/>
            <w:vAlign w:val="center"/>
          </w:tcPr>
          <w:p w14:paraId="492CFE5D">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5E27032F">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19B2144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5FC047A6">
            <w:pPr>
              <w:pStyle w:val="31"/>
              <w:spacing w:line="360" w:lineRule="auto"/>
              <w:ind w:firstLine="0" w:firstLineChars="0"/>
              <w:rPr>
                <w:rFonts w:hint="eastAsia" w:ascii="仿宋" w:hAnsi="仿宋" w:eastAsia="仿宋" w:cs="仿宋"/>
                <w:color w:val="000000"/>
                <w:szCs w:val="21"/>
                <w:highlight w:val="none"/>
              </w:rPr>
            </w:pPr>
          </w:p>
        </w:tc>
      </w:tr>
    </w:tbl>
    <w:p w14:paraId="2D35C912">
      <w:pPr>
        <w:pStyle w:val="31"/>
        <w:numPr>
          <w:ilvl w:val="0"/>
          <w:numId w:val="18"/>
        </w:numPr>
        <w:spacing w:line="360" w:lineRule="auto"/>
        <w:ind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合同价款</w:t>
      </w:r>
    </w:p>
    <w:p w14:paraId="036F89BD">
      <w:pPr>
        <w:spacing w:line="360" w:lineRule="auto"/>
        <w:ind w:firstLine="480"/>
        <w:contextualSpacing/>
        <w:jc w:val="left"/>
        <w:rPr>
          <w:rFonts w:hint="eastAsia" w:ascii="仿宋" w:hAnsi="仿宋" w:eastAsia="仿宋" w:cs="仿宋"/>
          <w:szCs w:val="21"/>
          <w:highlight w:val="none"/>
        </w:rPr>
      </w:pPr>
      <w:bookmarkStart w:id="35" w:name="OLE_LINK1"/>
      <w:bookmarkStart w:id="36" w:name="OLE_LINK2"/>
      <w:r>
        <w:rPr>
          <w:rFonts w:hint="eastAsia" w:ascii="仿宋" w:hAnsi="仿宋" w:eastAsia="仿宋" w:cs="仿宋"/>
          <w:color w:val="000000"/>
          <w:szCs w:val="21"/>
          <w:highlight w:val="none"/>
        </w:rPr>
        <w:sym w:font="Wingdings 2" w:char="F052"/>
      </w:r>
      <w:r>
        <w:rPr>
          <w:rFonts w:hint="eastAsia" w:ascii="仿宋" w:hAnsi="仿宋" w:eastAsia="仿宋" w:cs="仿宋"/>
          <w:szCs w:val="21"/>
          <w:highlight w:val="none"/>
        </w:rPr>
        <w:t>全包服务</w:t>
      </w:r>
    </w:p>
    <w:p w14:paraId="6903D519">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半包服务</w:t>
      </w:r>
    </w:p>
    <w:p w14:paraId="1F79E5D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1.本合同固定部分价款为</w:t>
      </w:r>
      <w:bookmarkStart w:id="37" w:name="OLE_LINK28"/>
      <w:r>
        <w:rPr>
          <w:rFonts w:hint="eastAsia" w:ascii="仿宋" w:hAnsi="仿宋" w:eastAsia="仿宋" w:cs="仿宋"/>
          <w:szCs w:val="21"/>
          <w:highlight w:val="none"/>
        </w:rPr>
        <w:t>人民币大写：*** 圆整，即RMB *** 元</w:t>
      </w:r>
      <w:bookmarkEnd w:id="37"/>
      <w:r>
        <w:rPr>
          <w:rFonts w:hint="eastAsia" w:ascii="仿宋" w:hAnsi="仿宋" w:eastAsia="仿宋" w:cs="仿宋"/>
          <w:szCs w:val="21"/>
          <w:highlight w:val="none"/>
        </w:rPr>
        <w:t>，该部分价款已包括***及税费在内的全部含税费用。本合同执行期间该部分合同价款不变，甲方无须向乙方支付本合同规定之外的其他任何费用。</w:t>
      </w:r>
    </w:p>
    <w:p w14:paraId="2272364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p w14:paraId="12981F5A">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按实结算</w:t>
      </w:r>
    </w:p>
    <w:p w14:paraId="70F77AF6">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本合同支付总额不超过人民币大写：*** 圆整，即RMB *** 元，依据本合同单价进行结算，结算单价详见附件1《结算单价清单》。</w:t>
      </w:r>
    </w:p>
    <w:bookmarkEnd w:id="35"/>
    <w:bookmarkEnd w:id="36"/>
    <w:p w14:paraId="61352334">
      <w:pPr>
        <w:pStyle w:val="31"/>
        <w:numPr>
          <w:ilvl w:val="0"/>
          <w:numId w:val="18"/>
        </w:numPr>
        <w:spacing w:line="360" w:lineRule="auto"/>
        <w:ind w:left="0" w:firstLine="0"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服务期限</w:t>
      </w:r>
      <w:r>
        <w:rPr>
          <w:rFonts w:hint="eastAsia" w:ascii="仿宋" w:hAnsi="仿宋" w:eastAsia="仿宋" w:cs="仿宋"/>
          <w:i/>
          <w:iCs/>
          <w:szCs w:val="21"/>
          <w:highlight w:val="none"/>
        </w:rPr>
        <w:t>&lt;根据项目实际情况选择&gt;</w:t>
      </w:r>
    </w:p>
    <w:p w14:paraId="4E947B0D">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本</w:t>
      </w:r>
      <w:r>
        <w:rPr>
          <w:rFonts w:hint="eastAsia" w:ascii="仿宋" w:hAnsi="仿宋" w:eastAsia="仿宋" w:cs="仿宋"/>
          <w:bCs/>
          <w:szCs w:val="21"/>
          <w:highlight w:val="none"/>
        </w:rPr>
        <w:t>合同服务期限为 *** 年，自 202* 年 *** 月 *** 日起至 202* 年 *** 月 *** 日。</w:t>
      </w:r>
    </w:p>
    <w:p w14:paraId="3141708C">
      <w:pPr>
        <w:pStyle w:val="31"/>
        <w:spacing w:line="360" w:lineRule="auto"/>
        <w:jc w:val="left"/>
        <w:rPr>
          <w:rFonts w:hint="eastAsia" w:ascii="仿宋" w:hAnsi="仿宋" w:eastAsia="仿宋" w:cs="仿宋"/>
          <w:bCs/>
          <w:szCs w:val="21"/>
          <w:highlight w:val="none"/>
        </w:rPr>
      </w:pPr>
    </w:p>
    <w:p w14:paraId="368787FF">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本合同服务期限为双方签字盖章生效之日起 *** 年，即自 202* 年 *** 月 *** 日起至 202* 年 *** 月 *** 日。</w:t>
      </w:r>
    </w:p>
    <w:p w14:paraId="08791303">
      <w:pPr>
        <w:pStyle w:val="31"/>
        <w:spacing w:line="360" w:lineRule="auto"/>
        <w:jc w:val="left"/>
        <w:rPr>
          <w:rFonts w:hint="eastAsia" w:ascii="仿宋" w:hAnsi="仿宋" w:eastAsia="仿宋" w:cs="仿宋"/>
          <w:bCs/>
          <w:szCs w:val="21"/>
          <w:highlight w:val="none"/>
        </w:rPr>
      </w:pPr>
    </w:p>
    <w:p w14:paraId="27DB179C">
      <w:pPr>
        <w:pStyle w:val="31"/>
        <w:spacing w:line="360" w:lineRule="auto"/>
        <w:ind w:left="105" w:leftChars="50" w:firstLine="315" w:firstLineChars="150"/>
        <w:jc w:val="left"/>
        <w:rPr>
          <w:rFonts w:hint="eastAsia" w:ascii="仿宋" w:hAnsi="仿宋" w:eastAsia="仿宋" w:cs="仿宋"/>
          <w:b/>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本项目服务期为</w:t>
      </w:r>
      <w:r>
        <w:rPr>
          <w:rFonts w:hint="eastAsia" w:ascii="仿宋" w:hAnsi="仿宋" w:eastAsia="仿宋" w:cs="仿宋"/>
          <w:bCs/>
          <w:szCs w:val="21"/>
          <w:highlight w:val="none"/>
          <w:u w:val="single"/>
        </w:rPr>
        <w:t>叁</w:t>
      </w:r>
      <w:r>
        <w:rPr>
          <w:rFonts w:hint="eastAsia" w:ascii="仿宋" w:hAnsi="仿宋" w:eastAsia="仿宋" w:cs="仿宋"/>
          <w:bCs/>
          <w:szCs w:val="21"/>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Cs w:val="21"/>
          <w:highlight w:val="none"/>
          <w:u w:val="single"/>
        </w:rPr>
        <w:t>，经甲方考核合格后续签下一年合同</w:t>
      </w:r>
      <w:bookmarkStart w:id="38" w:name="OLE_LINK29"/>
      <w:r>
        <w:rPr>
          <w:rFonts w:hint="eastAsia" w:ascii="仿宋" w:hAnsi="仿宋" w:eastAsia="仿宋" w:cs="仿宋"/>
          <w:bCs/>
          <w:szCs w:val="21"/>
          <w:highlight w:val="none"/>
        </w:rPr>
        <w:t>，考核标准详见附件</w:t>
      </w:r>
      <w:r>
        <w:rPr>
          <w:rFonts w:hint="eastAsia" w:ascii="仿宋" w:hAnsi="仿宋" w:eastAsia="仿宋" w:cs="仿宋"/>
          <w:bCs/>
          <w:szCs w:val="21"/>
          <w:highlight w:val="none"/>
          <w:u w:val="single"/>
        </w:rPr>
        <w:t>2</w:t>
      </w:r>
      <w:r>
        <w:rPr>
          <w:rFonts w:hint="eastAsia" w:ascii="仿宋" w:hAnsi="仿宋" w:eastAsia="仿宋" w:cs="仿宋"/>
          <w:bCs/>
          <w:szCs w:val="21"/>
          <w:highlight w:val="none"/>
        </w:rPr>
        <w:t>《考核标准》</w:t>
      </w:r>
      <w:bookmarkEnd w:id="38"/>
      <w:r>
        <w:rPr>
          <w:rFonts w:hint="eastAsia" w:ascii="仿宋" w:hAnsi="仿宋" w:eastAsia="仿宋" w:cs="仿宋"/>
          <w:bCs/>
          <w:szCs w:val="21"/>
          <w:highlight w:val="none"/>
        </w:rPr>
        <w:t>。</w:t>
      </w:r>
    </w:p>
    <w:p w14:paraId="1B25740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服务方案</w:t>
      </w:r>
    </w:p>
    <w:p w14:paraId="06E0AE13">
      <w:pPr>
        <w:spacing w:line="360" w:lineRule="auto"/>
        <w:ind w:firstLine="420" w:firstLineChars="200"/>
        <w:contextualSpacing/>
        <w:jc w:val="left"/>
        <w:rPr>
          <w:rFonts w:hint="eastAsia" w:ascii="仿宋" w:hAnsi="仿宋" w:eastAsia="仿宋" w:cs="仿宋"/>
          <w:szCs w:val="21"/>
          <w:highlight w:val="none"/>
        </w:rPr>
      </w:pPr>
      <w:r>
        <w:rPr>
          <w:rFonts w:hint="eastAsia" w:ascii="仿宋" w:hAnsi="仿宋" w:eastAsia="仿宋" w:cs="仿宋"/>
          <w:bCs/>
          <w:szCs w:val="21"/>
          <w:highlight w:val="none"/>
        </w:rPr>
        <w:t>乙方应严格按照本合同服务方案和甲方要求提供服务，服务方案详见附件3《服务方案》。</w:t>
      </w:r>
    </w:p>
    <w:p w14:paraId="7482C29A">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验收</w:t>
      </w:r>
    </w:p>
    <w:p w14:paraId="57707485">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甲、乙双方确定，按照本合同约定的验收方案对乙方按本合同约定所提供的服务进行验收。</w:t>
      </w:r>
    </w:p>
    <w:p w14:paraId="103305C9">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验收方案：</w:t>
      </w:r>
    </w:p>
    <w:p w14:paraId="10719F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验收主体：甲方</w:t>
      </w:r>
    </w:p>
    <w:p w14:paraId="7212F6E2">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验收组织方式：自行验收</w:t>
      </w:r>
    </w:p>
    <w:p w14:paraId="5C963DB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验收程序：</w:t>
      </w:r>
      <w:r>
        <w:rPr>
          <w:rFonts w:hint="eastAsia" w:ascii="仿宋" w:hAnsi="仿宋" w:eastAsia="仿宋" w:cs="仿宋"/>
          <w:highlight w:val="none"/>
        </w:rPr>
        <w:sym w:font="Wingdings 2" w:char="F052"/>
      </w:r>
      <w:r>
        <w:rPr>
          <w:rFonts w:hint="eastAsia" w:ascii="仿宋" w:hAnsi="仿宋" w:eastAsia="仿宋" w:cs="仿宋"/>
          <w:color w:val="000000"/>
          <w:szCs w:val="21"/>
          <w:highlight w:val="none"/>
        </w:rPr>
        <w:t xml:space="preserve">一次性验收   </w:t>
      </w:r>
      <w:r>
        <w:rPr>
          <w:rFonts w:hint="eastAsia" w:ascii="仿宋" w:hAnsi="仿宋" w:eastAsia="仿宋" w:cs="仿宋"/>
          <w:highlight w:val="none"/>
        </w:rPr>
        <w:sym w:font="Wingdings" w:char="F0A8"/>
      </w:r>
      <w:r>
        <w:rPr>
          <w:rFonts w:hint="eastAsia" w:ascii="仿宋" w:hAnsi="仿宋" w:eastAsia="仿宋" w:cs="仿宋"/>
          <w:color w:val="000000"/>
          <w:szCs w:val="21"/>
          <w:highlight w:val="none"/>
        </w:rPr>
        <w:t>分段/分期验收</w:t>
      </w:r>
    </w:p>
    <w:p w14:paraId="0ACAEB8E">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验收方式：</w:t>
      </w:r>
      <w:r>
        <w:rPr>
          <w:rFonts w:hint="eastAsia" w:ascii="仿宋" w:hAnsi="仿宋" w:eastAsia="仿宋" w:cs="仿宋"/>
          <w:color w:val="000000"/>
          <w:highlight w:val="none"/>
        </w:rPr>
        <w:sym w:font="Wingdings 2" w:char="F052"/>
      </w:r>
      <w:r>
        <w:rPr>
          <w:rFonts w:hint="eastAsia" w:ascii="仿宋" w:hAnsi="仿宋" w:eastAsia="仿宋" w:cs="仿宋"/>
          <w:color w:val="000000"/>
          <w:highlight w:val="none"/>
        </w:rPr>
        <w:t>现场整体验收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考核验收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其它验收方式：</w:t>
      </w:r>
      <w:r>
        <w:rPr>
          <w:rFonts w:hint="eastAsia" w:ascii="仿宋" w:hAnsi="仿宋" w:eastAsia="仿宋" w:cs="仿宋"/>
          <w:color w:val="000000"/>
          <w:highlight w:val="none"/>
          <w:u w:val="single"/>
          <w:shd w:val="clear" w:color="auto" w:fill="FFFFFF"/>
        </w:rPr>
        <w:t>***</w:t>
      </w:r>
    </w:p>
    <w:p w14:paraId="25BB580A">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履约验收内容：按照甲方的采购文件要求及乙方响应文件响应情况，由乙方向甲方提供的</w:t>
      </w:r>
      <w:r>
        <w:rPr>
          <w:rFonts w:hint="eastAsia" w:ascii="仿宋" w:hAnsi="仿宋" w:eastAsia="仿宋" w:cs="仿宋"/>
          <w:szCs w:val="21"/>
          <w:highlight w:val="none"/>
          <w:u w:val="single"/>
        </w:rPr>
        <w:t>全部服务</w:t>
      </w:r>
      <w:r>
        <w:rPr>
          <w:rFonts w:hint="eastAsia" w:ascii="仿宋" w:hAnsi="仿宋" w:eastAsia="仿宋" w:cs="仿宋"/>
          <w:szCs w:val="21"/>
          <w:highlight w:val="none"/>
        </w:rPr>
        <w:t>的履约情况。</w:t>
      </w:r>
    </w:p>
    <w:p w14:paraId="1F2D4C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履约验收时间：</w:t>
      </w:r>
    </w:p>
    <w:p w14:paraId="27EEE864">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服务期满且乙方完成所有服务内容后X日内通知甲方验收，甲方接乙方通知后X日内组织验收</w:t>
      </w:r>
    </w:p>
    <w:p w14:paraId="13560871">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乙方完成每一阶段或轮次服务内容后X日内通知甲方验收，甲方接乙方通知后X日内组织验收</w:t>
      </w:r>
    </w:p>
    <w:p w14:paraId="668E8EC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甲方完成考核后X日内组织验收</w:t>
      </w:r>
    </w:p>
    <w:p w14:paraId="06090759">
      <w:pPr>
        <w:pStyle w:val="13"/>
        <w:spacing w:after="0" w:line="360" w:lineRule="auto"/>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 xml:space="preserve">其它验收时间：            </w:t>
      </w:r>
    </w:p>
    <w:p w14:paraId="0A943DA8">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是否邀请本项目的其他供应商：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740E083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是否邀请专家：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595EB419">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是否邀请服务对象：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212FF5E1">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是否邀请第三方检测机构：</w:t>
      </w:r>
      <w:r>
        <w:rPr>
          <w:rFonts w:hint="eastAsia" w:ascii="仿宋" w:hAnsi="仿宋" w:eastAsia="仿宋" w:cs="仿宋"/>
          <w:kern w:val="0"/>
          <w:highlight w:val="none"/>
          <w:shd w:val="clear" w:color="auto" w:fill="FFFFFF"/>
        </w:rPr>
        <w:t xml:space="preserve">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47F88790">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验收标准：</w:t>
      </w:r>
    </w:p>
    <w:p w14:paraId="24757C73">
      <w:pPr>
        <w:pStyle w:val="13"/>
        <w:numPr>
          <w:ilvl w:val="0"/>
          <w:numId w:val="22"/>
        </w:numPr>
        <w:spacing w:after="0" w:line="360" w:lineRule="auto"/>
        <w:ind w:firstLineChars="0"/>
        <w:contextualSpacing/>
        <w:rPr>
          <w:rFonts w:hint="eastAsia" w:ascii="仿宋" w:hAnsi="仿宋" w:eastAsia="仿宋" w:cs="仿宋"/>
          <w:szCs w:val="21"/>
          <w:highlight w:val="none"/>
        </w:rPr>
      </w:pPr>
      <w:bookmarkStart w:id="39" w:name="OLE_LINK4"/>
      <w:r>
        <w:rPr>
          <w:rFonts w:hint="eastAsia" w:ascii="仿宋" w:hAnsi="仿宋" w:eastAsia="仿宋" w:cs="仿宋"/>
          <w:szCs w:val="21"/>
          <w:highlight w:val="none"/>
          <w:shd w:val="clear" w:color="auto" w:fill="FFFFFF"/>
        </w:rPr>
        <w:t>国家相关法律法规、行业标准、技术规范。</w:t>
      </w:r>
    </w:p>
    <w:p w14:paraId="4A34192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甲方采购文件相关技术、服务要求、乙方响应文件相关响应内容。</w:t>
      </w:r>
    </w:p>
    <w:p w14:paraId="4BB5AAA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如本项目验收方式为考核验收，则考核结果须为合格。</w:t>
      </w:r>
    </w:p>
    <w:bookmarkEnd w:id="39"/>
    <w:p w14:paraId="2BFFECC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参照《财政部关于进一步加强政府采购需求和履约验收管理的指导意见》（财库〔2016〕205号）的要求进行验收。</w:t>
      </w:r>
    </w:p>
    <w:p w14:paraId="5A8F93D9">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其它标准：</w:t>
      </w:r>
      <w:r>
        <w:rPr>
          <w:rFonts w:hint="eastAsia" w:ascii="仿宋" w:hAnsi="仿宋" w:eastAsia="仿宋" w:cs="仿宋"/>
          <w:szCs w:val="21"/>
          <w:highlight w:val="none"/>
          <w:u w:val="single"/>
        </w:rPr>
        <w:t>无。</w:t>
      </w:r>
    </w:p>
    <w:p w14:paraId="5FCD4D1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其它验收要求：</w:t>
      </w:r>
      <w:r>
        <w:rPr>
          <w:rFonts w:hint="eastAsia" w:ascii="仿宋" w:hAnsi="仿宋" w:eastAsia="仿宋" w:cs="仿宋"/>
          <w:color w:val="000000"/>
          <w:kern w:val="0"/>
          <w:szCs w:val="21"/>
          <w:highlight w:val="none"/>
          <w:u w:val="single"/>
        </w:rPr>
        <w:t>无</w:t>
      </w:r>
      <w:r>
        <w:rPr>
          <w:rFonts w:hint="eastAsia" w:ascii="仿宋" w:hAnsi="仿宋" w:eastAsia="仿宋" w:cs="仿宋"/>
          <w:i/>
          <w:iCs/>
          <w:color w:val="000000"/>
          <w:kern w:val="0"/>
          <w:szCs w:val="21"/>
          <w:highlight w:val="none"/>
        </w:rPr>
        <w:t>&lt;如有请填写&gt;</w:t>
      </w:r>
    </w:p>
    <w:p w14:paraId="6213DBF3">
      <w:pPr>
        <w:pStyle w:val="31"/>
        <w:numPr>
          <w:ilvl w:val="0"/>
          <w:numId w:val="2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付款方式</w:t>
      </w:r>
    </w:p>
    <w:p w14:paraId="5CC2072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履约保证金：</w:t>
      </w:r>
    </w:p>
    <w:p w14:paraId="1A98FD8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乙方在合同签订生效之日起的</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个工作日内，按合同总价</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%支付履约保证金；本合同服务期满且验收合格后，甲方接到乙方付款申请后</w:t>
      </w:r>
      <w:r>
        <w:rPr>
          <w:rFonts w:hint="eastAsia" w:ascii="仿宋" w:hAnsi="仿宋" w:eastAsia="仿宋" w:cs="仿宋"/>
          <w:color w:val="000000"/>
          <w:szCs w:val="21"/>
          <w:highlight w:val="none"/>
          <w:u w:val="single"/>
        </w:rPr>
        <w:t>30</w:t>
      </w:r>
      <w:r>
        <w:rPr>
          <w:rFonts w:hint="eastAsia" w:ascii="仿宋" w:hAnsi="仿宋" w:eastAsia="仿宋" w:cs="仿宋"/>
          <w:color w:val="000000"/>
          <w:szCs w:val="21"/>
          <w:highlight w:val="none"/>
        </w:rPr>
        <w:t>个工作日内，甲方一次性无息退还乙方的履约保证金；经验收后乙方履约不合格的，履约保证金不予退还。</w:t>
      </w:r>
    </w:p>
    <w:p w14:paraId="7A4394EF">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本合同不涉及履约保证金。</w:t>
      </w:r>
    </w:p>
    <w:p w14:paraId="0DB5940E">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本合同价款采用以下方式支付，以人民币结算：</w:t>
      </w:r>
    </w:p>
    <w:p w14:paraId="09FDA0E6">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一次性支付：</w:t>
      </w:r>
    </w:p>
    <w:p w14:paraId="621259CA">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szCs w:val="21"/>
          <w:highlight w:val="none"/>
        </w:rPr>
        <w:t>本合同服务期满且经甲方验收合格后</w:t>
      </w:r>
      <w:r>
        <w:rPr>
          <w:rFonts w:hint="eastAsia" w:ascii="仿宋" w:hAnsi="仿宋" w:eastAsia="仿宋" w:cs="仿宋"/>
          <w:szCs w:val="21"/>
          <w:highlight w:val="none"/>
          <w:u w:val="single"/>
        </w:rPr>
        <w:t>5</w:t>
      </w:r>
      <w:r>
        <w:rPr>
          <w:rFonts w:hint="eastAsia" w:ascii="仿宋" w:hAnsi="仿宋" w:eastAsia="仿宋" w:cs="仿宋"/>
          <w:szCs w:val="21"/>
          <w:highlight w:val="none"/>
        </w:rPr>
        <w:t>日内</w:t>
      </w:r>
      <w:r>
        <w:rPr>
          <w:rFonts w:hint="eastAsia" w:ascii="仿宋" w:hAnsi="仿宋" w:eastAsia="仿宋" w:cs="仿宋"/>
          <w:color w:val="000000"/>
          <w:szCs w:val="21"/>
          <w:highlight w:val="none"/>
        </w:rPr>
        <w:t>，乙方须向甲方提供合法有效票据及其他相关请款资料，甲方自收到乙方请款资料后</w:t>
      </w:r>
      <w:r>
        <w:rPr>
          <w:rFonts w:hint="eastAsia" w:ascii="仿宋" w:hAnsi="仿宋" w:eastAsia="仿宋" w:cs="仿宋"/>
          <w:color w:val="000000"/>
          <w:szCs w:val="21"/>
          <w:highlight w:val="none"/>
          <w:u w:val="single"/>
        </w:rPr>
        <w:t>55</w:t>
      </w:r>
      <w:r>
        <w:rPr>
          <w:rFonts w:hint="eastAsia" w:ascii="仿宋" w:hAnsi="仿宋" w:eastAsia="仿宋" w:cs="仿宋"/>
          <w:color w:val="000000"/>
          <w:szCs w:val="21"/>
          <w:highlight w:val="none"/>
        </w:rPr>
        <w:t>日内支付合同总价100%的金额给乙方。</w:t>
      </w:r>
    </w:p>
    <w:p w14:paraId="750B8A19">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分阶段支付，支付期限、方式及额度如下：</w:t>
      </w:r>
    </w:p>
    <w:p w14:paraId="56BDDA9D">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bookmarkStart w:id="40" w:name="OLE_LINK30"/>
      <w:r>
        <w:rPr>
          <w:rFonts w:hint="eastAsia" w:ascii="仿宋" w:hAnsi="仿宋" w:eastAsia="仿宋" w:cs="仿宋"/>
          <w:szCs w:val="21"/>
          <w:highlight w:val="none"/>
        </w:rPr>
        <w:t>固定部分价款</w:t>
      </w:r>
      <w:bookmarkEnd w:id="40"/>
      <w:r>
        <w:rPr>
          <w:rFonts w:hint="eastAsia" w:ascii="仿宋" w:hAnsi="仿宋" w:eastAsia="仿宋" w:cs="仿宋"/>
          <w:color w:val="000000"/>
          <w:szCs w:val="21"/>
          <w:highlight w:val="none"/>
        </w:rPr>
        <w:t>：</w:t>
      </w:r>
      <w:r>
        <w:rPr>
          <w:rFonts w:hint="eastAsia" w:ascii="仿宋" w:hAnsi="仿宋" w:eastAsia="仿宋" w:cs="仿宋"/>
          <w:szCs w:val="21"/>
          <w:highlight w:val="none"/>
        </w:rPr>
        <w:t>本合同服务期满且经甲方验收合格后5日内</w:t>
      </w:r>
      <w:r>
        <w:rPr>
          <w:rFonts w:hint="eastAsia" w:ascii="仿宋" w:hAnsi="仿宋" w:eastAsia="仿宋" w:cs="仿宋"/>
          <w:color w:val="000000"/>
          <w:szCs w:val="21"/>
          <w:highlight w:val="none"/>
        </w:rPr>
        <w:t>，乙方须向甲方提供合法有效票据及其他相关请款资料，甲方自收到乙方请款资料后55日内向乙方支付本合同</w:t>
      </w:r>
      <w:r>
        <w:rPr>
          <w:rFonts w:hint="eastAsia" w:ascii="仿宋" w:hAnsi="仿宋" w:eastAsia="仿宋" w:cs="仿宋"/>
          <w:color w:val="000000"/>
          <w:szCs w:val="21"/>
          <w:highlight w:val="none"/>
          <w:u w:val="single"/>
        </w:rPr>
        <w:t>第二条</w:t>
      </w:r>
      <w:r>
        <w:rPr>
          <w:rFonts w:hint="eastAsia" w:ascii="仿宋" w:hAnsi="仿宋" w:eastAsia="仿宋" w:cs="仿宋"/>
          <w:color w:val="000000"/>
          <w:szCs w:val="21"/>
          <w:highlight w:val="none"/>
        </w:rPr>
        <w:t>写明的全部</w:t>
      </w:r>
      <w:r>
        <w:rPr>
          <w:rFonts w:hint="eastAsia" w:ascii="仿宋" w:hAnsi="仿宋" w:eastAsia="仿宋" w:cs="仿宋"/>
          <w:szCs w:val="21"/>
          <w:highlight w:val="none"/>
        </w:rPr>
        <w:t>固定部分价款</w:t>
      </w:r>
      <w:r>
        <w:rPr>
          <w:rFonts w:hint="eastAsia" w:ascii="仿宋" w:hAnsi="仿宋" w:eastAsia="仿宋" w:cs="仿宋"/>
          <w:color w:val="000000"/>
          <w:szCs w:val="21"/>
          <w:highlight w:val="none"/>
        </w:rPr>
        <w:t>。</w:t>
      </w:r>
    </w:p>
    <w:p w14:paraId="4C3983EC">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（2）按实结算部分：每</w:t>
      </w:r>
      <w:r>
        <w:rPr>
          <w:rFonts w:hint="eastAsia" w:ascii="仿宋" w:hAnsi="仿宋" w:eastAsia="仿宋" w:cs="仿宋"/>
          <w:color w:val="000000"/>
          <w:szCs w:val="21"/>
          <w:highlight w:val="none"/>
          <w:u w:val="single"/>
        </w:rPr>
        <w:t>XX</w:t>
      </w:r>
      <w:r>
        <w:rPr>
          <w:rFonts w:hint="eastAsia" w:ascii="仿宋" w:hAnsi="仿宋" w:eastAsia="仿宋" w:cs="仿宋"/>
          <w:i/>
          <w:iCs/>
          <w:szCs w:val="21"/>
          <w:highlight w:val="none"/>
        </w:rPr>
        <w:t>&lt;约定按固定周期支付的（如每季度），可根据项目具体情况编制本条款&gt;</w:t>
      </w:r>
      <w:r>
        <w:rPr>
          <w:rFonts w:hint="eastAsia" w:ascii="仿宋" w:hAnsi="仿宋" w:eastAsia="仿宋" w:cs="仿宋"/>
          <w:color w:val="000000"/>
          <w:szCs w:val="21"/>
          <w:highlight w:val="none"/>
        </w:rPr>
        <w:t>结算一次费用，结算单价以</w:t>
      </w:r>
      <w:r>
        <w:rPr>
          <w:rFonts w:hint="eastAsia" w:ascii="仿宋" w:hAnsi="仿宋" w:eastAsia="仿宋" w:cs="仿宋"/>
          <w:szCs w:val="21"/>
          <w:highlight w:val="none"/>
        </w:rPr>
        <w:t>《结算单价清单》</w:t>
      </w:r>
      <w:r>
        <w:rPr>
          <w:rFonts w:hint="eastAsia" w:ascii="仿宋" w:hAnsi="仿宋" w:eastAsia="仿宋" w:cs="仿宋"/>
          <w:color w:val="000000"/>
          <w:szCs w:val="21"/>
          <w:highlight w:val="none"/>
        </w:rPr>
        <w:t>为准。</w:t>
      </w:r>
      <w:r>
        <w:rPr>
          <w:rFonts w:hint="eastAsia" w:ascii="仿宋" w:hAnsi="仿宋" w:eastAsia="仿宋" w:cs="仿宋"/>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highlight w:val="none"/>
          <w:u w:val="single"/>
          <w:lang w:bidi="ar"/>
        </w:rPr>
        <w:t>55</w:t>
      </w:r>
      <w:r>
        <w:rPr>
          <w:rFonts w:hint="eastAsia" w:ascii="仿宋" w:hAnsi="仿宋" w:eastAsia="仿宋" w:cs="仿宋"/>
          <w:highlight w:val="none"/>
          <w:lang w:bidi="ar"/>
        </w:rPr>
        <w:t>日内，向乙方全额支付上述结算费用。</w:t>
      </w:r>
    </w:p>
    <w:p w14:paraId="5586C7FB">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甲方付款前，乙方需</w:t>
      </w:r>
      <w:r>
        <w:rPr>
          <w:rFonts w:hint="eastAsia" w:ascii="仿宋" w:hAnsi="仿宋" w:eastAsia="仿宋" w:cs="仿宋"/>
          <w:highlight w:val="none"/>
          <w:lang w:bidi="ar"/>
        </w:rPr>
        <w:t>提供合法有效票据及其他相关请款资料</w:t>
      </w:r>
      <w:r>
        <w:rPr>
          <w:rFonts w:hint="eastAsia" w:ascii="仿宋" w:hAnsi="仿宋" w:eastAsia="仿宋" w:cs="仿宋"/>
          <w:szCs w:val="21"/>
          <w:highlight w:val="none"/>
        </w:rPr>
        <w:t>，否则甲方有权拒绝支付且不承担任何违约责任，且乙方不得因此停止服务。</w:t>
      </w:r>
    </w:p>
    <w:p w14:paraId="2EB2BA7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乙方开票信息应与合同预留账户信息一致。如有变更，乙方应当在变更后3日内通知甲方。否则，由此造成的损失由乙方自行承担。</w:t>
      </w:r>
    </w:p>
    <w:p w14:paraId="19A7DEEB">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双方权利与义务</w:t>
      </w:r>
    </w:p>
    <w:p w14:paraId="581F8AA0">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甲方权利与义务</w:t>
      </w:r>
    </w:p>
    <w:p w14:paraId="4D16113D">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按合同约定向乙方支付费用。</w:t>
      </w:r>
    </w:p>
    <w:p w14:paraId="62A0275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保证乙方实施服务所必须的外部条件如电源、水源的正常供应及开启、关闭等。</w:t>
      </w:r>
    </w:p>
    <w:p w14:paraId="3511970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对于乙方在提供服务期间所提供的信息，甲方应予保密，未经乙方书面同意，甲方不得擅自使用或透露给第三方。</w:t>
      </w:r>
    </w:p>
    <w:p w14:paraId="7EDB0B3A">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甲方对服务人员不满意的，有权要求乙方在7日内更换相关服务人员。</w:t>
      </w:r>
    </w:p>
    <w:p w14:paraId="344AB8AA">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乙方权利与义务</w:t>
      </w:r>
    </w:p>
    <w:p w14:paraId="319B30B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按本合同约定向甲方提供服务。</w:t>
      </w:r>
    </w:p>
    <w:p w14:paraId="29A7D576">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乙方应保证提供的服务人员具备相应的服务能力和服务资质（如涉及）。</w:t>
      </w:r>
    </w:p>
    <w:p w14:paraId="26B4DD92">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如服务涉及计算机软件产品的，乙方须承诺在服务中设备安装的软件已获得软件厂商的正规授权。</w:t>
      </w:r>
    </w:p>
    <w:p w14:paraId="68E6AAB3">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乙方对在按本合同约定向甲方提供服务过程中所获得的所有数据、商业秘密或其它技术及经营信息负有保密的义务，不得向任何第三方透露或泄露。</w:t>
      </w:r>
    </w:p>
    <w:p w14:paraId="742F734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违约责任</w:t>
      </w:r>
      <w:r>
        <w:rPr>
          <w:rFonts w:hint="eastAsia" w:ascii="仿宋" w:hAnsi="仿宋" w:eastAsia="仿宋" w:cs="仿宋"/>
          <w:bCs/>
          <w:i/>
          <w:iCs/>
          <w:szCs w:val="21"/>
          <w:highlight w:val="none"/>
        </w:rPr>
        <w:t>&lt;本条款中违约金比例可根据项目实际情况确定，如合同无固定总金额的，请按实际需求调整表述&gt;</w:t>
      </w:r>
    </w:p>
    <w:p w14:paraId="5B66A4B0">
      <w:pPr>
        <w:pStyle w:val="7"/>
        <w:numPr>
          <w:ilvl w:val="0"/>
          <w:numId w:val="27"/>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甲方违约责任：甲方无正当理由拒绝乙方按本合同约定提供服务的，甲方应偿付合同总金额的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p w14:paraId="0BC8E6CE">
      <w:pPr>
        <w:pStyle w:val="31"/>
        <w:numPr>
          <w:ilvl w:val="0"/>
          <w:numId w:val="27"/>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乙方违约责任：</w:t>
      </w:r>
    </w:p>
    <w:p w14:paraId="354B31C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bookmarkStart w:id="41" w:name="OLE_LINK18"/>
      <w:bookmarkStart w:id="42" w:name="OLE_LINK17"/>
      <w:r>
        <w:rPr>
          <w:rFonts w:hint="eastAsia" w:ascii="仿宋" w:hAnsi="仿宋" w:eastAsia="仿宋" w:cs="仿宋"/>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因乙方在服务中更换的备品备件或原材料在质保期内并在正常使用情况下出现质量原因导致甲方或第三方财产或人身损害的，由乙方承担赔偿责任。</w:t>
      </w:r>
    </w:p>
    <w:p w14:paraId="2E725C36">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在本合同的履行中，如乙方提供的服务存在设计、工艺或材料缺陷（包括潜在缺陷），乙方应当对由于上述缺陷造成的损失负责。</w:t>
      </w:r>
    </w:p>
    <w:p w14:paraId="74485C68">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在本合同履行中，如乙方未按本合同约定及时向甲方提供服务，每发生一次，乙方应按</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w:t>
      </w:r>
      <w:r>
        <w:rPr>
          <w:rFonts w:hint="eastAsia" w:ascii="仿宋" w:hAnsi="仿宋" w:eastAsia="仿宋" w:cs="仿宋"/>
          <w:szCs w:val="21"/>
          <w:highlight w:val="none"/>
        </w:rPr>
        <w:t>‰向甲方支付违约金。甲方可采取必要的补救措施，但由此而产生的风险责任和费用将由乙方负担，甲方根据合同规定对乙方行使的其他权利不受影响。</w:t>
      </w:r>
    </w:p>
    <w:p w14:paraId="170DE4F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乙方在提供服务过程中侵犯他人知识产权，甲方有权单方解除合同，并要求乙方赔偿所造成的损失，同时甲方有权要求对方按照</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%支付违约金。</w:t>
      </w:r>
    </w:p>
    <w:p w14:paraId="0B16844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乙方违反保密义务，甲方有权单方解除合同，乙方应按甲方实际损失向甲方进行赔偿并向甲方支付</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bookmarkEnd w:id="41"/>
    <w:bookmarkEnd w:id="42"/>
    <w:p w14:paraId="79DD140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乙方偿付的违约金不足以弥补甲方损失的，还应按甲方损失尚未弥补的部分，支付赔偿金给甲方。</w:t>
      </w:r>
    </w:p>
    <w:p w14:paraId="3156E70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7"/>
        <w:numPr>
          <w:ilvl w:val="0"/>
          <w:numId w:val="28"/>
        </w:numPr>
        <w:snapToGrid w:val="0"/>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7"/>
        <w:spacing w:after="0" w:line="360" w:lineRule="auto"/>
        <w:ind w:left="0" w:leftChars="0"/>
        <w:contextualSpacing/>
        <w:jc w:val="left"/>
        <w:rPr>
          <w:rFonts w:hint="eastAsia" w:ascii="仿宋" w:hAnsi="仿宋" w:eastAsia="仿宋" w:cs="仿宋"/>
          <w:szCs w:val="21"/>
          <w:highlight w:val="none"/>
        </w:rPr>
      </w:pPr>
      <w:r>
        <w:rPr>
          <w:rFonts w:hint="eastAsia" w:ascii="仿宋" w:hAnsi="仿宋" w:eastAsia="仿宋" w:cs="仿宋"/>
          <w:szCs w:val="21"/>
          <w:highlight w:val="none"/>
        </w:rPr>
        <w:t>3.本合同履行中如有任何一方违约，那么守约方为保障自己合法权益而产生的律师费、诉讼费、差旅费、公告费等，均由违约方承担。</w:t>
      </w:r>
    </w:p>
    <w:p w14:paraId="754D020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不可抗力</w:t>
      </w:r>
    </w:p>
    <w:p w14:paraId="26541785">
      <w:pPr>
        <w:pStyle w:val="31"/>
        <w:snapToGrid w:val="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合同终止及解除</w:t>
      </w:r>
    </w:p>
    <w:p w14:paraId="275C61D9">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在甲、乙任何一方有严重违约行为时，另一方有权单方解除合同。</w:t>
      </w:r>
    </w:p>
    <w:p w14:paraId="2BA7B89E">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争议解决办法</w:t>
      </w:r>
    </w:p>
    <w:p w14:paraId="5C6244A3">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合同履行期间,若双方发生争议，可协商或由有关部门调解解决，协商或调解不成的，任何一方均有权向甲方所在地具有管辖权的人民法院起诉。</w:t>
      </w:r>
    </w:p>
    <w:p w14:paraId="533F859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送达（送达地址是司法机关、执法机关和仲裁机关将法律文书送达给当事人的收件地址）</w:t>
      </w:r>
    </w:p>
    <w:p w14:paraId="46F487CF">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甲方送达地址：四川省成都市青羊区一环路西二段32号。</w:t>
      </w:r>
    </w:p>
    <w:p w14:paraId="2E0AF282">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乙方送达地址：***</w:t>
      </w:r>
    </w:p>
    <w:p w14:paraId="750624B0">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其他</w:t>
      </w:r>
    </w:p>
    <w:p w14:paraId="162904B6">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如有未尽事宜，由双方依法订立补充合同。补充合同及本合同附件均为本合同的组成部分，与本合同具有同等法律效力。</w:t>
      </w:r>
    </w:p>
    <w:p w14:paraId="3EA6778F">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本合同一式四份，自双方签字且盖章之日起生效。甲方三份，乙方一份。</w:t>
      </w:r>
    </w:p>
    <w:p w14:paraId="134580B1">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合同附件</w:t>
      </w:r>
    </w:p>
    <w:p w14:paraId="6C66D4AC">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本合同为</w:t>
      </w:r>
      <w:r>
        <w:rPr>
          <w:rFonts w:hint="eastAsia" w:ascii="仿宋" w:hAnsi="仿宋" w:eastAsia="仿宋" w:cs="仿宋"/>
          <w:szCs w:val="21"/>
          <w:highlight w:val="none"/>
          <w:u w:val="single"/>
        </w:rPr>
        <w:t>有</w:t>
      </w:r>
      <w:r>
        <w:rPr>
          <w:rFonts w:hint="eastAsia" w:ascii="仿宋" w:hAnsi="仿宋" w:eastAsia="仿宋" w:cs="仿宋"/>
          <w:szCs w:val="21"/>
          <w:highlight w:val="none"/>
        </w:rPr>
        <w:t>附件合同，附件如下：</w:t>
      </w:r>
      <w:r>
        <w:rPr>
          <w:rFonts w:hint="eastAsia" w:ascii="仿宋" w:hAnsi="仿宋" w:eastAsia="仿宋" w:cs="仿宋"/>
          <w:i/>
          <w:iCs/>
          <w:szCs w:val="21"/>
          <w:highlight w:val="none"/>
        </w:rPr>
        <w:t>&lt;根据项目实际情况编制&gt;</w:t>
      </w:r>
    </w:p>
    <w:p w14:paraId="3FF9CA8A">
      <w:pPr>
        <w:spacing w:line="360" w:lineRule="auto"/>
        <w:jc w:val="left"/>
        <w:outlineLvl w:val="0"/>
        <w:rPr>
          <w:rFonts w:hint="eastAsia" w:ascii="仿宋" w:hAnsi="仿宋" w:eastAsia="仿宋" w:cs="仿宋"/>
          <w:szCs w:val="21"/>
          <w:highlight w:val="none"/>
        </w:rPr>
      </w:pPr>
      <w:bookmarkStart w:id="43" w:name="_Toc26288"/>
      <w:r>
        <w:rPr>
          <w:rFonts w:hint="eastAsia" w:ascii="仿宋" w:hAnsi="仿宋" w:eastAsia="仿宋" w:cs="仿宋"/>
          <w:szCs w:val="21"/>
          <w:highlight w:val="none"/>
        </w:rPr>
        <w:t>附件1《</w:t>
      </w:r>
      <w:bookmarkStart w:id="44" w:name="OLE_LINK32"/>
      <w:r>
        <w:rPr>
          <w:rFonts w:hint="eastAsia" w:ascii="仿宋" w:hAnsi="仿宋" w:eastAsia="仿宋" w:cs="仿宋"/>
          <w:szCs w:val="21"/>
          <w:highlight w:val="none"/>
        </w:rPr>
        <w:t>结算单价清单</w:t>
      </w:r>
      <w:bookmarkEnd w:id="44"/>
      <w:r>
        <w:rPr>
          <w:rFonts w:hint="eastAsia" w:ascii="仿宋" w:hAnsi="仿宋" w:eastAsia="仿宋" w:cs="仿宋"/>
          <w:szCs w:val="21"/>
          <w:highlight w:val="none"/>
        </w:rPr>
        <w:t>》</w:t>
      </w:r>
      <w:bookmarkEnd w:id="43"/>
    </w:p>
    <w:p w14:paraId="6CDBD3F1">
      <w:pPr>
        <w:spacing w:line="360" w:lineRule="auto"/>
        <w:jc w:val="left"/>
        <w:outlineLvl w:val="0"/>
        <w:rPr>
          <w:rFonts w:hint="eastAsia" w:ascii="仿宋" w:hAnsi="仿宋" w:eastAsia="仿宋" w:cs="仿宋"/>
          <w:szCs w:val="21"/>
          <w:highlight w:val="none"/>
        </w:rPr>
      </w:pPr>
      <w:bookmarkStart w:id="45" w:name="_Toc185"/>
      <w:r>
        <w:rPr>
          <w:rFonts w:hint="eastAsia" w:ascii="仿宋" w:hAnsi="仿宋" w:eastAsia="仿宋" w:cs="仿宋"/>
          <w:szCs w:val="21"/>
          <w:highlight w:val="none"/>
        </w:rPr>
        <w:t>附件2《考核标准》</w:t>
      </w:r>
      <w:bookmarkEnd w:id="45"/>
    </w:p>
    <w:p w14:paraId="485EAD27">
      <w:pPr>
        <w:spacing w:line="360" w:lineRule="auto"/>
        <w:jc w:val="left"/>
        <w:outlineLvl w:val="0"/>
        <w:rPr>
          <w:rFonts w:hint="eastAsia" w:ascii="仿宋" w:hAnsi="仿宋" w:eastAsia="仿宋" w:cs="仿宋"/>
          <w:szCs w:val="21"/>
          <w:highlight w:val="none"/>
        </w:rPr>
      </w:pPr>
      <w:bookmarkStart w:id="46" w:name="_Toc12430"/>
      <w:r>
        <w:rPr>
          <w:rFonts w:hint="eastAsia" w:ascii="仿宋" w:hAnsi="仿宋" w:eastAsia="仿宋" w:cs="仿宋"/>
          <w:szCs w:val="21"/>
          <w:highlight w:val="none"/>
        </w:rPr>
        <w:t>附件3《服务方案》</w:t>
      </w:r>
      <w:bookmarkEnd w:id="46"/>
    </w:p>
    <w:p w14:paraId="73257A85">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 w:val="18"/>
          <w:szCs w:val="18"/>
          <w:highlight w:val="none"/>
        </w:rPr>
        <w:t>以下无正文</w:t>
      </w:r>
      <w:r>
        <w:rPr>
          <w:rFonts w:hint="eastAsia" w:ascii="仿宋" w:hAnsi="仿宋" w:eastAsia="仿宋" w:cs="仿宋"/>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签订时间：</w:t>
            </w:r>
            <w:r>
              <w:rPr>
                <w:rFonts w:hint="eastAsia" w:ascii="仿宋" w:hAnsi="仿宋" w:eastAsia="仿宋" w:cs="仿宋"/>
                <w:highlight w:val="none"/>
              </w:rPr>
              <w:t>202*</w:t>
            </w:r>
            <w:r>
              <w:rPr>
                <w:rFonts w:hint="eastAsia" w:ascii="仿宋" w:hAnsi="仿宋" w:eastAsia="仿宋" w:cs="仿宋"/>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甲方：四川省人民医院（盖章）</w:t>
            </w:r>
          </w:p>
          <w:p w14:paraId="1BF2641A">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3CF6E83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址：四川省成都市一环路西二段32号</w:t>
            </w:r>
          </w:p>
          <w:p w14:paraId="6736D38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开户银行：建设银行成都青羊支行</w:t>
            </w:r>
          </w:p>
          <w:p w14:paraId="3D5EBF0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账号：5100 1446 4360 5037 4282</w:t>
            </w:r>
          </w:p>
        </w:tc>
        <w:tc>
          <w:tcPr>
            <w:tcW w:w="5247" w:type="dxa"/>
          </w:tcPr>
          <w:p w14:paraId="76D47F6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乙方：</w:t>
            </w:r>
            <w:permStart w:id="2" w:edGrp="everyone"/>
            <w:r>
              <w:rPr>
                <w:rFonts w:hint="eastAsia" w:ascii="仿宋" w:hAnsi="仿宋" w:eastAsia="仿宋" w:cs="仿宋"/>
                <w:szCs w:val="21"/>
                <w:highlight w:val="none"/>
              </w:rPr>
              <w:t>***</w:t>
            </w:r>
            <w:permEnd w:id="2"/>
            <w:r>
              <w:rPr>
                <w:rFonts w:hint="eastAsia" w:ascii="仿宋" w:hAnsi="仿宋" w:eastAsia="仿宋" w:cs="仿宋"/>
                <w:szCs w:val="21"/>
                <w:highlight w:val="none"/>
              </w:rPr>
              <w:t>（盖章）</w:t>
            </w:r>
          </w:p>
          <w:p w14:paraId="5129AF1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47302462">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地址：</w:t>
            </w:r>
            <w:permStart w:id="3" w:edGrp="everyone"/>
            <w:r>
              <w:rPr>
                <w:rFonts w:hint="eastAsia" w:ascii="仿宋" w:hAnsi="仿宋" w:eastAsia="仿宋" w:cs="仿宋"/>
                <w:szCs w:val="21"/>
                <w:highlight w:val="none"/>
              </w:rPr>
              <w:t>***</w:t>
            </w:r>
            <w:permEnd w:id="3"/>
          </w:p>
          <w:p w14:paraId="1CF0A190">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w:t>
            </w:r>
            <w:permStart w:id="4" w:edGrp="everyone"/>
            <w:r>
              <w:rPr>
                <w:rFonts w:hint="eastAsia" w:ascii="仿宋" w:hAnsi="仿宋" w:eastAsia="仿宋" w:cs="仿宋"/>
                <w:szCs w:val="21"/>
                <w:highlight w:val="none"/>
              </w:rPr>
              <w:t>***</w:t>
            </w:r>
          </w:p>
          <w:permEnd w:id="4"/>
          <w:p w14:paraId="5672E29C">
            <w:pPr>
              <w:widowControl/>
              <w:spacing w:line="360" w:lineRule="auto"/>
              <w:jc w:val="left"/>
              <w:rPr>
                <w:rFonts w:hint="eastAsia" w:ascii="仿宋" w:hAnsi="仿宋" w:eastAsia="仿宋" w:cs="仿宋"/>
                <w:highlight w:val="none"/>
              </w:rPr>
            </w:pPr>
            <w:r>
              <w:rPr>
                <w:rFonts w:hint="eastAsia" w:ascii="仿宋" w:hAnsi="仿宋" w:eastAsia="仿宋" w:cs="仿宋"/>
                <w:szCs w:val="21"/>
                <w:highlight w:val="none"/>
              </w:rPr>
              <w:t>账号：</w:t>
            </w:r>
            <w:permStart w:id="5" w:edGrp="everyone"/>
            <w:r>
              <w:rPr>
                <w:rFonts w:hint="eastAsia" w:ascii="仿宋" w:hAnsi="仿宋" w:eastAsia="仿宋" w:cs="仿宋"/>
                <w:szCs w:val="21"/>
                <w:highlight w:val="none"/>
              </w:rPr>
              <w:t>***</w:t>
            </w:r>
            <w:permEnd w:id="5"/>
          </w:p>
        </w:tc>
      </w:tr>
    </w:tbl>
    <w:p w14:paraId="1A128CAE">
      <w:pPr>
        <w:widowControl/>
        <w:spacing w:line="360" w:lineRule="auto"/>
        <w:jc w:val="left"/>
        <w:rPr>
          <w:rFonts w:hint="eastAsia" w:ascii="仿宋" w:hAnsi="仿宋" w:eastAsia="仿宋" w:cs="仿宋"/>
          <w:szCs w:val="21"/>
          <w:highlight w:val="none"/>
        </w:rPr>
        <w:sectPr>
          <w:headerReference r:id="rId10" w:type="default"/>
          <w:footerReference r:id="rId11" w:type="default"/>
          <w:type w:val="continuous"/>
          <w:pgSz w:w="11906" w:h="16838"/>
          <w:pgMar w:top="851" w:right="1134" w:bottom="851" w:left="1134" w:header="0" w:footer="567" w:gutter="0"/>
          <w:pgNumType w:fmt="decimal"/>
          <w:cols w:space="425" w:num="1"/>
          <w:docGrid w:linePitch="312" w:charSpace="0"/>
        </w:sectPr>
      </w:pPr>
    </w:p>
    <w:p w14:paraId="7B4B943E">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附件1：结算单价清单（人民币：元）</w:t>
      </w:r>
      <w:r>
        <w:rPr>
          <w:rFonts w:hint="eastAsia" w:ascii="仿宋" w:hAnsi="仿宋" w:eastAsia="仿宋" w:cs="仿宋"/>
          <w:b/>
          <w:bCs/>
          <w:i/>
          <w:iCs/>
          <w:szCs w:val="21"/>
          <w:highlight w:val="none"/>
        </w:rPr>
        <w:t>&lt;根据项目实际情况编制&gt;</w:t>
      </w:r>
    </w:p>
    <w:p w14:paraId="1D831279">
      <w:pPr>
        <w:widowControl/>
        <w:spacing w:line="360" w:lineRule="auto"/>
        <w:jc w:val="left"/>
        <w:rPr>
          <w:rFonts w:hint="eastAsia" w:ascii="仿宋" w:hAnsi="仿宋" w:eastAsia="仿宋" w:cs="仿宋"/>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序号</w:t>
            </w:r>
          </w:p>
        </w:tc>
        <w:tc>
          <w:tcPr>
            <w:tcW w:w="3686" w:type="dxa"/>
            <w:vAlign w:val="center"/>
          </w:tcPr>
          <w:p w14:paraId="6C23FD50">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结算项目名称</w:t>
            </w:r>
          </w:p>
        </w:tc>
        <w:tc>
          <w:tcPr>
            <w:tcW w:w="3402" w:type="dxa"/>
            <w:vAlign w:val="center"/>
          </w:tcPr>
          <w:p w14:paraId="3BB9E943">
            <w:pPr>
              <w:widowControl/>
              <w:spacing w:line="360" w:lineRule="auto"/>
              <w:jc w:val="center"/>
              <w:rPr>
                <w:rFonts w:hint="eastAsia" w:ascii="仿宋" w:hAnsi="仿宋" w:eastAsia="仿宋" w:cs="仿宋"/>
                <w:b/>
                <w:bCs/>
                <w:i/>
                <w:iCs/>
                <w:szCs w:val="21"/>
                <w:highlight w:val="none"/>
              </w:rPr>
            </w:pPr>
            <w:r>
              <w:rPr>
                <w:rFonts w:hint="eastAsia" w:ascii="仿宋" w:hAnsi="仿宋" w:eastAsia="仿宋" w:cs="仿宋"/>
                <w:b/>
                <w:bCs/>
                <w:szCs w:val="21"/>
                <w:highlight w:val="none"/>
              </w:rPr>
              <w:t>项目信息</w:t>
            </w:r>
            <w:r>
              <w:rPr>
                <w:rFonts w:hint="eastAsia" w:ascii="仿宋" w:hAnsi="仿宋" w:eastAsia="仿宋" w:cs="仿宋"/>
                <w:b/>
                <w:bCs/>
                <w:i/>
                <w:iCs/>
                <w:szCs w:val="21"/>
                <w:highlight w:val="none"/>
              </w:rPr>
              <w:t>&lt;生产厂商、品牌、型号规格等&gt;</w:t>
            </w:r>
          </w:p>
        </w:tc>
        <w:tc>
          <w:tcPr>
            <w:tcW w:w="992" w:type="dxa"/>
            <w:vAlign w:val="center"/>
          </w:tcPr>
          <w:p w14:paraId="66368B46">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结算单位</w:t>
            </w:r>
            <w:r>
              <w:rPr>
                <w:rFonts w:hint="eastAsia" w:ascii="仿宋" w:hAnsi="仿宋" w:eastAsia="仿宋" w:cs="仿宋"/>
                <w:b/>
                <w:bCs/>
                <w:i/>
                <w:iCs/>
                <w:szCs w:val="21"/>
                <w:highlight w:val="none"/>
              </w:rPr>
              <w:t>&lt;指货物的单位&gt;</w:t>
            </w:r>
          </w:p>
        </w:tc>
        <w:tc>
          <w:tcPr>
            <w:tcW w:w="986" w:type="dxa"/>
            <w:vAlign w:val="center"/>
          </w:tcPr>
          <w:p w14:paraId="5589F7C3">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686" w:type="dxa"/>
            <w:vAlign w:val="center"/>
          </w:tcPr>
          <w:p w14:paraId="4A635D96">
            <w:pPr>
              <w:widowControl/>
              <w:spacing w:line="360" w:lineRule="auto"/>
              <w:jc w:val="left"/>
              <w:rPr>
                <w:rFonts w:hint="eastAsia" w:ascii="仿宋" w:hAnsi="仿宋" w:eastAsia="仿宋" w:cs="仿宋"/>
                <w:szCs w:val="21"/>
                <w:highlight w:val="none"/>
              </w:rPr>
            </w:pPr>
          </w:p>
        </w:tc>
        <w:tc>
          <w:tcPr>
            <w:tcW w:w="3402" w:type="dxa"/>
            <w:vAlign w:val="center"/>
          </w:tcPr>
          <w:p w14:paraId="610A0DF8">
            <w:pPr>
              <w:widowControl/>
              <w:spacing w:line="360" w:lineRule="auto"/>
              <w:jc w:val="left"/>
              <w:rPr>
                <w:rFonts w:hint="eastAsia" w:ascii="仿宋" w:hAnsi="仿宋" w:eastAsia="仿宋" w:cs="仿宋"/>
                <w:szCs w:val="21"/>
                <w:highlight w:val="none"/>
              </w:rPr>
            </w:pPr>
          </w:p>
        </w:tc>
        <w:tc>
          <w:tcPr>
            <w:tcW w:w="992" w:type="dxa"/>
            <w:vAlign w:val="center"/>
          </w:tcPr>
          <w:p w14:paraId="59C6D210">
            <w:pPr>
              <w:widowControl/>
              <w:spacing w:line="360" w:lineRule="auto"/>
              <w:jc w:val="center"/>
              <w:rPr>
                <w:rFonts w:hint="eastAsia" w:ascii="仿宋" w:hAnsi="仿宋" w:eastAsia="仿宋" w:cs="仿宋"/>
                <w:szCs w:val="21"/>
                <w:highlight w:val="none"/>
              </w:rPr>
            </w:pPr>
          </w:p>
        </w:tc>
        <w:tc>
          <w:tcPr>
            <w:tcW w:w="986" w:type="dxa"/>
            <w:vAlign w:val="center"/>
          </w:tcPr>
          <w:p w14:paraId="3B758A07">
            <w:pPr>
              <w:widowControl/>
              <w:spacing w:line="360" w:lineRule="auto"/>
              <w:jc w:val="center"/>
              <w:rPr>
                <w:rFonts w:hint="eastAsia" w:ascii="仿宋" w:hAnsi="仿宋" w:eastAsia="仿宋" w:cs="仿宋"/>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686" w:type="dxa"/>
            <w:vAlign w:val="center"/>
          </w:tcPr>
          <w:p w14:paraId="2C25F4E1">
            <w:pPr>
              <w:widowControl/>
              <w:spacing w:line="360" w:lineRule="auto"/>
              <w:jc w:val="left"/>
              <w:rPr>
                <w:rFonts w:hint="eastAsia" w:ascii="仿宋" w:hAnsi="仿宋" w:eastAsia="仿宋" w:cs="仿宋"/>
                <w:szCs w:val="21"/>
                <w:highlight w:val="none"/>
              </w:rPr>
            </w:pPr>
          </w:p>
        </w:tc>
        <w:tc>
          <w:tcPr>
            <w:tcW w:w="3402" w:type="dxa"/>
            <w:vAlign w:val="center"/>
          </w:tcPr>
          <w:p w14:paraId="473015E2">
            <w:pPr>
              <w:widowControl/>
              <w:spacing w:line="360" w:lineRule="auto"/>
              <w:jc w:val="left"/>
              <w:rPr>
                <w:rFonts w:hint="eastAsia" w:ascii="仿宋" w:hAnsi="仿宋" w:eastAsia="仿宋" w:cs="仿宋"/>
                <w:szCs w:val="21"/>
                <w:highlight w:val="none"/>
              </w:rPr>
            </w:pPr>
          </w:p>
        </w:tc>
        <w:tc>
          <w:tcPr>
            <w:tcW w:w="992" w:type="dxa"/>
            <w:vAlign w:val="center"/>
          </w:tcPr>
          <w:p w14:paraId="1AC45725">
            <w:pPr>
              <w:widowControl/>
              <w:spacing w:line="360" w:lineRule="auto"/>
              <w:jc w:val="center"/>
              <w:rPr>
                <w:rFonts w:hint="eastAsia" w:ascii="仿宋" w:hAnsi="仿宋" w:eastAsia="仿宋" w:cs="仿宋"/>
                <w:szCs w:val="21"/>
                <w:highlight w:val="none"/>
              </w:rPr>
            </w:pPr>
          </w:p>
        </w:tc>
        <w:tc>
          <w:tcPr>
            <w:tcW w:w="986" w:type="dxa"/>
            <w:vAlign w:val="center"/>
          </w:tcPr>
          <w:p w14:paraId="794FEA53">
            <w:pPr>
              <w:widowControl/>
              <w:spacing w:line="360" w:lineRule="auto"/>
              <w:jc w:val="center"/>
              <w:rPr>
                <w:rFonts w:hint="eastAsia" w:ascii="仿宋" w:hAnsi="仿宋" w:eastAsia="仿宋" w:cs="仿宋"/>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686" w:type="dxa"/>
            <w:vAlign w:val="center"/>
          </w:tcPr>
          <w:p w14:paraId="09F89178">
            <w:pPr>
              <w:widowControl/>
              <w:spacing w:line="360" w:lineRule="auto"/>
              <w:jc w:val="left"/>
              <w:rPr>
                <w:rFonts w:hint="eastAsia" w:ascii="仿宋" w:hAnsi="仿宋" w:eastAsia="仿宋" w:cs="仿宋"/>
                <w:szCs w:val="21"/>
                <w:highlight w:val="none"/>
              </w:rPr>
            </w:pPr>
          </w:p>
        </w:tc>
        <w:tc>
          <w:tcPr>
            <w:tcW w:w="3402" w:type="dxa"/>
            <w:vAlign w:val="center"/>
          </w:tcPr>
          <w:p w14:paraId="1FF16C42">
            <w:pPr>
              <w:widowControl/>
              <w:spacing w:line="360" w:lineRule="auto"/>
              <w:jc w:val="left"/>
              <w:rPr>
                <w:rFonts w:hint="eastAsia" w:ascii="仿宋" w:hAnsi="仿宋" w:eastAsia="仿宋" w:cs="仿宋"/>
                <w:szCs w:val="21"/>
                <w:highlight w:val="none"/>
              </w:rPr>
            </w:pPr>
          </w:p>
        </w:tc>
        <w:tc>
          <w:tcPr>
            <w:tcW w:w="992" w:type="dxa"/>
            <w:vAlign w:val="center"/>
          </w:tcPr>
          <w:p w14:paraId="0BD2D448">
            <w:pPr>
              <w:widowControl/>
              <w:spacing w:line="360" w:lineRule="auto"/>
              <w:jc w:val="center"/>
              <w:rPr>
                <w:rFonts w:hint="eastAsia" w:ascii="仿宋" w:hAnsi="仿宋" w:eastAsia="仿宋" w:cs="仿宋"/>
                <w:szCs w:val="21"/>
                <w:highlight w:val="none"/>
              </w:rPr>
            </w:pPr>
          </w:p>
        </w:tc>
        <w:tc>
          <w:tcPr>
            <w:tcW w:w="986" w:type="dxa"/>
            <w:vAlign w:val="center"/>
          </w:tcPr>
          <w:p w14:paraId="32267964">
            <w:pPr>
              <w:widowControl/>
              <w:spacing w:line="360" w:lineRule="auto"/>
              <w:jc w:val="center"/>
              <w:rPr>
                <w:rFonts w:hint="eastAsia" w:ascii="仿宋" w:hAnsi="仿宋" w:eastAsia="仿宋" w:cs="仿宋"/>
                <w:szCs w:val="21"/>
                <w:highlight w:val="none"/>
              </w:rPr>
            </w:pPr>
          </w:p>
        </w:tc>
      </w:tr>
    </w:tbl>
    <w:p w14:paraId="799425E9">
      <w:pPr>
        <w:widowControl/>
        <w:spacing w:line="360" w:lineRule="auto"/>
        <w:jc w:val="left"/>
        <w:rPr>
          <w:rFonts w:hint="eastAsia" w:ascii="仿宋" w:hAnsi="仿宋" w:eastAsia="仿宋" w:cs="仿宋"/>
          <w:szCs w:val="21"/>
          <w:highlight w:val="none"/>
        </w:rPr>
        <w:sectPr>
          <w:headerReference r:id="rId12" w:type="default"/>
          <w:footerReference r:id="rId13" w:type="default"/>
          <w:pgSz w:w="11906" w:h="16838"/>
          <w:pgMar w:top="851" w:right="1134" w:bottom="851" w:left="1134" w:header="0" w:footer="567" w:gutter="0"/>
          <w:pgNumType w:fmt="decimal"/>
          <w:cols w:space="425" w:num="1"/>
          <w:docGrid w:linePitch="312" w:charSpace="0"/>
        </w:sectPr>
      </w:pPr>
    </w:p>
    <w:p w14:paraId="6BEFDD75">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附件2：考核标准</w:t>
      </w:r>
    </w:p>
    <w:p w14:paraId="6C0FC75D">
      <w:pPr>
        <w:spacing w:line="360" w:lineRule="auto"/>
        <w:rPr>
          <w:rFonts w:hint="eastAsia" w:ascii="仿宋" w:hAnsi="仿宋" w:eastAsia="仿宋" w:cs="仿宋"/>
          <w:highlight w:val="none"/>
        </w:rPr>
      </w:pPr>
    </w:p>
    <w:p w14:paraId="5A024B68">
      <w:pPr>
        <w:spacing w:line="360" w:lineRule="auto"/>
        <w:rPr>
          <w:rFonts w:hint="eastAsia" w:ascii="仿宋" w:hAnsi="仿宋" w:eastAsia="仿宋" w:cs="仿宋"/>
          <w:highlight w:val="none"/>
        </w:rPr>
        <w:sectPr>
          <w:headerReference r:id="rId14" w:type="default"/>
          <w:footerReference r:id="rId15" w:type="default"/>
          <w:pgSz w:w="11906" w:h="16838"/>
          <w:pgMar w:top="851" w:right="1134" w:bottom="851" w:left="1134" w:header="0" w:footer="567" w:gutter="0"/>
          <w:pgNumType w:fmt="decimal"/>
          <w:cols w:space="425" w:num="1"/>
          <w:docGrid w:linePitch="312" w:charSpace="0"/>
        </w:sectPr>
      </w:pPr>
      <w:r>
        <w:rPr>
          <w:rFonts w:hint="eastAsia" w:ascii="仿宋" w:hAnsi="仿宋" w:eastAsia="仿宋" w:cs="仿宋"/>
          <w:highlight w:val="none"/>
        </w:rPr>
        <w:t>***</w:t>
      </w:r>
    </w:p>
    <w:p w14:paraId="692BA005">
      <w:pPr>
        <w:widowControl/>
        <w:spacing w:line="360" w:lineRule="auto"/>
        <w:jc w:val="left"/>
        <w:rPr>
          <w:rFonts w:hint="eastAsia" w:ascii="仿宋" w:hAnsi="仿宋" w:eastAsia="仿宋" w:cs="仿宋"/>
          <w:b/>
          <w:bCs/>
          <w:szCs w:val="21"/>
        </w:rPr>
      </w:pPr>
      <w:r>
        <w:rPr>
          <w:rFonts w:hint="eastAsia" w:ascii="仿宋" w:hAnsi="仿宋" w:eastAsia="仿宋" w:cs="仿宋"/>
          <w:b/>
          <w:bCs/>
          <w:szCs w:val="21"/>
        </w:rPr>
        <w:t>附件3：服务方案</w:t>
      </w:r>
    </w:p>
    <w:p w14:paraId="49A6C9EA">
      <w:pPr>
        <w:spacing w:line="360" w:lineRule="auto"/>
        <w:rPr>
          <w:rFonts w:hint="eastAsia" w:ascii="仿宋" w:hAnsi="仿宋" w:eastAsia="仿宋" w:cs="仿宋"/>
        </w:rPr>
      </w:pPr>
    </w:p>
    <w:p w14:paraId="1E9CF7A4">
      <w:pPr>
        <w:spacing w:line="360" w:lineRule="auto"/>
        <w:rPr>
          <w:rFonts w:hint="eastAsia" w:ascii="仿宋" w:hAnsi="仿宋" w:eastAsia="仿宋" w:cs="仿宋"/>
        </w:rPr>
      </w:pPr>
      <w:r>
        <w:rPr>
          <w:rFonts w:hint="eastAsia" w:ascii="仿宋" w:hAnsi="仿宋" w:eastAsia="仿宋" w:cs="仿宋"/>
        </w:rPr>
        <w:t>***</w:t>
      </w:r>
    </w:p>
    <w:p w14:paraId="59CE58F1">
      <w:pPr>
        <w:rPr>
          <w:rFonts w:hint="eastAsia" w:ascii="仿宋" w:hAnsi="仿宋" w:eastAsia="仿宋" w:cs="仿宋"/>
          <w:color w:val="auto"/>
        </w:rPr>
      </w:pPr>
      <w:r>
        <w:rPr>
          <w:rFonts w:hint="eastAsia" w:ascii="仿宋" w:hAnsi="仿宋" w:eastAsia="仿宋" w:cs="仿宋"/>
          <w:color w:val="auto"/>
        </w:rPr>
        <w:br w:type="page"/>
      </w:r>
    </w:p>
    <w:p w14:paraId="57906FDD">
      <w:pPr>
        <w:jc w:val="center"/>
        <w:rPr>
          <w:rFonts w:ascii="仿宋" w:hAnsi="仿宋" w:eastAsia="仿宋" w:cs="仿宋"/>
          <w:b/>
          <w:bCs/>
          <w:color w:val="000000" w:themeColor="text1"/>
          <w:sz w:val="44"/>
          <w:szCs w:val="52"/>
          <w14:textFill>
            <w14:solidFill>
              <w14:schemeClr w14:val="tx1"/>
            </w14:solidFill>
          </w14:textFill>
        </w:rPr>
      </w:pPr>
      <w:r>
        <w:rPr>
          <w:rFonts w:ascii="仿宋" w:hAnsi="仿宋" w:eastAsia="仿宋" w:cs="仿宋"/>
          <w:b/>
          <w:bCs/>
          <w:color w:val="000000" w:themeColor="text1"/>
          <w:sz w:val="44"/>
          <w:szCs w:val="52"/>
          <w14:textFill>
            <w14:solidFill>
              <w14:schemeClr w14:val="tx1"/>
            </w14:solidFill>
          </w14:textFill>
        </w:rPr>
        <w:t>廉洁购销协议</w:t>
      </w:r>
    </w:p>
    <w:p w14:paraId="5B20492D">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w:t>
      </w:r>
    </w:p>
    <w:p w14:paraId="00A41FAA">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乙方：</w:t>
      </w:r>
    </w:p>
    <w:p w14:paraId="335F67D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p>
    <w:p w14:paraId="6E1F8DF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为进一步加强廉政建设,预防医药购销领域不正之风,我院与供应商签订如下协议,共同遵守:</w:t>
      </w:r>
    </w:p>
    <w:p w14:paraId="4B95AFBB">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一、甲方工作人员不得利用职务和招投标等工作之便,暗示、索要和收受供应商任何形式的财物、提成、回扣等一切不正当利益。</w:t>
      </w:r>
    </w:p>
    <w:p w14:paraId="4883722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二、甲方工作人员严格执行国家及我院的采购管理制度，如有违反,一经查实,按有关规定严肃处理并追究相关人员责任。</w:t>
      </w:r>
    </w:p>
    <w:p w14:paraId="75BFE8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四、乙方及其代理人不得以宣传费、赞助费、科研费、劳务费、咨询费、佣金、学术活动、外出考察等名义，或者以报销各种费用等变相给付财物的形式，获得业务或保持业务。</w:t>
      </w:r>
    </w:p>
    <w:p w14:paraId="3938A7E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六、乙方必须承诺向我院供货的同规格型号同质量等级医用物资为全省最低价，办公用品、装修材料、营养科食材、工会福利等为同时期成都市集团采购最低价。</w:t>
      </w:r>
    </w:p>
    <w:p w14:paraId="7AFEF0F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七、乙方违反上述承诺者，甲方单方面终止合作协议，并依法追究乙方的违约责任。</w:t>
      </w:r>
    </w:p>
    <w:p w14:paraId="216E6C8D">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八、本协议一式三份,归口管理部门、供应商、招标采购中心各执一份。</w:t>
      </w:r>
    </w:p>
    <w:p w14:paraId="244721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举报受理部门：审计部</w:t>
      </w:r>
    </w:p>
    <w:p w14:paraId="57E2177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举报电话：87393203</w:t>
      </w:r>
    </w:p>
    <w:p w14:paraId="17AB4BB6">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举报邮箱：scsyjsc@163.com</w:t>
      </w:r>
    </w:p>
    <w:p w14:paraId="218434EC">
      <w:pPr>
        <w:ind w:firstLine="560" w:firstLineChars="200"/>
        <w:rPr>
          <w:rFonts w:ascii="仿宋" w:hAnsi="仿宋" w:eastAsia="仿宋" w:cs="仿宋"/>
          <w:color w:val="000000" w:themeColor="text1"/>
          <w:sz w:val="28"/>
          <w:szCs w:val="28"/>
          <w14:textFill>
            <w14:solidFill>
              <w14:schemeClr w14:val="tx1"/>
            </w14:solidFill>
          </w14:textFill>
        </w:rPr>
      </w:pPr>
    </w:p>
    <w:p w14:paraId="67EF173A">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甲方：四川省人民医院(盖章)        乙方：   供应单位(盖章)</w:t>
      </w:r>
    </w:p>
    <w:p w14:paraId="5A5AEF93">
      <w:pPr>
        <w:ind w:firstLine="560" w:firstLineChars="200"/>
        <w:rPr>
          <w:rFonts w:ascii="仿宋" w:hAnsi="仿宋" w:eastAsia="仿宋" w:cs="仿宋"/>
          <w:color w:val="000000" w:themeColor="text1"/>
          <w:sz w:val="28"/>
          <w:szCs w:val="28"/>
          <w14:textFill>
            <w14:solidFill>
              <w14:schemeClr w14:val="tx1"/>
            </w14:solidFill>
          </w14:textFill>
        </w:rPr>
      </w:pPr>
    </w:p>
    <w:p w14:paraId="6DA5BCA2">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甲方代表签字：                            乙方代表签字:</w:t>
      </w:r>
    </w:p>
    <w:p w14:paraId="0A4271B7">
      <w:pPr>
        <w:ind w:firstLine="4200" w:firstLineChars="1500"/>
        <w:rPr>
          <w:rFonts w:ascii="仿宋" w:hAnsi="仿宋" w:eastAsia="仿宋" w:cs="仿宋"/>
          <w:color w:val="000000" w:themeColor="text1"/>
          <w:sz w:val="28"/>
          <w:szCs w:val="28"/>
          <w14:textFill>
            <w14:solidFill>
              <w14:schemeClr w14:val="tx1"/>
            </w14:solidFill>
          </w14:textFill>
        </w:rPr>
      </w:pPr>
    </w:p>
    <w:p w14:paraId="32112B4F">
      <w:pPr>
        <w:jc w:val="right"/>
        <w:rPr>
          <w:rStyle w:val="48"/>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color w:val="000000" w:themeColor="text1"/>
          <w14:textFill>
            <w14:solidFill>
              <w14:schemeClr w14:val="tx1"/>
            </w14:solidFill>
          </w14:textFill>
        </w:rPr>
        <w:t>年   月   日</w:t>
      </w:r>
    </w:p>
    <w:p w14:paraId="0698FCEC">
      <w:pPr>
        <w:pStyle w:val="5"/>
        <w:spacing w:line="276" w:lineRule="auto"/>
        <w:ind w:firstLine="420" w:firstLineChars="200"/>
        <w:jc w:val="left"/>
        <w:rPr>
          <w:rFonts w:hint="eastAsia" w:ascii="仿宋" w:hAnsi="仿宋" w:eastAsia="仿宋" w:cs="仿宋"/>
          <w:color w:val="auto"/>
        </w:rPr>
      </w:pPr>
    </w:p>
    <w:p w14:paraId="2B971735">
      <w:pPr>
        <w:pStyle w:val="5"/>
        <w:spacing w:line="276" w:lineRule="auto"/>
        <w:ind w:firstLine="420" w:firstLineChars="200"/>
        <w:jc w:val="left"/>
        <w:rPr>
          <w:rFonts w:hint="default" w:ascii="Times New Roman" w:hAnsi="Times New Roman" w:eastAsia="宋体" w:cs="Times New Roman"/>
          <w:color w:val="auto"/>
        </w:rPr>
      </w:pPr>
    </w:p>
    <w:sectPr>
      <w:footerReference r:id="rId17" w:type="first"/>
      <w:footerReference r:id="rId16" w:type="default"/>
      <w:pgSz w:w="11900" w:h="16838"/>
      <w:pgMar w:top="1440" w:right="1803" w:bottom="1440" w:left="1803" w:header="850" w:footer="850" w:gutter="0"/>
      <w:pgNumType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0" w:csb1="00000000"/>
  </w:font>
  <w:font w:name="FangSong_GB2312">
    <w:altName w:val="仿宋_GB2312"/>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THeiti Regular">
    <w:altName w:val="宋体"/>
    <w:panose1 w:val="02010600040101010101"/>
    <w:charset w:val="86"/>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Tamil MN">
    <w:altName w:val="Segoe Print"/>
    <w:panose1 w:val="000005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4D"/>
    <w:family w:val="decorative"/>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8"/>
      <w:contextualSpacing/>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8"/>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14:paraId="33EBEC3C">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390A">
    <w:pPr>
      <w:pStyle w:val="8"/>
      <w:contextualSpacing/>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D837">
    <w:pPr>
      <w:pStyle w:val="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uNdSPQAAAABQEAAA8AAAAAAAAAAQAgAAAAIgAAAGRycy9kb3du&#10;cmV2LnhtbFBLAQIUABQAAAAIAIdO4kAT2/znQAIAAHwEAAAOAAAAAAAAAAEAIAAAAB8BAABkcnMv&#10;ZTJvRG9jLnhtbFBLBQYAAAAABgAGAFkBAADRBQAAAAA=&#10;">
              <v:fill on="f" focussize="0,0"/>
              <v:stroke on="f" weight="1pt" miterlimit="4" joinstyle="miter"/>
              <v:imagedata o:title=""/>
              <o:lock v:ext="edit" aspectratio="f"/>
              <v:textbox inset="0mm,0mm,0mm,0mm" style="mso-fit-shape-to-text:t;">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v:textbox>
            </v:shape>
          </w:pict>
        </mc:Fallback>
      </mc:AlternateContent>
    </w:r>
    <w:r>
      <w:rPr>
        <w:rFonts w:ascii="Times New Roman" w:hAnsi="Times New Roman" w:eastAsia="宋体" w:cs="Times New Roman"/>
        <w:sz w:val="21"/>
        <w:szCs w:val="21"/>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8"/>
      <w:rPr>
        <w:rFonts w:hint="default"/>
      </w:rPr>
    </w:pPr>
    <w:r>
      <mc:AlternateContent>
        <mc:Choice Requires="wps">
          <w:drawing>
            <wp:anchor distT="0" distB="0" distL="114300" distR="114300" simplePos="0" relativeHeight="251660288"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60288;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DC55">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DEBBC">
    <w:pPr>
      <w:pStyle w:val="9"/>
      <w:jc w:val="right"/>
      <w:rPr>
        <w:rFonts w:hint="default" w:ascii="Times New Roman Regular" w:hAnsi="Times New Roman Regular" w:cs="Times New Roman Regular" w:eastAsiaTheme="minorEastAsia"/>
        <w:sz w:val="20"/>
        <w:szCs w:val="20"/>
      </w:rPr>
    </w:pPr>
  </w:p>
  <w:p w14:paraId="1D9E0203">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260CD">
    <w:pPr>
      <w:pStyle w:val="9"/>
      <w:jc w:val="right"/>
      <w:rPr>
        <w:rFonts w:hint="default" w:ascii="Times New Roman Regular" w:hAnsi="Times New Roman Regular" w:cs="Times New Roman Regular" w:eastAsiaTheme="minorEastAsia"/>
        <w:sz w:val="20"/>
        <w:szCs w:val="20"/>
      </w:rPr>
    </w:pPr>
  </w:p>
  <w:p w14:paraId="72CA03F8">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E491">
    <w:pPr>
      <w:pStyle w:val="9"/>
      <w:jc w:val="both"/>
      <w:rPr>
        <w:rFonts w:hint="default" w:ascii="Times New Roman Regular" w:hAnsi="Times New Roman Regular" w:cs="Times New Roman Regular" w:eastAsiaTheme="minorEastAsia"/>
        <w:sz w:val="20"/>
        <w:szCs w:val="20"/>
      </w:rPr>
    </w:pPr>
  </w:p>
  <w:p w14:paraId="154675F0">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C160C7A"/>
    <w:multiLevelType w:val="singleLevel"/>
    <w:tmpl w:val="FC160C7A"/>
    <w:lvl w:ilvl="0" w:tentative="0">
      <w:start w:val="1"/>
      <w:numFmt w:val="chineseCounting"/>
      <w:suff w:val="nothing"/>
      <w:lvlText w:val="（%1）"/>
      <w:lvlJc w:val="left"/>
      <w:pPr>
        <w:ind w:left="0" w:firstLine="420"/>
      </w:pPr>
      <w:rPr>
        <w:rFonts w:hint="eastAsia"/>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F712D09"/>
    <w:multiLevelType w:val="singleLevel"/>
    <w:tmpl w:val="1F712D09"/>
    <w:lvl w:ilvl="0" w:tentative="0">
      <w:start w:val="1"/>
      <w:numFmt w:val="decimal"/>
      <w:lvlText w:val="(%1)"/>
      <w:lvlJc w:val="left"/>
      <w:pPr>
        <w:ind w:left="220" w:hanging="425"/>
      </w:pPr>
      <w:rPr>
        <w:rFonts w:hint="default"/>
      </w:rPr>
    </w:lvl>
  </w:abstractNum>
  <w:abstractNum w:abstractNumId="17">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2">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1"/>
  </w:num>
  <w:num w:numId="2">
    <w:abstractNumId w:val="10"/>
  </w:num>
  <w:num w:numId="3">
    <w:abstractNumId w:val="4"/>
  </w:num>
  <w:num w:numId="4">
    <w:abstractNumId w:val="31"/>
  </w:num>
  <w:num w:numId="5">
    <w:abstractNumId w:val="16"/>
  </w:num>
  <w:num w:numId="6">
    <w:abstractNumId w:val="25"/>
  </w:num>
  <w:num w:numId="7">
    <w:abstractNumId w:val="19"/>
  </w:num>
  <w:num w:numId="8">
    <w:abstractNumId w:val="2"/>
  </w:num>
  <w:num w:numId="9">
    <w:abstractNumId w:val="0"/>
  </w:num>
  <w:num w:numId="10">
    <w:abstractNumId w:val="18"/>
  </w:num>
  <w:num w:numId="11">
    <w:abstractNumId w:val="1"/>
  </w:num>
  <w:num w:numId="12">
    <w:abstractNumId w:val="29"/>
  </w:num>
  <w:num w:numId="13">
    <w:abstractNumId w:val="3"/>
  </w:num>
  <w:num w:numId="14">
    <w:abstractNumId w:val="15"/>
  </w:num>
  <w:num w:numId="15">
    <w:abstractNumId w:val="13"/>
  </w:num>
  <w:num w:numId="16">
    <w:abstractNumId w:val="6"/>
  </w:num>
  <w:num w:numId="17">
    <w:abstractNumId w:val="22"/>
  </w:num>
  <w:num w:numId="18">
    <w:abstractNumId w:val="14"/>
  </w:num>
  <w:num w:numId="19">
    <w:abstractNumId w:val="26"/>
  </w:num>
  <w:num w:numId="20">
    <w:abstractNumId w:val="30"/>
  </w:num>
  <w:num w:numId="21">
    <w:abstractNumId w:val="23"/>
  </w:num>
  <w:num w:numId="22">
    <w:abstractNumId w:val="9"/>
  </w:num>
  <w:num w:numId="23">
    <w:abstractNumId w:val="7"/>
  </w:num>
  <w:num w:numId="24">
    <w:abstractNumId w:val="27"/>
  </w:num>
  <w:num w:numId="25">
    <w:abstractNumId w:val="20"/>
  </w:num>
  <w:num w:numId="26">
    <w:abstractNumId w:val="8"/>
  </w:num>
  <w:num w:numId="27">
    <w:abstractNumId w:val="12"/>
  </w:num>
  <w:num w:numId="28">
    <w:abstractNumId w:val="28"/>
  </w:num>
  <w:num w:numId="29">
    <w:abstractNumId w:val="5"/>
  </w:num>
  <w:num w:numId="30">
    <w:abstractNumId w:val="24"/>
  </w:num>
  <w:num w:numId="31">
    <w:abstractNumId w:val="1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13D59"/>
    <w:rsid w:val="02161ED5"/>
    <w:rsid w:val="03AA7303"/>
    <w:rsid w:val="04355433"/>
    <w:rsid w:val="052F684B"/>
    <w:rsid w:val="06826B71"/>
    <w:rsid w:val="08C23E31"/>
    <w:rsid w:val="0B575081"/>
    <w:rsid w:val="0B9C39D7"/>
    <w:rsid w:val="0BED0D1B"/>
    <w:rsid w:val="0C2D757F"/>
    <w:rsid w:val="0CDF322A"/>
    <w:rsid w:val="0CF43B5E"/>
    <w:rsid w:val="0D0D1532"/>
    <w:rsid w:val="0DFF5E39"/>
    <w:rsid w:val="0E5434E9"/>
    <w:rsid w:val="10376C1E"/>
    <w:rsid w:val="109444A7"/>
    <w:rsid w:val="113A274F"/>
    <w:rsid w:val="120F276F"/>
    <w:rsid w:val="124C7D2B"/>
    <w:rsid w:val="13081A3E"/>
    <w:rsid w:val="136E5EEF"/>
    <w:rsid w:val="13C407C9"/>
    <w:rsid w:val="14BD1234"/>
    <w:rsid w:val="150B4AA4"/>
    <w:rsid w:val="15957368"/>
    <w:rsid w:val="17441FED"/>
    <w:rsid w:val="1E6004DA"/>
    <w:rsid w:val="1E840723"/>
    <w:rsid w:val="1E893B0C"/>
    <w:rsid w:val="1F287185"/>
    <w:rsid w:val="1F73296E"/>
    <w:rsid w:val="1FA13476"/>
    <w:rsid w:val="20087C8F"/>
    <w:rsid w:val="218357C8"/>
    <w:rsid w:val="22AB0327"/>
    <w:rsid w:val="23073659"/>
    <w:rsid w:val="255B533A"/>
    <w:rsid w:val="26CD33AF"/>
    <w:rsid w:val="297C274F"/>
    <w:rsid w:val="2F1F1070"/>
    <w:rsid w:val="3010202F"/>
    <w:rsid w:val="31853B9B"/>
    <w:rsid w:val="32000BDF"/>
    <w:rsid w:val="347919CA"/>
    <w:rsid w:val="354E3B8F"/>
    <w:rsid w:val="362B6072"/>
    <w:rsid w:val="36C329C6"/>
    <w:rsid w:val="3763616F"/>
    <w:rsid w:val="38A81C3F"/>
    <w:rsid w:val="38F47492"/>
    <w:rsid w:val="38F81DDC"/>
    <w:rsid w:val="39E22DF4"/>
    <w:rsid w:val="39FC21BB"/>
    <w:rsid w:val="3A6D3892"/>
    <w:rsid w:val="3B311935"/>
    <w:rsid w:val="3DF77869"/>
    <w:rsid w:val="3F220916"/>
    <w:rsid w:val="3F7FE5AA"/>
    <w:rsid w:val="3F884943"/>
    <w:rsid w:val="3FBD0E9A"/>
    <w:rsid w:val="418238EE"/>
    <w:rsid w:val="418D4040"/>
    <w:rsid w:val="42576B28"/>
    <w:rsid w:val="42660F86"/>
    <w:rsid w:val="42D44E0D"/>
    <w:rsid w:val="43493DC6"/>
    <w:rsid w:val="43C05B54"/>
    <w:rsid w:val="441177D6"/>
    <w:rsid w:val="45D46B20"/>
    <w:rsid w:val="46A64080"/>
    <w:rsid w:val="47491CA4"/>
    <w:rsid w:val="47881532"/>
    <w:rsid w:val="48172D6C"/>
    <w:rsid w:val="48376AB4"/>
    <w:rsid w:val="48B3438D"/>
    <w:rsid w:val="49187520"/>
    <w:rsid w:val="493F6E11"/>
    <w:rsid w:val="4A6A4474"/>
    <w:rsid w:val="4BD84353"/>
    <w:rsid w:val="4CF51D9E"/>
    <w:rsid w:val="4D682F38"/>
    <w:rsid w:val="4DBFFC84"/>
    <w:rsid w:val="4DEC79E7"/>
    <w:rsid w:val="4EC73630"/>
    <w:rsid w:val="4F091DE1"/>
    <w:rsid w:val="4FD36D7D"/>
    <w:rsid w:val="500E7836"/>
    <w:rsid w:val="53520B81"/>
    <w:rsid w:val="556C5FEF"/>
    <w:rsid w:val="56764D9B"/>
    <w:rsid w:val="568A2F61"/>
    <w:rsid w:val="57F74CEB"/>
    <w:rsid w:val="59A630F8"/>
    <w:rsid w:val="5A0E6D1C"/>
    <w:rsid w:val="5A424D31"/>
    <w:rsid w:val="60822D96"/>
    <w:rsid w:val="60882223"/>
    <w:rsid w:val="61131A15"/>
    <w:rsid w:val="620829BD"/>
    <w:rsid w:val="62D16373"/>
    <w:rsid w:val="62E52A24"/>
    <w:rsid w:val="632E20B3"/>
    <w:rsid w:val="651136E3"/>
    <w:rsid w:val="65B73439"/>
    <w:rsid w:val="66584821"/>
    <w:rsid w:val="665F428B"/>
    <w:rsid w:val="66970432"/>
    <w:rsid w:val="66E16B34"/>
    <w:rsid w:val="684844AC"/>
    <w:rsid w:val="688768E9"/>
    <w:rsid w:val="694F7E51"/>
    <w:rsid w:val="6C5E780B"/>
    <w:rsid w:val="6CF070AE"/>
    <w:rsid w:val="6D564496"/>
    <w:rsid w:val="6E7A1325"/>
    <w:rsid w:val="6EB5D13E"/>
    <w:rsid w:val="732A5565"/>
    <w:rsid w:val="736C7698"/>
    <w:rsid w:val="747319EA"/>
    <w:rsid w:val="747477EB"/>
    <w:rsid w:val="75DA1174"/>
    <w:rsid w:val="75F61FB4"/>
    <w:rsid w:val="768F26FA"/>
    <w:rsid w:val="769D1B10"/>
    <w:rsid w:val="77A63720"/>
    <w:rsid w:val="7A7B79E5"/>
    <w:rsid w:val="7ABA18E4"/>
    <w:rsid w:val="7BE942A8"/>
    <w:rsid w:val="7BF7AB15"/>
    <w:rsid w:val="7F6708FC"/>
    <w:rsid w:val="7FB0B165"/>
    <w:rsid w:val="7FFFC748"/>
    <w:rsid w:val="9CDF1F86"/>
    <w:rsid w:val="B87FB65D"/>
    <w:rsid w:val="D3EF70E5"/>
    <w:rsid w:val="DF7B08B9"/>
    <w:rsid w:val="E67F11AA"/>
    <w:rsid w:val="EF7F6EDB"/>
    <w:rsid w:val="FF1E71F5"/>
    <w:rsid w:val="FFFF6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next w:val="5"/>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8"/>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Body Text First Indent Char"/>
    <w:link w:val="13"/>
    <w:qFormat/>
    <w:uiPriority w:val="0"/>
    <w:rPr>
      <w:szCs w:val="20"/>
    </w:rPr>
  </w:style>
  <w:style w:type="paragraph" w:customStyle="1" w:styleId="49">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50">
    <w:name w:val="15"/>
    <w:basedOn w:val="16"/>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363046-2c84-4b2f-8d08-40825aaed6ca}">
  <ds:schemaRefs/>
</ds:datastoreItem>
</file>

<file path=customXml/itemProps3.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29</Pages>
  <Words>1395</Words>
  <Characters>1513</Characters>
  <Lines>59</Lines>
  <Paragraphs>16</Paragraphs>
  <TotalTime>6</TotalTime>
  <ScaleCrop>false</ScaleCrop>
  <LinksUpToDate>false</LinksUpToDate>
  <CharactersWithSpaces>1606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2022-06-11T21:01:00Z</dcterms:created>
  <dc:creator>Weiwei He</dc:creator>
  <cp:lastModifiedBy>赵汗青</cp:lastModifiedBy>
  <dcterms:modified xsi:type="dcterms:W3CDTF">2026-10-13T06:46:05Z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51337E7E54C44B15868561A6C2757AB6_13</vt:lpwstr>
  </property>
  <property fmtid="{D5CDD505-2E9C-101B-9397-08002B2CF9AE}" pid="4" name="KSOTemplateDocerSaveRecord">
    <vt:lpwstr>eyJoZGlkIjoiODI0NWNhMWVlODNmNDgyZDYwMTI1YjU1MGEwODE5YjIiLCJ1c2VySWQiOiIxNzY1NjMyNjY0In0=</vt:lpwstr>
  </property>
</Properties>
</file>