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四川省人民医院纪检监察内网宽带租赁服务采购项目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67EBE78">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62832406"/>
      <w:bookmarkStart w:id="2" w:name="_Toc20358"/>
      <w:bookmarkStart w:id="3" w:name="_Toc192583766"/>
      <w:bookmarkStart w:id="4" w:name="_Toc47131032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四川省人民医院纪检监察内网宽带租赁服务采购项目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CGZX-YXX20261210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26F90A0">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人民币</w:t>
            </w:r>
            <w:r>
              <w:rPr>
                <w:rFonts w:hint="eastAsia" w:ascii="Times New Roman" w:hAnsi="Times New Roman" w:eastAsia="仿宋" w:cs="Times New Roman"/>
                <w:sz w:val="22"/>
                <w:u w:val="none"/>
                <w:lang w:val="en-US" w:eastAsia="zh-CN"/>
              </w:rPr>
              <w:t>10680</w:t>
            </w:r>
            <w:r>
              <w:rPr>
                <w:rFonts w:ascii="Times New Roman" w:hAnsi="Times New Roman" w:eastAsia="仿宋" w:cs="Times New Roman"/>
                <w:sz w:val="22"/>
                <w:u w:val="none"/>
              </w:rPr>
              <w:t>元</w:t>
            </w:r>
            <w:r>
              <w:rPr>
                <w:rFonts w:hint="eastAsia" w:ascii="Times New Roman" w:hAnsi="Times New Roman" w:eastAsia="仿宋" w:cs="Times New Roman"/>
                <w:sz w:val="22"/>
                <w:u w:val="none"/>
                <w:lang w:eastAsia="zh-CN"/>
              </w:rPr>
              <w:t>，</w:t>
            </w:r>
            <w:r>
              <w:rPr>
                <w:rFonts w:hint="eastAsia" w:ascii="Times New Roman" w:hAnsi="Times New Roman" w:eastAsia="仿宋" w:cs="Times New Roman"/>
                <w:sz w:val="22"/>
                <w:u w:val="none"/>
                <w:lang w:val="en-US" w:eastAsia="zh-CN"/>
              </w:rPr>
              <w:t>限高单价详见第四章。</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中国移动通信集团四川有限公司成都分公司</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供应商地址：</w:t>
            </w:r>
            <w:r>
              <w:rPr>
                <w:rFonts w:hint="eastAsia" w:ascii="Times New Roman" w:hAnsi="Times New Roman" w:eastAsia="仿宋" w:cs="Times New Roman"/>
                <w:sz w:val="22"/>
                <w:highlight w:val="none"/>
                <w:lang w:val="en-US" w:eastAsia="zh-CN"/>
              </w:rPr>
              <w:t>四川省成都市高新区吉华路88号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w:t>
            </w:r>
            <w:r>
              <w:rPr>
                <w:rFonts w:hint="eastAsia" w:ascii="Times New Roman" w:hAnsi="Times New Roman" w:eastAsia="仿宋" w:cs="Times New Roman"/>
                <w:sz w:val="22"/>
                <w:szCs w:val="22"/>
                <w:lang w:val="en-US" w:eastAsia="zh-CN"/>
              </w:rPr>
              <w:t>成交</w:t>
            </w:r>
            <w:r>
              <w:rPr>
                <w:rFonts w:hint="eastAsia" w:ascii="Times New Roman" w:hAnsi="Times New Roman" w:eastAsia="仿宋" w:cs="Times New Roman"/>
                <w:sz w:val="22"/>
                <w:szCs w:val="22"/>
                <w:lang w:val="zh-CN" w:eastAsia="zh-CN"/>
              </w:rPr>
              <w:t>资格。）</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项目验收合格且服务期结束后，供应商向采购人提供合法有效票据及其他相关请款资料，采购人在90工作日内将履约保证金扣减考核金额（如涉及考核）后一次性无息退还。</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EBDCC85">
            <w:pPr>
              <w:pStyle w:val="29"/>
              <w:numPr>
                <w:ilvl w:val="0"/>
                <w:numId w:val="8"/>
              </w:numPr>
              <w:tabs>
                <w:tab w:val="left" w:pos="218"/>
              </w:tabs>
              <w:spacing w:line="360" w:lineRule="auto"/>
              <w:ind w:left="218" w:leftChars="104" w:firstLine="0" w:firstLineChars="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供应商拒绝履行与采购人订立的合同；</w:t>
            </w:r>
          </w:p>
          <w:p w14:paraId="4F09EBE3">
            <w:pPr>
              <w:pStyle w:val="29"/>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（2）因供应商严重违约或其它违法违规行为等情形，导致双方无法继续履约。</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78277E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（1）采购部门：招标采购中心</w:t>
            </w:r>
          </w:p>
          <w:p w14:paraId="0618E8EC">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丁</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87393463</w:t>
            </w:r>
          </w:p>
          <w:p w14:paraId="64ABCF4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（2）归口部门：医学信息中心</w:t>
            </w:r>
          </w:p>
          <w:p w14:paraId="66AD8B0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叶</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87393250</w:t>
            </w:r>
          </w:p>
          <w:p w14:paraId="2699BB77">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（3）监督部门：审计部</w:t>
            </w:r>
          </w:p>
          <w:p w14:paraId="509376EE">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联系方式：028-87394709</w:t>
            </w:r>
          </w:p>
          <w:p w14:paraId="0E7FA11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92583767"/>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192583768"/>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6058" w:type="dxa"/>
            <w:vAlign w:val="center"/>
          </w:tcPr>
          <w:p w14:paraId="7748C337">
            <w:pPr>
              <w:jc w:val="left"/>
              <w:rPr>
                <w:rFonts w:hint="eastAsia" w:ascii="Times New Roman" w:hAnsi="Times New Roman" w:eastAsia="仿宋" w:cs="Times New Roman"/>
                <w:bCs/>
                <w:kern w:val="0"/>
                <w:sz w:val="22"/>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的条款（若涉及）</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92583769"/>
      <w:r>
        <w:rPr>
          <w:rFonts w:ascii="Times New Roman" w:hAnsi="Times New Roman" w:cs="Times New Roman"/>
        </w:rPr>
        <w:t>采购需求</w:t>
      </w:r>
      <w:bookmarkEnd w:id="12"/>
      <w:bookmarkEnd w:id="13"/>
      <w:bookmarkEnd w:id="14"/>
    </w:p>
    <w:p w14:paraId="538AB14B">
      <w:pPr>
        <w:pStyle w:val="16"/>
        <w:numPr>
          <w:ilvl w:val="0"/>
          <w:numId w:val="0"/>
        </w:numPr>
        <w:ind w:firstLine="0"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本项目拟确定一名供应商提供纪检监察内网宽带租赁服务。</w:t>
      </w:r>
      <w:r>
        <w:rPr>
          <w:rFonts w:hint="eastAsia" w:ascii="仿宋" w:hAnsi="仿宋" w:eastAsia="仿宋" w:cs="仿宋"/>
          <w:sz w:val="24"/>
          <w:szCs w:val="24"/>
        </w:rPr>
        <w:cr/>
      </w: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采购清单</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8"/>
        <w:gridCol w:w="2312"/>
        <w:gridCol w:w="2834"/>
        <w:gridCol w:w="749"/>
        <w:gridCol w:w="749"/>
        <w:gridCol w:w="2451"/>
      </w:tblGrid>
      <w:tr w14:paraId="448D6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380" w:type="pct"/>
            <w:shd w:val="clear" w:color="auto" w:fill="auto"/>
            <w:tcMar>
              <w:top w:w="0" w:type="dxa"/>
              <w:left w:w="105" w:type="dxa"/>
              <w:bottom w:w="0" w:type="dxa"/>
              <w:right w:w="105" w:type="dxa"/>
            </w:tcMar>
            <w:vAlign w:val="top"/>
          </w:tcPr>
          <w:p w14:paraId="743B6530">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173" w:type="pct"/>
            <w:shd w:val="clear" w:color="auto" w:fill="auto"/>
            <w:tcMar>
              <w:top w:w="0" w:type="dxa"/>
              <w:left w:w="105" w:type="dxa"/>
              <w:bottom w:w="0" w:type="dxa"/>
              <w:right w:w="105" w:type="dxa"/>
            </w:tcMar>
            <w:vAlign w:val="top"/>
          </w:tcPr>
          <w:p w14:paraId="0089B454">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品名</w:t>
            </w:r>
          </w:p>
        </w:tc>
        <w:tc>
          <w:tcPr>
            <w:tcW w:w="1438" w:type="pct"/>
            <w:shd w:val="clear" w:color="auto" w:fill="auto"/>
            <w:tcMar>
              <w:top w:w="0" w:type="dxa"/>
              <w:left w:w="105" w:type="dxa"/>
              <w:bottom w:w="0" w:type="dxa"/>
              <w:right w:w="105" w:type="dxa"/>
            </w:tcMar>
            <w:vAlign w:val="top"/>
          </w:tcPr>
          <w:p w14:paraId="181774D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详细描述</w:t>
            </w:r>
          </w:p>
        </w:tc>
        <w:tc>
          <w:tcPr>
            <w:tcW w:w="380" w:type="pct"/>
            <w:shd w:val="clear" w:color="auto" w:fill="auto"/>
            <w:tcMar>
              <w:top w:w="0" w:type="dxa"/>
              <w:left w:w="105" w:type="dxa"/>
              <w:bottom w:w="0" w:type="dxa"/>
              <w:right w:w="105" w:type="dxa"/>
            </w:tcMar>
            <w:vAlign w:val="top"/>
          </w:tcPr>
          <w:p w14:paraId="5FBB465B">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数量</w:t>
            </w:r>
          </w:p>
        </w:tc>
        <w:tc>
          <w:tcPr>
            <w:tcW w:w="380" w:type="pct"/>
            <w:shd w:val="clear" w:color="auto" w:fill="auto"/>
            <w:tcMar>
              <w:top w:w="0" w:type="dxa"/>
              <w:left w:w="105" w:type="dxa"/>
              <w:bottom w:w="0" w:type="dxa"/>
              <w:right w:w="105" w:type="dxa"/>
            </w:tcMar>
            <w:vAlign w:val="top"/>
          </w:tcPr>
          <w:p w14:paraId="12935C09">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单位</w:t>
            </w:r>
          </w:p>
        </w:tc>
        <w:tc>
          <w:tcPr>
            <w:tcW w:w="1244" w:type="pct"/>
            <w:shd w:val="clear" w:color="auto" w:fill="auto"/>
            <w:tcMar>
              <w:top w:w="0" w:type="dxa"/>
              <w:left w:w="105" w:type="dxa"/>
              <w:bottom w:w="0" w:type="dxa"/>
              <w:right w:w="105" w:type="dxa"/>
            </w:tcMar>
            <w:vAlign w:val="top"/>
          </w:tcPr>
          <w:p w14:paraId="55E4AB1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限高单价（元/年）</w:t>
            </w:r>
          </w:p>
        </w:tc>
      </w:tr>
      <w:tr w14:paraId="3103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380" w:type="pct"/>
            <w:shd w:val="clear" w:color="auto" w:fill="auto"/>
            <w:tcMar>
              <w:top w:w="0" w:type="dxa"/>
              <w:left w:w="105" w:type="dxa"/>
              <w:bottom w:w="0" w:type="dxa"/>
              <w:right w:w="105" w:type="dxa"/>
            </w:tcMar>
            <w:vAlign w:val="center"/>
          </w:tcPr>
          <w:p w14:paraId="0D5F7978">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w:t>
            </w:r>
          </w:p>
        </w:tc>
        <w:tc>
          <w:tcPr>
            <w:tcW w:w="1173" w:type="pct"/>
            <w:shd w:val="clear" w:color="auto" w:fill="auto"/>
            <w:tcMar>
              <w:top w:w="0" w:type="dxa"/>
              <w:left w:w="105" w:type="dxa"/>
              <w:bottom w:w="0" w:type="dxa"/>
              <w:right w:w="105" w:type="dxa"/>
            </w:tcMar>
            <w:vAlign w:val="center"/>
          </w:tcPr>
          <w:p w14:paraId="2DA41F2F">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光纤传输线路专线</w:t>
            </w:r>
          </w:p>
        </w:tc>
        <w:tc>
          <w:tcPr>
            <w:tcW w:w="1438" w:type="pct"/>
            <w:shd w:val="clear" w:color="auto" w:fill="auto"/>
            <w:tcMar>
              <w:top w:w="0" w:type="dxa"/>
              <w:left w:w="105" w:type="dxa"/>
              <w:bottom w:w="0" w:type="dxa"/>
              <w:right w:w="105" w:type="dxa"/>
            </w:tcMar>
            <w:vAlign w:val="center"/>
          </w:tcPr>
          <w:p w14:paraId="6009A0A8">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纪检监察内网网络专线</w:t>
            </w:r>
          </w:p>
        </w:tc>
        <w:tc>
          <w:tcPr>
            <w:tcW w:w="380" w:type="pct"/>
            <w:shd w:val="clear" w:color="auto" w:fill="auto"/>
            <w:tcMar>
              <w:top w:w="0" w:type="dxa"/>
              <w:left w:w="105" w:type="dxa"/>
              <w:bottom w:w="0" w:type="dxa"/>
              <w:right w:w="105" w:type="dxa"/>
            </w:tcMar>
            <w:vAlign w:val="center"/>
          </w:tcPr>
          <w:p w14:paraId="721943EB">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w:t>
            </w:r>
          </w:p>
        </w:tc>
        <w:tc>
          <w:tcPr>
            <w:tcW w:w="380" w:type="pct"/>
            <w:shd w:val="clear" w:color="auto" w:fill="auto"/>
            <w:tcMar>
              <w:top w:w="0" w:type="dxa"/>
              <w:left w:w="105" w:type="dxa"/>
              <w:bottom w:w="0" w:type="dxa"/>
              <w:right w:w="105" w:type="dxa"/>
            </w:tcMar>
            <w:vAlign w:val="center"/>
          </w:tcPr>
          <w:p w14:paraId="73D588F9">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条</w:t>
            </w:r>
          </w:p>
        </w:tc>
        <w:tc>
          <w:tcPr>
            <w:tcW w:w="1244" w:type="pct"/>
            <w:shd w:val="clear" w:color="auto" w:fill="auto"/>
            <w:tcMar>
              <w:top w:w="0" w:type="dxa"/>
              <w:left w:w="105" w:type="dxa"/>
              <w:bottom w:w="0" w:type="dxa"/>
              <w:right w:w="105" w:type="dxa"/>
            </w:tcMar>
            <w:vAlign w:val="center"/>
          </w:tcPr>
          <w:p w14:paraId="04A07CDF">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10680</w:t>
            </w:r>
          </w:p>
        </w:tc>
      </w:tr>
    </w:tbl>
    <w:p w14:paraId="47BAA638">
      <w:pPr>
        <w:pStyle w:val="16"/>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rPr>
        <w:t>三、技术、服务要求</w:t>
      </w:r>
      <w:r>
        <w:rPr>
          <w:rFonts w:hint="eastAsia" w:ascii="仿宋" w:hAnsi="仿宋" w:eastAsia="仿宋" w:cs="仿宋"/>
          <w:b/>
          <w:bCs/>
          <w:sz w:val="24"/>
          <w:szCs w:val="24"/>
        </w:rPr>
        <w:cr/>
      </w:r>
      <w:r>
        <w:rPr>
          <w:rFonts w:hint="eastAsia" w:ascii="仿宋" w:hAnsi="仿宋" w:eastAsia="仿宋" w:cs="仿宋"/>
          <w:b/>
          <w:bCs/>
          <w:sz w:val="24"/>
          <w:szCs w:val="24"/>
          <w:lang w:val="en-US" w:eastAsia="zh-CN"/>
        </w:rPr>
        <w:t>1.技术要求</w:t>
      </w:r>
    </w:p>
    <w:tbl>
      <w:tblPr>
        <w:tblStyle w:val="18"/>
        <w:tblW w:w="4996" w:type="pct"/>
        <w:jc w:val="center"/>
        <w:tblLayout w:type="autofit"/>
        <w:tblCellMar>
          <w:top w:w="0" w:type="dxa"/>
          <w:left w:w="108" w:type="dxa"/>
          <w:bottom w:w="0" w:type="dxa"/>
          <w:right w:w="108" w:type="dxa"/>
        </w:tblCellMar>
      </w:tblPr>
      <w:tblGrid>
        <w:gridCol w:w="1365"/>
        <w:gridCol w:w="1714"/>
        <w:gridCol w:w="4245"/>
        <w:gridCol w:w="2521"/>
      </w:tblGrid>
      <w:tr w14:paraId="678F45F7">
        <w:tblPrEx>
          <w:tblCellMar>
            <w:top w:w="0" w:type="dxa"/>
            <w:left w:w="108" w:type="dxa"/>
            <w:bottom w:w="0" w:type="dxa"/>
            <w:right w:w="108" w:type="dxa"/>
          </w:tblCellMar>
        </w:tblPrEx>
        <w:trPr>
          <w:trHeight w:val="270" w:hRule="atLeast"/>
          <w:jc w:val="center"/>
        </w:trPr>
        <w:tc>
          <w:tcPr>
            <w:tcW w:w="693" w:type="pct"/>
            <w:tcBorders>
              <w:top w:val="single" w:color="auto" w:sz="4" w:space="0"/>
              <w:left w:val="single" w:color="auto" w:sz="4" w:space="0"/>
              <w:bottom w:val="single" w:color="auto" w:sz="4" w:space="0"/>
              <w:right w:val="single" w:color="auto" w:sz="4" w:space="0"/>
            </w:tcBorders>
            <w:shd w:val="clear" w:color="000000" w:fill="auto"/>
            <w:noWrap w:val="0"/>
            <w:vAlign w:val="center"/>
          </w:tcPr>
          <w:p w14:paraId="3A0363DB">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专线类别</w:t>
            </w:r>
          </w:p>
        </w:tc>
        <w:tc>
          <w:tcPr>
            <w:tcW w:w="870" w:type="pct"/>
            <w:tcBorders>
              <w:top w:val="single" w:color="auto" w:sz="4" w:space="0"/>
              <w:left w:val="nil"/>
              <w:bottom w:val="single" w:color="auto" w:sz="4" w:space="0"/>
              <w:right w:val="single" w:color="auto" w:sz="4" w:space="0"/>
            </w:tcBorders>
            <w:shd w:val="clear" w:color="000000" w:fill="auto"/>
            <w:noWrap w:val="0"/>
            <w:vAlign w:val="center"/>
          </w:tcPr>
          <w:p w14:paraId="6E15AD13">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质量指标内容</w:t>
            </w:r>
          </w:p>
        </w:tc>
        <w:tc>
          <w:tcPr>
            <w:tcW w:w="2155" w:type="pct"/>
            <w:tcBorders>
              <w:top w:val="single" w:color="auto" w:sz="4" w:space="0"/>
              <w:left w:val="nil"/>
              <w:bottom w:val="single" w:color="auto" w:sz="4" w:space="0"/>
              <w:right w:val="single" w:color="auto" w:sz="4" w:space="0"/>
            </w:tcBorders>
            <w:shd w:val="clear" w:color="000000" w:fill="auto"/>
            <w:noWrap w:val="0"/>
            <w:vAlign w:val="center"/>
          </w:tcPr>
          <w:p w14:paraId="6BAF24B1">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指标定义</w:t>
            </w:r>
          </w:p>
        </w:tc>
        <w:tc>
          <w:tcPr>
            <w:tcW w:w="1280" w:type="pct"/>
            <w:tcBorders>
              <w:top w:val="single" w:color="auto" w:sz="4" w:space="0"/>
              <w:left w:val="nil"/>
              <w:bottom w:val="single" w:color="auto" w:sz="4" w:space="0"/>
              <w:right w:val="single" w:color="auto" w:sz="4" w:space="0"/>
            </w:tcBorders>
            <w:shd w:val="clear" w:color="000000" w:fill="auto"/>
            <w:noWrap w:val="0"/>
            <w:vAlign w:val="center"/>
          </w:tcPr>
          <w:p w14:paraId="05449019">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标准</w:t>
            </w:r>
          </w:p>
        </w:tc>
      </w:tr>
      <w:tr w14:paraId="509D9EA3">
        <w:tblPrEx>
          <w:tblCellMar>
            <w:top w:w="0" w:type="dxa"/>
            <w:left w:w="108" w:type="dxa"/>
            <w:bottom w:w="0" w:type="dxa"/>
            <w:right w:w="108" w:type="dxa"/>
          </w:tblCellMar>
        </w:tblPrEx>
        <w:trPr>
          <w:trHeight w:val="765" w:hRule="atLeast"/>
          <w:jc w:val="center"/>
        </w:trPr>
        <w:tc>
          <w:tcPr>
            <w:tcW w:w="693" w:type="pct"/>
            <w:vMerge w:val="restart"/>
            <w:tcBorders>
              <w:top w:val="nil"/>
              <w:left w:val="single" w:color="auto" w:sz="4" w:space="0"/>
              <w:right w:val="single" w:color="auto" w:sz="4" w:space="0"/>
            </w:tcBorders>
            <w:noWrap w:val="0"/>
            <w:vAlign w:val="center"/>
          </w:tcPr>
          <w:p w14:paraId="5773C02B">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数据专线</w:t>
            </w:r>
          </w:p>
        </w:tc>
        <w:tc>
          <w:tcPr>
            <w:tcW w:w="870" w:type="pct"/>
            <w:tcBorders>
              <w:top w:val="nil"/>
              <w:left w:val="nil"/>
              <w:bottom w:val="single" w:color="auto" w:sz="4" w:space="0"/>
              <w:right w:val="single" w:color="auto" w:sz="4" w:space="0"/>
            </w:tcBorders>
            <w:noWrap w:val="0"/>
            <w:vAlign w:val="center"/>
          </w:tcPr>
          <w:p w14:paraId="1CC82654">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误码率</w:t>
            </w:r>
          </w:p>
        </w:tc>
        <w:tc>
          <w:tcPr>
            <w:tcW w:w="2155" w:type="pct"/>
            <w:tcBorders>
              <w:top w:val="nil"/>
              <w:left w:val="nil"/>
              <w:bottom w:val="single" w:color="auto" w:sz="4" w:space="0"/>
              <w:right w:val="single" w:color="auto" w:sz="4" w:space="0"/>
            </w:tcBorders>
            <w:noWrap w:val="0"/>
            <w:vAlign w:val="center"/>
          </w:tcPr>
          <w:p w14:paraId="3E8D7FF8">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在一个确定的测试期间，接收出现差错的比特数与总发送的比特数之比</w:t>
            </w:r>
          </w:p>
        </w:tc>
        <w:tc>
          <w:tcPr>
            <w:tcW w:w="1280" w:type="pct"/>
            <w:tcBorders>
              <w:top w:val="nil"/>
              <w:left w:val="nil"/>
              <w:bottom w:val="single" w:color="auto" w:sz="4" w:space="0"/>
              <w:right w:val="single" w:color="auto" w:sz="4" w:space="0"/>
            </w:tcBorders>
            <w:noWrap w:val="0"/>
            <w:vAlign w:val="center"/>
          </w:tcPr>
          <w:p w14:paraId="3B49C2E9">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≤1e-9</w:t>
            </w:r>
          </w:p>
        </w:tc>
      </w:tr>
      <w:tr w14:paraId="20B8A7CC">
        <w:tblPrEx>
          <w:tblCellMar>
            <w:top w:w="0" w:type="dxa"/>
            <w:left w:w="108" w:type="dxa"/>
            <w:bottom w:w="0" w:type="dxa"/>
            <w:right w:w="108" w:type="dxa"/>
          </w:tblCellMar>
        </w:tblPrEx>
        <w:trPr>
          <w:trHeight w:val="1020" w:hRule="atLeast"/>
          <w:jc w:val="center"/>
        </w:trPr>
        <w:tc>
          <w:tcPr>
            <w:tcW w:w="693" w:type="pct"/>
            <w:vMerge w:val="continue"/>
            <w:tcBorders>
              <w:left w:val="single" w:color="auto" w:sz="4" w:space="0"/>
              <w:right w:val="single" w:color="auto" w:sz="4" w:space="0"/>
            </w:tcBorders>
            <w:noWrap w:val="0"/>
            <w:vAlign w:val="center"/>
          </w:tcPr>
          <w:p w14:paraId="73AE2277">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p>
        </w:tc>
        <w:tc>
          <w:tcPr>
            <w:tcW w:w="870" w:type="pct"/>
            <w:tcBorders>
              <w:top w:val="nil"/>
              <w:left w:val="nil"/>
              <w:bottom w:val="single" w:color="auto" w:sz="4" w:space="0"/>
              <w:right w:val="single" w:color="auto" w:sz="4" w:space="0"/>
            </w:tcBorders>
            <w:noWrap w:val="0"/>
            <w:vAlign w:val="center"/>
          </w:tcPr>
          <w:p w14:paraId="59990C4D">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时延</w:t>
            </w:r>
          </w:p>
        </w:tc>
        <w:tc>
          <w:tcPr>
            <w:tcW w:w="2155" w:type="pct"/>
            <w:tcBorders>
              <w:top w:val="nil"/>
              <w:left w:val="nil"/>
              <w:bottom w:val="single" w:color="auto" w:sz="4" w:space="0"/>
              <w:right w:val="single" w:color="auto" w:sz="4" w:space="0"/>
            </w:tcBorders>
            <w:noWrap w:val="0"/>
            <w:vAlign w:val="center"/>
          </w:tcPr>
          <w:p w14:paraId="0A6AA1CD">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端到端不丢包情况下的网络转发数据所用时间，包括传输时延和传输节点处理时延。</w:t>
            </w:r>
          </w:p>
        </w:tc>
        <w:tc>
          <w:tcPr>
            <w:tcW w:w="1280" w:type="pct"/>
            <w:tcBorders>
              <w:top w:val="nil"/>
              <w:left w:val="nil"/>
              <w:bottom w:val="single" w:color="auto" w:sz="4" w:space="0"/>
              <w:right w:val="single" w:color="auto" w:sz="4" w:space="0"/>
            </w:tcBorders>
            <w:noWrap w:val="0"/>
            <w:vAlign w:val="center"/>
          </w:tcPr>
          <w:p w14:paraId="5A12D347">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跨省、跨市时延：0.8ms/百公里（单向时延）；本地网内≤10ms</w:t>
            </w:r>
          </w:p>
        </w:tc>
      </w:tr>
      <w:tr w14:paraId="102B2DAC">
        <w:tblPrEx>
          <w:tblCellMar>
            <w:top w:w="0" w:type="dxa"/>
            <w:left w:w="108" w:type="dxa"/>
            <w:bottom w:w="0" w:type="dxa"/>
            <w:right w:w="108" w:type="dxa"/>
          </w:tblCellMar>
        </w:tblPrEx>
        <w:trPr>
          <w:trHeight w:val="1020" w:hRule="atLeast"/>
          <w:jc w:val="center"/>
        </w:trPr>
        <w:tc>
          <w:tcPr>
            <w:tcW w:w="693" w:type="pct"/>
            <w:vMerge w:val="continue"/>
            <w:tcBorders>
              <w:left w:val="single" w:color="auto" w:sz="4" w:space="0"/>
              <w:right w:val="single" w:color="auto" w:sz="4" w:space="0"/>
            </w:tcBorders>
            <w:noWrap w:val="0"/>
            <w:vAlign w:val="center"/>
          </w:tcPr>
          <w:p w14:paraId="2196590E">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p>
        </w:tc>
        <w:tc>
          <w:tcPr>
            <w:tcW w:w="870" w:type="pct"/>
            <w:tcBorders>
              <w:top w:val="nil"/>
              <w:left w:val="nil"/>
              <w:bottom w:val="single" w:color="auto" w:sz="4" w:space="0"/>
              <w:right w:val="single" w:color="auto" w:sz="4" w:space="0"/>
            </w:tcBorders>
            <w:noWrap w:val="0"/>
            <w:vAlign w:val="center"/>
          </w:tcPr>
          <w:p w14:paraId="4D5C5C74">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丢包率</w:t>
            </w:r>
          </w:p>
        </w:tc>
        <w:tc>
          <w:tcPr>
            <w:tcW w:w="2155" w:type="pct"/>
            <w:tcBorders>
              <w:top w:val="nil"/>
              <w:left w:val="nil"/>
              <w:bottom w:val="single" w:color="auto" w:sz="4" w:space="0"/>
              <w:right w:val="single" w:color="auto" w:sz="4" w:space="0"/>
            </w:tcBorders>
            <w:noWrap w:val="0"/>
            <w:vAlign w:val="center"/>
          </w:tcPr>
          <w:p w14:paraId="3F5C4914">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在网络稳定状态下由于网络资源缺乏造成的不能转发的数据帧和总数据帧的百分比</w:t>
            </w:r>
          </w:p>
        </w:tc>
        <w:tc>
          <w:tcPr>
            <w:tcW w:w="1280" w:type="pct"/>
            <w:tcBorders>
              <w:top w:val="nil"/>
              <w:left w:val="nil"/>
              <w:bottom w:val="single" w:color="auto" w:sz="4" w:space="0"/>
              <w:right w:val="single" w:color="auto" w:sz="4" w:space="0"/>
            </w:tcBorders>
            <w:noWrap w:val="0"/>
            <w:vAlign w:val="center"/>
          </w:tcPr>
          <w:p w14:paraId="1A34B560">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在正常带宽负荷下（负荷小于70％）≤0.1%（挂表测试为准）</w:t>
            </w:r>
          </w:p>
        </w:tc>
      </w:tr>
      <w:tr w14:paraId="59A4729B">
        <w:tblPrEx>
          <w:tblCellMar>
            <w:top w:w="0" w:type="dxa"/>
            <w:left w:w="108" w:type="dxa"/>
            <w:bottom w:w="0" w:type="dxa"/>
            <w:right w:w="108" w:type="dxa"/>
          </w:tblCellMar>
        </w:tblPrEx>
        <w:trPr>
          <w:trHeight w:val="1020" w:hRule="atLeast"/>
          <w:jc w:val="center"/>
        </w:trPr>
        <w:tc>
          <w:tcPr>
            <w:tcW w:w="693" w:type="pct"/>
            <w:vMerge w:val="continue"/>
            <w:tcBorders>
              <w:left w:val="single" w:color="auto" w:sz="4" w:space="0"/>
              <w:bottom w:val="single" w:color="auto" w:sz="4" w:space="0"/>
              <w:right w:val="single" w:color="auto" w:sz="4" w:space="0"/>
            </w:tcBorders>
            <w:noWrap w:val="0"/>
            <w:vAlign w:val="center"/>
          </w:tcPr>
          <w:p w14:paraId="111B136D">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p>
        </w:tc>
        <w:tc>
          <w:tcPr>
            <w:tcW w:w="870" w:type="pct"/>
            <w:tcBorders>
              <w:top w:val="single" w:color="auto" w:sz="4" w:space="0"/>
              <w:left w:val="single" w:color="auto" w:sz="4" w:space="0"/>
              <w:bottom w:val="single" w:color="auto" w:sz="4" w:space="0"/>
              <w:right w:val="single" w:color="auto" w:sz="4" w:space="0"/>
            </w:tcBorders>
            <w:noWrap w:val="0"/>
            <w:vAlign w:val="center"/>
          </w:tcPr>
          <w:p w14:paraId="7B67DD42">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带宽</w:t>
            </w:r>
          </w:p>
        </w:tc>
        <w:tc>
          <w:tcPr>
            <w:tcW w:w="2155" w:type="pct"/>
            <w:tcBorders>
              <w:top w:val="single" w:color="auto" w:sz="4" w:space="0"/>
              <w:left w:val="single" w:color="auto" w:sz="4" w:space="0"/>
              <w:bottom w:val="single" w:color="auto" w:sz="4" w:space="0"/>
              <w:right w:val="single" w:color="auto" w:sz="4" w:space="0"/>
            </w:tcBorders>
            <w:noWrap w:val="0"/>
            <w:vAlign w:val="center"/>
          </w:tcPr>
          <w:p w14:paraId="1A5EB721">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带宽大小</w:t>
            </w:r>
          </w:p>
        </w:tc>
        <w:tc>
          <w:tcPr>
            <w:tcW w:w="1280" w:type="pct"/>
            <w:tcBorders>
              <w:top w:val="single" w:color="auto" w:sz="4" w:space="0"/>
              <w:left w:val="single" w:color="auto" w:sz="4" w:space="0"/>
              <w:bottom w:val="single" w:color="auto" w:sz="4" w:space="0"/>
              <w:right w:val="single" w:color="auto" w:sz="4" w:space="0"/>
            </w:tcBorders>
            <w:noWrap w:val="0"/>
            <w:vAlign w:val="center"/>
          </w:tcPr>
          <w:p w14:paraId="5AF882D8">
            <w:pPr>
              <w:widowControl w:val="0"/>
              <w:snapToGrid w:val="0"/>
              <w:spacing w:before="40" w:after="40" w:line="240"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≥15M</w:t>
            </w:r>
          </w:p>
        </w:tc>
      </w:tr>
    </w:tbl>
    <w:p w14:paraId="559E41D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36" w:lineRule="auto"/>
        <w:textAlignment w:val="auto"/>
        <w:rPr>
          <w:rFonts w:hint="eastAsia" w:ascii="仿宋" w:hAnsi="仿宋" w:eastAsia="仿宋" w:cs="仿宋"/>
          <w:b/>
          <w:bCs/>
          <w:sz w:val="24"/>
          <w:szCs w:val="24"/>
          <w:lang w:val="en-US" w:eastAsia="zh-CN"/>
        </w:rPr>
      </w:pPr>
    </w:p>
    <w:tbl>
      <w:tblPr>
        <w:tblStyle w:val="18"/>
        <w:tblW w:w="4993" w:type="pct"/>
        <w:tblInd w:w="0" w:type="dxa"/>
        <w:tblLayout w:type="autofit"/>
        <w:tblCellMar>
          <w:top w:w="0" w:type="dxa"/>
          <w:left w:w="108" w:type="dxa"/>
          <w:bottom w:w="0" w:type="dxa"/>
          <w:right w:w="108" w:type="dxa"/>
        </w:tblCellMar>
      </w:tblPr>
      <w:tblGrid>
        <w:gridCol w:w="1331"/>
        <w:gridCol w:w="1775"/>
        <w:gridCol w:w="4249"/>
        <w:gridCol w:w="2484"/>
      </w:tblGrid>
      <w:tr w14:paraId="0998D6E7">
        <w:tblPrEx>
          <w:tblCellMar>
            <w:top w:w="0" w:type="dxa"/>
            <w:left w:w="108" w:type="dxa"/>
            <w:bottom w:w="0" w:type="dxa"/>
            <w:right w:w="108" w:type="dxa"/>
          </w:tblCellMar>
        </w:tblPrEx>
        <w:trPr>
          <w:trHeight w:val="395" w:hRule="atLeast"/>
        </w:trPr>
        <w:tc>
          <w:tcPr>
            <w:tcW w:w="6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C564B13">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服务分类</w:t>
            </w:r>
          </w:p>
        </w:tc>
        <w:tc>
          <w:tcPr>
            <w:tcW w:w="902" w:type="pct"/>
            <w:tcBorders>
              <w:top w:val="single" w:color="auto" w:sz="4" w:space="0"/>
              <w:left w:val="nil"/>
              <w:bottom w:val="single" w:color="auto" w:sz="4" w:space="0"/>
              <w:right w:val="single" w:color="auto" w:sz="4" w:space="0"/>
            </w:tcBorders>
            <w:shd w:val="clear" w:color="auto" w:fill="auto"/>
            <w:noWrap w:val="0"/>
            <w:vAlign w:val="center"/>
          </w:tcPr>
          <w:p w14:paraId="5CADD469">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计量单位</w:t>
            </w:r>
          </w:p>
        </w:tc>
        <w:tc>
          <w:tcPr>
            <w:tcW w:w="2159" w:type="pct"/>
            <w:tcBorders>
              <w:top w:val="single" w:color="auto" w:sz="4" w:space="0"/>
              <w:left w:val="nil"/>
              <w:bottom w:val="single" w:color="auto" w:sz="4" w:space="0"/>
              <w:right w:val="single" w:color="auto" w:sz="4" w:space="0"/>
            </w:tcBorders>
            <w:shd w:val="clear" w:color="auto" w:fill="auto"/>
            <w:noWrap w:val="0"/>
            <w:vAlign w:val="center"/>
          </w:tcPr>
          <w:p w14:paraId="3F76DEE0">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业务类别</w:t>
            </w:r>
          </w:p>
        </w:tc>
        <w:tc>
          <w:tcPr>
            <w:tcW w:w="1262" w:type="pct"/>
            <w:tcBorders>
              <w:top w:val="single" w:color="auto" w:sz="4" w:space="0"/>
              <w:left w:val="nil"/>
              <w:bottom w:val="single" w:color="auto" w:sz="4" w:space="0"/>
              <w:right w:val="single" w:color="auto" w:sz="4" w:space="0"/>
            </w:tcBorders>
            <w:shd w:val="clear" w:color="auto" w:fill="auto"/>
            <w:noWrap w:val="0"/>
            <w:vAlign w:val="center"/>
          </w:tcPr>
          <w:p w14:paraId="6771361D">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频率</w:t>
            </w:r>
          </w:p>
        </w:tc>
      </w:tr>
      <w:tr w14:paraId="6FD847B7">
        <w:tblPrEx>
          <w:tblCellMar>
            <w:top w:w="0" w:type="dxa"/>
            <w:left w:w="108" w:type="dxa"/>
            <w:bottom w:w="0" w:type="dxa"/>
            <w:right w:w="108" w:type="dxa"/>
          </w:tblCellMar>
        </w:tblPrEx>
        <w:trPr>
          <w:trHeight w:val="414" w:hRule="atLeast"/>
        </w:trPr>
        <w:tc>
          <w:tcPr>
            <w:tcW w:w="676" w:type="pct"/>
            <w:vMerge w:val="restart"/>
            <w:tcBorders>
              <w:top w:val="nil"/>
              <w:left w:val="single" w:color="auto" w:sz="4" w:space="0"/>
              <w:bottom w:val="single" w:color="auto" w:sz="4" w:space="0"/>
              <w:right w:val="single" w:color="auto" w:sz="4" w:space="0"/>
            </w:tcBorders>
            <w:shd w:val="clear" w:color="auto" w:fill="auto"/>
            <w:noWrap w:val="0"/>
            <w:vAlign w:val="center"/>
          </w:tcPr>
          <w:p w14:paraId="059288EE">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专线</w:t>
            </w:r>
          </w:p>
        </w:tc>
        <w:tc>
          <w:tcPr>
            <w:tcW w:w="902" w:type="pct"/>
            <w:tcBorders>
              <w:top w:val="nil"/>
              <w:left w:val="nil"/>
              <w:bottom w:val="single" w:color="auto" w:sz="4" w:space="0"/>
              <w:right w:val="single" w:color="auto" w:sz="4" w:space="0"/>
            </w:tcBorders>
            <w:shd w:val="clear" w:color="auto" w:fill="auto"/>
            <w:noWrap w:val="0"/>
            <w:vAlign w:val="center"/>
          </w:tcPr>
          <w:p w14:paraId="43A4903F">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次</w:t>
            </w:r>
          </w:p>
        </w:tc>
        <w:tc>
          <w:tcPr>
            <w:tcW w:w="2159" w:type="pct"/>
            <w:tcBorders>
              <w:top w:val="nil"/>
              <w:left w:val="nil"/>
              <w:bottom w:val="single" w:color="auto" w:sz="4" w:space="0"/>
              <w:right w:val="single" w:color="auto" w:sz="4" w:space="0"/>
            </w:tcBorders>
            <w:shd w:val="clear" w:color="auto" w:fill="auto"/>
            <w:noWrap w:val="0"/>
            <w:vAlign w:val="center"/>
          </w:tcPr>
          <w:p w14:paraId="65C9E0C7">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同一电路故障重复发生次数</w:t>
            </w:r>
          </w:p>
        </w:tc>
        <w:tc>
          <w:tcPr>
            <w:tcW w:w="1262" w:type="pct"/>
            <w:tcBorders>
              <w:top w:val="nil"/>
              <w:left w:val="nil"/>
              <w:bottom w:val="single" w:color="auto" w:sz="4" w:space="0"/>
              <w:right w:val="single" w:color="auto" w:sz="4" w:space="0"/>
            </w:tcBorders>
            <w:shd w:val="clear" w:color="auto" w:fill="auto"/>
            <w:noWrap w:val="0"/>
            <w:vAlign w:val="center"/>
          </w:tcPr>
          <w:p w14:paraId="0CCCF94C">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≤2次/年</w:t>
            </w:r>
          </w:p>
        </w:tc>
      </w:tr>
      <w:tr w14:paraId="02D72A69">
        <w:tblPrEx>
          <w:tblCellMar>
            <w:top w:w="0" w:type="dxa"/>
            <w:left w:w="108" w:type="dxa"/>
            <w:bottom w:w="0" w:type="dxa"/>
            <w:right w:w="108" w:type="dxa"/>
          </w:tblCellMar>
        </w:tblPrEx>
        <w:trPr>
          <w:trHeight w:val="395" w:hRule="atLeast"/>
        </w:trPr>
        <w:tc>
          <w:tcPr>
            <w:tcW w:w="676" w:type="pct"/>
            <w:vMerge w:val="continue"/>
            <w:tcBorders>
              <w:top w:val="nil"/>
              <w:left w:val="single" w:color="auto" w:sz="4" w:space="0"/>
              <w:bottom w:val="single" w:color="auto" w:sz="4" w:space="0"/>
              <w:right w:val="single" w:color="auto" w:sz="4" w:space="0"/>
            </w:tcBorders>
            <w:shd w:val="clear" w:color="auto" w:fill="auto"/>
            <w:noWrap w:val="0"/>
            <w:vAlign w:val="center"/>
          </w:tcPr>
          <w:p w14:paraId="552F637E">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p>
        </w:tc>
        <w:tc>
          <w:tcPr>
            <w:tcW w:w="902" w:type="pct"/>
            <w:tcBorders>
              <w:top w:val="nil"/>
              <w:left w:val="nil"/>
              <w:bottom w:val="single" w:color="auto" w:sz="4" w:space="0"/>
              <w:right w:val="single" w:color="auto" w:sz="4" w:space="0"/>
            </w:tcBorders>
            <w:shd w:val="clear" w:color="auto" w:fill="auto"/>
            <w:noWrap w:val="0"/>
            <w:vAlign w:val="center"/>
          </w:tcPr>
          <w:p w14:paraId="7AE1E7D8">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百分比</w:t>
            </w:r>
          </w:p>
        </w:tc>
        <w:tc>
          <w:tcPr>
            <w:tcW w:w="2159" w:type="pct"/>
            <w:tcBorders>
              <w:top w:val="nil"/>
              <w:left w:val="nil"/>
              <w:bottom w:val="single" w:color="auto" w:sz="4" w:space="0"/>
              <w:right w:val="single" w:color="auto" w:sz="4" w:space="0"/>
            </w:tcBorders>
            <w:shd w:val="clear" w:color="auto" w:fill="auto"/>
            <w:noWrap w:val="0"/>
            <w:vAlign w:val="center"/>
          </w:tcPr>
          <w:p w14:paraId="25AFFDC6">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网络可用率</w:t>
            </w:r>
          </w:p>
        </w:tc>
        <w:tc>
          <w:tcPr>
            <w:tcW w:w="1262" w:type="pct"/>
            <w:tcBorders>
              <w:top w:val="nil"/>
              <w:left w:val="nil"/>
              <w:bottom w:val="single" w:color="auto" w:sz="4" w:space="0"/>
              <w:right w:val="single" w:color="auto" w:sz="4" w:space="0"/>
            </w:tcBorders>
            <w:shd w:val="clear" w:color="auto" w:fill="auto"/>
            <w:noWrap w:val="0"/>
            <w:vAlign w:val="center"/>
          </w:tcPr>
          <w:p w14:paraId="478CE4BF">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≥99.90%</w:t>
            </w:r>
          </w:p>
        </w:tc>
      </w:tr>
      <w:tr w14:paraId="7F4C3A68">
        <w:tblPrEx>
          <w:tblCellMar>
            <w:top w:w="0" w:type="dxa"/>
            <w:left w:w="108" w:type="dxa"/>
            <w:bottom w:w="0" w:type="dxa"/>
            <w:right w:w="108" w:type="dxa"/>
          </w:tblCellMar>
        </w:tblPrEx>
        <w:trPr>
          <w:trHeight w:val="479" w:hRule="atLeast"/>
        </w:trPr>
        <w:tc>
          <w:tcPr>
            <w:tcW w:w="676" w:type="pct"/>
            <w:vMerge w:val="continue"/>
            <w:tcBorders>
              <w:top w:val="nil"/>
              <w:left w:val="single" w:color="auto" w:sz="4" w:space="0"/>
              <w:bottom w:val="single" w:color="auto" w:sz="4" w:space="0"/>
              <w:right w:val="single" w:color="auto" w:sz="4" w:space="0"/>
            </w:tcBorders>
            <w:shd w:val="clear" w:color="auto" w:fill="auto"/>
            <w:noWrap w:val="0"/>
            <w:vAlign w:val="center"/>
          </w:tcPr>
          <w:p w14:paraId="43518213">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p>
        </w:tc>
        <w:tc>
          <w:tcPr>
            <w:tcW w:w="902" w:type="pct"/>
            <w:tcBorders>
              <w:top w:val="nil"/>
              <w:left w:val="nil"/>
              <w:bottom w:val="single" w:color="auto" w:sz="4" w:space="0"/>
              <w:right w:val="single" w:color="auto" w:sz="4" w:space="0"/>
            </w:tcBorders>
            <w:shd w:val="clear" w:color="auto" w:fill="auto"/>
            <w:noWrap w:val="0"/>
            <w:vAlign w:val="center"/>
          </w:tcPr>
          <w:p w14:paraId="3229A31F">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小时</w:t>
            </w:r>
          </w:p>
        </w:tc>
        <w:tc>
          <w:tcPr>
            <w:tcW w:w="2159" w:type="pct"/>
            <w:tcBorders>
              <w:top w:val="nil"/>
              <w:left w:val="nil"/>
              <w:bottom w:val="single" w:color="auto" w:sz="4" w:space="0"/>
              <w:right w:val="single" w:color="auto" w:sz="4" w:space="0"/>
            </w:tcBorders>
            <w:shd w:val="clear" w:color="auto" w:fill="auto"/>
            <w:noWrap w:val="0"/>
            <w:vAlign w:val="center"/>
          </w:tcPr>
          <w:p w14:paraId="098B34C3">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年故障历时</w:t>
            </w:r>
          </w:p>
        </w:tc>
        <w:tc>
          <w:tcPr>
            <w:tcW w:w="1262" w:type="pct"/>
            <w:tcBorders>
              <w:top w:val="nil"/>
              <w:left w:val="nil"/>
              <w:bottom w:val="single" w:color="auto" w:sz="4" w:space="0"/>
              <w:right w:val="single" w:color="auto" w:sz="4" w:space="0"/>
            </w:tcBorders>
            <w:shd w:val="clear" w:color="auto" w:fill="auto"/>
            <w:noWrap w:val="0"/>
            <w:vAlign w:val="center"/>
          </w:tcPr>
          <w:p w14:paraId="2CB3AD2B">
            <w:pPr>
              <w:widowControl w:val="0"/>
              <w:snapToGrid w:val="0"/>
              <w:spacing w:before="40" w:after="40" w:line="288" w:lineRule="auto"/>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≤3小时</w:t>
            </w:r>
          </w:p>
        </w:tc>
      </w:tr>
    </w:tbl>
    <w:p w14:paraId="2A5707E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24" w:lineRule="auto"/>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2.服务要求</w:t>
      </w:r>
    </w:p>
    <w:p w14:paraId="68A161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eastAsia="zh-CN"/>
        </w:rPr>
        <w:t>供应商</w:t>
      </w:r>
      <w:r>
        <w:rPr>
          <w:rFonts w:hint="eastAsia" w:ascii="仿宋" w:hAnsi="仿宋" w:eastAsia="仿宋" w:cs="仿宋"/>
          <w:b w:val="0"/>
          <w:bCs w:val="0"/>
          <w:sz w:val="24"/>
          <w:szCs w:val="24"/>
        </w:rPr>
        <w:t>为</w:t>
      </w:r>
      <w:r>
        <w:rPr>
          <w:rFonts w:hint="eastAsia" w:ascii="仿宋" w:hAnsi="仿宋" w:eastAsia="仿宋" w:cs="仿宋"/>
          <w:b w:val="0"/>
          <w:bCs w:val="0"/>
          <w:sz w:val="24"/>
          <w:szCs w:val="24"/>
          <w:lang w:eastAsia="zh-CN"/>
        </w:rPr>
        <w:t>采购人</w:t>
      </w:r>
      <w:r>
        <w:rPr>
          <w:rFonts w:hint="eastAsia" w:ascii="仿宋" w:hAnsi="仿宋" w:eastAsia="仿宋" w:cs="仿宋"/>
          <w:b w:val="0"/>
          <w:bCs w:val="0"/>
          <w:sz w:val="24"/>
          <w:szCs w:val="24"/>
        </w:rPr>
        <w:t>“纪检监察内网”通过光缆提供带宽≥15Mbps/点位的网络专线接入、建设、维护、管理等工作。</w:t>
      </w:r>
    </w:p>
    <w:p w14:paraId="4E5D16C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w:t>
      </w:r>
      <w:r>
        <w:rPr>
          <w:rFonts w:hint="eastAsia" w:ascii="仿宋" w:hAnsi="仿宋" w:eastAsia="仿宋" w:cs="仿宋"/>
          <w:b w:val="0"/>
          <w:bCs w:val="0"/>
          <w:sz w:val="24"/>
          <w:szCs w:val="24"/>
          <w:lang w:eastAsia="zh-CN"/>
        </w:rPr>
        <w:t>采购人</w:t>
      </w:r>
      <w:r>
        <w:rPr>
          <w:rFonts w:hint="eastAsia" w:ascii="仿宋" w:hAnsi="仿宋" w:eastAsia="仿宋" w:cs="仿宋"/>
          <w:b w:val="0"/>
          <w:bCs w:val="0"/>
          <w:sz w:val="24"/>
          <w:szCs w:val="24"/>
        </w:rPr>
        <w:t>在本项目执行期间享有“纪检监察内网”光纤链路的使用权,同时向</w:t>
      </w:r>
      <w:r>
        <w:rPr>
          <w:rFonts w:hint="eastAsia" w:ascii="仿宋" w:hAnsi="仿宋" w:eastAsia="仿宋" w:cs="仿宋"/>
          <w:b w:val="0"/>
          <w:bCs w:val="0"/>
          <w:sz w:val="24"/>
          <w:szCs w:val="24"/>
          <w:lang w:eastAsia="zh-CN"/>
        </w:rPr>
        <w:t>供应商</w:t>
      </w:r>
      <w:r>
        <w:rPr>
          <w:rFonts w:hint="eastAsia" w:ascii="仿宋" w:hAnsi="仿宋" w:eastAsia="仿宋" w:cs="仿宋"/>
          <w:b w:val="0"/>
          <w:bCs w:val="0"/>
          <w:sz w:val="24"/>
          <w:szCs w:val="24"/>
        </w:rPr>
        <w:t>支付相应网络使用费。</w:t>
      </w:r>
    </w:p>
    <w:p w14:paraId="1B44F80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3.</w:t>
      </w:r>
      <w:r>
        <w:rPr>
          <w:rFonts w:hint="eastAsia" w:ascii="仿宋" w:hAnsi="仿宋" w:eastAsia="仿宋" w:cs="仿宋"/>
          <w:b w:val="0"/>
          <w:bCs w:val="0"/>
          <w:sz w:val="24"/>
          <w:szCs w:val="24"/>
          <w:lang w:eastAsia="zh-CN"/>
        </w:rPr>
        <w:t>供应商</w:t>
      </w:r>
      <w:r>
        <w:rPr>
          <w:rFonts w:hint="eastAsia" w:ascii="仿宋" w:hAnsi="仿宋" w:eastAsia="仿宋" w:cs="仿宋"/>
          <w:b w:val="0"/>
          <w:bCs w:val="0"/>
          <w:sz w:val="24"/>
          <w:szCs w:val="24"/>
        </w:rPr>
        <w:t>须提供一年7×24小时技术支撑热线保证业务故障恢复时间不得超过2小时，提供承诺函原件并加盖鲜章。</w:t>
      </w:r>
    </w:p>
    <w:p w14:paraId="61CEB7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textAlignment w:val="auto"/>
        <w:rPr>
          <w:rFonts w:hint="eastAsia" w:ascii="仿宋" w:hAnsi="仿宋" w:eastAsia="仿宋" w:cs="仿宋"/>
          <w:sz w:val="24"/>
          <w:szCs w:val="24"/>
        </w:rPr>
      </w:pPr>
      <w:r>
        <w:rPr>
          <w:rFonts w:hint="eastAsia" w:ascii="仿宋" w:hAnsi="仿宋" w:eastAsia="仿宋" w:cs="仿宋"/>
          <w:b/>
          <w:bCs/>
          <w:sz w:val="24"/>
          <w:szCs w:val="24"/>
        </w:rPr>
        <w:t>四、商务要求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1.服务期：3年，自2026年9月3日-2029年9月2日。合同一年一签。若签订时间晚于2026年9月3日，则自合同签订之日起生效，合同每年一签，考核合格后续签下一年合同。</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2.服务地点：本项目涉及的四川省人民医院所有院区。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（6）履约验收时间：供应商完成本项目所有采购内容功能的上线并具备验收条件后10个工作日内采购人组织验收。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24"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6951A940">
      <w:pPr>
        <w:keepNext w:val="0"/>
        <w:keepLines w:val="0"/>
        <w:pageBreakBefore w:val="0"/>
        <w:widowControl w:val="0"/>
        <w:kinsoku/>
        <w:wordWrap/>
        <w:overflowPunct/>
        <w:topLinePunct w:val="0"/>
        <w:autoSpaceDE/>
        <w:autoSpaceDN/>
        <w:bidi w:val="0"/>
        <w:spacing w:line="324" w:lineRule="auto"/>
        <w:ind w:firstLine="480" w:firstLineChars="200"/>
        <w:textAlignment w:val="auto"/>
        <w:rPr>
          <w:rFonts w:ascii="Times New Roman" w:hAnsi="Times New Roman" w:eastAsia="宋体" w:cs="Times New Roman"/>
          <w:sz w:val="24"/>
          <w:szCs w:val="24"/>
        </w:rPr>
      </w:pPr>
      <w:r>
        <w:rPr>
          <w:rFonts w:hint="eastAsia" w:ascii="仿宋" w:hAnsi="仿宋" w:eastAsia="仿宋" w:cs="仿宋"/>
          <w:sz w:val="24"/>
          <w:szCs w:val="24"/>
          <w:highlight w:val="none"/>
          <w:lang w:val="en-US" w:eastAsia="zh-CN"/>
        </w:rPr>
        <w:t>5.知识产权：无。</w:t>
      </w:r>
      <w:r>
        <w:rPr>
          <w:rFonts w:ascii="Times New Roman" w:hAnsi="Times New Roman" w:eastAsia="宋体" w:cs="Times New Roman"/>
          <w:sz w:val="24"/>
          <w:szCs w:val="24"/>
        </w:rPr>
        <w:br w:type="page"/>
      </w:r>
    </w:p>
    <w:p w14:paraId="57657335">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6.供应商考核</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7"/>
        <w:gridCol w:w="1214"/>
        <w:gridCol w:w="2018"/>
        <w:gridCol w:w="1441"/>
        <w:gridCol w:w="2840"/>
        <w:gridCol w:w="1013"/>
      </w:tblGrid>
      <w:tr w14:paraId="07BB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shd w:val="clear" w:color="auto" w:fill="auto"/>
            <w:noWrap w:val="0"/>
            <w:vAlign w:val="top"/>
          </w:tcPr>
          <w:p w14:paraId="5EDCD86C">
            <w:pPr>
              <w:jc w:val="center"/>
              <w:rPr>
                <w:rFonts w:hint="eastAsia" w:ascii="仿宋" w:hAnsi="仿宋" w:eastAsia="仿宋" w:cs="仿宋"/>
                <w:sz w:val="24"/>
                <w:szCs w:val="24"/>
                <w:lang w:val="en-US" w:eastAsia="zh-CN"/>
              </w:rPr>
            </w:pPr>
            <w:r>
              <w:rPr>
                <w:rFonts w:hint="eastAsia" w:ascii="仿宋" w:hAnsi="仿宋" w:eastAsia="仿宋" w:cs="仿宋"/>
                <w:b/>
                <w:bCs/>
                <w:sz w:val="32"/>
                <w:szCs w:val="32"/>
                <w:lang w:val="en-US" w:eastAsia="zh-CN"/>
              </w:rPr>
              <w:t>四川省人民医院供应商考核</w:t>
            </w:r>
          </w:p>
        </w:tc>
      </w:tr>
      <w:tr w14:paraId="636D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shd w:val="clear" w:color="auto" w:fill="auto"/>
            <w:noWrap w:val="0"/>
            <w:vAlign w:val="center"/>
          </w:tcPr>
          <w:p w14:paraId="1C3AAB7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w:t>
            </w:r>
          </w:p>
        </w:tc>
        <w:tc>
          <w:tcPr>
            <w:tcW w:w="1640" w:type="pct"/>
            <w:gridSpan w:val="2"/>
            <w:shd w:val="clear" w:color="auto" w:fill="auto"/>
            <w:noWrap w:val="0"/>
            <w:vAlign w:val="center"/>
          </w:tcPr>
          <w:p w14:paraId="42B4AF72">
            <w:pPr>
              <w:rPr>
                <w:rFonts w:hint="eastAsia" w:ascii="仿宋" w:hAnsi="仿宋" w:eastAsia="仿宋" w:cs="仿宋"/>
                <w:sz w:val="24"/>
                <w:szCs w:val="24"/>
                <w:lang w:val="en-US" w:eastAsia="zh-CN"/>
              </w:rPr>
            </w:pPr>
          </w:p>
        </w:tc>
        <w:tc>
          <w:tcPr>
            <w:tcW w:w="731" w:type="pct"/>
            <w:shd w:val="clear" w:color="auto" w:fill="auto"/>
            <w:noWrap w:val="0"/>
            <w:vAlign w:val="center"/>
          </w:tcPr>
          <w:p w14:paraId="11BFA01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合同名</w:t>
            </w:r>
          </w:p>
        </w:tc>
        <w:tc>
          <w:tcPr>
            <w:tcW w:w="1953" w:type="pct"/>
            <w:gridSpan w:val="2"/>
            <w:shd w:val="clear" w:color="auto" w:fill="auto"/>
            <w:noWrap w:val="0"/>
            <w:vAlign w:val="top"/>
          </w:tcPr>
          <w:p w14:paraId="6722FDC8">
            <w:pPr>
              <w:rPr>
                <w:rFonts w:hint="eastAsia" w:ascii="仿宋" w:hAnsi="仿宋" w:eastAsia="仿宋" w:cs="仿宋"/>
                <w:sz w:val="24"/>
                <w:szCs w:val="24"/>
                <w:lang w:val="en-US" w:eastAsia="zh-CN"/>
              </w:rPr>
            </w:pPr>
          </w:p>
        </w:tc>
      </w:tr>
      <w:tr w14:paraId="58FB8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shd w:val="clear" w:color="auto" w:fill="auto"/>
            <w:noWrap w:val="0"/>
            <w:vAlign w:val="center"/>
          </w:tcPr>
          <w:p w14:paraId="7B273F64">
            <w:pPr>
              <w:rPr>
                <w:rFonts w:hint="eastAsia" w:ascii="仿宋" w:hAnsi="仿宋" w:eastAsia="仿宋" w:cs="仿宋"/>
                <w:sz w:val="24"/>
                <w:szCs w:val="24"/>
                <w:lang w:val="en-US" w:eastAsia="zh-CN"/>
              </w:rPr>
            </w:pPr>
            <w:r>
              <w:rPr>
                <w:rFonts w:hint="eastAsia" w:ascii="仿宋" w:hAnsi="仿宋" w:eastAsia="仿宋" w:cs="仿宋"/>
                <w:sz w:val="24"/>
                <w:szCs w:val="24"/>
              </w:rPr>
              <w:t>指标类</w:t>
            </w:r>
            <w:r>
              <w:rPr>
                <w:rFonts w:hint="eastAsia" w:ascii="仿宋" w:hAnsi="仿宋" w:eastAsia="仿宋" w:cs="仿宋"/>
                <w:sz w:val="24"/>
                <w:szCs w:val="24"/>
                <w:lang w:val="en-US" w:eastAsia="zh-CN"/>
              </w:rPr>
              <w:t>别</w:t>
            </w:r>
          </w:p>
        </w:tc>
        <w:tc>
          <w:tcPr>
            <w:tcW w:w="616" w:type="pct"/>
            <w:shd w:val="clear" w:color="auto" w:fill="auto"/>
            <w:noWrap w:val="0"/>
            <w:vAlign w:val="center"/>
          </w:tcPr>
          <w:p w14:paraId="14D4D273">
            <w:pPr>
              <w:rPr>
                <w:rFonts w:hint="eastAsia" w:ascii="仿宋" w:hAnsi="仿宋" w:eastAsia="仿宋" w:cs="仿宋"/>
                <w:sz w:val="24"/>
                <w:szCs w:val="24"/>
                <w:lang w:val="en-US" w:eastAsia="zh-CN"/>
              </w:rPr>
            </w:pPr>
            <w:r>
              <w:rPr>
                <w:rFonts w:hint="eastAsia" w:ascii="仿宋" w:hAnsi="仿宋" w:eastAsia="仿宋" w:cs="仿宋"/>
                <w:sz w:val="24"/>
                <w:szCs w:val="24"/>
              </w:rPr>
              <w:t>指标</w:t>
            </w:r>
          </w:p>
        </w:tc>
        <w:tc>
          <w:tcPr>
            <w:tcW w:w="3196" w:type="pct"/>
            <w:gridSpan w:val="3"/>
            <w:shd w:val="clear" w:color="auto" w:fill="auto"/>
            <w:noWrap w:val="0"/>
            <w:vAlign w:val="center"/>
          </w:tcPr>
          <w:p w14:paraId="2CE48BA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考核内容</w:t>
            </w:r>
          </w:p>
        </w:tc>
        <w:tc>
          <w:tcPr>
            <w:tcW w:w="513" w:type="pct"/>
            <w:shd w:val="clear" w:color="auto" w:fill="auto"/>
            <w:noWrap w:val="0"/>
            <w:vAlign w:val="center"/>
          </w:tcPr>
          <w:p w14:paraId="39682E9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扣分</w:t>
            </w:r>
          </w:p>
        </w:tc>
      </w:tr>
      <w:tr w14:paraId="5540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restart"/>
            <w:noWrap w:val="0"/>
            <w:vAlign w:val="center"/>
          </w:tcPr>
          <w:p w14:paraId="0DA48F46">
            <w:pPr>
              <w:rPr>
                <w:rFonts w:hint="eastAsia" w:ascii="仿宋" w:hAnsi="仿宋" w:eastAsia="仿宋" w:cs="仿宋"/>
                <w:sz w:val="24"/>
                <w:szCs w:val="24"/>
              </w:rPr>
            </w:pPr>
            <w:r>
              <w:rPr>
                <w:rFonts w:hint="eastAsia" w:ascii="仿宋" w:hAnsi="仿宋" w:eastAsia="仿宋" w:cs="仿宋"/>
                <w:sz w:val="24"/>
                <w:szCs w:val="24"/>
              </w:rPr>
              <w:t>性能质</w:t>
            </w:r>
          </w:p>
          <w:p w14:paraId="642CC69A">
            <w:pPr>
              <w:rPr>
                <w:rFonts w:hint="eastAsia" w:ascii="仿宋" w:hAnsi="仿宋" w:eastAsia="仿宋" w:cs="仿宋"/>
                <w:sz w:val="24"/>
                <w:szCs w:val="24"/>
              </w:rPr>
            </w:pPr>
            <w:r>
              <w:rPr>
                <w:rFonts w:hint="eastAsia" w:ascii="仿宋" w:hAnsi="仿宋" w:eastAsia="仿宋" w:cs="仿宋"/>
                <w:sz w:val="24"/>
                <w:szCs w:val="24"/>
              </w:rPr>
              <w:t>量评价</w:t>
            </w:r>
          </w:p>
          <w:p w14:paraId="2BCEA599">
            <w:pPr>
              <w:rPr>
                <w:rFonts w:hint="eastAsia" w:ascii="仿宋" w:hAnsi="仿宋" w:eastAsia="仿宋" w:cs="仿宋"/>
                <w:sz w:val="24"/>
                <w:szCs w:val="24"/>
                <w:lang w:val="en-US" w:eastAsia="zh-CN"/>
              </w:rPr>
            </w:pPr>
          </w:p>
        </w:tc>
        <w:tc>
          <w:tcPr>
            <w:tcW w:w="616" w:type="pct"/>
            <w:noWrap w:val="0"/>
            <w:vAlign w:val="center"/>
          </w:tcPr>
          <w:p w14:paraId="5B9D97D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稳定性</w:t>
            </w:r>
          </w:p>
        </w:tc>
        <w:tc>
          <w:tcPr>
            <w:tcW w:w="3196" w:type="pct"/>
            <w:gridSpan w:val="3"/>
            <w:noWrap w:val="0"/>
            <w:vAlign w:val="center"/>
          </w:tcPr>
          <w:p w14:paraId="786E4A5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出现故障，导致系统不稳定，影响医院业务：出现故障时间≤30分钟扣1分，30＜分钟且≤60分钟扣2分，&gt;60分钟扣5分；</w:t>
            </w:r>
          </w:p>
        </w:tc>
        <w:tc>
          <w:tcPr>
            <w:tcW w:w="513" w:type="pct"/>
            <w:noWrap w:val="0"/>
            <w:vAlign w:val="top"/>
          </w:tcPr>
          <w:p w14:paraId="6DF51129">
            <w:pPr>
              <w:rPr>
                <w:rFonts w:hint="eastAsia" w:ascii="仿宋" w:hAnsi="仿宋" w:eastAsia="仿宋" w:cs="仿宋"/>
                <w:sz w:val="24"/>
                <w:szCs w:val="24"/>
                <w:lang w:val="en-US" w:eastAsia="zh-CN"/>
              </w:rPr>
            </w:pPr>
          </w:p>
        </w:tc>
      </w:tr>
      <w:tr w14:paraId="57F0D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3BC0AEC3">
            <w:pPr>
              <w:rPr>
                <w:rFonts w:hint="eastAsia" w:ascii="仿宋" w:hAnsi="仿宋" w:eastAsia="仿宋" w:cs="仿宋"/>
                <w:sz w:val="24"/>
                <w:szCs w:val="24"/>
                <w:lang w:val="en-US" w:eastAsia="zh-CN"/>
              </w:rPr>
            </w:pPr>
          </w:p>
        </w:tc>
        <w:tc>
          <w:tcPr>
            <w:tcW w:w="616" w:type="pct"/>
            <w:noWrap w:val="0"/>
            <w:vAlign w:val="center"/>
          </w:tcPr>
          <w:p w14:paraId="223BC65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安全性</w:t>
            </w:r>
          </w:p>
        </w:tc>
        <w:tc>
          <w:tcPr>
            <w:tcW w:w="3196" w:type="pct"/>
            <w:gridSpan w:val="3"/>
            <w:noWrap w:val="0"/>
            <w:vAlign w:val="center"/>
          </w:tcPr>
          <w:p w14:paraId="667BD77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513" w:type="pct"/>
            <w:noWrap w:val="0"/>
            <w:vAlign w:val="top"/>
          </w:tcPr>
          <w:p w14:paraId="2A7CB6D6">
            <w:pPr>
              <w:rPr>
                <w:rFonts w:hint="eastAsia" w:ascii="仿宋" w:hAnsi="仿宋" w:eastAsia="仿宋" w:cs="仿宋"/>
                <w:sz w:val="24"/>
                <w:szCs w:val="24"/>
                <w:lang w:val="en-US" w:eastAsia="zh-CN"/>
              </w:rPr>
            </w:pPr>
          </w:p>
        </w:tc>
      </w:tr>
      <w:tr w14:paraId="1038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7F90A0CD">
            <w:pPr>
              <w:rPr>
                <w:rFonts w:hint="eastAsia" w:ascii="仿宋" w:hAnsi="仿宋" w:eastAsia="仿宋" w:cs="仿宋"/>
                <w:sz w:val="24"/>
                <w:szCs w:val="24"/>
                <w:lang w:val="en-US" w:eastAsia="zh-CN"/>
              </w:rPr>
            </w:pPr>
          </w:p>
        </w:tc>
        <w:tc>
          <w:tcPr>
            <w:tcW w:w="616" w:type="pct"/>
            <w:noWrap w:val="0"/>
            <w:vAlign w:val="center"/>
          </w:tcPr>
          <w:p w14:paraId="4AF02EF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用户满意度</w:t>
            </w:r>
          </w:p>
        </w:tc>
        <w:tc>
          <w:tcPr>
            <w:tcW w:w="3196" w:type="pct"/>
            <w:gridSpan w:val="3"/>
            <w:noWrap w:val="0"/>
            <w:vAlign w:val="center"/>
          </w:tcPr>
          <w:p w14:paraId="58DC855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接到投诉时，一次扣1分；出现整改和处理后仍然不满足要求的情况，每5日为一个周期追扣2分，不满一个周期的算一个周期；</w:t>
            </w:r>
          </w:p>
        </w:tc>
        <w:tc>
          <w:tcPr>
            <w:tcW w:w="513" w:type="pct"/>
            <w:noWrap w:val="0"/>
            <w:vAlign w:val="top"/>
          </w:tcPr>
          <w:p w14:paraId="5E6A979C">
            <w:pPr>
              <w:rPr>
                <w:rFonts w:hint="eastAsia" w:ascii="仿宋" w:hAnsi="仿宋" w:eastAsia="仿宋" w:cs="仿宋"/>
                <w:sz w:val="24"/>
                <w:szCs w:val="24"/>
                <w:lang w:val="en-US" w:eastAsia="zh-CN"/>
              </w:rPr>
            </w:pPr>
          </w:p>
        </w:tc>
      </w:tr>
      <w:tr w14:paraId="67B77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74" w:type="pct"/>
            <w:vMerge w:val="restart"/>
            <w:noWrap w:val="0"/>
            <w:vAlign w:val="center"/>
          </w:tcPr>
          <w:p w14:paraId="628CD372">
            <w:pPr>
              <w:rPr>
                <w:rFonts w:hint="eastAsia" w:ascii="仿宋" w:hAnsi="仿宋" w:eastAsia="仿宋" w:cs="仿宋"/>
                <w:sz w:val="24"/>
                <w:szCs w:val="24"/>
              </w:rPr>
            </w:pPr>
            <w:r>
              <w:rPr>
                <w:rFonts w:hint="eastAsia" w:ascii="仿宋" w:hAnsi="仿宋" w:eastAsia="仿宋" w:cs="仿宋"/>
                <w:sz w:val="24"/>
                <w:szCs w:val="24"/>
              </w:rPr>
              <w:t>使用支</w:t>
            </w:r>
          </w:p>
          <w:p w14:paraId="3FD5A07B">
            <w:pPr>
              <w:rPr>
                <w:rFonts w:hint="eastAsia" w:ascii="仿宋" w:hAnsi="仿宋" w:eastAsia="仿宋" w:cs="仿宋"/>
                <w:sz w:val="24"/>
                <w:szCs w:val="24"/>
                <w:lang w:val="en-US" w:eastAsia="zh-CN"/>
              </w:rPr>
            </w:pPr>
            <w:r>
              <w:rPr>
                <w:rFonts w:hint="eastAsia" w:ascii="仿宋" w:hAnsi="仿宋" w:eastAsia="仿宋" w:cs="仿宋"/>
                <w:sz w:val="24"/>
                <w:szCs w:val="24"/>
              </w:rPr>
              <w:t>持评价</w:t>
            </w:r>
          </w:p>
        </w:tc>
        <w:tc>
          <w:tcPr>
            <w:tcW w:w="616" w:type="pct"/>
            <w:noWrap w:val="0"/>
            <w:vAlign w:val="center"/>
          </w:tcPr>
          <w:p w14:paraId="4961548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考勤</w:t>
            </w:r>
          </w:p>
        </w:tc>
        <w:tc>
          <w:tcPr>
            <w:tcW w:w="3196" w:type="pct"/>
            <w:gridSpan w:val="3"/>
            <w:noWrap w:val="0"/>
            <w:vAlign w:val="center"/>
          </w:tcPr>
          <w:p w14:paraId="729250A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驻场工程师每日签到，每次迟到一次扣0.5分；旷工或漏签一次扣1分；</w:t>
            </w:r>
          </w:p>
        </w:tc>
        <w:tc>
          <w:tcPr>
            <w:tcW w:w="513" w:type="pct"/>
            <w:noWrap w:val="0"/>
            <w:vAlign w:val="top"/>
          </w:tcPr>
          <w:p w14:paraId="0679AD53">
            <w:pPr>
              <w:rPr>
                <w:rFonts w:hint="eastAsia" w:ascii="仿宋" w:hAnsi="仿宋" w:eastAsia="仿宋" w:cs="仿宋"/>
                <w:sz w:val="24"/>
                <w:szCs w:val="24"/>
                <w:lang w:val="en-US" w:eastAsia="zh-CN"/>
              </w:rPr>
            </w:pPr>
          </w:p>
        </w:tc>
      </w:tr>
      <w:tr w14:paraId="186F4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0F95FCF0">
            <w:pPr>
              <w:rPr>
                <w:rFonts w:hint="eastAsia" w:ascii="仿宋" w:hAnsi="仿宋" w:eastAsia="仿宋" w:cs="仿宋"/>
                <w:sz w:val="24"/>
                <w:szCs w:val="24"/>
                <w:lang w:val="en-US" w:eastAsia="zh-CN"/>
              </w:rPr>
            </w:pPr>
          </w:p>
        </w:tc>
        <w:tc>
          <w:tcPr>
            <w:tcW w:w="616" w:type="pct"/>
            <w:noWrap w:val="0"/>
            <w:vAlign w:val="center"/>
          </w:tcPr>
          <w:p w14:paraId="13A2274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响应速度</w:t>
            </w:r>
          </w:p>
        </w:tc>
        <w:tc>
          <w:tcPr>
            <w:tcW w:w="3196" w:type="pct"/>
            <w:gridSpan w:val="3"/>
            <w:noWrap w:val="0"/>
            <w:vAlign w:val="center"/>
          </w:tcPr>
          <w:p w14:paraId="791A2D7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若需要现场支持时，须及时响应，不响应扣1分；发现异常不处理或未向采购人及时汇报，扣0.5分；服务期内不接听电话，每次扣0.5分；微信群响应不及时或不按规定响应，每次扣0.1分；</w:t>
            </w:r>
          </w:p>
        </w:tc>
        <w:tc>
          <w:tcPr>
            <w:tcW w:w="513" w:type="pct"/>
            <w:noWrap w:val="0"/>
            <w:vAlign w:val="top"/>
          </w:tcPr>
          <w:p w14:paraId="3B699508">
            <w:pPr>
              <w:rPr>
                <w:rFonts w:hint="eastAsia" w:ascii="仿宋" w:hAnsi="仿宋" w:eastAsia="仿宋" w:cs="仿宋"/>
                <w:sz w:val="24"/>
                <w:szCs w:val="24"/>
                <w:lang w:val="en-US" w:eastAsia="zh-CN"/>
              </w:rPr>
            </w:pPr>
          </w:p>
        </w:tc>
      </w:tr>
      <w:tr w14:paraId="5AC9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22CF070F">
            <w:pPr>
              <w:rPr>
                <w:rFonts w:hint="eastAsia" w:ascii="仿宋" w:hAnsi="仿宋" w:eastAsia="仿宋" w:cs="仿宋"/>
                <w:sz w:val="24"/>
                <w:szCs w:val="24"/>
                <w:lang w:val="en-US" w:eastAsia="zh-CN"/>
              </w:rPr>
            </w:pPr>
          </w:p>
        </w:tc>
        <w:tc>
          <w:tcPr>
            <w:tcW w:w="616" w:type="pct"/>
            <w:noWrap w:val="0"/>
            <w:vAlign w:val="center"/>
          </w:tcPr>
          <w:p w14:paraId="50358AEF">
            <w:pPr>
              <w:rPr>
                <w:rFonts w:hint="eastAsia" w:ascii="仿宋" w:hAnsi="仿宋" w:eastAsia="仿宋" w:cs="仿宋"/>
                <w:sz w:val="24"/>
                <w:szCs w:val="24"/>
              </w:rPr>
            </w:pPr>
            <w:r>
              <w:rPr>
                <w:rFonts w:hint="eastAsia" w:ascii="仿宋" w:hAnsi="仿宋" w:eastAsia="仿宋" w:cs="仿宋"/>
                <w:sz w:val="24"/>
                <w:szCs w:val="24"/>
              </w:rPr>
              <w:t>备件供应</w:t>
            </w:r>
          </w:p>
          <w:p w14:paraId="26743A4E">
            <w:pPr>
              <w:rPr>
                <w:rFonts w:hint="eastAsia" w:ascii="仿宋" w:hAnsi="仿宋" w:eastAsia="仿宋" w:cs="仿宋"/>
                <w:sz w:val="24"/>
                <w:szCs w:val="24"/>
                <w:lang w:val="en-US" w:eastAsia="zh-CN"/>
              </w:rPr>
            </w:pPr>
            <w:r>
              <w:rPr>
                <w:rFonts w:hint="eastAsia" w:ascii="仿宋" w:hAnsi="仿宋" w:eastAsia="仿宋" w:cs="仿宋"/>
                <w:sz w:val="24"/>
                <w:szCs w:val="24"/>
              </w:rPr>
              <w:t>(本</w:t>
            </w:r>
            <w:r>
              <w:rPr>
                <w:rFonts w:hint="eastAsia" w:ascii="仿宋" w:hAnsi="仿宋" w:eastAsia="仿宋" w:cs="仿宋"/>
                <w:sz w:val="24"/>
                <w:szCs w:val="24"/>
                <w:lang w:val="en-US" w:eastAsia="zh-CN"/>
              </w:rPr>
              <w:t>项</w:t>
            </w:r>
            <w:r>
              <w:rPr>
                <w:rFonts w:hint="eastAsia" w:ascii="仿宋" w:hAnsi="仿宋" w:eastAsia="仿宋" w:cs="仿宋"/>
                <w:sz w:val="24"/>
                <w:szCs w:val="24"/>
              </w:rPr>
              <w:t>仅涉</w:t>
            </w:r>
            <w:r>
              <w:rPr>
                <w:rFonts w:hint="eastAsia" w:ascii="仿宋" w:hAnsi="仿宋" w:eastAsia="仿宋" w:cs="仿宋"/>
                <w:sz w:val="24"/>
                <w:szCs w:val="24"/>
                <w:lang w:val="en-US" w:eastAsia="zh-CN"/>
              </w:rPr>
              <w:t>及提供</w:t>
            </w:r>
            <w:r>
              <w:rPr>
                <w:rFonts w:hint="eastAsia" w:ascii="仿宋" w:hAnsi="仿宋" w:eastAsia="仿宋" w:cs="仿宋"/>
                <w:sz w:val="24"/>
                <w:szCs w:val="24"/>
              </w:rPr>
              <w:t>硬件</w:t>
            </w:r>
            <w:r>
              <w:rPr>
                <w:rFonts w:hint="eastAsia" w:ascii="仿宋" w:hAnsi="仿宋" w:eastAsia="仿宋" w:cs="仿宋"/>
                <w:sz w:val="24"/>
                <w:szCs w:val="24"/>
                <w:lang w:val="en-US" w:eastAsia="zh-CN"/>
              </w:rPr>
              <w:t>的</w:t>
            </w:r>
            <w:r>
              <w:rPr>
                <w:rFonts w:hint="eastAsia" w:ascii="仿宋" w:hAnsi="仿宋" w:eastAsia="仿宋" w:cs="仿宋"/>
                <w:sz w:val="24"/>
                <w:szCs w:val="24"/>
              </w:rPr>
              <w:t>供应商)</w:t>
            </w:r>
          </w:p>
        </w:tc>
        <w:tc>
          <w:tcPr>
            <w:tcW w:w="3196" w:type="pct"/>
            <w:gridSpan w:val="3"/>
            <w:noWrap w:val="0"/>
            <w:vAlign w:val="center"/>
          </w:tcPr>
          <w:p w14:paraId="6E531C8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513" w:type="pct"/>
            <w:noWrap w:val="0"/>
            <w:vAlign w:val="top"/>
          </w:tcPr>
          <w:p w14:paraId="73B1A0FA">
            <w:pPr>
              <w:rPr>
                <w:rFonts w:hint="eastAsia" w:ascii="仿宋" w:hAnsi="仿宋" w:eastAsia="仿宋" w:cs="仿宋"/>
                <w:sz w:val="24"/>
                <w:szCs w:val="24"/>
                <w:lang w:val="en-US" w:eastAsia="zh-CN"/>
              </w:rPr>
            </w:pPr>
          </w:p>
        </w:tc>
      </w:tr>
      <w:tr w14:paraId="5425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57D5EB4F">
            <w:pPr>
              <w:rPr>
                <w:rFonts w:hint="eastAsia" w:ascii="仿宋" w:hAnsi="仿宋" w:eastAsia="仿宋" w:cs="仿宋"/>
                <w:sz w:val="24"/>
                <w:szCs w:val="24"/>
                <w:lang w:val="en-US" w:eastAsia="zh-CN"/>
              </w:rPr>
            </w:pPr>
          </w:p>
        </w:tc>
        <w:tc>
          <w:tcPr>
            <w:tcW w:w="616" w:type="pct"/>
            <w:noWrap w:val="0"/>
            <w:vAlign w:val="center"/>
          </w:tcPr>
          <w:p w14:paraId="3814338C">
            <w:pPr>
              <w:rPr>
                <w:rFonts w:hint="eastAsia" w:ascii="仿宋" w:hAnsi="仿宋" w:eastAsia="仿宋" w:cs="仿宋"/>
                <w:sz w:val="24"/>
                <w:szCs w:val="24"/>
                <w:lang w:val="en-US" w:eastAsia="zh-CN"/>
              </w:rPr>
            </w:pPr>
            <w:r>
              <w:rPr>
                <w:rFonts w:hint="eastAsia" w:ascii="仿宋" w:hAnsi="仿宋" w:eastAsia="仿宋" w:cs="仿宋"/>
                <w:sz w:val="24"/>
                <w:szCs w:val="24"/>
              </w:rPr>
              <w:t>定期巡检</w:t>
            </w:r>
          </w:p>
        </w:tc>
        <w:tc>
          <w:tcPr>
            <w:tcW w:w="3196" w:type="pct"/>
            <w:gridSpan w:val="3"/>
            <w:noWrap w:val="0"/>
            <w:vAlign w:val="center"/>
          </w:tcPr>
          <w:p w14:paraId="7845545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每月定期巡检服务，缺少一次扣1分；没有按要求提供巡检报告的，缺少一次扣1分；</w:t>
            </w:r>
          </w:p>
        </w:tc>
        <w:tc>
          <w:tcPr>
            <w:tcW w:w="513" w:type="pct"/>
            <w:noWrap w:val="0"/>
            <w:vAlign w:val="top"/>
          </w:tcPr>
          <w:p w14:paraId="4BF55142">
            <w:pPr>
              <w:rPr>
                <w:rFonts w:hint="eastAsia" w:ascii="仿宋" w:hAnsi="仿宋" w:eastAsia="仿宋" w:cs="仿宋"/>
                <w:sz w:val="24"/>
                <w:szCs w:val="24"/>
                <w:lang w:val="en-US" w:eastAsia="zh-CN"/>
              </w:rPr>
            </w:pPr>
          </w:p>
        </w:tc>
      </w:tr>
      <w:tr w14:paraId="5208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3779185D">
            <w:pPr>
              <w:rPr>
                <w:rFonts w:hint="eastAsia" w:ascii="仿宋" w:hAnsi="仿宋" w:eastAsia="仿宋" w:cs="仿宋"/>
                <w:sz w:val="24"/>
                <w:szCs w:val="24"/>
                <w:lang w:val="en-US" w:eastAsia="zh-CN"/>
              </w:rPr>
            </w:pPr>
          </w:p>
        </w:tc>
        <w:tc>
          <w:tcPr>
            <w:tcW w:w="616" w:type="pct"/>
            <w:noWrap w:val="0"/>
            <w:vAlign w:val="center"/>
          </w:tcPr>
          <w:p w14:paraId="73CA4085">
            <w:pPr>
              <w:rPr>
                <w:rFonts w:hint="eastAsia" w:ascii="仿宋" w:hAnsi="仿宋" w:eastAsia="仿宋" w:cs="仿宋"/>
                <w:sz w:val="24"/>
                <w:szCs w:val="24"/>
                <w:lang w:val="en-US" w:eastAsia="zh-CN"/>
              </w:rPr>
            </w:pPr>
            <w:r>
              <w:rPr>
                <w:rFonts w:hint="eastAsia" w:ascii="仿宋" w:hAnsi="仿宋" w:eastAsia="仿宋" w:cs="仿宋"/>
                <w:sz w:val="24"/>
                <w:szCs w:val="24"/>
              </w:rPr>
              <w:t>培训服务</w:t>
            </w:r>
          </w:p>
        </w:tc>
        <w:tc>
          <w:tcPr>
            <w:tcW w:w="3196" w:type="pct"/>
            <w:gridSpan w:val="3"/>
            <w:noWrap w:val="0"/>
            <w:vAlign w:val="center"/>
          </w:tcPr>
          <w:p w14:paraId="76AD132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没有按要求派专业技术人员对医院相关人员进行使用操作、设备维修、保养等技术的培训（不少于2次/年，并提供培训方案和培训签到表），缺少一次扣1分；</w:t>
            </w:r>
          </w:p>
        </w:tc>
        <w:tc>
          <w:tcPr>
            <w:tcW w:w="513" w:type="pct"/>
            <w:noWrap w:val="0"/>
            <w:vAlign w:val="top"/>
          </w:tcPr>
          <w:p w14:paraId="1AE61F3E">
            <w:pPr>
              <w:rPr>
                <w:rFonts w:hint="eastAsia" w:ascii="仿宋" w:hAnsi="仿宋" w:eastAsia="仿宋" w:cs="仿宋"/>
                <w:sz w:val="24"/>
                <w:szCs w:val="24"/>
                <w:lang w:val="en-US" w:eastAsia="zh-CN"/>
              </w:rPr>
            </w:pPr>
          </w:p>
        </w:tc>
      </w:tr>
      <w:tr w14:paraId="5C49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12ECABC1">
            <w:pPr>
              <w:rPr>
                <w:rFonts w:hint="eastAsia" w:ascii="仿宋" w:hAnsi="仿宋" w:eastAsia="仿宋" w:cs="仿宋"/>
                <w:sz w:val="24"/>
                <w:szCs w:val="24"/>
                <w:lang w:val="en-US" w:eastAsia="zh-CN"/>
              </w:rPr>
            </w:pPr>
          </w:p>
        </w:tc>
        <w:tc>
          <w:tcPr>
            <w:tcW w:w="616" w:type="pct"/>
            <w:noWrap w:val="0"/>
            <w:vAlign w:val="center"/>
          </w:tcPr>
          <w:p w14:paraId="6B0D6DA3">
            <w:pPr>
              <w:rPr>
                <w:rFonts w:hint="eastAsia" w:ascii="仿宋" w:hAnsi="仿宋" w:eastAsia="仿宋" w:cs="仿宋"/>
                <w:sz w:val="24"/>
                <w:szCs w:val="24"/>
                <w:lang w:val="en-US" w:eastAsia="zh-CN"/>
              </w:rPr>
            </w:pPr>
            <w:r>
              <w:rPr>
                <w:rFonts w:hint="eastAsia" w:ascii="仿宋" w:hAnsi="仿宋" w:eastAsia="仿宋" w:cs="仿宋"/>
                <w:sz w:val="24"/>
                <w:szCs w:val="24"/>
              </w:rPr>
              <w:t>技术文档</w:t>
            </w:r>
          </w:p>
        </w:tc>
        <w:tc>
          <w:tcPr>
            <w:tcW w:w="3196" w:type="pct"/>
            <w:gridSpan w:val="3"/>
            <w:noWrap w:val="0"/>
            <w:vAlign w:val="center"/>
          </w:tcPr>
          <w:p w14:paraId="57555F9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未能在规定时间内按要求提交文档，包括但不限于操作手册、业务数据结构表、运维记录、巡检记录等，缺少一项扣1分；</w:t>
            </w:r>
          </w:p>
        </w:tc>
        <w:tc>
          <w:tcPr>
            <w:tcW w:w="513" w:type="pct"/>
            <w:noWrap w:val="0"/>
            <w:vAlign w:val="top"/>
          </w:tcPr>
          <w:p w14:paraId="5C99D521">
            <w:pPr>
              <w:rPr>
                <w:rFonts w:hint="eastAsia" w:ascii="仿宋" w:hAnsi="仿宋" w:eastAsia="仿宋" w:cs="仿宋"/>
                <w:sz w:val="24"/>
                <w:szCs w:val="24"/>
                <w:lang w:val="en-US" w:eastAsia="zh-CN"/>
              </w:rPr>
            </w:pPr>
          </w:p>
        </w:tc>
      </w:tr>
      <w:tr w14:paraId="0F75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674" w:type="pct"/>
            <w:vMerge w:val="restart"/>
            <w:noWrap w:val="0"/>
            <w:vAlign w:val="center"/>
          </w:tcPr>
          <w:p w14:paraId="1107B91A">
            <w:pPr>
              <w:rPr>
                <w:rFonts w:hint="eastAsia" w:ascii="仿宋" w:hAnsi="仿宋" w:eastAsia="仿宋" w:cs="仿宋"/>
                <w:sz w:val="24"/>
                <w:szCs w:val="24"/>
              </w:rPr>
            </w:pPr>
            <w:r>
              <w:rPr>
                <w:rFonts w:hint="eastAsia" w:ascii="仿宋" w:hAnsi="仿宋" w:eastAsia="仿宋" w:cs="仿宋"/>
                <w:sz w:val="24"/>
                <w:szCs w:val="24"/>
              </w:rPr>
              <w:t>违规违</w:t>
            </w:r>
          </w:p>
          <w:p w14:paraId="56A577D6">
            <w:pPr>
              <w:rPr>
                <w:rFonts w:hint="eastAsia" w:ascii="仿宋" w:hAnsi="仿宋" w:eastAsia="仿宋" w:cs="仿宋"/>
                <w:sz w:val="24"/>
                <w:szCs w:val="24"/>
                <w:lang w:val="en-US" w:eastAsia="zh-CN"/>
              </w:rPr>
            </w:pPr>
            <w:r>
              <w:rPr>
                <w:rFonts w:hint="eastAsia" w:ascii="仿宋" w:hAnsi="仿宋" w:eastAsia="仿宋" w:cs="仿宋"/>
                <w:sz w:val="24"/>
                <w:szCs w:val="24"/>
              </w:rPr>
              <w:t>纪评价</w:t>
            </w:r>
          </w:p>
        </w:tc>
        <w:tc>
          <w:tcPr>
            <w:tcW w:w="616" w:type="pct"/>
            <w:noWrap w:val="0"/>
            <w:vAlign w:val="center"/>
          </w:tcPr>
          <w:p w14:paraId="1055AF8C">
            <w:pPr>
              <w:rPr>
                <w:rFonts w:hint="eastAsia" w:ascii="仿宋" w:hAnsi="仿宋" w:eastAsia="仿宋" w:cs="仿宋"/>
                <w:sz w:val="24"/>
                <w:szCs w:val="24"/>
                <w:lang w:val="en-US" w:eastAsia="zh-CN"/>
              </w:rPr>
            </w:pPr>
            <w:r>
              <w:rPr>
                <w:rFonts w:hint="eastAsia" w:ascii="仿宋" w:hAnsi="仿宋" w:eastAsia="仿宋" w:cs="仿宋"/>
                <w:sz w:val="24"/>
                <w:szCs w:val="24"/>
              </w:rPr>
              <w:t>廉洁从业</w:t>
            </w:r>
          </w:p>
        </w:tc>
        <w:tc>
          <w:tcPr>
            <w:tcW w:w="3196" w:type="pct"/>
            <w:gridSpan w:val="3"/>
            <w:noWrap w:val="0"/>
            <w:vAlign w:val="center"/>
          </w:tcPr>
          <w:p w14:paraId="32AFC69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违反行业廉洁要求或违法违纪行为，一旦查实，一票否决</w:t>
            </w:r>
          </w:p>
        </w:tc>
        <w:tc>
          <w:tcPr>
            <w:tcW w:w="513" w:type="pct"/>
            <w:noWrap w:val="0"/>
            <w:vAlign w:val="center"/>
          </w:tcPr>
          <w:p w14:paraId="1DAAE3B0">
            <w:pPr>
              <w:rPr>
                <w:rFonts w:hint="eastAsia" w:ascii="仿宋" w:hAnsi="仿宋" w:eastAsia="仿宋" w:cs="仿宋"/>
                <w:sz w:val="24"/>
                <w:szCs w:val="24"/>
                <w:lang w:val="en-US" w:eastAsia="zh-CN"/>
              </w:rPr>
            </w:pPr>
            <w:r>
              <w:rPr>
                <w:rFonts w:hint="eastAsia" w:ascii="仿宋" w:hAnsi="仿宋" w:eastAsia="仿宋" w:cs="仿宋"/>
                <w:sz w:val="24"/>
                <w:szCs w:val="24"/>
              </w:rPr>
              <w:t>一票否决</w:t>
            </w:r>
          </w:p>
        </w:tc>
      </w:tr>
      <w:tr w14:paraId="70E2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5C8D4732">
            <w:pPr>
              <w:rPr>
                <w:rFonts w:hint="eastAsia" w:ascii="仿宋" w:hAnsi="仿宋" w:eastAsia="仿宋" w:cs="仿宋"/>
                <w:sz w:val="24"/>
                <w:szCs w:val="24"/>
                <w:lang w:val="en-US" w:eastAsia="zh-CN"/>
              </w:rPr>
            </w:pPr>
          </w:p>
        </w:tc>
        <w:tc>
          <w:tcPr>
            <w:tcW w:w="616" w:type="pct"/>
            <w:noWrap w:val="0"/>
            <w:vAlign w:val="center"/>
          </w:tcPr>
          <w:p w14:paraId="4F5584C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安全规范</w:t>
            </w:r>
          </w:p>
        </w:tc>
        <w:tc>
          <w:tcPr>
            <w:tcW w:w="3196" w:type="pct"/>
            <w:gridSpan w:val="3"/>
            <w:noWrap w:val="0"/>
            <w:vAlign w:val="center"/>
          </w:tcPr>
          <w:p w14:paraId="4C2F0C5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不遵守安全生产规范，每次扣2分；</w:t>
            </w:r>
          </w:p>
        </w:tc>
        <w:tc>
          <w:tcPr>
            <w:tcW w:w="513" w:type="pct"/>
            <w:noWrap w:val="0"/>
            <w:vAlign w:val="center"/>
          </w:tcPr>
          <w:p w14:paraId="0F36A5BB">
            <w:pPr>
              <w:rPr>
                <w:rFonts w:hint="eastAsia" w:ascii="仿宋" w:hAnsi="仿宋" w:eastAsia="仿宋" w:cs="仿宋"/>
                <w:sz w:val="24"/>
                <w:szCs w:val="24"/>
                <w:lang w:val="en-US" w:eastAsia="zh-CN"/>
              </w:rPr>
            </w:pPr>
          </w:p>
        </w:tc>
      </w:tr>
      <w:tr w14:paraId="02E3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vMerge w:val="continue"/>
            <w:noWrap w:val="0"/>
            <w:vAlign w:val="top"/>
          </w:tcPr>
          <w:p w14:paraId="4731446A">
            <w:pPr>
              <w:rPr>
                <w:rFonts w:hint="eastAsia" w:ascii="仿宋" w:hAnsi="仿宋" w:eastAsia="仿宋" w:cs="仿宋"/>
                <w:sz w:val="24"/>
                <w:szCs w:val="24"/>
                <w:lang w:val="en-US" w:eastAsia="zh-CN"/>
              </w:rPr>
            </w:pPr>
          </w:p>
        </w:tc>
        <w:tc>
          <w:tcPr>
            <w:tcW w:w="616" w:type="pct"/>
            <w:noWrap w:val="0"/>
            <w:vAlign w:val="center"/>
          </w:tcPr>
          <w:p w14:paraId="0B13898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其他违纪违规</w:t>
            </w:r>
          </w:p>
        </w:tc>
        <w:tc>
          <w:tcPr>
            <w:tcW w:w="3196" w:type="pct"/>
            <w:gridSpan w:val="3"/>
            <w:noWrap w:val="0"/>
            <w:vAlign w:val="center"/>
          </w:tcPr>
          <w:p w14:paraId="365C785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其它不利于医院信息化建设相关行为，视情节严重程度，经采购人讨论酌情扣分</w:t>
            </w:r>
          </w:p>
        </w:tc>
        <w:tc>
          <w:tcPr>
            <w:tcW w:w="513" w:type="pct"/>
            <w:noWrap w:val="0"/>
            <w:vAlign w:val="center"/>
          </w:tcPr>
          <w:p w14:paraId="069832FD">
            <w:pPr>
              <w:rPr>
                <w:rFonts w:hint="eastAsia" w:ascii="仿宋" w:hAnsi="仿宋" w:eastAsia="仿宋" w:cs="仿宋"/>
                <w:sz w:val="24"/>
                <w:szCs w:val="24"/>
                <w:lang w:val="en-US" w:eastAsia="zh-CN"/>
              </w:rPr>
            </w:pPr>
          </w:p>
        </w:tc>
      </w:tr>
      <w:tr w14:paraId="5EF3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66CD485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扣分合计</w:t>
            </w:r>
          </w:p>
        </w:tc>
        <w:tc>
          <w:tcPr>
            <w:tcW w:w="4325" w:type="pct"/>
            <w:gridSpan w:val="5"/>
            <w:noWrap w:val="0"/>
            <w:vAlign w:val="center"/>
          </w:tcPr>
          <w:p w14:paraId="4745ED18">
            <w:pPr>
              <w:rPr>
                <w:rFonts w:hint="eastAsia" w:ascii="仿宋" w:hAnsi="仿宋" w:eastAsia="仿宋" w:cs="仿宋"/>
                <w:sz w:val="24"/>
                <w:szCs w:val="24"/>
                <w:lang w:val="en-US" w:eastAsia="zh-CN"/>
              </w:rPr>
            </w:pPr>
          </w:p>
        </w:tc>
      </w:tr>
      <w:tr w14:paraId="229E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0839721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考核人</w:t>
            </w:r>
          </w:p>
        </w:tc>
        <w:tc>
          <w:tcPr>
            <w:tcW w:w="4325" w:type="pct"/>
            <w:gridSpan w:val="5"/>
            <w:noWrap w:val="0"/>
            <w:vAlign w:val="center"/>
          </w:tcPr>
          <w:p w14:paraId="2E6FE151">
            <w:pPr>
              <w:rPr>
                <w:rFonts w:hint="eastAsia" w:ascii="仿宋" w:hAnsi="仿宋" w:eastAsia="仿宋" w:cs="仿宋"/>
                <w:sz w:val="24"/>
                <w:szCs w:val="24"/>
                <w:lang w:val="en-US" w:eastAsia="zh-CN"/>
              </w:rPr>
            </w:pPr>
          </w:p>
          <w:p w14:paraId="58B4705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年    月    日</w:t>
            </w:r>
          </w:p>
        </w:tc>
      </w:tr>
    </w:tbl>
    <w:p w14:paraId="742FFC6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备注：</w:t>
      </w:r>
    </w:p>
    <w:p w14:paraId="7E19C2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1.服务期内，采购人可按照本项目采购需求内容对应的考核指标对供应商进行考核，具体指标以采购人要求为准</w:t>
      </w:r>
      <w:r>
        <w:rPr>
          <w:rFonts w:hint="eastAsia" w:ascii="仿宋" w:hAnsi="仿宋" w:eastAsia="仿宋" w:cs="仿宋"/>
          <w:sz w:val="24"/>
          <w:szCs w:val="24"/>
        </w:rPr>
        <w:t>；</w:t>
      </w:r>
    </w:p>
    <w:p w14:paraId="10FFB6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考核关联最终付款金额</w:t>
      </w:r>
      <w:r>
        <w:rPr>
          <w:rFonts w:hint="eastAsia" w:ascii="仿宋" w:hAnsi="仿宋" w:eastAsia="仿宋" w:cs="仿宋"/>
          <w:sz w:val="24"/>
          <w:szCs w:val="24"/>
          <w:lang w:val="en-US" w:eastAsia="zh-CN"/>
        </w:rPr>
        <w:t>，</w:t>
      </w:r>
      <w:r>
        <w:rPr>
          <w:rFonts w:hint="eastAsia" w:ascii="仿宋" w:hAnsi="仿宋" w:eastAsia="仿宋" w:cs="仿宋"/>
          <w:sz w:val="24"/>
          <w:szCs w:val="24"/>
        </w:rPr>
        <w:t>具体计算规则如下</w:t>
      </w:r>
      <w:r>
        <w:rPr>
          <w:rFonts w:hint="eastAsia" w:ascii="仿宋" w:hAnsi="仿宋" w:eastAsia="仿宋" w:cs="仿宋"/>
          <w:sz w:val="24"/>
          <w:szCs w:val="24"/>
          <w:lang w:eastAsia="zh-CN"/>
        </w:rPr>
        <w:t>：</w:t>
      </w:r>
    </w:p>
    <w:p w14:paraId="649DF2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b/>
          <w:bCs/>
          <w:sz w:val="24"/>
          <w:szCs w:val="24"/>
          <w:lang w:val="en-US" w:eastAsia="zh-CN"/>
        </w:rPr>
        <w:t>平均扣分</w:t>
      </w:r>
      <w:r>
        <w:rPr>
          <w:rFonts w:hint="eastAsia" w:ascii="仿宋" w:hAnsi="仿宋" w:eastAsia="仿宋" w:cs="仿宋"/>
          <w:sz w:val="24"/>
          <w:szCs w:val="24"/>
        </w:rPr>
        <w:t>=服务期</w:t>
      </w:r>
      <w:r>
        <w:rPr>
          <w:rFonts w:hint="eastAsia" w:ascii="仿宋" w:hAnsi="仿宋" w:eastAsia="仿宋" w:cs="仿宋"/>
          <w:sz w:val="24"/>
          <w:szCs w:val="24"/>
          <w:lang w:val="en-US" w:eastAsia="zh-CN"/>
        </w:rPr>
        <w:t>汇总考核</w:t>
      </w:r>
      <w:r>
        <w:rPr>
          <w:rFonts w:hint="eastAsia" w:ascii="仿宋" w:hAnsi="仿宋" w:eastAsia="仿宋" w:cs="仿宋"/>
          <w:sz w:val="24"/>
          <w:szCs w:val="24"/>
        </w:rPr>
        <w:t>扣分之和÷</w:t>
      </w:r>
      <w:r>
        <w:rPr>
          <w:rFonts w:hint="eastAsia" w:ascii="仿宋" w:hAnsi="仿宋" w:eastAsia="仿宋" w:cs="仿宋"/>
          <w:sz w:val="24"/>
          <w:szCs w:val="24"/>
          <w:lang w:val="en-US" w:eastAsia="zh-CN"/>
        </w:rPr>
        <w:t>服务期内考核次数</w:t>
      </w:r>
    </w:p>
    <w:p w14:paraId="7B24B5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0</w:t>
      </w:r>
      <w:r>
        <w:rPr>
          <w:rFonts w:hint="eastAsia" w:ascii="仿宋" w:hAnsi="仿宋" w:eastAsia="仿宋" w:cs="仿宋"/>
          <w:sz w:val="24"/>
          <w:szCs w:val="24"/>
        </w:rPr>
        <w:t>分&lt;</w:t>
      </w:r>
      <w:r>
        <w:rPr>
          <w:rFonts w:hint="eastAsia" w:ascii="仿宋" w:hAnsi="仿宋" w:eastAsia="仿宋" w:cs="仿宋"/>
          <w:b/>
          <w:bCs/>
          <w:sz w:val="24"/>
          <w:szCs w:val="24"/>
          <w:lang w:val="en-US" w:eastAsia="zh-CN"/>
        </w:rPr>
        <w:t>平均</w:t>
      </w:r>
      <w:r>
        <w:rPr>
          <w:rFonts w:hint="eastAsia" w:ascii="仿宋" w:hAnsi="仿宋" w:eastAsia="仿宋" w:cs="仿宋"/>
          <w:b/>
          <w:bCs/>
          <w:sz w:val="24"/>
          <w:szCs w:val="24"/>
        </w:rPr>
        <w:t>扣分</w:t>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分，将对供应商进行诫勉谈话；</w:t>
      </w:r>
    </w:p>
    <w:p w14:paraId="24984C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3</w:t>
      </w:r>
      <w:r>
        <w:rPr>
          <w:rFonts w:hint="eastAsia" w:ascii="仿宋" w:hAnsi="仿宋" w:eastAsia="仿宋" w:cs="仿宋"/>
          <w:sz w:val="24"/>
          <w:szCs w:val="24"/>
        </w:rPr>
        <w:t>分&lt;</w:t>
      </w:r>
      <w:r>
        <w:rPr>
          <w:rFonts w:hint="eastAsia" w:ascii="仿宋" w:hAnsi="仿宋" w:eastAsia="仿宋" w:cs="仿宋"/>
          <w:b/>
          <w:bCs/>
          <w:sz w:val="24"/>
          <w:szCs w:val="24"/>
          <w:lang w:val="en-US" w:eastAsia="zh-CN"/>
        </w:rPr>
        <w:t>平均</w:t>
      </w:r>
      <w:r>
        <w:rPr>
          <w:rFonts w:hint="eastAsia" w:ascii="仿宋" w:hAnsi="仿宋" w:eastAsia="仿宋" w:cs="仿宋"/>
          <w:b/>
          <w:bCs/>
          <w:sz w:val="24"/>
          <w:szCs w:val="24"/>
        </w:rPr>
        <w:t>扣分</w:t>
      </w: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分，对供应商提出警告，</w:t>
      </w:r>
      <w:r>
        <w:rPr>
          <w:rFonts w:hint="eastAsia" w:ascii="仿宋" w:hAnsi="仿宋" w:eastAsia="仿宋" w:cs="仿宋"/>
          <w:sz w:val="24"/>
          <w:szCs w:val="24"/>
          <w:lang w:val="en-US" w:eastAsia="zh-CN"/>
        </w:rPr>
        <w:t>从合同待支付金额中或履约保证金中</w:t>
      </w:r>
      <w:r>
        <w:rPr>
          <w:rFonts w:hint="eastAsia" w:ascii="仿宋" w:hAnsi="仿宋" w:eastAsia="仿宋" w:cs="仿宋"/>
          <w:sz w:val="24"/>
          <w:szCs w:val="24"/>
        </w:rPr>
        <w:t>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w:t>
      </w:r>
      <w:r>
        <w:rPr>
          <w:rFonts w:hint="eastAsia" w:ascii="仿宋" w:hAnsi="仿宋" w:eastAsia="仿宋" w:cs="仿宋"/>
          <w:sz w:val="24"/>
          <w:szCs w:val="24"/>
          <w:lang w:val="en-US" w:eastAsia="zh-CN"/>
        </w:rPr>
        <w:t>5</w:t>
      </w:r>
      <w:r>
        <w:rPr>
          <w:rFonts w:hint="eastAsia" w:ascii="仿宋" w:hAnsi="仿宋" w:eastAsia="仿宋" w:cs="仿宋"/>
          <w:sz w:val="24"/>
          <w:szCs w:val="24"/>
        </w:rPr>
        <w:t>%费用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扣完为止</w:t>
      </w:r>
      <w:r>
        <w:rPr>
          <w:rFonts w:hint="eastAsia" w:ascii="仿宋" w:hAnsi="仿宋" w:eastAsia="仿宋" w:cs="仿宋"/>
          <w:sz w:val="24"/>
          <w:szCs w:val="24"/>
        </w:rPr>
        <w:t>；</w:t>
      </w:r>
    </w:p>
    <w:p w14:paraId="352B82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4）5</w:t>
      </w:r>
      <w:r>
        <w:rPr>
          <w:rFonts w:hint="eastAsia" w:ascii="仿宋" w:hAnsi="仿宋" w:eastAsia="仿宋" w:cs="仿宋"/>
          <w:sz w:val="24"/>
          <w:szCs w:val="24"/>
        </w:rPr>
        <w:t>分&lt;</w:t>
      </w:r>
      <w:r>
        <w:rPr>
          <w:rFonts w:hint="eastAsia" w:ascii="仿宋" w:hAnsi="仿宋" w:eastAsia="仿宋" w:cs="仿宋"/>
          <w:b/>
          <w:bCs/>
          <w:sz w:val="24"/>
          <w:szCs w:val="24"/>
          <w:lang w:val="en-US" w:eastAsia="zh-CN"/>
        </w:rPr>
        <w:t>平均</w:t>
      </w:r>
      <w:r>
        <w:rPr>
          <w:rFonts w:hint="eastAsia" w:ascii="仿宋" w:hAnsi="仿宋" w:eastAsia="仿宋" w:cs="仿宋"/>
          <w:b/>
          <w:bCs/>
          <w:sz w:val="24"/>
          <w:szCs w:val="24"/>
        </w:rPr>
        <w:t>扣分</w:t>
      </w: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rPr>
        <w:t>分，对供应商提出严重警告，</w:t>
      </w:r>
      <w:r>
        <w:rPr>
          <w:rFonts w:hint="eastAsia" w:ascii="仿宋" w:hAnsi="仿宋" w:eastAsia="仿宋" w:cs="仿宋"/>
          <w:sz w:val="24"/>
          <w:szCs w:val="24"/>
          <w:lang w:val="en-US" w:eastAsia="zh-CN"/>
        </w:rPr>
        <w:t>从合同待支付金额中或履约保证金中</w:t>
      </w:r>
      <w:r>
        <w:rPr>
          <w:rFonts w:hint="eastAsia" w:ascii="仿宋" w:hAnsi="仿宋" w:eastAsia="仿宋" w:cs="仿宋"/>
          <w:sz w:val="24"/>
          <w:szCs w:val="24"/>
        </w:rPr>
        <w:t>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w:t>
      </w:r>
      <w:r>
        <w:rPr>
          <w:rFonts w:hint="eastAsia" w:ascii="仿宋" w:hAnsi="仿宋" w:eastAsia="仿宋" w:cs="仿宋"/>
          <w:sz w:val="24"/>
          <w:szCs w:val="24"/>
          <w:lang w:val="en-US" w:eastAsia="zh-CN"/>
        </w:rPr>
        <w:t>10</w:t>
      </w:r>
      <w:r>
        <w:rPr>
          <w:rFonts w:hint="eastAsia" w:ascii="仿宋" w:hAnsi="仿宋" w:eastAsia="仿宋" w:cs="仿宋"/>
          <w:sz w:val="24"/>
          <w:szCs w:val="24"/>
        </w:rPr>
        <w:t>%费用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扣完为止</w:t>
      </w:r>
      <w:r>
        <w:rPr>
          <w:rFonts w:hint="eastAsia" w:ascii="仿宋" w:hAnsi="仿宋" w:eastAsia="仿宋" w:cs="仿宋"/>
          <w:sz w:val="24"/>
          <w:szCs w:val="24"/>
        </w:rPr>
        <w:t>；</w:t>
      </w:r>
    </w:p>
    <w:p w14:paraId="6272A8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rPr>
        <w:t>分&lt;</w:t>
      </w:r>
      <w:r>
        <w:rPr>
          <w:rFonts w:hint="eastAsia" w:ascii="仿宋" w:hAnsi="仿宋" w:eastAsia="仿宋" w:cs="仿宋"/>
          <w:b/>
          <w:bCs/>
          <w:sz w:val="24"/>
          <w:szCs w:val="24"/>
          <w:lang w:val="en-US" w:eastAsia="zh-CN"/>
        </w:rPr>
        <w:t>平均扣分</w:t>
      </w:r>
      <w:r>
        <w:rPr>
          <w:rFonts w:hint="eastAsia" w:ascii="仿宋" w:hAnsi="仿宋" w:eastAsia="仿宋" w:cs="仿宋"/>
          <w:sz w:val="24"/>
          <w:szCs w:val="24"/>
        </w:rPr>
        <w:t>，视为</w:t>
      </w:r>
      <w:r>
        <w:rPr>
          <w:rFonts w:hint="eastAsia" w:ascii="仿宋" w:hAnsi="仿宋" w:eastAsia="仿宋" w:cs="仿宋"/>
          <w:b/>
          <w:bCs/>
          <w:sz w:val="24"/>
          <w:szCs w:val="24"/>
        </w:rPr>
        <w:t>不合格</w:t>
      </w:r>
      <w:r>
        <w:rPr>
          <w:rFonts w:hint="eastAsia" w:ascii="仿宋" w:hAnsi="仿宋" w:eastAsia="仿宋" w:cs="仿宋"/>
          <w:sz w:val="24"/>
          <w:szCs w:val="24"/>
        </w:rPr>
        <w:t>，终止合同，合同</w:t>
      </w:r>
      <w:r>
        <w:rPr>
          <w:rFonts w:hint="eastAsia" w:ascii="仿宋" w:hAnsi="仿宋" w:eastAsia="仿宋" w:cs="仿宋"/>
          <w:sz w:val="24"/>
          <w:szCs w:val="24"/>
          <w:lang w:val="en-US" w:eastAsia="zh-CN"/>
        </w:rPr>
        <w:t>待支付金额不予支付，</w:t>
      </w:r>
      <w:r>
        <w:rPr>
          <w:rFonts w:hint="eastAsia" w:ascii="仿宋" w:hAnsi="仿宋" w:eastAsia="仿宋" w:cs="仿宋"/>
          <w:sz w:val="24"/>
          <w:szCs w:val="24"/>
        </w:rPr>
        <w:t>履约保证金（如有履约保证金）不予退还；</w:t>
      </w:r>
    </w:p>
    <w:p w14:paraId="75D7AF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供应商出现一票否决时，将对其违法违纪的相关情况汇报院纪委，同时按供应商违约情况取消本次合作，扣除所有剩余款项</w:t>
      </w:r>
      <w:r>
        <w:rPr>
          <w:rFonts w:hint="eastAsia" w:ascii="仿宋" w:hAnsi="仿宋" w:eastAsia="仿宋" w:cs="仿宋"/>
          <w:sz w:val="24"/>
          <w:szCs w:val="24"/>
          <w:lang w:eastAsia="zh-CN"/>
        </w:rPr>
        <w:t>，</w:t>
      </w:r>
      <w:r>
        <w:rPr>
          <w:rFonts w:hint="eastAsia" w:ascii="仿宋" w:hAnsi="仿宋" w:eastAsia="仿宋" w:cs="仿宋"/>
          <w:sz w:val="24"/>
          <w:szCs w:val="24"/>
        </w:rPr>
        <w:t>履约保证金</w:t>
      </w:r>
      <w:r>
        <w:rPr>
          <w:rFonts w:hint="eastAsia" w:ascii="仿宋" w:hAnsi="仿宋" w:eastAsia="仿宋" w:cs="仿宋"/>
          <w:sz w:val="24"/>
          <w:szCs w:val="24"/>
          <w:lang w:val="en-US" w:eastAsia="zh-CN"/>
        </w:rPr>
        <w:t>不予退还</w:t>
      </w:r>
      <w:r>
        <w:rPr>
          <w:rFonts w:hint="eastAsia" w:ascii="仿宋" w:hAnsi="仿宋" w:eastAsia="仿宋" w:cs="仿宋"/>
          <w:sz w:val="24"/>
          <w:szCs w:val="24"/>
        </w:rPr>
        <w:t>（如</w:t>
      </w:r>
      <w:r>
        <w:rPr>
          <w:rFonts w:hint="eastAsia" w:ascii="仿宋" w:hAnsi="仿宋" w:eastAsia="仿宋" w:cs="仿宋"/>
          <w:sz w:val="24"/>
          <w:szCs w:val="24"/>
          <w:lang w:val="en-US" w:eastAsia="zh-CN"/>
        </w:rPr>
        <w:t>本项目要求缴纳</w:t>
      </w:r>
      <w:r>
        <w:rPr>
          <w:rFonts w:hint="eastAsia" w:ascii="仿宋" w:hAnsi="仿宋" w:eastAsia="仿宋" w:cs="仿宋"/>
          <w:sz w:val="24"/>
          <w:szCs w:val="24"/>
        </w:rPr>
        <w:t>履约保证金），并保留后续追究供应商责任的权利。</w:t>
      </w:r>
    </w:p>
    <w:p w14:paraId="2AC90D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val="en-US" w:eastAsia="zh"/>
        </w:rPr>
        <w:t>如合同待支付金额或履约保证金中无款可扣且考核后出现扣款情况，</w:t>
      </w:r>
      <w:r>
        <w:rPr>
          <w:rFonts w:hint="eastAsia" w:ascii="仿宋" w:hAnsi="仿宋" w:eastAsia="仿宋" w:cs="仿宋"/>
          <w:sz w:val="24"/>
          <w:szCs w:val="24"/>
          <w:lang w:val="en-US" w:eastAsia="zh-CN"/>
        </w:rPr>
        <w:t>供应商</w:t>
      </w:r>
      <w:r>
        <w:rPr>
          <w:rFonts w:hint="eastAsia" w:ascii="仿宋" w:hAnsi="仿宋" w:eastAsia="仿宋" w:cs="仿宋"/>
          <w:sz w:val="24"/>
          <w:szCs w:val="24"/>
          <w:lang w:val="en-US" w:eastAsia="zh"/>
        </w:rPr>
        <w:t>承诺在得到采购人考核结果后的10日内向</w:t>
      </w:r>
      <w:r>
        <w:rPr>
          <w:rFonts w:hint="eastAsia" w:ascii="仿宋" w:hAnsi="仿宋" w:eastAsia="仿宋" w:cs="仿宋"/>
          <w:sz w:val="24"/>
          <w:szCs w:val="24"/>
          <w:lang w:val="en-US" w:eastAsia="zh-CN"/>
        </w:rPr>
        <w:t>采购人</w:t>
      </w:r>
      <w:r>
        <w:rPr>
          <w:rFonts w:hint="eastAsia" w:ascii="仿宋" w:hAnsi="仿宋" w:eastAsia="仿宋" w:cs="仿宋"/>
          <w:sz w:val="24"/>
          <w:szCs w:val="24"/>
          <w:lang w:val="en-US" w:eastAsia="zh"/>
        </w:rPr>
        <w:t>缴纳对应的扣款金额。（提供承诺函）</w:t>
      </w:r>
    </w:p>
    <w:p w14:paraId="7BD130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本考核指标最终解释权归四川省医学科学院·四川省人民医院。</w:t>
      </w:r>
    </w:p>
    <w:p w14:paraId="44F2DA6E">
      <w:pPr>
        <w:rPr>
          <w:rFonts w:ascii="Times New Roman" w:hAnsi="Times New Roman" w:eastAsia="宋体" w:cs="Times New Roman"/>
          <w:sz w:val="24"/>
          <w:szCs w:val="24"/>
        </w:rPr>
      </w:pPr>
    </w:p>
    <w:p w14:paraId="15D9C021">
      <w:pPr>
        <w:rPr>
          <w:rFonts w:ascii="Times New Roman" w:hAnsi="Times New Roman" w:eastAsia="宋体" w:cs="Times New Roman"/>
          <w:sz w:val="24"/>
          <w:szCs w:val="24"/>
        </w:rPr>
      </w:pPr>
    </w:p>
    <w:p w14:paraId="108C78E3">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2974E27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36" w:lineRule="auto"/>
        <w:ind w:left="0" w:leftChars="0" w:firstLine="480" w:firstLineChars="200"/>
        <w:textAlignment w:val="auto"/>
        <w:rPr>
          <w:rFonts w:ascii="Times New Roman" w:hAnsi="Times New Roman" w:eastAsia="宋体" w:cs="Times New Roman"/>
          <w:sz w:val="24"/>
          <w:szCs w:val="24"/>
        </w:rPr>
      </w:pPr>
    </w:p>
    <w:p w14:paraId="58682A99">
      <w:pPr>
        <w:pStyle w:val="2"/>
        <w:rPr>
          <w:rFonts w:ascii="Times New Roman" w:hAnsi="Times New Roman" w:cs="Times New Roman"/>
        </w:rPr>
      </w:pPr>
      <w:bookmarkStart w:id="17" w:name="_Toc22827"/>
      <w:bookmarkStart w:id="18" w:name="_Toc192583770"/>
      <w:bookmarkStart w:id="19" w:name="_Toc3094"/>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29819"/>
      <w:bookmarkStart w:id="21" w:name="_Toc5913"/>
      <w:bookmarkStart w:id="22" w:name="_Toc4960"/>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30609"/>
      <w:bookmarkStart w:id="24" w:name="_Toc19851"/>
      <w:bookmarkStart w:id="25" w:name="_Toc9428"/>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32352"/>
      <w:bookmarkStart w:id="27" w:name="_Toc9041"/>
      <w:bookmarkStart w:id="28" w:name="_Toc1544"/>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1472"/>
      <w:bookmarkStart w:id="30" w:name="_Toc24097"/>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1690"/>
      <w:bookmarkStart w:id="32" w:name="_Toc24859"/>
      <w:bookmarkStart w:id="33" w:name="_Toc17163"/>
      <w:bookmarkStart w:id="34" w:name="_Toc32749"/>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6803"/>
      <w:bookmarkStart w:id="36" w:name="_Toc24123"/>
      <w:bookmarkStart w:id="37" w:name="_Toc3558"/>
      <w:bookmarkStart w:id="38" w:name="_Toc17905"/>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5996"/>
      <w:bookmarkStart w:id="40" w:name="_Toc2989"/>
      <w:bookmarkStart w:id="41" w:name="_Toc27135"/>
      <w:bookmarkStart w:id="42" w:name="_Toc27526"/>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2031"/>
      <w:bookmarkStart w:id="44" w:name="_Toc5056"/>
      <w:bookmarkStart w:id="45" w:name="_Toc7233"/>
      <w:bookmarkStart w:id="46" w:name="_Toc19987"/>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11352"/>
      <w:bookmarkStart w:id="48" w:name="_Toc21519"/>
      <w:bookmarkStart w:id="49" w:name="_Toc14829"/>
      <w:bookmarkStart w:id="50" w:name="_Toc6482"/>
      <w:bookmarkStart w:id="51" w:name="_Toc3023"/>
      <w:bookmarkStart w:id="52" w:name="_Toc16029"/>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3"/>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17857"/>
      <w:bookmarkStart w:id="54" w:name="_Toc30971"/>
      <w:bookmarkStart w:id="55" w:name="_Toc4305"/>
      <w:bookmarkStart w:id="56" w:name="_Toc22676"/>
      <w:bookmarkStart w:id="57" w:name="_Toc31838"/>
      <w:r>
        <w:rPr>
          <w:rFonts w:ascii="Times New Roman" w:hAnsi="Times New Roman" w:cs="Times New Roman"/>
        </w:rPr>
        <w:br w:type="page"/>
      </w:r>
    </w:p>
    <w:p w14:paraId="23ED41BF">
      <w:pPr>
        <w:pStyle w:val="3"/>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3"/>
          <w:szCs w:val="28"/>
        </w:rPr>
      </w:pPr>
      <w:r>
        <w:rPr>
          <w:bCs/>
        </w:rPr>
        <w:br w:type="page"/>
      </w:r>
      <w:bookmarkStart w:id="58" w:name="_Toc15613"/>
      <w:bookmarkStart w:id="59" w:name="_Toc27186"/>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904"/>
      <w:bookmarkStart w:id="62" w:name="_Toc25357"/>
      <w:bookmarkStart w:id="63" w:name="_Toc13706"/>
    </w:p>
    <w:p w14:paraId="6BE6D0D2">
      <w:pPr>
        <w:pStyle w:val="3"/>
        <w:ind w:firstLine="0"/>
        <w:rPr>
          <w:szCs w:val="32"/>
        </w:rPr>
      </w:pPr>
      <w:bookmarkStart w:id="64" w:name="_Toc15508"/>
      <w:bookmarkStart w:id="65" w:name="_Toc23146"/>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6" w:name="_Toc15526"/>
      <w:bookmarkStart w:id="67" w:name="_Toc20589"/>
      <w:bookmarkStart w:id="68" w:name="_Toc27661"/>
      <w:bookmarkStart w:id="69" w:name="_Toc12015"/>
      <w:bookmarkStart w:id="70" w:name="_Toc11351"/>
      <w:bookmarkStart w:id="71" w:name="_Toc25638"/>
      <w:r>
        <w:rPr>
          <w:rStyle w:val="41"/>
          <w:b/>
        </w:rPr>
        <w:t>法定代表人身份证明书</w:t>
      </w:r>
      <w:bookmarkEnd w:id="66"/>
      <w:bookmarkEnd w:id="67"/>
      <w:bookmarkEnd w:id="68"/>
      <w:bookmarkEnd w:id="69"/>
      <w:bookmarkEnd w:id="70"/>
      <w:bookmarkEnd w:id="71"/>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2" w:name="_Toc1074"/>
      <w:bookmarkStart w:id="73" w:name="_Toc16435"/>
      <w:bookmarkStart w:id="74" w:name="_Toc26969"/>
      <w:bookmarkStart w:id="75" w:name="_Toc23967"/>
      <w:bookmarkStart w:id="76" w:name="_Toc2041"/>
      <w:bookmarkStart w:id="77" w:name="_Toc12967"/>
      <w:r>
        <w:rPr>
          <w:rStyle w:val="41"/>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8" w:name="_Toc1369"/>
      <w:bookmarkStart w:id="79" w:name="_Toc31686"/>
      <w:bookmarkStart w:id="80" w:name="_Toc26839"/>
      <w:bookmarkStart w:id="81" w:name="_Toc24806"/>
      <w:bookmarkStart w:id="82" w:name="_Toc28634"/>
      <w:bookmarkStart w:id="83" w:name="_Toc21082"/>
      <w:r>
        <w:rPr>
          <w:rStyle w:val="41"/>
          <w:b/>
        </w:rPr>
        <w:t>评分需要提供的证明材料</w:t>
      </w:r>
      <w:bookmarkEnd w:id="78"/>
      <w:bookmarkEnd w:id="79"/>
      <w:bookmarkEnd w:id="80"/>
      <w:bookmarkEnd w:id="81"/>
      <w:bookmarkEnd w:id="82"/>
      <w:bookmarkEnd w:id="83"/>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871"/>
      <w:bookmarkStart w:id="85" w:name="_Toc24494"/>
      <w:bookmarkStart w:id="86" w:name="_Toc32605"/>
    </w:p>
    <w:p w14:paraId="05758452">
      <w:pPr>
        <w:pStyle w:val="3"/>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1.报价一览表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41"/>
        <w:gridCol w:w="2138"/>
        <w:gridCol w:w="2875"/>
        <w:gridCol w:w="1392"/>
        <w:gridCol w:w="752"/>
        <w:gridCol w:w="1849"/>
      </w:tblGrid>
      <w:tr w14:paraId="3617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41" w:type="dxa"/>
            <w:shd w:val="clear" w:color="auto" w:fill="auto"/>
            <w:tcMar>
              <w:top w:w="0" w:type="dxa"/>
              <w:left w:w="105" w:type="dxa"/>
              <w:bottom w:w="0" w:type="dxa"/>
              <w:right w:w="105" w:type="dxa"/>
            </w:tcMar>
            <w:vAlign w:val="top"/>
          </w:tcPr>
          <w:p w14:paraId="4EE46EB9">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2138" w:type="dxa"/>
            <w:shd w:val="clear" w:color="auto" w:fill="auto"/>
            <w:tcMar>
              <w:top w:w="0" w:type="dxa"/>
              <w:left w:w="105" w:type="dxa"/>
              <w:bottom w:w="0" w:type="dxa"/>
              <w:right w:w="105" w:type="dxa"/>
            </w:tcMar>
            <w:vAlign w:val="top"/>
          </w:tcPr>
          <w:p w14:paraId="3C242D5F">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品名</w:t>
            </w:r>
          </w:p>
        </w:tc>
        <w:tc>
          <w:tcPr>
            <w:tcW w:w="2875" w:type="dxa"/>
            <w:shd w:val="clear" w:color="auto" w:fill="auto"/>
            <w:tcMar>
              <w:top w:w="0" w:type="dxa"/>
              <w:left w:w="105" w:type="dxa"/>
              <w:bottom w:w="0" w:type="dxa"/>
              <w:right w:w="105" w:type="dxa"/>
            </w:tcMar>
            <w:vAlign w:val="top"/>
          </w:tcPr>
          <w:p w14:paraId="234E96C8">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详细描述</w:t>
            </w:r>
          </w:p>
        </w:tc>
        <w:tc>
          <w:tcPr>
            <w:tcW w:w="1392" w:type="dxa"/>
            <w:shd w:val="clear" w:color="auto" w:fill="auto"/>
            <w:tcMar>
              <w:top w:w="0" w:type="dxa"/>
              <w:left w:w="105" w:type="dxa"/>
              <w:bottom w:w="0" w:type="dxa"/>
              <w:right w:w="105" w:type="dxa"/>
            </w:tcMar>
            <w:vAlign w:val="top"/>
          </w:tcPr>
          <w:p w14:paraId="52D37E95">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数量</w:t>
            </w:r>
          </w:p>
        </w:tc>
        <w:tc>
          <w:tcPr>
            <w:tcW w:w="752" w:type="dxa"/>
            <w:shd w:val="clear" w:color="auto" w:fill="auto"/>
            <w:tcMar>
              <w:top w:w="0" w:type="dxa"/>
              <w:left w:w="105" w:type="dxa"/>
              <w:bottom w:w="0" w:type="dxa"/>
              <w:right w:w="105" w:type="dxa"/>
            </w:tcMar>
            <w:vAlign w:val="top"/>
          </w:tcPr>
          <w:p w14:paraId="6EBA9DE3">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单位</w:t>
            </w:r>
          </w:p>
        </w:tc>
        <w:tc>
          <w:tcPr>
            <w:tcW w:w="1849" w:type="dxa"/>
            <w:shd w:val="clear" w:color="auto" w:fill="auto"/>
            <w:tcMar>
              <w:top w:w="0" w:type="dxa"/>
              <w:left w:w="105" w:type="dxa"/>
              <w:bottom w:w="0" w:type="dxa"/>
              <w:right w:w="105" w:type="dxa"/>
            </w:tcMar>
            <w:vAlign w:val="top"/>
          </w:tcPr>
          <w:p w14:paraId="6A669DDC">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报价（元/年）</w:t>
            </w:r>
          </w:p>
        </w:tc>
      </w:tr>
      <w:tr w14:paraId="60D06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41" w:type="dxa"/>
            <w:shd w:val="clear" w:color="auto" w:fill="auto"/>
            <w:tcMar>
              <w:top w:w="0" w:type="dxa"/>
              <w:left w:w="105" w:type="dxa"/>
              <w:bottom w:w="0" w:type="dxa"/>
              <w:right w:w="105" w:type="dxa"/>
            </w:tcMar>
            <w:vAlign w:val="center"/>
          </w:tcPr>
          <w:p w14:paraId="1A0B8B6B">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2138" w:type="dxa"/>
            <w:shd w:val="clear" w:color="auto" w:fill="auto"/>
            <w:tcMar>
              <w:top w:w="0" w:type="dxa"/>
              <w:left w:w="105" w:type="dxa"/>
              <w:bottom w:w="0" w:type="dxa"/>
              <w:right w:w="105" w:type="dxa"/>
            </w:tcMar>
            <w:vAlign w:val="center"/>
          </w:tcPr>
          <w:p w14:paraId="50D0854D">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光纤传输线路专线</w:t>
            </w:r>
          </w:p>
        </w:tc>
        <w:tc>
          <w:tcPr>
            <w:tcW w:w="2875" w:type="dxa"/>
            <w:shd w:val="clear" w:color="auto" w:fill="auto"/>
            <w:tcMar>
              <w:top w:w="0" w:type="dxa"/>
              <w:left w:w="105" w:type="dxa"/>
              <w:bottom w:w="0" w:type="dxa"/>
              <w:right w:w="105" w:type="dxa"/>
            </w:tcMar>
            <w:vAlign w:val="center"/>
          </w:tcPr>
          <w:p w14:paraId="6750910B">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纪检监察内网网络专线</w:t>
            </w:r>
          </w:p>
        </w:tc>
        <w:tc>
          <w:tcPr>
            <w:tcW w:w="1392" w:type="dxa"/>
            <w:shd w:val="clear" w:color="auto" w:fill="auto"/>
            <w:tcMar>
              <w:top w:w="0" w:type="dxa"/>
              <w:left w:w="105" w:type="dxa"/>
              <w:bottom w:w="0" w:type="dxa"/>
              <w:right w:w="105" w:type="dxa"/>
            </w:tcMar>
            <w:vAlign w:val="center"/>
          </w:tcPr>
          <w:p w14:paraId="3BFC4610">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52" w:type="dxa"/>
            <w:shd w:val="clear" w:color="auto" w:fill="auto"/>
            <w:tcMar>
              <w:top w:w="0" w:type="dxa"/>
              <w:left w:w="105" w:type="dxa"/>
              <w:bottom w:w="0" w:type="dxa"/>
              <w:right w:w="105" w:type="dxa"/>
            </w:tcMar>
            <w:vAlign w:val="center"/>
          </w:tcPr>
          <w:p w14:paraId="1872F698">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条</w:t>
            </w:r>
          </w:p>
        </w:tc>
        <w:tc>
          <w:tcPr>
            <w:tcW w:w="1849" w:type="dxa"/>
            <w:shd w:val="clear" w:color="auto" w:fill="auto"/>
            <w:tcMar>
              <w:top w:w="0" w:type="dxa"/>
              <w:left w:w="105" w:type="dxa"/>
              <w:bottom w:w="0" w:type="dxa"/>
              <w:right w:w="105" w:type="dxa"/>
            </w:tcMar>
            <w:vAlign w:val="center"/>
          </w:tcPr>
          <w:p w14:paraId="6C6B91AE">
            <w:pPr>
              <w:jc w:val="center"/>
              <w:rPr>
                <w:rFonts w:hint="eastAsia" w:ascii="仿宋" w:hAnsi="仿宋" w:eastAsia="仿宋" w:cs="仿宋"/>
                <w:sz w:val="24"/>
                <w:szCs w:val="24"/>
                <w:lang w:val="en-US" w:eastAsia="zh-CN"/>
              </w:rPr>
            </w:pPr>
          </w:p>
        </w:tc>
      </w:tr>
      <w:tr w14:paraId="081C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41" w:type="dxa"/>
            <w:shd w:val="clear" w:color="auto" w:fill="auto"/>
            <w:tcMar>
              <w:top w:w="0" w:type="dxa"/>
              <w:left w:w="105" w:type="dxa"/>
              <w:bottom w:w="0" w:type="dxa"/>
              <w:right w:w="105" w:type="dxa"/>
            </w:tcMar>
            <w:vAlign w:val="center"/>
          </w:tcPr>
          <w:p w14:paraId="05E68A88">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9006" w:type="dxa"/>
            <w:gridSpan w:val="5"/>
            <w:shd w:val="clear" w:color="auto" w:fill="auto"/>
            <w:tcMar>
              <w:top w:w="0" w:type="dxa"/>
              <w:left w:w="105" w:type="dxa"/>
              <w:bottom w:w="0" w:type="dxa"/>
              <w:right w:w="105" w:type="dxa"/>
            </w:tcMar>
            <w:vAlign w:val="center"/>
          </w:tcPr>
          <w:p w14:paraId="0C97EC18">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5F4BBF7C">
      <w:pPr>
        <w:widowControl/>
        <w:jc w:val="left"/>
        <w:rPr>
          <w:rFonts w:hint="eastAsia" w:ascii="仿宋" w:hAnsi="仿宋" w:eastAsia="仿宋" w:cs="仿宋"/>
          <w:sz w:val="24"/>
          <w:szCs w:val="24"/>
          <w:lang w:val="en-US" w:eastAsia="zh-CN"/>
        </w:rPr>
      </w:pPr>
    </w:p>
    <w:p w14:paraId="2A79688B">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30002"/>
      <w:bookmarkStart w:id="89" w:name="_Toc29032"/>
      <w:bookmarkStart w:id="90" w:name="_Toc14685"/>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9A69BD8">
      <w:pPr>
        <w:widowControl w:val="0"/>
        <w:jc w:val="center"/>
        <w:rPr>
          <w:rFonts w:ascii="Times New Roman" w:hAnsi="Times New Roman" w:eastAsia="黑体" w:cs="Times New Roman"/>
          <w:b/>
          <w:kern w:val="2"/>
          <w:sz w:val="48"/>
          <w:szCs w:val="48"/>
          <w:highlight w:val="none"/>
          <w:lang w:val="en-US" w:eastAsia="zh-CN" w:bidi="ar-SA"/>
        </w:rPr>
      </w:pPr>
      <w:r>
        <w:rPr>
          <w:rFonts w:hint="eastAsia" w:ascii="Times New Roman" w:hAnsi="Times New Roman" w:eastAsia="黑体" w:cs="Times New Roman"/>
          <w:b/>
          <w:kern w:val="2"/>
          <w:sz w:val="48"/>
          <w:szCs w:val="48"/>
          <w:highlight w:val="none"/>
          <w:lang w:val="en-US" w:eastAsia="zh-CN" w:bidi="ar-SA"/>
        </w:rPr>
        <w:t>*</w:t>
      </w:r>
      <w:r>
        <w:rPr>
          <w:rFonts w:ascii="Times New Roman" w:hAnsi="Times New Roman" w:eastAsia="黑体" w:cs="Times New Roman"/>
          <w:b/>
          <w:kern w:val="2"/>
          <w:sz w:val="48"/>
          <w:szCs w:val="48"/>
          <w:highlight w:val="none"/>
          <w:lang w:val="en-US" w:eastAsia="zh-CN" w:bidi="ar-SA"/>
        </w:rPr>
        <w:t>**</w:t>
      </w:r>
      <w:r>
        <w:rPr>
          <w:rFonts w:hint="eastAsia" w:ascii="Times New Roman" w:hAnsi="Times New Roman" w:eastAsia="黑体" w:cs="Times New Roman"/>
          <w:b/>
          <w:kern w:val="2"/>
          <w:sz w:val="48"/>
          <w:szCs w:val="48"/>
          <w:highlight w:val="none"/>
          <w:lang w:val="en-US" w:eastAsia="zh-CN" w:bidi="ar-SA"/>
        </w:rPr>
        <w:t>服务项目</w:t>
      </w:r>
    </w:p>
    <w:p w14:paraId="6F23F193">
      <w:pPr>
        <w:widowControl w:val="0"/>
        <w:jc w:val="center"/>
        <w:rPr>
          <w:rFonts w:ascii="Times New Roman" w:hAnsi="Times New Roman" w:eastAsia="黑体" w:cs="Times New Roman"/>
          <w:b/>
          <w:kern w:val="2"/>
          <w:sz w:val="48"/>
          <w:szCs w:val="48"/>
          <w:highlight w:val="none"/>
          <w:lang w:val="en-US" w:eastAsia="zh-CN" w:bidi="ar-SA"/>
        </w:rPr>
      </w:pPr>
      <w:r>
        <w:rPr>
          <w:rFonts w:hint="eastAsia" w:ascii="Times New Roman" w:hAnsi="Times New Roman" w:eastAsia="黑体" w:cs="Times New Roman"/>
          <w:b/>
          <w:kern w:val="2"/>
          <w:sz w:val="48"/>
          <w:szCs w:val="48"/>
          <w:highlight w:val="none"/>
          <w:lang w:val="en-US" w:eastAsia="zh-CN" w:bidi="ar-SA"/>
        </w:rPr>
        <w:t>采购</w:t>
      </w:r>
      <w:r>
        <w:rPr>
          <w:rFonts w:ascii="Times New Roman" w:hAnsi="Times New Roman" w:eastAsia="黑体" w:cs="Times New Roman"/>
          <w:b/>
          <w:kern w:val="2"/>
          <w:sz w:val="48"/>
          <w:szCs w:val="48"/>
          <w:highlight w:val="none"/>
          <w:lang w:val="en-US" w:eastAsia="zh-CN" w:bidi="ar-SA"/>
        </w:rPr>
        <w:t>合同</w:t>
      </w:r>
    </w:p>
    <w:p w14:paraId="019E3632">
      <w:pPr>
        <w:adjustRightInd w:val="0"/>
        <w:ind w:firstLine="420" w:firstLineChars="200"/>
        <w:contextualSpacing/>
        <w:jc w:val="left"/>
        <w:rPr>
          <w:rFonts w:ascii="Times New Roman" w:hAnsi="Times New Roman" w:eastAsia="宋体" w:cs="Times New Roman"/>
          <w:color w:val="000000"/>
          <w:szCs w:val="21"/>
          <w:highlight w:val="none"/>
        </w:rPr>
      </w:pPr>
    </w:p>
    <w:p w14:paraId="72F8C8ED">
      <w:pPr>
        <w:adjustRightInd w:val="0"/>
        <w:ind w:firstLine="420" w:firstLineChars="200"/>
        <w:contextualSpacing/>
        <w:jc w:val="left"/>
        <w:rPr>
          <w:rFonts w:ascii="Times New Roman" w:hAnsi="Times New Roman" w:eastAsia="宋体" w:cs="Times New Roman"/>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3FFDE36D">
        <w:tblPrEx>
          <w:tblCellMar>
            <w:top w:w="0" w:type="dxa"/>
            <w:left w:w="0" w:type="dxa"/>
            <w:bottom w:w="0" w:type="dxa"/>
            <w:right w:w="0" w:type="dxa"/>
          </w:tblCellMar>
        </w:tblPrEx>
        <w:trPr>
          <w:trHeight w:val="767" w:hRule="atLeast"/>
          <w:jc w:val="center"/>
        </w:trPr>
        <w:tc>
          <w:tcPr>
            <w:tcW w:w="10204" w:type="dxa"/>
            <w:gridSpan w:val="2"/>
          </w:tcPr>
          <w:p w14:paraId="6DAC6FAA">
            <w:pPr>
              <w:contextualSpacing/>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合同编号</w:t>
            </w:r>
            <w:r>
              <w:rPr>
                <w:rFonts w:ascii="Times New Roman" w:hAnsi="Times New Roman" w:eastAsia="宋体" w:cs="Times New Roman"/>
                <w:color w:val="000000"/>
                <w:szCs w:val="21"/>
                <w:highlight w:val="none"/>
              </w:rPr>
              <w:t>：CGZX-***</w:t>
            </w:r>
          </w:p>
          <w:p w14:paraId="174A9C9C">
            <w:pPr>
              <w:contextualSpacing/>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签订地点</w:t>
            </w:r>
            <w:r>
              <w:rPr>
                <w:rFonts w:ascii="Times New Roman" w:hAnsi="Times New Roman" w:eastAsia="宋体" w:cs="Times New Roman"/>
                <w:color w:val="000000"/>
                <w:szCs w:val="21"/>
                <w:highlight w:val="none"/>
              </w:rPr>
              <w:t>：四川省人民医院</w:t>
            </w:r>
          </w:p>
        </w:tc>
      </w:tr>
      <w:tr w14:paraId="64C2DEF8">
        <w:tblPrEx>
          <w:tblCellMar>
            <w:top w:w="0" w:type="dxa"/>
            <w:left w:w="0" w:type="dxa"/>
            <w:bottom w:w="0" w:type="dxa"/>
            <w:right w:w="0" w:type="dxa"/>
          </w:tblCellMar>
        </w:tblPrEx>
        <w:trPr>
          <w:jc w:val="center"/>
        </w:trPr>
        <w:tc>
          <w:tcPr>
            <w:tcW w:w="4962" w:type="dxa"/>
          </w:tcPr>
          <w:p w14:paraId="4E9D7191">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采购人（以下简称甲方）</w:t>
            </w:r>
            <w:r>
              <w:rPr>
                <w:rFonts w:ascii="Times New Roman" w:hAnsi="Times New Roman" w:eastAsia="宋体" w:cs="Times New Roman"/>
                <w:szCs w:val="21"/>
                <w:highlight w:val="none"/>
              </w:rPr>
              <w:t>：四川省人民医院</w:t>
            </w:r>
          </w:p>
          <w:p w14:paraId="69B68F7D">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地址</w:t>
            </w:r>
            <w:r>
              <w:rPr>
                <w:rFonts w:ascii="Times New Roman" w:hAnsi="Times New Roman" w:eastAsia="宋体" w:cs="Times New Roman"/>
                <w:szCs w:val="21"/>
                <w:highlight w:val="none"/>
              </w:rPr>
              <w:t>：四川省成都市一环路西二段32号</w:t>
            </w:r>
          </w:p>
          <w:p w14:paraId="0B6E0743">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项目联系人</w:t>
            </w:r>
            <w:r>
              <w:rPr>
                <w:rFonts w:ascii="Times New Roman" w:hAnsi="Times New Roman" w:eastAsia="宋体" w:cs="Times New Roman"/>
                <w:szCs w:val="21"/>
                <w:highlight w:val="none"/>
              </w:rPr>
              <w:t xml:space="preserve">：*** </w:t>
            </w:r>
            <w:r>
              <w:rPr>
                <w:rFonts w:ascii="Times New Roman" w:hAnsi="Times New Roman" w:eastAsia="宋体" w:cs="Times New Roman"/>
                <w:b/>
                <w:bCs/>
                <w:szCs w:val="21"/>
                <w:highlight w:val="none"/>
              </w:rPr>
              <w:t>电话</w:t>
            </w:r>
            <w:r>
              <w:rPr>
                <w:rFonts w:ascii="Times New Roman" w:hAnsi="Times New Roman" w:eastAsia="宋体" w:cs="Times New Roman"/>
                <w:szCs w:val="21"/>
                <w:highlight w:val="none"/>
              </w:rPr>
              <w:t>：***</w:t>
            </w:r>
          </w:p>
          <w:p w14:paraId="18B7092F">
            <w:pPr>
              <w:rPr>
                <w:rFonts w:ascii="Times New Roman" w:hAnsi="Times New Roman" w:eastAsia="宋体" w:cs="Times New Roman"/>
                <w:szCs w:val="20"/>
                <w:highlight w:val="none"/>
              </w:rPr>
            </w:pPr>
            <w:r>
              <w:rPr>
                <w:rFonts w:hint="eastAsia" w:ascii="Times New Roman" w:hAnsi="Times New Roman" w:eastAsia="宋体" w:cs="Times New Roman"/>
                <w:b/>
                <w:bCs/>
                <w:szCs w:val="21"/>
                <w:highlight w:val="none"/>
              </w:rPr>
              <w:t>电子邮件：</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w:t>
            </w:r>
          </w:p>
        </w:tc>
        <w:tc>
          <w:tcPr>
            <w:tcW w:w="5242" w:type="dxa"/>
          </w:tcPr>
          <w:p w14:paraId="0D5377F6">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供应商（以下简称乙方）：***</w:t>
            </w:r>
          </w:p>
          <w:p w14:paraId="4F37CBD2">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地址：***</w:t>
            </w:r>
          </w:p>
          <w:p w14:paraId="326FE426">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移动电话：***</w:t>
            </w:r>
          </w:p>
          <w:p w14:paraId="543CEDD5">
            <w:pPr>
              <w:contextualSpacing/>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联系人：***</w:t>
            </w:r>
          </w:p>
          <w:p w14:paraId="32BB619E">
            <w:pPr>
              <w:rPr>
                <w:rFonts w:ascii="Times New Roman" w:hAnsi="Times New Roman" w:eastAsia="宋体" w:cs="Times New Roman"/>
                <w:bCs/>
                <w:szCs w:val="21"/>
                <w:highlight w:val="none"/>
              </w:rPr>
            </w:pPr>
            <w:r>
              <w:rPr>
                <w:rFonts w:hint="eastAsia" w:ascii="Times New Roman" w:hAnsi="Times New Roman" w:eastAsia="宋体" w:cs="Times New Roman"/>
                <w:b/>
                <w:bCs/>
                <w:szCs w:val="21"/>
                <w:highlight w:val="none"/>
              </w:rPr>
              <w:t>电子邮件：</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w:t>
            </w:r>
          </w:p>
        </w:tc>
      </w:tr>
    </w:tbl>
    <w:p w14:paraId="66FB7CEA">
      <w:pPr>
        <w:ind w:firstLine="420" w:firstLineChars="200"/>
        <w:contextualSpacing/>
        <w:jc w:val="left"/>
        <w:rPr>
          <w:rFonts w:ascii="Times New Roman" w:hAnsi="Times New Roman" w:eastAsia="宋体" w:cs="Times New Roman"/>
          <w:color w:val="000000"/>
          <w:szCs w:val="21"/>
          <w:highlight w:val="none"/>
        </w:rPr>
      </w:pPr>
    </w:p>
    <w:p w14:paraId="09D97FBB">
      <w:pPr>
        <w:adjustRightInd w:val="0"/>
        <w:ind w:firstLine="420" w:firstLineChars="200"/>
        <w:contextualSpacing/>
        <w:jc w:val="left"/>
        <w:rPr>
          <w:rFonts w:ascii="Times New Roman" w:hAnsi="Times New Roman" w:eastAsia="宋体" w:cs="Times New Roman"/>
          <w:b/>
          <w:szCs w:val="21"/>
          <w:highlight w:val="none"/>
        </w:rPr>
      </w:pPr>
      <w:r>
        <w:rPr>
          <w:rFonts w:hint="eastAsia" w:ascii="Times New Roman" w:hAnsi="Times New Roman" w:eastAsia="宋体" w:cs="Times New Roman"/>
          <w:color w:val="000000"/>
          <w:szCs w:val="21"/>
          <w:highlight w:val="none"/>
        </w:rPr>
        <w:t>根</w:t>
      </w:r>
      <w:r>
        <w:rPr>
          <w:rFonts w:ascii="Times New Roman" w:hAnsi="Times New Roman" w:eastAsia="宋体" w:cs="Times New Roman"/>
          <w:color w:val="000000"/>
          <w:szCs w:val="21"/>
          <w:highlight w:val="none"/>
        </w:rPr>
        <w:t>据《中华人民共和国民法典》及甲方发布的***项目（项目编号</w:t>
      </w:r>
      <w:permStart w:id="0" w:edGrp="everyone"/>
      <w:r>
        <w:rPr>
          <w:rFonts w:ascii="Times New Roman" w:hAnsi="Times New Roman" w:eastAsia="宋体" w:cs="Times New Roman"/>
          <w:color w:val="000000"/>
          <w:szCs w:val="21"/>
          <w:highlight w:val="none"/>
        </w:rPr>
        <w:t>：</w:t>
      </w:r>
      <w:r>
        <w:rPr>
          <w:rFonts w:ascii="Times New Roman" w:hAnsi="Times New Roman" w:eastAsia="宋体" w:cs="Times New Roman"/>
          <w:szCs w:val="21"/>
          <w:highlight w:val="none"/>
        </w:rPr>
        <w:t>***</w:t>
      </w:r>
      <w:permEnd w:id="0"/>
      <w:r>
        <w:rPr>
          <w:rFonts w:ascii="Times New Roman" w:hAnsi="Times New Roman" w:eastAsia="宋体" w:cs="Times New Roman"/>
          <w:color w:val="000000"/>
          <w:szCs w:val="21"/>
          <w:highlight w:val="none"/>
        </w:rPr>
        <w:t>）《采购文件》、乙方的《</w:t>
      </w:r>
      <w:r>
        <w:rPr>
          <w:rFonts w:hint="eastAsia" w:ascii="Times New Roman" w:hAnsi="Times New Roman" w:eastAsia="宋体" w:cs="Times New Roman"/>
          <w:color w:val="000000"/>
          <w:szCs w:val="21"/>
          <w:highlight w:val="none"/>
        </w:rPr>
        <w:t>响应</w:t>
      </w:r>
      <w:r>
        <w:rPr>
          <w:rFonts w:ascii="Times New Roman" w:hAnsi="Times New Roman" w:eastAsia="宋体" w:cs="Times New Roman"/>
          <w:color w:val="000000"/>
          <w:szCs w:val="21"/>
          <w:highlight w:val="none"/>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highlight w:val="none"/>
        </w:rPr>
        <w:t>响应</w:t>
      </w:r>
      <w:r>
        <w:rPr>
          <w:rFonts w:ascii="Times New Roman" w:hAnsi="Times New Roman" w:eastAsia="宋体" w:cs="Times New Roman"/>
          <w:color w:val="000000"/>
          <w:szCs w:val="21"/>
          <w:highlight w:val="none"/>
        </w:rPr>
        <w:t>文件》等均为本合同不可分割的部分。双方同意共同遵守以下条款：</w:t>
      </w:r>
    </w:p>
    <w:p w14:paraId="1D534BEA">
      <w:pPr>
        <w:contextualSpacing/>
        <w:jc w:val="left"/>
        <w:rPr>
          <w:rFonts w:ascii="Times New Roman" w:hAnsi="Times New Roman" w:eastAsia="宋体" w:cs="Times New Roman"/>
          <w:b/>
          <w:szCs w:val="21"/>
          <w:highlight w:val="none"/>
        </w:rPr>
      </w:pPr>
    </w:p>
    <w:p w14:paraId="39CD188B">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合同标的</w:t>
      </w:r>
    </w:p>
    <w:p w14:paraId="28250089">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标的名称：</w:t>
      </w:r>
      <w:permStart w:id="1" w:edGrp="everyone"/>
      <w:r>
        <w:rPr>
          <w:rFonts w:ascii="Times New Roman" w:hAnsi="Times New Roman" w:eastAsia="宋体" w:cs="Times New Roman"/>
          <w:kern w:val="2"/>
          <w:sz w:val="21"/>
          <w:szCs w:val="21"/>
          <w:highlight w:val="none"/>
          <w:lang w:val="en-US" w:eastAsia="zh-CN" w:bidi="ar-SA"/>
        </w:rPr>
        <w:t>***</w:t>
      </w:r>
      <w:permEnd w:id="1"/>
      <w:r>
        <w:rPr>
          <w:rFonts w:ascii="Times New Roman" w:hAnsi="Times New Roman" w:eastAsia="宋体" w:cs="Times New Roman"/>
          <w:kern w:val="2"/>
          <w:sz w:val="21"/>
          <w:szCs w:val="21"/>
          <w:highlight w:val="none"/>
          <w:lang w:val="en-US" w:eastAsia="zh-CN" w:bidi="ar-SA"/>
        </w:rPr>
        <w:t>。</w:t>
      </w:r>
    </w:p>
    <w:p w14:paraId="57C2E7C3">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乙方向甲方提供服务的主要内容：*</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p>
    <w:p w14:paraId="165E0C94">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服务分项明细：</w:t>
      </w:r>
      <w:r>
        <w:rPr>
          <w:rFonts w:hint="eastAsia" w:ascii="Times New Roman" w:hAnsi="Times New Roman" w:eastAsia="宋体" w:cs="Times New Roman"/>
          <w:i/>
          <w:iCs/>
          <w:color w:val="000000"/>
          <w:kern w:val="2"/>
          <w:sz w:val="21"/>
          <w:szCs w:val="21"/>
          <w:highlight w:val="none"/>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168A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F59B76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序号</w:t>
            </w:r>
          </w:p>
        </w:tc>
        <w:tc>
          <w:tcPr>
            <w:tcW w:w="2977" w:type="dxa"/>
            <w:vAlign w:val="center"/>
          </w:tcPr>
          <w:p w14:paraId="3870F916">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w:t>
            </w:r>
            <w:r>
              <w:rPr>
                <w:rFonts w:hint="eastAsia" w:ascii="Times New Roman" w:hAnsi="Times New Roman" w:eastAsia="宋体" w:cs="Times New Roman"/>
                <w:color w:val="000000"/>
                <w:kern w:val="2"/>
                <w:sz w:val="21"/>
                <w:szCs w:val="21"/>
                <w:highlight w:val="none"/>
                <w:lang w:val="en-US" w:eastAsia="zh-CN" w:bidi="ar-SA"/>
              </w:rPr>
              <w:t>服务</w:t>
            </w:r>
            <w:r>
              <w:rPr>
                <w:rFonts w:ascii="Times New Roman" w:hAnsi="Times New Roman" w:eastAsia="宋体" w:cs="Times New Roman"/>
                <w:color w:val="000000"/>
                <w:kern w:val="2"/>
                <w:sz w:val="21"/>
                <w:szCs w:val="21"/>
                <w:highlight w:val="none"/>
                <w:lang w:val="en-US" w:eastAsia="zh-CN" w:bidi="ar-SA"/>
              </w:rPr>
              <w:t>名称</w:t>
            </w:r>
          </w:p>
        </w:tc>
        <w:tc>
          <w:tcPr>
            <w:tcW w:w="3686" w:type="dxa"/>
            <w:vAlign w:val="center"/>
          </w:tcPr>
          <w:p w14:paraId="273D7C5C">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具体内容</w:t>
            </w:r>
          </w:p>
        </w:tc>
        <w:tc>
          <w:tcPr>
            <w:tcW w:w="963" w:type="dxa"/>
            <w:vAlign w:val="center"/>
          </w:tcPr>
          <w:p w14:paraId="731C5FC8">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分项价格（万元）</w:t>
            </w:r>
          </w:p>
        </w:tc>
        <w:tc>
          <w:tcPr>
            <w:tcW w:w="2016" w:type="dxa"/>
          </w:tcPr>
          <w:p w14:paraId="51E1037E">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备注</w:t>
            </w:r>
          </w:p>
        </w:tc>
      </w:tr>
      <w:tr w14:paraId="5033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C07EF99">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p>
        </w:tc>
        <w:tc>
          <w:tcPr>
            <w:tcW w:w="2977" w:type="dxa"/>
            <w:vAlign w:val="center"/>
          </w:tcPr>
          <w:p w14:paraId="4BE16864">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054818D5">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0DD710D8">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40698698">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563F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ABFC098">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w:t>
            </w:r>
          </w:p>
        </w:tc>
        <w:tc>
          <w:tcPr>
            <w:tcW w:w="2977" w:type="dxa"/>
            <w:vAlign w:val="center"/>
          </w:tcPr>
          <w:p w14:paraId="3B772221">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130E3FCF">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033AD48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3B5C64DA">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1805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1428CAE">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w:t>
            </w:r>
          </w:p>
        </w:tc>
        <w:tc>
          <w:tcPr>
            <w:tcW w:w="2977" w:type="dxa"/>
            <w:vAlign w:val="center"/>
          </w:tcPr>
          <w:p w14:paraId="4B9083C7">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6952DFE8">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7993D2C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57A2D783">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0F6A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565577F">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w:t>
            </w:r>
          </w:p>
        </w:tc>
        <w:tc>
          <w:tcPr>
            <w:tcW w:w="2977" w:type="dxa"/>
            <w:vAlign w:val="center"/>
          </w:tcPr>
          <w:p w14:paraId="4F5BD0AD">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3A2D480E">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6EAA1468">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18153C8F">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bl>
    <w:p w14:paraId="0AADAB4E">
      <w:pPr>
        <w:widowControl w:val="0"/>
        <w:numPr>
          <w:ilvl w:val="0"/>
          <w:numId w:val="12"/>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w:t>
      </w:r>
      <w:r>
        <w:rPr>
          <w:rFonts w:hint="eastAsia" w:ascii="Times New Roman" w:hAnsi="Times New Roman" w:eastAsia="宋体" w:cs="Times New Roman"/>
          <w:b/>
          <w:kern w:val="2"/>
          <w:sz w:val="21"/>
          <w:szCs w:val="21"/>
          <w:highlight w:val="none"/>
          <w:lang w:val="en-US" w:eastAsia="zh-CN" w:bidi="ar-SA"/>
        </w:rPr>
        <w:t>价款</w:t>
      </w:r>
    </w:p>
    <w:p w14:paraId="788CC63B">
      <w:pPr>
        <w:ind w:firstLine="480"/>
        <w:contextualSpacing/>
        <w:jc w:val="left"/>
        <w:rPr>
          <w:rFonts w:ascii="Times New Roman" w:hAnsi="Times New Roman" w:eastAsia="宋体" w:cs="Times New Roman"/>
          <w:szCs w:val="21"/>
          <w:highlight w:val="none"/>
        </w:rPr>
      </w:pPr>
      <w:bookmarkStart w:id="94" w:name="OLE_LINK1"/>
      <w:bookmarkStart w:id="95" w:name="OLE_LINK2"/>
      <w:r>
        <w:rPr>
          <w:rFonts w:ascii="Times New Roman" w:hAnsi="Times New Roman" w:eastAsia="宋体" w:cs="Times New Roman"/>
          <w:color w:val="000000"/>
          <w:szCs w:val="21"/>
          <w:highlight w:val="none"/>
        </w:rPr>
        <w:sym w:font="Wingdings 2" w:char="F052"/>
      </w:r>
      <w:r>
        <w:rPr>
          <w:rFonts w:hint="eastAsia" w:ascii="Times New Roman" w:hAnsi="Times New Roman" w:eastAsia="宋体" w:cs="Times New Roman"/>
          <w:szCs w:val="21"/>
          <w:highlight w:val="none"/>
        </w:rPr>
        <w:t>全包服务</w:t>
      </w:r>
    </w:p>
    <w:p w14:paraId="74B40CAF">
      <w:pPr>
        <w:ind w:left="420" w:leftChars="200" w:firstLine="420" w:firstLineChars="200"/>
        <w:contextualSpacing/>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合同总价（含税）为人民币大写：*** 圆整，即RMB *** 元</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该合同总价已包括本合同标的所涉及的所有相关费用（包括但不限于技术服务、差旅</w:t>
      </w:r>
      <w:r>
        <w:rPr>
          <w:rFonts w:hint="eastAsia" w:ascii="Times New Roman" w:hAnsi="Times New Roman" w:eastAsia="宋体" w:cs="Times New Roman"/>
          <w:szCs w:val="21"/>
          <w:highlight w:val="none"/>
        </w:rPr>
        <w:t>交通</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原材料、备品备件及</w:t>
      </w:r>
      <w:r>
        <w:rPr>
          <w:rFonts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等在内</w:t>
      </w:r>
      <w:r>
        <w:rPr>
          <w:rFonts w:ascii="Times New Roman" w:hAnsi="Times New Roman" w:eastAsia="宋体" w:cs="Times New Roman"/>
          <w:szCs w:val="21"/>
          <w:highlight w:val="none"/>
        </w:rPr>
        <w:t>的全部含税费用）。本合同执行期间合同总价不变，甲方无须另向乙方支付本合同规定之外的其他任何费用。</w:t>
      </w:r>
    </w:p>
    <w:p w14:paraId="5F437B69">
      <w:pPr>
        <w:ind w:firstLine="480"/>
        <w:contextualSpacing/>
        <w:jc w:val="left"/>
        <w:rPr>
          <w:rFonts w:ascii="Times New Roman" w:hAnsi="Times New Roman" w:eastAsia="宋体" w:cs="Times New Roman"/>
          <w:szCs w:val="20"/>
          <w:highlight w:val="none"/>
        </w:rPr>
      </w:pPr>
      <w:r>
        <w:rPr>
          <w:rFonts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半包服务</w:t>
      </w:r>
    </w:p>
    <w:p w14:paraId="260974F7">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本合同固定部分价款为</w:t>
      </w:r>
      <w:bookmarkStart w:id="96" w:name="OLE_LINK28"/>
      <w:r>
        <w:rPr>
          <w:rFonts w:ascii="Times New Roman" w:hAnsi="Times New Roman" w:eastAsia="宋体" w:cs="Times New Roman"/>
          <w:szCs w:val="21"/>
          <w:highlight w:val="none"/>
        </w:rPr>
        <w:t>人民币大写：*** 圆整，即RMB *** 元</w:t>
      </w:r>
      <w:bookmarkEnd w:id="96"/>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该</w:t>
      </w:r>
      <w:r>
        <w:rPr>
          <w:rFonts w:hint="eastAsia" w:ascii="Times New Roman" w:hAnsi="Times New Roman" w:eastAsia="宋体" w:cs="Times New Roman"/>
          <w:szCs w:val="21"/>
          <w:highlight w:val="none"/>
        </w:rPr>
        <w:t>部分价款</w:t>
      </w:r>
      <w:r>
        <w:rPr>
          <w:rFonts w:ascii="Times New Roman" w:hAnsi="Times New Roman" w:eastAsia="宋体" w:cs="Times New Roman"/>
          <w:szCs w:val="21"/>
          <w:highlight w:val="none"/>
        </w:rPr>
        <w:t>已包括</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及</w:t>
      </w:r>
      <w:r>
        <w:rPr>
          <w:rFonts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在内</w:t>
      </w:r>
      <w:r>
        <w:rPr>
          <w:rFonts w:ascii="Times New Roman" w:hAnsi="Times New Roman" w:eastAsia="宋体" w:cs="Times New Roman"/>
          <w:szCs w:val="21"/>
          <w:highlight w:val="none"/>
        </w:rPr>
        <w:t>的全部含税费用。本合同执行期间</w:t>
      </w:r>
      <w:r>
        <w:rPr>
          <w:rFonts w:hint="eastAsia" w:ascii="Times New Roman" w:hAnsi="Times New Roman" w:eastAsia="宋体" w:cs="Times New Roman"/>
          <w:szCs w:val="21"/>
          <w:highlight w:val="none"/>
        </w:rPr>
        <w:t>该部分</w:t>
      </w:r>
      <w:r>
        <w:rPr>
          <w:rFonts w:ascii="Times New Roman" w:hAnsi="Times New Roman" w:eastAsia="宋体" w:cs="Times New Roman"/>
          <w:szCs w:val="21"/>
          <w:highlight w:val="none"/>
        </w:rPr>
        <w:t>合同</w:t>
      </w:r>
      <w:r>
        <w:rPr>
          <w:rFonts w:hint="eastAsia" w:ascii="Times New Roman" w:hAnsi="Times New Roman" w:eastAsia="宋体" w:cs="Times New Roman"/>
          <w:szCs w:val="21"/>
          <w:highlight w:val="none"/>
        </w:rPr>
        <w:t>价款</w:t>
      </w:r>
      <w:r>
        <w:rPr>
          <w:rFonts w:ascii="Times New Roman" w:hAnsi="Times New Roman" w:eastAsia="宋体" w:cs="Times New Roman"/>
          <w:szCs w:val="21"/>
          <w:highlight w:val="none"/>
        </w:rPr>
        <w:t>不变，甲方无须向乙方支付本合同规定之外的其他任何费用。</w:t>
      </w:r>
    </w:p>
    <w:p w14:paraId="4A44F354">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本合同按实结算部分支付总额不超过</w:t>
      </w:r>
      <w:r>
        <w:rPr>
          <w:rFonts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，结算单价详见附件1《结算单价清单》。</w:t>
      </w:r>
      <w:r>
        <w:rPr>
          <w:rFonts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ascii="Times New Roman" w:hAnsi="Times New Roman" w:eastAsia="宋体" w:cs="Times New Roman"/>
          <w:i/>
          <w:iCs/>
          <w:szCs w:val="21"/>
          <w:highlight w:val="none"/>
        </w:rPr>
        <w:t>&gt;</w:t>
      </w:r>
    </w:p>
    <w:p w14:paraId="28D686B6">
      <w:pPr>
        <w:ind w:firstLine="480"/>
        <w:contextualSpacing/>
        <w:jc w:val="left"/>
        <w:rPr>
          <w:rFonts w:ascii="Times New Roman" w:hAnsi="Times New Roman" w:eastAsia="宋体" w:cs="Times New Roman"/>
          <w:szCs w:val="20"/>
          <w:highlight w:val="none"/>
        </w:rPr>
      </w:pPr>
      <w:r>
        <w:rPr>
          <w:rFonts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按实结算</w:t>
      </w:r>
    </w:p>
    <w:p w14:paraId="096556D6">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本合同支付总额不超过</w:t>
      </w:r>
      <w:r>
        <w:rPr>
          <w:rFonts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，依据本合同单价进行结算，结算单价详见附件1《结算单价清单》。</w:t>
      </w:r>
    </w:p>
    <w:bookmarkEnd w:id="94"/>
    <w:bookmarkEnd w:id="95"/>
    <w:p w14:paraId="3AF9A652">
      <w:pPr>
        <w:widowControl w:val="0"/>
        <w:numPr>
          <w:ilvl w:val="0"/>
          <w:numId w:val="12"/>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服务期限</w:t>
      </w:r>
      <w:r>
        <w:rPr>
          <w:rFonts w:ascii="Times New Roman" w:hAnsi="Times New Roman" w:eastAsia="宋体" w:cs="Times New Roman"/>
          <w:i/>
          <w:iCs/>
          <w:kern w:val="2"/>
          <w:sz w:val="21"/>
          <w:szCs w:val="21"/>
          <w:highlight w:val="none"/>
          <w:lang w:val="en-US" w:eastAsia="zh-CN" w:bidi="ar-SA"/>
        </w:rPr>
        <w:t>&lt;根据项目实际情况选择&gt;</w:t>
      </w:r>
    </w:p>
    <w:p w14:paraId="7B62B043">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本</w:t>
      </w:r>
      <w:r>
        <w:rPr>
          <w:rFonts w:ascii="Times New Roman" w:hAnsi="Times New Roman" w:eastAsia="宋体" w:cs="Times New Roman"/>
          <w:bCs/>
          <w:kern w:val="2"/>
          <w:sz w:val="21"/>
          <w:szCs w:val="21"/>
          <w:highlight w:val="none"/>
          <w:lang w:val="en-US" w:eastAsia="zh-CN" w:bidi="ar-SA"/>
        </w:rPr>
        <w:t>合同服务期限为 *** 年，自 202* 年 *** 月 *** 日起至 202* 年 *** 月 *** 日。</w:t>
      </w:r>
    </w:p>
    <w:p w14:paraId="62F1A66C">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2BCE519A">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bCs/>
          <w:kern w:val="2"/>
          <w:sz w:val="21"/>
          <w:szCs w:val="21"/>
          <w:highlight w:val="none"/>
          <w:lang w:val="en-US" w:eastAsia="zh-CN" w:bidi="ar-SA"/>
        </w:rPr>
        <w:t>本合同服务期限为</w:t>
      </w:r>
      <w:r>
        <w:rPr>
          <w:rFonts w:hint="eastAsia" w:ascii="Times New Roman" w:hAnsi="Times New Roman" w:eastAsia="宋体" w:cs="Times New Roman"/>
          <w:bCs/>
          <w:kern w:val="2"/>
          <w:sz w:val="21"/>
          <w:szCs w:val="21"/>
          <w:highlight w:val="none"/>
          <w:lang w:val="en-US" w:eastAsia="zh-CN" w:bidi="ar-SA"/>
        </w:rPr>
        <w:t xml:space="preserve">双方签字盖章生效之日起 </w:t>
      </w:r>
      <w:r>
        <w:rPr>
          <w:rFonts w:ascii="Times New Roman" w:hAnsi="Times New Roman" w:eastAsia="宋体" w:cs="Times New Roman"/>
          <w:bCs/>
          <w:kern w:val="2"/>
          <w:sz w:val="21"/>
          <w:szCs w:val="21"/>
          <w:highlight w:val="none"/>
          <w:lang w:val="en-US" w:eastAsia="zh-CN" w:bidi="ar-SA"/>
        </w:rPr>
        <w:t>*** 年，</w:t>
      </w:r>
      <w:r>
        <w:rPr>
          <w:rFonts w:hint="eastAsia" w:ascii="Times New Roman" w:hAnsi="Times New Roman" w:eastAsia="宋体" w:cs="Times New Roman"/>
          <w:bCs/>
          <w:kern w:val="2"/>
          <w:sz w:val="21"/>
          <w:szCs w:val="21"/>
          <w:highlight w:val="none"/>
          <w:lang w:val="en-US" w:eastAsia="zh-CN" w:bidi="ar-SA"/>
        </w:rPr>
        <w:t>即</w:t>
      </w:r>
      <w:r>
        <w:rPr>
          <w:rFonts w:ascii="Times New Roman" w:hAnsi="Times New Roman" w:eastAsia="宋体" w:cs="Times New Roman"/>
          <w:bCs/>
          <w:kern w:val="2"/>
          <w:sz w:val="21"/>
          <w:szCs w:val="21"/>
          <w:highlight w:val="none"/>
          <w:lang w:val="en-US" w:eastAsia="zh-CN" w:bidi="ar-SA"/>
        </w:rPr>
        <w:t>自 202* 年 *** 月 *** 日起至 202* 年 *** 月 *** 日。</w:t>
      </w:r>
    </w:p>
    <w:p w14:paraId="3F326488">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32623093">
      <w:pPr>
        <w:widowControl w:val="0"/>
        <w:ind w:left="105" w:leftChars="50" w:firstLine="315" w:firstLineChars="15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bCs/>
          <w:kern w:val="2"/>
          <w:sz w:val="21"/>
          <w:szCs w:val="21"/>
          <w:highlight w:val="none"/>
          <w:lang w:val="en-US" w:eastAsia="zh-CN" w:bidi="ar-SA"/>
        </w:rPr>
        <w:t>本项目服务期为</w:t>
      </w:r>
      <w:r>
        <w:rPr>
          <w:rFonts w:ascii="Times New Roman" w:hAnsi="Times New Roman" w:eastAsia="宋体" w:cs="Times New Roman"/>
          <w:bCs/>
          <w:kern w:val="2"/>
          <w:sz w:val="21"/>
          <w:szCs w:val="21"/>
          <w:highlight w:val="none"/>
          <w:u w:val="single"/>
          <w:lang w:val="en-US" w:eastAsia="zh-CN" w:bidi="ar-SA"/>
        </w:rPr>
        <w:t>叁</w:t>
      </w:r>
      <w:r>
        <w:rPr>
          <w:rFonts w:ascii="Times New Roman" w:hAnsi="Times New Roman" w:eastAsia="宋体" w:cs="Times New Roman"/>
          <w:bCs/>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kern w:val="2"/>
          <w:sz w:val="21"/>
          <w:szCs w:val="21"/>
          <w:highlight w:val="none"/>
          <w:u w:val="single"/>
          <w:lang w:val="en-US" w:eastAsia="zh-CN" w:bidi="ar-SA"/>
        </w:rPr>
        <w:t>，经甲方考核合格后续签下一年合同</w:t>
      </w:r>
      <w:bookmarkStart w:id="97" w:name="OLE_LINK29"/>
      <w:r>
        <w:rPr>
          <w:rFonts w:hint="eastAsia" w:ascii="Times New Roman" w:hAnsi="Times New Roman" w:eastAsia="宋体" w:cs="Times New Roman"/>
          <w:bCs/>
          <w:kern w:val="2"/>
          <w:sz w:val="21"/>
          <w:szCs w:val="21"/>
          <w:highlight w:val="none"/>
          <w:lang w:val="en-US" w:eastAsia="zh-CN" w:bidi="ar-SA"/>
        </w:rPr>
        <w:t>，考核标准详见附件</w:t>
      </w:r>
      <w:r>
        <w:rPr>
          <w:rFonts w:hint="eastAsia" w:ascii="Times New Roman" w:hAnsi="Times New Roman" w:eastAsia="宋体" w:cs="Times New Roman"/>
          <w:bCs/>
          <w:kern w:val="2"/>
          <w:sz w:val="21"/>
          <w:szCs w:val="21"/>
          <w:highlight w:val="none"/>
          <w:u w:val="single"/>
          <w:lang w:val="en-US" w:eastAsia="zh-CN" w:bidi="ar-SA"/>
        </w:rPr>
        <w:t>2</w:t>
      </w:r>
      <w:r>
        <w:rPr>
          <w:rFonts w:hint="eastAsia" w:ascii="Times New Roman" w:hAnsi="Times New Roman" w:eastAsia="宋体" w:cs="Times New Roman"/>
          <w:bCs/>
          <w:kern w:val="2"/>
          <w:sz w:val="21"/>
          <w:szCs w:val="21"/>
          <w:highlight w:val="none"/>
          <w:lang w:val="en-US" w:eastAsia="zh-CN" w:bidi="ar-SA"/>
        </w:rPr>
        <w:t>《考核标准》</w:t>
      </w:r>
      <w:bookmarkEnd w:id="97"/>
      <w:r>
        <w:rPr>
          <w:rFonts w:ascii="Times New Roman" w:hAnsi="Times New Roman" w:eastAsia="宋体" w:cs="Times New Roman"/>
          <w:bCs/>
          <w:kern w:val="2"/>
          <w:sz w:val="21"/>
          <w:szCs w:val="21"/>
          <w:highlight w:val="none"/>
          <w:lang w:val="en-US" w:eastAsia="zh-CN" w:bidi="ar-SA"/>
        </w:rPr>
        <w:t>。</w:t>
      </w:r>
    </w:p>
    <w:p w14:paraId="161D498F">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服务</w:t>
      </w:r>
      <w:r>
        <w:rPr>
          <w:rFonts w:hint="eastAsia" w:ascii="Times New Roman" w:hAnsi="Times New Roman" w:eastAsia="宋体" w:cs="Times New Roman"/>
          <w:b/>
          <w:kern w:val="2"/>
          <w:sz w:val="21"/>
          <w:szCs w:val="21"/>
          <w:highlight w:val="none"/>
          <w:lang w:val="en-US" w:eastAsia="zh-CN" w:bidi="ar-SA"/>
        </w:rPr>
        <w:t>方案</w:t>
      </w:r>
    </w:p>
    <w:p w14:paraId="0A830316">
      <w:pPr>
        <w:ind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bCs/>
          <w:szCs w:val="21"/>
          <w:highlight w:val="none"/>
        </w:rPr>
        <w:t>乙方应严格按照本合同服务方案和甲方要求提供服务，服务方案</w:t>
      </w:r>
      <w:r>
        <w:rPr>
          <w:rFonts w:ascii="Times New Roman" w:hAnsi="Times New Roman" w:eastAsia="宋体" w:cs="Times New Roman"/>
          <w:bCs/>
          <w:szCs w:val="21"/>
          <w:highlight w:val="none"/>
        </w:rPr>
        <w:t>详见附件3《服务</w:t>
      </w:r>
      <w:r>
        <w:rPr>
          <w:rFonts w:hint="eastAsia" w:ascii="Times New Roman" w:hAnsi="Times New Roman" w:eastAsia="宋体" w:cs="Times New Roman"/>
          <w:bCs/>
          <w:szCs w:val="21"/>
          <w:highlight w:val="none"/>
        </w:rPr>
        <w:t>方案</w:t>
      </w:r>
      <w:r>
        <w:rPr>
          <w:rFonts w:ascii="Times New Roman" w:hAnsi="Times New Roman" w:eastAsia="宋体" w:cs="Times New Roman"/>
          <w:bCs/>
          <w:szCs w:val="21"/>
          <w:highlight w:val="none"/>
        </w:rPr>
        <w:t>》</w:t>
      </w:r>
      <w:r>
        <w:rPr>
          <w:rFonts w:hint="eastAsia" w:ascii="Times New Roman" w:hAnsi="Times New Roman" w:eastAsia="宋体" w:cs="Times New Roman"/>
          <w:bCs/>
          <w:szCs w:val="21"/>
          <w:highlight w:val="none"/>
        </w:rPr>
        <w:t>。</w:t>
      </w:r>
    </w:p>
    <w:p w14:paraId="7255BE43">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验收</w:t>
      </w:r>
    </w:p>
    <w:p w14:paraId="40522CA6">
      <w:pPr>
        <w:widowControl w:val="0"/>
        <w:numPr>
          <w:ilvl w:val="0"/>
          <w:numId w:val="14"/>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甲、乙双方确定，按照本合同约定的验收方案对乙方按本合同约定所提供的服务进行验收。</w:t>
      </w:r>
    </w:p>
    <w:p w14:paraId="29499791">
      <w:pPr>
        <w:widowControl w:val="0"/>
        <w:numPr>
          <w:ilvl w:val="0"/>
          <w:numId w:val="14"/>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验收方案：</w:t>
      </w:r>
    </w:p>
    <w:p w14:paraId="684AAB0C">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验收主体：甲方</w:t>
      </w:r>
    </w:p>
    <w:p w14:paraId="3DB419E1">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验收组织方式：自行验收</w:t>
      </w:r>
    </w:p>
    <w:p w14:paraId="733FEA4A">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验收程序：</w:t>
      </w:r>
      <w:r>
        <w:rPr>
          <w:rFonts w:ascii="Times New Roman" w:hAnsi="Times New Roman" w:eastAsia="宋体" w:cs="Times New Roman"/>
          <w:kern w:val="2"/>
          <w:sz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一次性验收</w:t>
      </w:r>
      <w:r>
        <w:rPr>
          <w:rFonts w:ascii="Times New Roman" w:hAnsi="Times New Roman" w:eastAsia="宋体" w:cs="Times New Roman"/>
          <w:color w:val="000000"/>
          <w:kern w:val="2"/>
          <w:sz w:val="21"/>
          <w:szCs w:val="21"/>
          <w:highlight w:val="none"/>
          <w:lang w:val="en-US" w:eastAsia="zh-CN" w:bidi="ar-SA"/>
        </w:rPr>
        <w:t xml:space="preserve">   </w:t>
      </w:r>
      <w:r>
        <w:rPr>
          <w:rFonts w:ascii="Times New Roman" w:hAnsi="Times New Roman" w:eastAsia="宋体" w:cs="Times New Roman"/>
          <w:kern w:val="2"/>
          <w:sz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分段</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分期验收</w:t>
      </w:r>
    </w:p>
    <w:p w14:paraId="2A48AD68">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验收方式：</w:t>
      </w:r>
      <w:r>
        <w:rPr>
          <w:rFonts w:ascii="Times New Roman" w:hAnsi="Times New Roman" w:eastAsia="宋体" w:cs="Times New Roman"/>
          <w:color w:val="000000"/>
          <w:kern w:val="2"/>
          <w:sz w:val="21"/>
          <w:highlight w:val="none"/>
          <w:lang w:val="en-US" w:eastAsia="zh-CN" w:bidi="ar-SA"/>
        </w:rPr>
        <w:sym w:font="Wingdings 2" w:char="F052"/>
      </w:r>
      <w:r>
        <w:rPr>
          <w:rFonts w:hint="eastAsia" w:ascii="Times New Roman" w:hAnsi="Times New Roman" w:eastAsia="宋体" w:cs="Times New Roman"/>
          <w:color w:val="000000"/>
          <w:kern w:val="2"/>
          <w:sz w:val="21"/>
          <w:highlight w:val="none"/>
          <w:lang w:val="en-US" w:eastAsia="zh-CN" w:bidi="ar-SA"/>
        </w:rPr>
        <w:t>现场整体验收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考核验收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其它验收方式：</w:t>
      </w:r>
      <w:r>
        <w:rPr>
          <w:rFonts w:ascii="Times New Roman" w:hAnsi="Times New Roman" w:eastAsia="宋体" w:cs="Times New Roman"/>
          <w:color w:val="000000"/>
          <w:kern w:val="2"/>
          <w:sz w:val="21"/>
          <w:highlight w:val="none"/>
          <w:u w:val="single"/>
          <w:shd w:val="clear" w:color="auto" w:fill="FFFFFF"/>
          <w:lang w:val="en-US" w:eastAsia="zh-CN" w:bidi="ar-SA"/>
        </w:rPr>
        <w:t>***</w:t>
      </w:r>
    </w:p>
    <w:p w14:paraId="425B0378">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w:t>
      </w:r>
      <w:r>
        <w:rPr>
          <w:rFonts w:ascii="Times New Roman" w:hAnsi="Times New Roman" w:eastAsia="宋体" w:cs="Times New Roman"/>
          <w:kern w:val="2"/>
          <w:sz w:val="21"/>
          <w:szCs w:val="21"/>
          <w:highlight w:val="none"/>
          <w:lang w:val="en-US" w:eastAsia="zh-CN" w:bidi="ar-SA"/>
        </w:rPr>
        <w:t>验收内容：</w:t>
      </w:r>
      <w:r>
        <w:rPr>
          <w:rFonts w:hint="eastAsia" w:ascii="Times New Roman" w:hAnsi="Times New Roman" w:eastAsia="宋体" w:cs="Times New Roman"/>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kern w:val="2"/>
          <w:sz w:val="21"/>
          <w:szCs w:val="21"/>
          <w:highlight w:val="none"/>
          <w:u w:val="single"/>
          <w:lang w:val="en-US" w:eastAsia="zh-CN" w:bidi="ar-SA"/>
        </w:rPr>
        <w:t>全部服务</w:t>
      </w:r>
      <w:r>
        <w:rPr>
          <w:rFonts w:hint="eastAsia" w:ascii="Times New Roman" w:hAnsi="Times New Roman" w:eastAsia="宋体" w:cs="Times New Roman"/>
          <w:kern w:val="2"/>
          <w:sz w:val="21"/>
          <w:szCs w:val="21"/>
          <w:highlight w:val="none"/>
          <w:lang w:val="en-US" w:eastAsia="zh-CN" w:bidi="ar-SA"/>
        </w:rPr>
        <w:t>的履约情况。</w:t>
      </w:r>
    </w:p>
    <w:p w14:paraId="4E8192F6">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履约</w:t>
      </w:r>
      <w:r>
        <w:rPr>
          <w:rFonts w:ascii="Times New Roman" w:hAnsi="Times New Roman" w:eastAsia="宋体" w:cs="Times New Roman"/>
          <w:color w:val="000000"/>
          <w:kern w:val="2"/>
          <w:sz w:val="21"/>
          <w:szCs w:val="21"/>
          <w:highlight w:val="none"/>
          <w:lang w:val="en-US" w:eastAsia="zh-CN" w:bidi="ar-SA"/>
        </w:rPr>
        <w:t>验收时间：</w:t>
      </w:r>
    </w:p>
    <w:p w14:paraId="7A255352">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服务期满且</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完成所有服务内容后X日内通知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64BF5052">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7F6C45D7">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甲</w:t>
      </w:r>
      <w:r>
        <w:rPr>
          <w:rFonts w:hint="eastAsia" w:ascii="Times New Roman" w:hAnsi="Times New Roman" w:eastAsia="宋体" w:cs="Times New Roman"/>
          <w:color w:val="000000"/>
          <w:kern w:val="2"/>
          <w:sz w:val="21"/>
          <w:szCs w:val="21"/>
          <w:highlight w:val="none"/>
          <w:lang w:val="en-US" w:eastAsia="zh-CN" w:bidi="ar-SA"/>
        </w:rPr>
        <w:t>方</w:t>
      </w:r>
      <w:r>
        <w:rPr>
          <w:rFonts w:ascii="Times New Roman" w:hAnsi="Times New Roman" w:eastAsia="宋体" w:cs="Times New Roman"/>
          <w:color w:val="000000"/>
          <w:kern w:val="2"/>
          <w:sz w:val="21"/>
          <w:szCs w:val="21"/>
          <w:highlight w:val="none"/>
          <w:lang w:val="en-US" w:eastAsia="zh-CN" w:bidi="ar-SA"/>
        </w:rPr>
        <w:t>完成考核后X日内组织验收</w:t>
      </w:r>
    </w:p>
    <w:p w14:paraId="71D113A0">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shd w:val="clear" w:color="auto" w:fill="FFFFFF"/>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 xml:space="preserve">其它验收时间：            </w:t>
      </w:r>
    </w:p>
    <w:p w14:paraId="6189A77D">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是否邀请本项目的其他供应商：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66F4A3AF">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是否邀请专家：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39C12989">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是否邀请服务对象：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718933CA">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是否</w:t>
      </w:r>
      <w:r>
        <w:rPr>
          <w:rFonts w:hint="eastAsia" w:ascii="Times New Roman" w:hAnsi="Times New Roman" w:eastAsia="宋体" w:cs="Times New Roman"/>
          <w:kern w:val="2"/>
          <w:sz w:val="21"/>
          <w:szCs w:val="21"/>
          <w:highlight w:val="none"/>
          <w:lang w:val="en-US" w:eastAsia="zh-CN" w:bidi="ar-SA"/>
        </w:rPr>
        <w:t>邀请</w:t>
      </w:r>
      <w:r>
        <w:rPr>
          <w:rFonts w:ascii="Times New Roman" w:hAnsi="Times New Roman" w:eastAsia="宋体" w:cs="Times New Roman"/>
          <w:kern w:val="2"/>
          <w:sz w:val="21"/>
          <w:szCs w:val="21"/>
          <w:highlight w:val="none"/>
          <w:lang w:val="en-US" w:eastAsia="zh-CN" w:bidi="ar-SA"/>
        </w:rPr>
        <w:t>第三方检测机构：</w:t>
      </w:r>
      <w:r>
        <w:rPr>
          <w:rFonts w:ascii="Times New Roman" w:hAnsi="Times New Roman" w:eastAsia="宋体" w:cs="Times New Roman"/>
          <w:kern w:val="0"/>
          <w:sz w:val="21"/>
          <w:highlight w:val="none"/>
          <w:shd w:val="clear" w:color="auto" w:fill="FFFFFF"/>
          <w:lang w:val="en-US" w:eastAsia="zh-CN" w:bidi="ar-SA"/>
        </w:rPr>
        <w:t xml:space="preserve">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4C38DD2E">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验收标准：</w:t>
      </w:r>
    </w:p>
    <w:p w14:paraId="3044F6F5">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bookmarkStart w:id="98" w:name="OLE_LINK4"/>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5325DA45">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甲方采购</w:t>
      </w:r>
      <w:r>
        <w:rPr>
          <w:rFonts w:ascii="Times New Roman" w:hAnsi="Times New Roman" w:eastAsia="宋体" w:cs="Times New Roman"/>
          <w:kern w:val="2"/>
          <w:sz w:val="21"/>
          <w:szCs w:val="21"/>
          <w:highlight w:val="none"/>
          <w:lang w:val="en-US" w:eastAsia="zh-CN" w:bidi="ar-SA"/>
        </w:rPr>
        <w:t>文件相关技术、服务要求、</w:t>
      </w:r>
      <w:r>
        <w:rPr>
          <w:rFonts w:hint="eastAsia" w:ascii="Times New Roman" w:hAnsi="Times New Roman" w:eastAsia="宋体" w:cs="Times New Roman"/>
          <w:kern w:val="2"/>
          <w:sz w:val="21"/>
          <w:szCs w:val="21"/>
          <w:highlight w:val="none"/>
          <w:lang w:val="en-US" w:eastAsia="zh-CN" w:bidi="ar-SA"/>
        </w:rPr>
        <w:t>乙方响应</w:t>
      </w:r>
      <w:r>
        <w:rPr>
          <w:rFonts w:ascii="Times New Roman" w:hAnsi="Times New Roman" w:eastAsia="宋体" w:cs="Times New Roman"/>
          <w:kern w:val="2"/>
          <w:sz w:val="21"/>
          <w:szCs w:val="21"/>
          <w:highlight w:val="none"/>
          <w:lang w:val="en-US" w:eastAsia="zh-CN" w:bidi="ar-SA"/>
        </w:rPr>
        <w:t>文件相关响应内容。</w:t>
      </w:r>
    </w:p>
    <w:p w14:paraId="2C7FB13F">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如本项目验收方式为考核验收，则考核结果须为合格。</w:t>
      </w:r>
    </w:p>
    <w:bookmarkEnd w:id="98"/>
    <w:p w14:paraId="77720D35">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与</w:t>
      </w:r>
      <w:r>
        <w:rPr>
          <w:rFonts w:hint="eastAsia" w:ascii="Times New Roman" w:hAnsi="Times New Roman" w:eastAsia="宋体" w:cs="Times New Roman"/>
          <w:kern w:val="2"/>
          <w:sz w:val="21"/>
          <w:szCs w:val="21"/>
          <w:highlight w:val="none"/>
          <w:lang w:val="en-US" w:eastAsia="zh-CN" w:bidi="ar-SA"/>
        </w:rPr>
        <w:t>乙方</w:t>
      </w:r>
      <w:r>
        <w:rPr>
          <w:rFonts w:ascii="Times New Roman" w:hAnsi="Times New Roman" w:eastAsia="宋体" w:cs="Times New Roman"/>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247C7982">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参照</w:t>
      </w:r>
      <w:r>
        <w:rPr>
          <w:rFonts w:ascii="Times New Roman" w:hAnsi="Times New Roman" w:eastAsia="宋体" w:cs="Times New Roman"/>
          <w:kern w:val="2"/>
          <w:sz w:val="21"/>
          <w:szCs w:val="21"/>
          <w:highlight w:val="none"/>
          <w:lang w:val="en-US" w:eastAsia="zh-CN" w:bidi="ar-SA"/>
        </w:rPr>
        <w:t>《财政部关于进一步加强政府采购需求和履约验收管理的指导意见》（财库〔2016〕205号）的要求进行验收。</w:t>
      </w:r>
    </w:p>
    <w:p w14:paraId="7717B489">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其它标准：</w:t>
      </w:r>
      <w:r>
        <w:rPr>
          <w:rFonts w:hint="eastAsia" w:ascii="Times New Roman" w:hAnsi="Times New Roman" w:eastAsia="宋体" w:cs="Times New Roman"/>
          <w:kern w:val="2"/>
          <w:sz w:val="21"/>
          <w:szCs w:val="21"/>
          <w:highlight w:val="none"/>
          <w:u w:val="single"/>
          <w:lang w:val="en-US" w:eastAsia="zh-CN" w:bidi="ar-SA"/>
        </w:rPr>
        <w:t>无。</w:t>
      </w:r>
    </w:p>
    <w:p w14:paraId="1955B710">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其它验收要求：</w:t>
      </w:r>
      <w:r>
        <w:rPr>
          <w:rFonts w:ascii="Times New Roman" w:hAnsi="Times New Roman" w:eastAsia="宋体" w:cs="Times New Roman"/>
          <w:color w:val="000000"/>
          <w:kern w:val="0"/>
          <w:sz w:val="21"/>
          <w:szCs w:val="21"/>
          <w:highlight w:val="none"/>
          <w:u w:val="single"/>
          <w:lang w:val="en-US" w:eastAsia="zh-CN" w:bidi="ar-SA"/>
        </w:rPr>
        <w:t>无</w:t>
      </w:r>
      <w:r>
        <w:rPr>
          <w:rFonts w:ascii="Times New Roman" w:hAnsi="Times New Roman" w:eastAsia="宋体" w:cs="Times New Roman"/>
          <w:i/>
          <w:iCs/>
          <w:color w:val="000000"/>
          <w:kern w:val="0"/>
          <w:sz w:val="21"/>
          <w:szCs w:val="21"/>
          <w:highlight w:val="none"/>
          <w:lang w:val="en-US" w:eastAsia="zh-CN" w:bidi="ar-SA"/>
        </w:rPr>
        <w:t>&lt;如有请填写&gt;</w:t>
      </w:r>
    </w:p>
    <w:p w14:paraId="565D2F6A">
      <w:pPr>
        <w:widowControl w:val="0"/>
        <w:numPr>
          <w:ilvl w:val="0"/>
          <w:numId w:val="1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kern w:val="2"/>
          <w:sz w:val="21"/>
          <w:szCs w:val="21"/>
          <w:highlight w:val="none"/>
          <w:lang w:val="en-US" w:eastAsia="zh-CN" w:bidi="ar-SA"/>
        </w:rPr>
        <w:t>10</w:t>
      </w:r>
      <w:r>
        <w:rPr>
          <w:rFonts w:ascii="Times New Roman" w:hAnsi="Times New Roman" w:eastAsia="宋体" w:cs="Times New Roman"/>
          <w:kern w:val="2"/>
          <w:sz w:val="21"/>
          <w:szCs w:val="21"/>
          <w:highlight w:val="none"/>
          <w:lang w:val="en-US" w:eastAsia="zh-CN" w:bidi="ar-SA"/>
        </w:rPr>
        <w:t>%的违约金给甲方，违约金不能弥补甲方损失的，乙方应全额赔偿。</w:t>
      </w:r>
    </w:p>
    <w:p w14:paraId="47C8B794">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付款方式</w:t>
      </w:r>
    </w:p>
    <w:p w14:paraId="64D31607">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履约保证金：</w:t>
      </w:r>
    </w:p>
    <w:p w14:paraId="343990DF">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个工作日内，按合同总价</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%支付履约保证金；本合同</w:t>
      </w:r>
      <w:r>
        <w:rPr>
          <w:rFonts w:hint="eastAsia" w:ascii="Times New Roman" w:hAnsi="Times New Roman" w:eastAsia="宋体" w:cs="Times New Roman"/>
          <w:color w:val="000000"/>
          <w:kern w:val="2"/>
          <w:sz w:val="21"/>
          <w:szCs w:val="21"/>
          <w:highlight w:val="none"/>
          <w:lang w:val="en-US" w:eastAsia="zh-CN" w:bidi="ar-SA"/>
        </w:rPr>
        <w:t>服务期满且验收合格</w:t>
      </w:r>
      <w:r>
        <w:rPr>
          <w:rFonts w:ascii="Times New Roman" w:hAnsi="Times New Roman" w:eastAsia="宋体" w:cs="Times New Roman"/>
          <w:color w:val="000000"/>
          <w:kern w:val="2"/>
          <w:sz w:val="21"/>
          <w:szCs w:val="21"/>
          <w:highlight w:val="none"/>
          <w:lang w:val="en-US" w:eastAsia="zh-CN" w:bidi="ar-SA"/>
        </w:rPr>
        <w:t>后，甲方接到乙方付款申请后</w:t>
      </w:r>
      <w:r>
        <w:rPr>
          <w:rFonts w:ascii="Times New Roman" w:hAnsi="Times New Roman" w:eastAsia="宋体" w:cs="Times New Roman"/>
          <w:color w:val="000000"/>
          <w:kern w:val="2"/>
          <w:sz w:val="21"/>
          <w:szCs w:val="21"/>
          <w:highlight w:val="none"/>
          <w:u w:val="single"/>
          <w:lang w:val="en-US" w:eastAsia="zh-CN" w:bidi="ar-SA"/>
        </w:rPr>
        <w:t>30</w:t>
      </w:r>
      <w:r>
        <w:rPr>
          <w:rFonts w:ascii="Times New Roman" w:hAnsi="Times New Roman" w:eastAsia="宋体" w:cs="Times New Roman"/>
          <w:color w:val="000000"/>
          <w:kern w:val="2"/>
          <w:sz w:val="21"/>
          <w:szCs w:val="21"/>
          <w:highlight w:val="none"/>
          <w:lang w:val="en-US" w:eastAsia="zh-CN" w:bidi="ar-SA"/>
        </w:rPr>
        <w:t>个工作日内，甲方一次性无息退还乙方的履约保证金；经验收后乙方履约不合格的，履约保证金不予退还。</w:t>
      </w:r>
    </w:p>
    <w:p w14:paraId="5C2EC13B">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本合同不涉及履约保证金。</w:t>
      </w:r>
    </w:p>
    <w:p w14:paraId="2143A0AF">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w:t>
      </w:r>
      <w:r>
        <w:rPr>
          <w:rFonts w:hint="eastAsia" w:ascii="Times New Roman" w:hAnsi="Times New Roman" w:eastAsia="宋体" w:cs="Times New Roman"/>
          <w:kern w:val="2"/>
          <w:sz w:val="21"/>
          <w:szCs w:val="21"/>
          <w:highlight w:val="none"/>
          <w:lang w:val="en-US" w:eastAsia="zh-CN" w:bidi="ar-SA"/>
        </w:rPr>
        <w:t>合同</w:t>
      </w:r>
      <w:r>
        <w:rPr>
          <w:rFonts w:ascii="Times New Roman" w:hAnsi="Times New Roman" w:eastAsia="宋体" w:cs="Times New Roman"/>
          <w:kern w:val="2"/>
          <w:sz w:val="21"/>
          <w:szCs w:val="21"/>
          <w:highlight w:val="none"/>
          <w:lang w:val="en-US" w:eastAsia="zh-CN" w:bidi="ar-SA"/>
        </w:rPr>
        <w:t>价款采用以下方式支付，以人民币结算：</w:t>
      </w:r>
    </w:p>
    <w:p w14:paraId="073B3AC2">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一次性支付：</w:t>
      </w:r>
    </w:p>
    <w:p w14:paraId="79D72888">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服务期满且经甲方验收合格后</w:t>
      </w:r>
      <w:r>
        <w:rPr>
          <w:rFonts w:ascii="Times New Roman" w:hAnsi="Times New Roman" w:eastAsia="宋体" w:cs="Times New Roman"/>
          <w:kern w:val="2"/>
          <w:sz w:val="21"/>
          <w:szCs w:val="21"/>
          <w:highlight w:val="none"/>
          <w:u w:val="single"/>
          <w:lang w:val="en-US" w:eastAsia="zh-CN" w:bidi="ar-SA"/>
        </w:rPr>
        <w:t>5</w:t>
      </w:r>
      <w:r>
        <w:rPr>
          <w:rFonts w:ascii="Times New Roman" w:hAnsi="Times New Roman" w:eastAsia="宋体" w:cs="Times New Roman"/>
          <w:kern w:val="2"/>
          <w:sz w:val="21"/>
          <w:szCs w:val="21"/>
          <w:highlight w:val="none"/>
          <w:lang w:val="en-US" w:eastAsia="zh-CN" w:bidi="ar-SA"/>
        </w:rPr>
        <w:t>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w:t>
      </w:r>
      <w:r>
        <w:rPr>
          <w:rFonts w:ascii="Times New Roman" w:hAnsi="Times New Roman" w:eastAsia="宋体" w:cs="Times New Roman"/>
          <w:color w:val="000000"/>
          <w:kern w:val="2"/>
          <w:sz w:val="21"/>
          <w:szCs w:val="21"/>
          <w:highlight w:val="none"/>
          <w:u w:val="single"/>
          <w:lang w:val="en-US" w:eastAsia="zh-CN" w:bidi="ar-SA"/>
        </w:rPr>
        <w:t>55</w:t>
      </w:r>
      <w:r>
        <w:rPr>
          <w:rFonts w:ascii="Times New Roman" w:hAnsi="Times New Roman" w:eastAsia="宋体" w:cs="Times New Roman"/>
          <w:color w:val="000000"/>
          <w:kern w:val="2"/>
          <w:sz w:val="21"/>
          <w:szCs w:val="21"/>
          <w:highlight w:val="none"/>
          <w:lang w:val="en-US" w:eastAsia="zh-CN" w:bidi="ar-SA"/>
        </w:rPr>
        <w:t>日内支付合同总价100%的</w:t>
      </w:r>
      <w:r>
        <w:rPr>
          <w:rFonts w:hint="eastAsia" w:ascii="Times New Roman" w:hAnsi="Times New Roman" w:eastAsia="宋体" w:cs="Times New Roman"/>
          <w:color w:val="000000"/>
          <w:kern w:val="2"/>
          <w:sz w:val="21"/>
          <w:szCs w:val="21"/>
          <w:highlight w:val="none"/>
          <w:lang w:val="en-US" w:eastAsia="zh-CN" w:bidi="ar-SA"/>
        </w:rPr>
        <w:t>金额</w:t>
      </w:r>
      <w:r>
        <w:rPr>
          <w:rFonts w:ascii="Times New Roman" w:hAnsi="Times New Roman" w:eastAsia="宋体" w:cs="Times New Roman"/>
          <w:color w:val="000000"/>
          <w:kern w:val="2"/>
          <w:sz w:val="21"/>
          <w:szCs w:val="21"/>
          <w:highlight w:val="none"/>
          <w:lang w:val="en-US" w:eastAsia="zh-CN" w:bidi="ar-SA"/>
        </w:rPr>
        <w:t>给乙方。</w:t>
      </w:r>
    </w:p>
    <w:p w14:paraId="60D9F6D4">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分阶段支付，支付期限</w:t>
      </w:r>
      <w:r>
        <w:rPr>
          <w:rFonts w:hint="eastAsia" w:ascii="Times New Roman" w:hAnsi="Times New Roman" w:eastAsia="宋体" w:cs="Times New Roman"/>
          <w:color w:val="000000"/>
          <w:kern w:val="2"/>
          <w:sz w:val="21"/>
          <w:szCs w:val="21"/>
          <w:highlight w:val="none"/>
          <w:lang w:val="en-US" w:eastAsia="zh-CN" w:bidi="ar-SA"/>
        </w:rPr>
        <w:t>、方式</w:t>
      </w:r>
      <w:r>
        <w:rPr>
          <w:rFonts w:ascii="Times New Roman" w:hAnsi="Times New Roman" w:eastAsia="宋体" w:cs="Times New Roman"/>
          <w:color w:val="000000"/>
          <w:kern w:val="2"/>
          <w:sz w:val="21"/>
          <w:szCs w:val="21"/>
          <w:highlight w:val="none"/>
          <w:lang w:val="en-US" w:eastAsia="zh-CN" w:bidi="ar-SA"/>
        </w:rPr>
        <w:t>及额度如下：</w:t>
      </w:r>
    </w:p>
    <w:p w14:paraId="03155463">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（1）</w:t>
      </w:r>
      <w:bookmarkStart w:id="99" w:name="OLE_LINK30"/>
      <w:r>
        <w:rPr>
          <w:rFonts w:hint="eastAsia" w:ascii="Calibri" w:hAnsi="Calibri" w:eastAsia="宋体" w:cs="Times New Roman"/>
          <w:kern w:val="2"/>
          <w:sz w:val="21"/>
          <w:szCs w:val="21"/>
          <w:highlight w:val="none"/>
          <w:lang w:val="en-US" w:eastAsia="zh-CN" w:bidi="ar-SA"/>
        </w:rPr>
        <w:t>固定部分价款</w:t>
      </w:r>
      <w:bookmarkEnd w:id="99"/>
      <w:r>
        <w:rPr>
          <w:rFonts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服务期满且经甲方验收合格后</w:t>
      </w:r>
      <w:r>
        <w:rPr>
          <w:rFonts w:ascii="Times New Roman" w:hAnsi="Times New Roman" w:eastAsia="宋体" w:cs="Times New Roman"/>
          <w:kern w:val="2"/>
          <w:sz w:val="21"/>
          <w:szCs w:val="21"/>
          <w:highlight w:val="none"/>
          <w:lang w:val="en-US" w:eastAsia="zh-CN" w:bidi="ar-SA"/>
        </w:rPr>
        <w:t>5日内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资料后55日内</w:t>
      </w:r>
      <w:r>
        <w:rPr>
          <w:rFonts w:hint="eastAsia" w:ascii="Times New Roman" w:hAnsi="Times New Roman" w:eastAsia="宋体" w:cs="Times New Roman"/>
          <w:color w:val="000000"/>
          <w:kern w:val="2"/>
          <w:sz w:val="21"/>
          <w:szCs w:val="21"/>
          <w:highlight w:val="none"/>
          <w:lang w:val="en-US" w:eastAsia="zh-CN" w:bidi="ar-SA"/>
        </w:rPr>
        <w:t>向乙方</w:t>
      </w:r>
      <w:r>
        <w:rPr>
          <w:rFonts w:ascii="Times New Roman" w:hAnsi="Times New Roman" w:eastAsia="宋体" w:cs="Times New Roman"/>
          <w:color w:val="000000"/>
          <w:kern w:val="2"/>
          <w:sz w:val="21"/>
          <w:szCs w:val="21"/>
          <w:highlight w:val="none"/>
          <w:lang w:val="en-US" w:eastAsia="zh-CN" w:bidi="ar-SA"/>
        </w:rPr>
        <w:t>支付</w:t>
      </w:r>
      <w:r>
        <w:rPr>
          <w:rFonts w:hint="eastAsia" w:ascii="Times New Roman" w:hAnsi="Times New Roman" w:eastAsia="宋体" w:cs="Times New Roman"/>
          <w:color w:val="000000"/>
          <w:kern w:val="2"/>
          <w:sz w:val="21"/>
          <w:szCs w:val="21"/>
          <w:highlight w:val="none"/>
          <w:lang w:val="en-US" w:eastAsia="zh-CN" w:bidi="ar-SA"/>
        </w:rPr>
        <w:t>本合同</w:t>
      </w:r>
      <w:r>
        <w:rPr>
          <w:rFonts w:hint="eastAsia" w:ascii="Times New Roman" w:hAnsi="Times New Roman" w:eastAsia="宋体" w:cs="Times New Roman"/>
          <w:color w:val="000000"/>
          <w:kern w:val="2"/>
          <w:sz w:val="21"/>
          <w:szCs w:val="21"/>
          <w:highlight w:val="none"/>
          <w:u w:val="single"/>
          <w:lang w:val="en-US" w:eastAsia="zh-CN" w:bidi="ar-SA"/>
        </w:rPr>
        <w:t>第二条</w:t>
      </w:r>
      <w:r>
        <w:rPr>
          <w:rFonts w:hint="eastAsia" w:ascii="Times New Roman" w:hAnsi="Times New Roman" w:eastAsia="宋体" w:cs="Times New Roman"/>
          <w:color w:val="000000"/>
          <w:kern w:val="2"/>
          <w:sz w:val="21"/>
          <w:szCs w:val="21"/>
          <w:highlight w:val="none"/>
          <w:lang w:val="en-US" w:eastAsia="zh-CN" w:bidi="ar-SA"/>
        </w:rPr>
        <w:t>写明的全部</w:t>
      </w:r>
      <w:r>
        <w:rPr>
          <w:rFonts w:hint="eastAsia" w:ascii="Calibri" w:hAnsi="Calibri" w:eastAsia="宋体" w:cs="Times New Roman"/>
          <w:kern w:val="2"/>
          <w:sz w:val="21"/>
          <w:szCs w:val="21"/>
          <w:highlight w:val="none"/>
          <w:lang w:val="en-US" w:eastAsia="zh-CN" w:bidi="ar-SA"/>
        </w:rPr>
        <w:t>固定部分价款</w:t>
      </w:r>
      <w:r>
        <w:rPr>
          <w:rFonts w:ascii="Times New Roman" w:hAnsi="Times New Roman" w:eastAsia="宋体" w:cs="Times New Roman"/>
          <w:color w:val="000000"/>
          <w:kern w:val="2"/>
          <w:sz w:val="21"/>
          <w:szCs w:val="21"/>
          <w:highlight w:val="none"/>
          <w:lang w:val="en-US" w:eastAsia="zh-CN" w:bidi="ar-SA"/>
        </w:rPr>
        <w:t>。</w:t>
      </w:r>
    </w:p>
    <w:p w14:paraId="050E7059">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（2）</w:t>
      </w:r>
      <w:r>
        <w:rPr>
          <w:rFonts w:hint="eastAsia" w:ascii="Times New Roman" w:hAnsi="Times New Roman" w:eastAsia="宋体" w:cs="Times New Roman"/>
          <w:color w:val="000000"/>
          <w:kern w:val="2"/>
          <w:sz w:val="21"/>
          <w:szCs w:val="21"/>
          <w:highlight w:val="none"/>
          <w:lang w:val="en-US" w:eastAsia="zh-CN" w:bidi="ar-SA"/>
        </w:rPr>
        <w:t>按实结算部分：每</w:t>
      </w:r>
      <w:r>
        <w:rPr>
          <w:rFonts w:hint="eastAsia" w:ascii="Times New Roman" w:hAnsi="Times New Roman" w:eastAsia="宋体" w:cs="Times New Roman"/>
          <w:color w:val="000000"/>
          <w:kern w:val="2"/>
          <w:sz w:val="21"/>
          <w:szCs w:val="21"/>
          <w:highlight w:val="none"/>
          <w:u w:val="single"/>
          <w:lang w:val="en-US" w:eastAsia="zh-CN" w:bidi="ar-SA"/>
        </w:rPr>
        <w:t>XX</w:t>
      </w:r>
      <w:r>
        <w:rPr>
          <w:rFonts w:ascii="Times New Roman" w:hAnsi="Times New Roman" w:eastAsia="宋体" w:cs="Times New Roman"/>
          <w:i/>
          <w:iCs/>
          <w:kern w:val="2"/>
          <w:sz w:val="21"/>
          <w:szCs w:val="21"/>
          <w:highlight w:val="none"/>
          <w:lang w:val="en-US" w:eastAsia="zh-CN" w:bidi="ar-SA"/>
        </w:rPr>
        <w:t>&lt;</w:t>
      </w:r>
      <w:r>
        <w:rPr>
          <w:rFonts w:hint="eastAsia" w:ascii="Times New Roman" w:hAnsi="Times New Roman" w:eastAsia="宋体" w:cs="Times New Roman"/>
          <w:i/>
          <w:iCs/>
          <w:kern w:val="2"/>
          <w:sz w:val="21"/>
          <w:szCs w:val="21"/>
          <w:highlight w:val="none"/>
          <w:lang w:val="en-US" w:eastAsia="zh-CN" w:bidi="ar-SA"/>
        </w:rPr>
        <w:t>约定按固定周期支付的（如每季度），</w:t>
      </w:r>
      <w:r>
        <w:rPr>
          <w:rFonts w:ascii="Times New Roman" w:hAnsi="Times New Roman" w:eastAsia="宋体" w:cs="Times New Roman"/>
          <w:i/>
          <w:iCs/>
          <w:kern w:val="2"/>
          <w:sz w:val="21"/>
          <w:szCs w:val="21"/>
          <w:highlight w:val="none"/>
          <w:lang w:val="en-US" w:eastAsia="zh-CN" w:bidi="ar-SA"/>
        </w:rPr>
        <w:t>可根据项目具体情况编制</w:t>
      </w:r>
      <w:r>
        <w:rPr>
          <w:rFonts w:hint="eastAsia" w:ascii="Times New Roman" w:hAnsi="Times New Roman" w:eastAsia="宋体" w:cs="Times New Roman"/>
          <w:i/>
          <w:iCs/>
          <w:kern w:val="2"/>
          <w:sz w:val="21"/>
          <w:szCs w:val="21"/>
          <w:highlight w:val="none"/>
          <w:lang w:val="en-US" w:eastAsia="zh-CN" w:bidi="ar-SA"/>
        </w:rPr>
        <w:t>本条款</w:t>
      </w:r>
      <w:r>
        <w:rPr>
          <w:rFonts w:ascii="Times New Roman" w:hAnsi="Times New Roman" w:eastAsia="宋体" w:cs="Times New Roman"/>
          <w:i/>
          <w:iCs/>
          <w:kern w:val="2"/>
          <w:sz w:val="21"/>
          <w:szCs w:val="21"/>
          <w:highlight w:val="none"/>
          <w:lang w:val="en-US" w:eastAsia="zh-CN" w:bidi="ar-SA"/>
        </w:rPr>
        <w:t>&gt;</w:t>
      </w:r>
      <w:r>
        <w:rPr>
          <w:rFonts w:hint="eastAsia" w:ascii="Times New Roman" w:hAnsi="Times New Roman" w:eastAsia="宋体" w:cs="Times New Roman"/>
          <w:color w:val="000000"/>
          <w:kern w:val="2"/>
          <w:sz w:val="21"/>
          <w:szCs w:val="21"/>
          <w:highlight w:val="none"/>
          <w:lang w:val="en-US" w:eastAsia="zh-CN" w:bidi="ar-SA"/>
        </w:rPr>
        <w:t>结算一次费用，结算单价以</w:t>
      </w:r>
      <w:r>
        <w:rPr>
          <w:rFonts w:hint="eastAsia" w:ascii="Calibri" w:hAnsi="Calibri" w:eastAsia="宋体" w:cs="Times New Roman"/>
          <w:kern w:val="2"/>
          <w:sz w:val="21"/>
          <w:szCs w:val="21"/>
          <w:highlight w:val="none"/>
          <w:lang w:val="en-US" w:eastAsia="zh-CN" w:bidi="ar-SA"/>
        </w:rPr>
        <w:t>《结算单价清单》</w:t>
      </w:r>
      <w:r>
        <w:rPr>
          <w:rFonts w:hint="eastAsia" w:ascii="Times New Roman" w:hAnsi="Times New Roman" w:eastAsia="宋体" w:cs="Times New Roman"/>
          <w:color w:val="000000"/>
          <w:kern w:val="2"/>
          <w:sz w:val="21"/>
          <w:szCs w:val="21"/>
          <w:highlight w:val="none"/>
          <w:lang w:val="en-US" w:eastAsia="zh-CN" w:bidi="ar-SA"/>
        </w:rPr>
        <w:t>为准。</w:t>
      </w:r>
      <w:r>
        <w:rPr>
          <w:rFonts w:hint="eastAsia" w:ascii="Calibri" w:hAnsi="Calibri" w:eastAsia="宋体" w:cs="Times New Roman"/>
          <w:kern w:val="2"/>
          <w:sz w:val="21"/>
          <w:szCs w:val="22"/>
          <w:highlight w:val="none"/>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kern w:val="2"/>
          <w:sz w:val="21"/>
          <w:szCs w:val="22"/>
          <w:highlight w:val="none"/>
          <w:u w:val="single"/>
          <w:lang w:val="en-US" w:eastAsia="zh-CN" w:bidi="ar"/>
        </w:rPr>
        <w:t>55</w:t>
      </w:r>
      <w:r>
        <w:rPr>
          <w:rFonts w:hint="eastAsia" w:ascii="Calibri" w:hAnsi="Calibri" w:eastAsia="宋体" w:cs="Times New Roman"/>
          <w:kern w:val="2"/>
          <w:sz w:val="21"/>
          <w:szCs w:val="22"/>
          <w:highlight w:val="none"/>
          <w:lang w:val="en-US" w:eastAsia="zh-CN" w:bidi="ar"/>
        </w:rPr>
        <w:t>日内，向乙方全额支付上述结算费用。</w:t>
      </w:r>
    </w:p>
    <w:p w14:paraId="6233A3EA">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甲方付款前，乙方需</w:t>
      </w:r>
      <w:r>
        <w:rPr>
          <w:rFonts w:hint="eastAsia" w:ascii="Times New Roman" w:hAnsi="Times New Roman" w:eastAsia="宋体" w:cs="Times New Roman"/>
          <w:kern w:val="2"/>
          <w:sz w:val="21"/>
          <w:highlight w:val="none"/>
          <w:lang w:val="en-US" w:eastAsia="zh-CN" w:bidi="ar"/>
        </w:rPr>
        <w:t>提供合法有效票据及其他相关请款资料</w:t>
      </w:r>
      <w:r>
        <w:rPr>
          <w:rFonts w:ascii="Times New Roman" w:hAnsi="Times New Roman" w:eastAsia="宋体" w:cs="Times New Roman"/>
          <w:kern w:val="2"/>
          <w:sz w:val="21"/>
          <w:szCs w:val="21"/>
          <w:highlight w:val="none"/>
          <w:lang w:val="en-US" w:eastAsia="zh-CN" w:bidi="ar-SA"/>
        </w:rPr>
        <w:t>，否则甲方有权拒绝支付且不承担任何违约责任，且乙方不得因此停止</w:t>
      </w:r>
      <w:r>
        <w:rPr>
          <w:rFonts w:hint="eastAsia" w:ascii="Times New Roman" w:hAnsi="Times New Roman" w:eastAsia="宋体" w:cs="Times New Roman"/>
          <w:kern w:val="2"/>
          <w:sz w:val="21"/>
          <w:szCs w:val="21"/>
          <w:highlight w:val="none"/>
          <w:lang w:val="en-US" w:eastAsia="zh-CN" w:bidi="ar-SA"/>
        </w:rPr>
        <w:t>服务</w:t>
      </w:r>
      <w:r>
        <w:rPr>
          <w:rFonts w:ascii="Times New Roman" w:hAnsi="Times New Roman" w:eastAsia="宋体" w:cs="Times New Roman"/>
          <w:kern w:val="2"/>
          <w:sz w:val="21"/>
          <w:szCs w:val="21"/>
          <w:highlight w:val="none"/>
          <w:lang w:val="en-US" w:eastAsia="zh-CN" w:bidi="ar-SA"/>
        </w:rPr>
        <w:t>。</w:t>
      </w:r>
    </w:p>
    <w:p w14:paraId="0805ADFB">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7C9F3DA1">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双方权利与义务</w:t>
      </w:r>
    </w:p>
    <w:p w14:paraId="1262A55E">
      <w:pPr>
        <w:widowControl w:val="0"/>
        <w:numPr>
          <w:ilvl w:val="0"/>
          <w:numId w:val="18"/>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甲方权利与义务</w:t>
      </w:r>
    </w:p>
    <w:p w14:paraId="0CC06DD1">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按合同约定向乙方支付费用。</w:t>
      </w:r>
    </w:p>
    <w:p w14:paraId="0B852972">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保证乙方实施服务所必须的外部条件如电源、水源的正常供应及开启、关闭等。</w:t>
      </w:r>
    </w:p>
    <w:p w14:paraId="16C9BEB7">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对于乙方在提供</w:t>
      </w:r>
      <w:r>
        <w:rPr>
          <w:rFonts w:hint="eastAsia" w:ascii="Times New Roman" w:hAnsi="Times New Roman" w:eastAsia="宋体" w:cs="Times New Roman"/>
          <w:kern w:val="2"/>
          <w:sz w:val="21"/>
          <w:szCs w:val="21"/>
          <w:highlight w:val="none"/>
          <w:lang w:val="en-US" w:eastAsia="zh-CN" w:bidi="ar-SA"/>
        </w:rPr>
        <w:t>服务</w:t>
      </w:r>
      <w:r>
        <w:rPr>
          <w:rFonts w:ascii="Times New Roman" w:hAnsi="Times New Roman" w:eastAsia="宋体" w:cs="Times New Roman"/>
          <w:kern w:val="2"/>
          <w:sz w:val="21"/>
          <w:szCs w:val="21"/>
          <w:highlight w:val="none"/>
          <w:lang w:val="en-US" w:eastAsia="zh-CN" w:bidi="ar-SA"/>
        </w:rPr>
        <w:t>期间所提供的信息，甲方应予保密，未经乙方书面同意，甲方不得擅自使用或透露给第三方。</w:t>
      </w:r>
    </w:p>
    <w:p w14:paraId="6F28E2EE">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甲方对服务人员不满意的，有权要求乙方在7日内更换相关服务人员。</w:t>
      </w:r>
    </w:p>
    <w:p w14:paraId="14A5F7EF">
      <w:pPr>
        <w:widowControl w:val="0"/>
        <w:numPr>
          <w:ilvl w:val="0"/>
          <w:numId w:val="18"/>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乙方权利与义务</w:t>
      </w:r>
    </w:p>
    <w:p w14:paraId="6FF3C27C">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按本合同约定向甲方提供服务</w:t>
      </w:r>
      <w:r>
        <w:rPr>
          <w:rFonts w:hint="eastAsia" w:ascii="Times New Roman" w:hAnsi="Times New Roman" w:eastAsia="宋体" w:cs="Times New Roman"/>
          <w:kern w:val="2"/>
          <w:sz w:val="21"/>
          <w:szCs w:val="21"/>
          <w:highlight w:val="none"/>
          <w:lang w:val="en-US" w:eastAsia="zh-CN" w:bidi="ar-SA"/>
        </w:rPr>
        <w:t>。</w:t>
      </w:r>
    </w:p>
    <w:p w14:paraId="44389AFC">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kern w:val="2"/>
          <w:sz w:val="21"/>
          <w:szCs w:val="21"/>
          <w:highlight w:val="none"/>
          <w:lang w:val="en-US" w:eastAsia="zh-CN" w:bidi="ar-SA"/>
        </w:rPr>
        <w:t>。</w:t>
      </w:r>
    </w:p>
    <w:p w14:paraId="0AF001A6">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如服务涉及更换备品备件、材料等，</w:t>
      </w:r>
      <w:r>
        <w:rPr>
          <w:rFonts w:ascii="Times New Roman" w:hAnsi="Times New Roman" w:eastAsia="宋体" w:cs="Times New Roman"/>
          <w:kern w:val="2"/>
          <w:sz w:val="21"/>
          <w:szCs w:val="21"/>
          <w:highlight w:val="none"/>
          <w:lang w:val="en-US" w:eastAsia="zh-CN" w:bidi="ar-SA"/>
        </w:rPr>
        <w:t>乙方应保证服务中更换的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备件、材料</w:t>
      </w:r>
      <w:r>
        <w:rPr>
          <w:rFonts w:hint="eastAsia" w:ascii="Times New Roman" w:hAnsi="Times New Roman" w:eastAsia="宋体" w:cs="Times New Roman"/>
          <w:kern w:val="2"/>
          <w:sz w:val="21"/>
          <w:szCs w:val="21"/>
          <w:highlight w:val="none"/>
          <w:lang w:val="en-US" w:eastAsia="zh-CN" w:bidi="ar-SA"/>
        </w:rPr>
        <w:t>达到本项目采购文件及乙方响应文件中的技术要求和质量标准，</w:t>
      </w:r>
      <w:r>
        <w:rPr>
          <w:rFonts w:ascii="Times New Roman" w:hAnsi="Times New Roman" w:eastAsia="宋体" w:cs="Times New Roman"/>
          <w:kern w:val="2"/>
          <w:sz w:val="21"/>
          <w:szCs w:val="21"/>
          <w:highlight w:val="none"/>
          <w:lang w:val="en-US" w:eastAsia="zh-CN" w:bidi="ar-SA"/>
        </w:rPr>
        <w:t>符合或优于国家（行业）标准，并保证所更换的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w:t>
      </w:r>
      <w:r>
        <w:rPr>
          <w:rFonts w:hint="eastAsia" w:ascii="Times New Roman" w:hAnsi="Times New Roman" w:eastAsia="宋体" w:cs="Times New Roman"/>
          <w:kern w:val="2"/>
          <w:sz w:val="21"/>
          <w:szCs w:val="21"/>
          <w:highlight w:val="none"/>
          <w:lang w:val="en-US" w:eastAsia="zh-CN" w:bidi="ar-SA"/>
        </w:rPr>
        <w:t>原</w:t>
      </w:r>
      <w:r>
        <w:rPr>
          <w:rFonts w:ascii="Times New Roman" w:hAnsi="Times New Roman" w:eastAsia="宋体" w:cs="Times New Roman"/>
          <w:kern w:val="2"/>
          <w:sz w:val="21"/>
          <w:szCs w:val="21"/>
          <w:highlight w:val="none"/>
          <w:lang w:val="en-US" w:eastAsia="zh-CN" w:bidi="ar-SA"/>
        </w:rPr>
        <w:t>材料在正确安装及正常使用和保养条件下，于其使用寿命期内性能</w:t>
      </w:r>
      <w:r>
        <w:rPr>
          <w:rFonts w:hint="eastAsia" w:ascii="Times New Roman" w:hAnsi="Times New Roman" w:eastAsia="宋体" w:cs="Times New Roman"/>
          <w:kern w:val="2"/>
          <w:sz w:val="21"/>
          <w:szCs w:val="21"/>
          <w:highlight w:val="none"/>
          <w:lang w:val="en-US" w:eastAsia="zh-CN" w:bidi="ar-SA"/>
        </w:rPr>
        <w:t>满足甲方需求</w:t>
      </w:r>
      <w:r>
        <w:rPr>
          <w:rFonts w:ascii="Times New Roman" w:hAnsi="Times New Roman" w:eastAsia="宋体" w:cs="Times New Roman"/>
          <w:kern w:val="2"/>
          <w:sz w:val="21"/>
          <w:szCs w:val="21"/>
          <w:highlight w:val="none"/>
          <w:lang w:val="en-US" w:eastAsia="zh-CN" w:bidi="ar-SA"/>
        </w:rPr>
        <w:t>。</w:t>
      </w:r>
    </w:p>
    <w:p w14:paraId="17B8AC93">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如服务涉及计算机软件产品的，乙方须承诺在服务中设备安装的软件已获得软件厂商的正规授权。</w:t>
      </w:r>
    </w:p>
    <w:p w14:paraId="4A7BF5F8">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6B635009">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违约责任</w:t>
      </w:r>
      <w:r>
        <w:rPr>
          <w:rFonts w:ascii="Times New Roman" w:hAnsi="Times New Roman" w:eastAsia="宋体" w:cs="Times New Roman"/>
          <w:bCs/>
          <w:i/>
          <w:iCs/>
          <w:kern w:val="2"/>
          <w:sz w:val="21"/>
          <w:szCs w:val="21"/>
          <w:highlight w:val="none"/>
          <w:lang w:val="en-US" w:eastAsia="zh-CN" w:bidi="ar-SA"/>
        </w:rPr>
        <w:t>&lt;本条款中违约金比例可根据项目实际情况确定</w:t>
      </w:r>
      <w:r>
        <w:rPr>
          <w:rFonts w:hint="eastAsia" w:ascii="Times New Roman" w:hAnsi="Times New Roman" w:eastAsia="宋体" w:cs="Times New Roman"/>
          <w:bCs/>
          <w:i/>
          <w:iCs/>
          <w:kern w:val="2"/>
          <w:sz w:val="21"/>
          <w:szCs w:val="21"/>
          <w:highlight w:val="none"/>
          <w:lang w:val="en-US" w:eastAsia="zh-CN" w:bidi="ar-SA"/>
        </w:rPr>
        <w:t>，如合同无固定总金额的，请按实际需求调整表述</w:t>
      </w:r>
      <w:r>
        <w:rPr>
          <w:rFonts w:ascii="Times New Roman" w:hAnsi="Times New Roman" w:eastAsia="宋体" w:cs="Times New Roman"/>
          <w:bCs/>
          <w:i/>
          <w:iCs/>
          <w:kern w:val="2"/>
          <w:sz w:val="21"/>
          <w:szCs w:val="21"/>
          <w:highlight w:val="none"/>
          <w:lang w:val="en-US" w:eastAsia="zh-CN" w:bidi="ar-SA"/>
        </w:rPr>
        <w:t>&gt;</w:t>
      </w:r>
    </w:p>
    <w:p w14:paraId="672D7A80">
      <w:pPr>
        <w:widowControl w:val="0"/>
        <w:numPr>
          <w:ilvl w:val="0"/>
          <w:numId w:val="21"/>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kern w:val="2"/>
          <w:sz w:val="21"/>
          <w:szCs w:val="21"/>
          <w:highlight w:val="none"/>
          <w:lang w:val="en-US" w:eastAsia="zh-CN" w:bidi="ar-SA"/>
        </w:rPr>
        <w:t>金额的</w:t>
      </w:r>
      <w:r>
        <w:rPr>
          <w:rFonts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6F0270D5">
      <w:pPr>
        <w:widowControl w:val="0"/>
        <w:numPr>
          <w:ilvl w:val="0"/>
          <w:numId w:val="21"/>
        </w:numPr>
        <w:ind w:left="480" w:hanging="48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乙方违约责任：</w:t>
      </w:r>
    </w:p>
    <w:p w14:paraId="33BD2D44">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bookmarkStart w:id="100" w:name="OLE_LINK17"/>
      <w:bookmarkStart w:id="101" w:name="OLE_LINK18"/>
      <w:r>
        <w:rPr>
          <w:rFonts w:ascii="Times New Roman" w:hAnsi="Times New Roman" w:eastAsia="宋体" w:cs="Times New Roman"/>
          <w:kern w:val="2"/>
          <w:sz w:val="21"/>
          <w:szCs w:val="21"/>
          <w:highlight w:val="none"/>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5DDE3D4F">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因乙方在服务中更换的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w:t>
      </w:r>
      <w:r>
        <w:rPr>
          <w:rFonts w:hint="eastAsia" w:ascii="Times New Roman" w:hAnsi="Times New Roman" w:eastAsia="宋体" w:cs="Times New Roman"/>
          <w:kern w:val="2"/>
          <w:sz w:val="21"/>
          <w:szCs w:val="21"/>
          <w:highlight w:val="none"/>
          <w:lang w:val="en-US" w:eastAsia="zh-CN" w:bidi="ar-SA"/>
        </w:rPr>
        <w:t>或原</w:t>
      </w:r>
      <w:r>
        <w:rPr>
          <w:rFonts w:ascii="Times New Roman" w:hAnsi="Times New Roman" w:eastAsia="宋体" w:cs="Times New Roman"/>
          <w:kern w:val="2"/>
          <w:sz w:val="21"/>
          <w:szCs w:val="21"/>
          <w:highlight w:val="none"/>
          <w:lang w:val="en-US" w:eastAsia="zh-CN" w:bidi="ar-SA"/>
        </w:rPr>
        <w:t>材料在质保期内并在正常使用情况下出现质量原因导致甲方或第三方财产或人身损害的，由乙方承担赔偿责任。</w:t>
      </w:r>
    </w:p>
    <w:p w14:paraId="14746CE4">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在本合同的履行中，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乙方提供的服务存在设计、工艺或材料缺陷（包括潜在缺陷），乙方应当对由于上述缺陷造成的损失负责。</w:t>
      </w:r>
    </w:p>
    <w:p w14:paraId="56F20A68">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w:t>
      </w:r>
      <w:r>
        <w:rPr>
          <w:rFonts w:hint="eastAsia" w:ascii="Times New Roman" w:hAnsi="Times New Roman" w:eastAsia="宋体" w:cs="Times New Roman"/>
          <w:kern w:val="2"/>
          <w:sz w:val="21"/>
          <w:szCs w:val="21"/>
          <w:highlight w:val="none"/>
          <w:lang w:val="en-US" w:eastAsia="zh-CN" w:bidi="ar-SA"/>
        </w:rPr>
        <w:t>未按本合同约定及时向甲方提供服务</w:t>
      </w:r>
      <w:r>
        <w:rPr>
          <w:rFonts w:ascii="Times New Roman" w:hAnsi="Times New Roman" w:eastAsia="宋体" w:cs="Times New Roman"/>
          <w:kern w:val="2"/>
          <w:sz w:val="21"/>
          <w:szCs w:val="21"/>
          <w:highlight w:val="none"/>
          <w:lang w:val="en-US" w:eastAsia="zh-CN" w:bidi="ar-SA"/>
        </w:rPr>
        <w:t>，每发生一次，乙方应按</w:t>
      </w:r>
      <w:r>
        <w:rPr>
          <w:rFonts w:hint="eastAsia" w:ascii="Times New Roman" w:hAnsi="Times New Roman" w:eastAsia="宋体" w:cs="Times New Roman"/>
          <w:kern w:val="2"/>
          <w:sz w:val="21"/>
          <w:szCs w:val="21"/>
          <w:highlight w:val="none"/>
          <w:u w:val="singl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48F10906">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r>
        <w:rPr>
          <w:rFonts w:hint="eastAsia" w:ascii="Times New Roman" w:hAnsi="Times New Roman" w:eastAsia="宋体" w:cs="Times New Roman"/>
          <w:kern w:val="2"/>
          <w:sz w:val="21"/>
          <w:szCs w:val="21"/>
          <w:highlight w:val="none"/>
          <w:lang w:val="en-US" w:eastAsia="zh-CN" w:bidi="ar-SA"/>
        </w:rPr>
        <w:t>提供服务</w:t>
      </w:r>
      <w:r>
        <w:rPr>
          <w:rFonts w:ascii="Times New Roman" w:hAnsi="Times New Roman" w:eastAsia="宋体" w:cs="Times New Roman"/>
          <w:kern w:val="2"/>
          <w:sz w:val="21"/>
          <w:szCs w:val="21"/>
          <w:highlight w:val="none"/>
          <w:lang w:val="en-US" w:eastAsia="zh-CN" w:bidi="ar-SA"/>
        </w:rPr>
        <w:t>过程</w:t>
      </w:r>
      <w:r>
        <w:rPr>
          <w:rFonts w:hint="eastAsia" w:ascii="Times New Roman" w:hAnsi="Times New Roman" w:eastAsia="宋体" w:cs="Times New Roman"/>
          <w:kern w:val="2"/>
          <w:sz w:val="21"/>
          <w:szCs w:val="21"/>
          <w:highlight w:val="none"/>
          <w:lang w:val="en-US" w:eastAsia="zh-CN" w:bidi="ar-SA"/>
        </w:rPr>
        <w:t>中</w:t>
      </w:r>
      <w:r>
        <w:rPr>
          <w:rFonts w:ascii="Times New Roman" w:hAnsi="Times New Roman" w:eastAsia="宋体" w:cs="Times New Roman"/>
          <w:kern w:val="2"/>
          <w:sz w:val="21"/>
          <w:szCs w:val="21"/>
          <w:highlight w:val="none"/>
          <w:lang w:val="en-US" w:eastAsia="zh-CN" w:bidi="ar-SA"/>
        </w:rPr>
        <w:t>侵犯他人知识产权，甲方有权单方解除合同，并要求乙方赔偿所造成的损失，同时甲方有权要求对方按照</w:t>
      </w:r>
      <w:r>
        <w:rPr>
          <w:rFonts w:ascii="Times New Roman" w:hAnsi="Times New Roman" w:eastAsia="宋体" w:cs="Times New Roman"/>
          <w:kern w:val="2"/>
          <w:sz w:val="21"/>
          <w:szCs w:val="21"/>
          <w:highlight w:val="none"/>
          <w:u w:val="singl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支付</w:t>
      </w:r>
      <w:r>
        <w:rPr>
          <w:rFonts w:ascii="Times New Roman" w:hAnsi="Times New Roman" w:eastAsia="宋体" w:cs="Times New Roman"/>
          <w:kern w:val="2"/>
          <w:sz w:val="21"/>
          <w:szCs w:val="21"/>
          <w:highlight w:val="none"/>
          <w:lang w:val="en-US" w:eastAsia="zh-CN" w:bidi="ar-SA"/>
        </w:rPr>
        <w:t>违约金。</w:t>
      </w:r>
    </w:p>
    <w:p w14:paraId="431DF6B4">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u w:val="single"/>
          <w:lang w:val="en-US" w:eastAsia="zh-CN" w:bidi="ar-SA"/>
        </w:rPr>
        <w:t>合同总金额</w:t>
      </w:r>
      <w:r>
        <w:rPr>
          <w:rFonts w:hint="eastAsia"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bookmarkEnd w:id="100"/>
    <w:bookmarkEnd w:id="101"/>
    <w:p w14:paraId="55651D38">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7C66635C">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25923750">
      <w:pPr>
        <w:widowControl w:val="0"/>
        <w:numPr>
          <w:ilvl w:val="0"/>
          <w:numId w:val="22"/>
        </w:numPr>
        <w:snapToGrid w:val="0"/>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w:t>
      </w:r>
      <w:r>
        <w:rPr>
          <w:rFonts w:ascii="宋体" w:hAnsi="宋体" w:eastAsia="宋体" w:cs="微软雅黑"/>
          <w:kern w:val="2"/>
          <w:sz w:val="21"/>
          <w:szCs w:val="21"/>
          <w:highlight w:val="none"/>
          <w:lang w:val="en-US" w:eastAsia="zh-CN" w:bidi="ar-SA"/>
        </w:rPr>
        <w:t>合同</w:t>
      </w:r>
      <w:r>
        <w:rPr>
          <w:rFonts w:hint="cs" w:ascii="宋体" w:hAnsi="宋体" w:eastAsia="宋体" w:cs="Times New Roman"/>
          <w:kern w:val="2"/>
          <w:sz w:val="21"/>
          <w:szCs w:val="21"/>
          <w:highlight w:val="none"/>
          <w:lang w:val="en-US" w:eastAsia="zh-CN" w:bidi="ar-SA"/>
        </w:rPr>
        <w:t>要</w:t>
      </w:r>
      <w:r>
        <w:rPr>
          <w:rFonts w:ascii="Times New Roman" w:hAnsi="Times New Roman" w:eastAsia="宋体" w:cs="Times New Roman"/>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51ECC664">
      <w:pPr>
        <w:widowControl w:val="0"/>
        <w:spacing w:after="0" w:line="240" w:lineRule="auto"/>
        <w:ind w:left="0" w:leftChars="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67223D62">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不可抗力</w:t>
      </w:r>
    </w:p>
    <w:p w14:paraId="273DEF9C">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4ACC0749">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合同终止及解除</w:t>
      </w:r>
    </w:p>
    <w:p w14:paraId="2E85EE25">
      <w:pPr>
        <w:widowControl w:val="0"/>
        <w:numPr>
          <w:ilvl w:val="0"/>
          <w:numId w:val="23"/>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392BBB6A">
      <w:pPr>
        <w:widowControl w:val="0"/>
        <w:numPr>
          <w:ilvl w:val="0"/>
          <w:numId w:val="23"/>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在甲、乙任何一方有严重违约行为时，另一方有权单方解除合同。</w:t>
      </w:r>
    </w:p>
    <w:p w14:paraId="263C0805">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争议解决办法</w:t>
      </w:r>
    </w:p>
    <w:p w14:paraId="69E2CB9F">
      <w:pPr>
        <w:widowControl w:val="0"/>
        <w:numPr>
          <w:ilvl w:val="0"/>
          <w:numId w:val="2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19D4906C">
      <w:pPr>
        <w:widowControl w:val="0"/>
        <w:numPr>
          <w:ilvl w:val="0"/>
          <w:numId w:val="2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68E43574">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送达（送达地址是司法机关、执法机关和仲裁机关将法律文书送达给当事人的收件地址）</w:t>
      </w:r>
    </w:p>
    <w:p w14:paraId="5E3DFF75">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4639E0FB">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3FD5FBC3">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7C72B117">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其他</w:t>
      </w:r>
    </w:p>
    <w:p w14:paraId="4C08F12E">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如有未尽事宜，由双方依法订立补充合同。补充合同及本合同附件均为本合同的组成部分，与本合同具有同等法律效力。</w:t>
      </w:r>
    </w:p>
    <w:p w14:paraId="7C988796">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本合同一式四份，自双方</w:t>
      </w:r>
      <w:r>
        <w:rPr>
          <w:rFonts w:hint="eastAsia" w:ascii="Times New Roman" w:hAnsi="Times New Roman" w:eastAsia="宋体" w:cs="Times New Roman"/>
          <w:kern w:val="2"/>
          <w:sz w:val="21"/>
          <w:szCs w:val="21"/>
          <w:highlight w:val="none"/>
          <w:lang w:val="en-US" w:eastAsia="zh-CN" w:bidi="ar-SA"/>
        </w:rPr>
        <w:t>签字且盖章之</w:t>
      </w:r>
      <w:r>
        <w:rPr>
          <w:rFonts w:ascii="Times New Roman" w:hAnsi="Times New Roman" w:eastAsia="宋体" w:cs="Times New Roman"/>
          <w:kern w:val="2"/>
          <w:sz w:val="21"/>
          <w:szCs w:val="21"/>
          <w:highlight w:val="none"/>
          <w:lang w:val="en-US" w:eastAsia="zh-CN" w:bidi="ar-SA"/>
        </w:rPr>
        <w:t>日起生效。甲方三份，乙方一份。</w:t>
      </w:r>
    </w:p>
    <w:p w14:paraId="74418E38">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合同附件</w:t>
      </w:r>
    </w:p>
    <w:p w14:paraId="4A440B5B">
      <w:pPr>
        <w:rPr>
          <w:rFonts w:ascii="Times New Roman" w:hAnsi="Times New Roman" w:eastAsia="宋体" w:cs="Times New Roman"/>
          <w:szCs w:val="21"/>
          <w:highlight w:val="none"/>
        </w:rPr>
      </w:pPr>
      <w:r>
        <w:rPr>
          <w:rFonts w:ascii="Times New Roman" w:hAnsi="Times New Roman" w:eastAsia="宋体" w:cs="Times New Roman"/>
          <w:szCs w:val="21"/>
          <w:highlight w:val="none"/>
        </w:rPr>
        <w:t>本合同为</w:t>
      </w:r>
      <w:r>
        <w:rPr>
          <w:rFonts w:hint="eastAsia" w:ascii="Times New Roman" w:hAnsi="Times New Roman" w:eastAsia="宋体" w:cs="Times New Roman"/>
          <w:szCs w:val="21"/>
          <w:highlight w:val="none"/>
          <w:u w:val="single"/>
        </w:rPr>
        <w:t>有</w:t>
      </w:r>
      <w:r>
        <w:rPr>
          <w:rFonts w:ascii="Times New Roman" w:hAnsi="Times New Roman" w:eastAsia="宋体" w:cs="Times New Roman"/>
          <w:szCs w:val="21"/>
          <w:highlight w:val="none"/>
        </w:rPr>
        <w:t>附件合同</w:t>
      </w:r>
      <w:r>
        <w:rPr>
          <w:rFonts w:hint="eastAsia" w:ascii="Times New Roman" w:hAnsi="Times New Roman" w:eastAsia="宋体" w:cs="Times New Roman"/>
          <w:szCs w:val="21"/>
          <w:highlight w:val="none"/>
        </w:rPr>
        <w:t>，附件如下：</w:t>
      </w:r>
      <w:r>
        <w:rPr>
          <w:rFonts w:ascii="Times New Roman" w:hAnsi="Times New Roman" w:eastAsia="宋体" w:cs="Times New Roman"/>
          <w:i/>
          <w:iCs/>
          <w:szCs w:val="21"/>
          <w:highlight w:val="none"/>
        </w:rPr>
        <w:t>&lt;根据项目实际情况编制&gt;</w:t>
      </w:r>
    </w:p>
    <w:p w14:paraId="447FB456">
      <w:pPr>
        <w:jc w:val="left"/>
        <w:outlineLvl w:val="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附件1《</w:t>
      </w:r>
      <w:bookmarkStart w:id="102" w:name="OLE_LINK32"/>
      <w:r>
        <w:rPr>
          <w:rFonts w:hint="eastAsia" w:ascii="Times New Roman" w:hAnsi="Times New Roman" w:eastAsia="宋体" w:cs="Times New Roman"/>
          <w:szCs w:val="21"/>
          <w:highlight w:val="none"/>
        </w:rPr>
        <w:t>结算单价清单</w:t>
      </w:r>
      <w:bookmarkEnd w:id="102"/>
      <w:r>
        <w:rPr>
          <w:rFonts w:hint="eastAsia" w:ascii="Times New Roman" w:hAnsi="Times New Roman" w:eastAsia="宋体" w:cs="Times New Roman"/>
          <w:szCs w:val="21"/>
          <w:highlight w:val="none"/>
        </w:rPr>
        <w:t>》</w:t>
      </w:r>
    </w:p>
    <w:p w14:paraId="55A62A9B">
      <w:pPr>
        <w:jc w:val="left"/>
        <w:outlineLvl w:val="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附件2《考核标准》</w:t>
      </w:r>
    </w:p>
    <w:p w14:paraId="602AFC77">
      <w:pPr>
        <w:jc w:val="left"/>
        <w:outlineLvl w:val="0"/>
        <w:rPr>
          <w:rFonts w:ascii="Times New Roman" w:hAnsi="Times New Roman" w:eastAsia="宋体" w:cs="Times New Roman"/>
          <w:szCs w:val="21"/>
          <w:highlight w:val="none"/>
        </w:rPr>
      </w:pPr>
      <w:r>
        <w:rPr>
          <w:rFonts w:ascii="Times New Roman" w:hAnsi="Times New Roman" w:eastAsia="宋体" w:cs="Times New Roman"/>
          <w:szCs w:val="21"/>
          <w:highlight w:val="none"/>
        </w:rPr>
        <w:t>附件3《服务</w:t>
      </w:r>
      <w:r>
        <w:rPr>
          <w:rFonts w:hint="eastAsia" w:ascii="Times New Roman" w:hAnsi="Times New Roman" w:eastAsia="宋体" w:cs="Times New Roman"/>
          <w:szCs w:val="21"/>
          <w:highlight w:val="none"/>
        </w:rPr>
        <w:t>方案</w:t>
      </w:r>
      <w:r>
        <w:rPr>
          <w:rFonts w:ascii="Times New Roman" w:hAnsi="Times New Roman" w:eastAsia="宋体" w:cs="Times New Roman"/>
          <w:szCs w:val="21"/>
          <w:highlight w:val="none"/>
        </w:rPr>
        <w:t>》</w:t>
      </w:r>
    </w:p>
    <w:p w14:paraId="064D03B1">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ascii="Times New Roman" w:hAnsi="Times New Roman" w:eastAsia="宋体" w:cs="Times New Roman"/>
          <w:sz w:val="18"/>
          <w:szCs w:val="18"/>
          <w:highlight w:val="none"/>
        </w:rPr>
        <w:t>以下无正文</w:t>
      </w:r>
      <w:r>
        <w:rPr>
          <w:rFonts w:ascii="Times New Roman" w:hAnsi="Times New Roman" w:eastAsia="宋体" w:cs="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44BC5C85">
        <w:tblPrEx>
          <w:tblCellMar>
            <w:top w:w="0" w:type="dxa"/>
            <w:left w:w="0" w:type="dxa"/>
            <w:bottom w:w="0" w:type="dxa"/>
            <w:right w:w="0" w:type="dxa"/>
          </w:tblCellMar>
        </w:tblPrEx>
        <w:trPr>
          <w:trHeight w:val="519" w:hRule="atLeast"/>
          <w:jc w:val="center"/>
        </w:trPr>
        <w:tc>
          <w:tcPr>
            <w:tcW w:w="10214" w:type="dxa"/>
            <w:gridSpan w:val="2"/>
          </w:tcPr>
          <w:p w14:paraId="4B98EB1E">
            <w:pPr>
              <w:rPr>
                <w:rFonts w:ascii="Times New Roman" w:hAnsi="Times New Roman" w:eastAsia="宋体" w:cs="Times New Roman"/>
                <w:szCs w:val="21"/>
                <w:highlight w:val="none"/>
              </w:rPr>
            </w:pPr>
            <w:r>
              <w:rPr>
                <w:rFonts w:ascii="Times New Roman" w:hAnsi="Times New Roman" w:eastAsia="宋体" w:cs="Times New Roman"/>
                <w:szCs w:val="21"/>
                <w:highlight w:val="none"/>
              </w:rPr>
              <w:t>签订时间：</w:t>
            </w:r>
            <w:r>
              <w:rPr>
                <w:rFonts w:ascii="Times New Roman" w:hAnsi="Times New Roman" w:eastAsia="宋体" w:cs="Times New Roman"/>
                <w:szCs w:val="20"/>
                <w:highlight w:val="none"/>
              </w:rPr>
              <w:t>202*</w:t>
            </w:r>
            <w:r>
              <w:rPr>
                <w:rFonts w:ascii="Times New Roman" w:hAnsi="Times New Roman" w:eastAsia="宋体" w:cs="Times New Roman"/>
                <w:szCs w:val="21"/>
                <w:highlight w:val="none"/>
              </w:rPr>
              <w:t>年***月***日</w:t>
            </w:r>
          </w:p>
        </w:tc>
      </w:tr>
      <w:tr w14:paraId="4D613C4C">
        <w:tblPrEx>
          <w:tblCellMar>
            <w:top w:w="0" w:type="dxa"/>
            <w:left w:w="0" w:type="dxa"/>
            <w:bottom w:w="0" w:type="dxa"/>
            <w:right w:w="0" w:type="dxa"/>
          </w:tblCellMar>
        </w:tblPrEx>
        <w:trPr>
          <w:jc w:val="center"/>
        </w:trPr>
        <w:tc>
          <w:tcPr>
            <w:tcW w:w="4967" w:type="dxa"/>
          </w:tcPr>
          <w:p w14:paraId="1E5E7192">
            <w:pPr>
              <w:rPr>
                <w:rFonts w:ascii="Times New Roman" w:hAnsi="Times New Roman" w:eastAsia="宋体" w:cs="Times New Roman"/>
                <w:szCs w:val="21"/>
                <w:highlight w:val="none"/>
              </w:rPr>
            </w:pPr>
            <w:r>
              <w:rPr>
                <w:rFonts w:ascii="Times New Roman" w:hAnsi="Times New Roman" w:eastAsia="宋体" w:cs="Times New Roman"/>
                <w:szCs w:val="21"/>
                <w:highlight w:val="none"/>
              </w:rPr>
              <w:t>甲方：四川省人民医院（盖章）</w:t>
            </w:r>
          </w:p>
          <w:p w14:paraId="2B7DA9BB">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3116A017">
            <w:pPr>
              <w:rPr>
                <w:rFonts w:ascii="Times New Roman" w:hAnsi="Times New Roman" w:eastAsia="宋体" w:cs="Times New Roman"/>
                <w:szCs w:val="21"/>
                <w:highlight w:val="none"/>
              </w:rPr>
            </w:pPr>
            <w:r>
              <w:rPr>
                <w:rFonts w:ascii="Times New Roman" w:hAnsi="Times New Roman" w:eastAsia="宋体" w:cs="Times New Roman"/>
                <w:szCs w:val="21"/>
                <w:highlight w:val="none"/>
              </w:rPr>
              <w:t>地    址：四川省成都市一环路西二段32号</w:t>
            </w:r>
          </w:p>
          <w:p w14:paraId="1B37AC3B">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开户银行：建设银行成都青羊支行</w:t>
            </w:r>
          </w:p>
          <w:p w14:paraId="55E901F2">
            <w:pPr>
              <w:rPr>
                <w:rFonts w:ascii="Times New Roman" w:hAnsi="Times New Roman" w:eastAsia="宋体" w:cs="Times New Roman"/>
                <w:szCs w:val="21"/>
                <w:highlight w:val="none"/>
              </w:rPr>
            </w:pPr>
            <w:r>
              <w:rPr>
                <w:rFonts w:ascii="Times New Roman" w:hAnsi="Times New Roman" w:eastAsia="宋体" w:cs="Times New Roman"/>
                <w:szCs w:val="21"/>
                <w:highlight w:val="none"/>
              </w:rPr>
              <w:t>账号：5100 1446 4360 5037 4282</w:t>
            </w:r>
          </w:p>
        </w:tc>
        <w:tc>
          <w:tcPr>
            <w:tcW w:w="5247" w:type="dxa"/>
          </w:tcPr>
          <w:p w14:paraId="4B568901">
            <w:pPr>
              <w:rPr>
                <w:rFonts w:ascii="Times New Roman" w:hAnsi="Times New Roman" w:eastAsia="宋体" w:cs="Times New Roman"/>
                <w:szCs w:val="21"/>
                <w:highlight w:val="none"/>
              </w:rPr>
            </w:pPr>
            <w:r>
              <w:rPr>
                <w:rFonts w:ascii="Times New Roman" w:hAnsi="Times New Roman" w:eastAsia="宋体" w:cs="Times New Roman"/>
                <w:szCs w:val="21"/>
                <w:highlight w:val="none"/>
              </w:rPr>
              <w:t>乙方：</w:t>
            </w:r>
            <w:permStart w:id="2" w:edGrp="everyone"/>
            <w:r>
              <w:rPr>
                <w:rFonts w:ascii="Times New Roman" w:hAnsi="Times New Roman" w:eastAsia="宋体" w:cs="Times New Roman"/>
                <w:szCs w:val="21"/>
                <w:highlight w:val="none"/>
              </w:rPr>
              <w:t>***</w:t>
            </w:r>
            <w:permEnd w:id="2"/>
            <w:r>
              <w:rPr>
                <w:rFonts w:ascii="Times New Roman" w:hAnsi="Times New Roman" w:eastAsia="宋体" w:cs="Times New Roman"/>
                <w:szCs w:val="21"/>
                <w:highlight w:val="none"/>
              </w:rPr>
              <w:t>（盖章）</w:t>
            </w:r>
          </w:p>
          <w:p w14:paraId="49B45BED">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0A79D07A">
            <w:pPr>
              <w:rPr>
                <w:rFonts w:ascii="Times New Roman" w:hAnsi="Times New Roman" w:eastAsia="宋体" w:cs="Times New Roman"/>
                <w:szCs w:val="21"/>
                <w:highlight w:val="none"/>
              </w:rPr>
            </w:pPr>
            <w:r>
              <w:rPr>
                <w:rFonts w:ascii="Times New Roman" w:hAnsi="Times New Roman" w:eastAsia="宋体" w:cs="Times New Roman"/>
                <w:szCs w:val="21"/>
                <w:highlight w:val="none"/>
              </w:rPr>
              <w:t>地址：</w:t>
            </w:r>
            <w:permStart w:id="3" w:edGrp="everyone"/>
            <w:r>
              <w:rPr>
                <w:rFonts w:ascii="Times New Roman" w:hAnsi="Times New Roman" w:eastAsia="宋体" w:cs="Times New Roman"/>
                <w:szCs w:val="21"/>
                <w:highlight w:val="none"/>
              </w:rPr>
              <w:t>***</w:t>
            </w:r>
            <w:permEnd w:id="3"/>
          </w:p>
          <w:p w14:paraId="3FDF4C87">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w:t>
            </w:r>
            <w:permStart w:id="4" w:edGrp="everyone"/>
            <w:r>
              <w:rPr>
                <w:rFonts w:ascii="Times New Roman" w:hAnsi="Times New Roman" w:eastAsia="宋体" w:cs="Times New Roman"/>
                <w:szCs w:val="21"/>
                <w:highlight w:val="none"/>
              </w:rPr>
              <w:t>***</w:t>
            </w:r>
          </w:p>
          <w:permEnd w:id="4"/>
          <w:p w14:paraId="0CA11874">
            <w:pPr>
              <w:widowControl/>
              <w:jc w:val="left"/>
              <w:rPr>
                <w:rFonts w:ascii="Times New Roman" w:hAnsi="Times New Roman" w:eastAsia="宋体" w:cs="Times New Roman"/>
                <w:szCs w:val="20"/>
                <w:highlight w:val="none"/>
              </w:rPr>
            </w:pPr>
            <w:r>
              <w:rPr>
                <w:rFonts w:ascii="Times New Roman" w:hAnsi="Times New Roman" w:eastAsia="宋体" w:cs="Times New Roman"/>
                <w:szCs w:val="21"/>
                <w:highlight w:val="none"/>
              </w:rPr>
              <w:t>账号：</w:t>
            </w:r>
            <w:permStart w:id="5" w:edGrp="everyone"/>
            <w:r>
              <w:rPr>
                <w:rFonts w:ascii="Times New Roman" w:hAnsi="Times New Roman" w:eastAsia="宋体" w:cs="Times New Roman"/>
                <w:szCs w:val="21"/>
                <w:highlight w:val="none"/>
              </w:rPr>
              <w:t>***</w:t>
            </w:r>
            <w:permEnd w:id="5"/>
          </w:p>
        </w:tc>
      </w:tr>
    </w:tbl>
    <w:p w14:paraId="16DB691C">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br w:type="page"/>
      </w:r>
    </w:p>
    <w:p w14:paraId="3D0FAD97">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附件</w:t>
      </w:r>
      <w:r>
        <w:rPr>
          <w:rFonts w:hint="eastAsia" w:ascii="Times New Roman" w:hAnsi="Times New Roman" w:eastAsia="宋体" w:cs="Times New Roman"/>
          <w:b/>
          <w:bCs/>
          <w:szCs w:val="21"/>
          <w:highlight w:val="none"/>
        </w:rPr>
        <w:t>1</w:t>
      </w:r>
      <w:r>
        <w:rPr>
          <w:rFonts w:ascii="Times New Roman" w:hAnsi="Times New Roman" w:eastAsia="宋体" w:cs="Times New Roman"/>
          <w:b/>
          <w:bCs/>
          <w:szCs w:val="21"/>
          <w:highlight w:val="none"/>
        </w:rPr>
        <w:t>：</w:t>
      </w:r>
      <w:r>
        <w:rPr>
          <w:rFonts w:hint="eastAsia" w:ascii="Times New Roman" w:hAnsi="Times New Roman" w:eastAsia="宋体" w:cs="Times New Roman"/>
          <w:b/>
          <w:bCs/>
          <w:szCs w:val="21"/>
          <w:highlight w:val="none"/>
        </w:rPr>
        <w:t>结算单价清单（人民币：元）</w:t>
      </w:r>
      <w:r>
        <w:rPr>
          <w:rFonts w:hint="eastAsia" w:ascii="Times New Roman" w:hAnsi="Times New Roman" w:eastAsia="宋体" w:cs="Times New Roman"/>
          <w:b/>
          <w:bCs/>
          <w:i/>
          <w:iCs/>
          <w:szCs w:val="21"/>
          <w:highlight w:val="none"/>
        </w:rPr>
        <w:t>&lt;根据项目实际情况编制</w:t>
      </w:r>
      <w:r>
        <w:rPr>
          <w:rFonts w:ascii="Times New Roman" w:hAnsi="Times New Roman" w:eastAsia="宋体" w:cs="Times New Roman"/>
          <w:b/>
          <w:bCs/>
          <w:i/>
          <w:iCs/>
          <w:szCs w:val="21"/>
          <w:highlight w:val="none"/>
        </w:rPr>
        <w:t>&gt;</w:t>
      </w:r>
    </w:p>
    <w:p w14:paraId="676AFCD1">
      <w:pPr>
        <w:widowControl/>
        <w:jc w:val="left"/>
        <w:rPr>
          <w:rFonts w:ascii="Times New Roman" w:hAnsi="Times New Roman" w:eastAsia="宋体" w:cs="Times New Roman"/>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54B2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938A565">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3B4B4A6D">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4DBCD69B">
            <w:pPr>
              <w:widowControl/>
              <w:jc w:val="center"/>
              <w:rPr>
                <w:rFonts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ascii="Times New Roman" w:hAnsi="Times New Roman" w:eastAsia="宋体" w:cs="Times New Roman"/>
                <w:b/>
                <w:bCs/>
                <w:i/>
                <w:iCs/>
                <w:szCs w:val="21"/>
                <w:highlight w:val="none"/>
              </w:rPr>
              <w:t>&gt;</w:t>
            </w:r>
          </w:p>
        </w:tc>
        <w:tc>
          <w:tcPr>
            <w:tcW w:w="992" w:type="dxa"/>
            <w:vAlign w:val="center"/>
          </w:tcPr>
          <w:p w14:paraId="3D9F0A8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ascii="Times New Roman" w:hAnsi="Times New Roman" w:eastAsia="宋体" w:cs="Times New Roman"/>
                <w:b/>
                <w:bCs/>
                <w:i/>
                <w:iCs/>
                <w:szCs w:val="21"/>
                <w:highlight w:val="none"/>
              </w:rPr>
              <w:t>&gt;</w:t>
            </w:r>
          </w:p>
        </w:tc>
        <w:tc>
          <w:tcPr>
            <w:tcW w:w="986" w:type="dxa"/>
            <w:vAlign w:val="center"/>
          </w:tcPr>
          <w:p w14:paraId="7BA6D80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6FDA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B1CD6B9">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317123E3">
            <w:pPr>
              <w:widowControl/>
              <w:jc w:val="left"/>
              <w:rPr>
                <w:rFonts w:ascii="Times New Roman" w:hAnsi="Times New Roman" w:eastAsia="宋体" w:cs="Times New Roman"/>
                <w:szCs w:val="21"/>
                <w:highlight w:val="none"/>
              </w:rPr>
            </w:pPr>
          </w:p>
        </w:tc>
        <w:tc>
          <w:tcPr>
            <w:tcW w:w="3402" w:type="dxa"/>
            <w:vAlign w:val="center"/>
          </w:tcPr>
          <w:p w14:paraId="454B44D0">
            <w:pPr>
              <w:widowControl/>
              <w:jc w:val="left"/>
              <w:rPr>
                <w:rFonts w:ascii="Times New Roman" w:hAnsi="Times New Roman" w:eastAsia="宋体" w:cs="Times New Roman"/>
                <w:szCs w:val="21"/>
                <w:highlight w:val="none"/>
              </w:rPr>
            </w:pPr>
          </w:p>
        </w:tc>
        <w:tc>
          <w:tcPr>
            <w:tcW w:w="992" w:type="dxa"/>
            <w:vAlign w:val="center"/>
          </w:tcPr>
          <w:p w14:paraId="0EDC4D14">
            <w:pPr>
              <w:widowControl/>
              <w:jc w:val="center"/>
              <w:rPr>
                <w:rFonts w:ascii="Times New Roman" w:hAnsi="Times New Roman" w:eastAsia="宋体" w:cs="Times New Roman"/>
                <w:szCs w:val="21"/>
                <w:highlight w:val="none"/>
              </w:rPr>
            </w:pPr>
          </w:p>
        </w:tc>
        <w:tc>
          <w:tcPr>
            <w:tcW w:w="986" w:type="dxa"/>
            <w:vAlign w:val="center"/>
          </w:tcPr>
          <w:p w14:paraId="055654EF">
            <w:pPr>
              <w:widowControl/>
              <w:jc w:val="center"/>
              <w:rPr>
                <w:rFonts w:ascii="Times New Roman" w:hAnsi="Times New Roman" w:eastAsia="宋体" w:cs="Times New Roman"/>
                <w:szCs w:val="21"/>
                <w:highlight w:val="none"/>
              </w:rPr>
            </w:pPr>
          </w:p>
        </w:tc>
      </w:tr>
      <w:tr w14:paraId="2200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1C0DC91">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2F1654A2">
            <w:pPr>
              <w:widowControl/>
              <w:jc w:val="left"/>
              <w:rPr>
                <w:rFonts w:ascii="Times New Roman" w:hAnsi="Times New Roman" w:eastAsia="宋体" w:cs="Times New Roman"/>
                <w:szCs w:val="21"/>
                <w:highlight w:val="none"/>
              </w:rPr>
            </w:pPr>
          </w:p>
        </w:tc>
        <w:tc>
          <w:tcPr>
            <w:tcW w:w="3402" w:type="dxa"/>
            <w:vAlign w:val="center"/>
          </w:tcPr>
          <w:p w14:paraId="6E80AB5D">
            <w:pPr>
              <w:widowControl/>
              <w:jc w:val="left"/>
              <w:rPr>
                <w:rFonts w:ascii="Times New Roman" w:hAnsi="Times New Roman" w:eastAsia="宋体" w:cs="Times New Roman"/>
                <w:szCs w:val="21"/>
                <w:highlight w:val="none"/>
              </w:rPr>
            </w:pPr>
          </w:p>
        </w:tc>
        <w:tc>
          <w:tcPr>
            <w:tcW w:w="992" w:type="dxa"/>
            <w:vAlign w:val="center"/>
          </w:tcPr>
          <w:p w14:paraId="6465BC63">
            <w:pPr>
              <w:widowControl/>
              <w:jc w:val="center"/>
              <w:rPr>
                <w:rFonts w:ascii="Times New Roman" w:hAnsi="Times New Roman" w:eastAsia="宋体" w:cs="Times New Roman"/>
                <w:szCs w:val="21"/>
                <w:highlight w:val="none"/>
              </w:rPr>
            </w:pPr>
          </w:p>
        </w:tc>
        <w:tc>
          <w:tcPr>
            <w:tcW w:w="986" w:type="dxa"/>
            <w:vAlign w:val="center"/>
          </w:tcPr>
          <w:p w14:paraId="23041E12">
            <w:pPr>
              <w:widowControl/>
              <w:jc w:val="center"/>
              <w:rPr>
                <w:rFonts w:ascii="Times New Roman" w:hAnsi="Times New Roman" w:eastAsia="宋体" w:cs="Times New Roman"/>
                <w:szCs w:val="21"/>
                <w:highlight w:val="none"/>
              </w:rPr>
            </w:pPr>
          </w:p>
        </w:tc>
      </w:tr>
      <w:tr w14:paraId="5B33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E31EA5D">
            <w:pPr>
              <w:widowControl/>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w:t>
            </w:r>
          </w:p>
        </w:tc>
        <w:tc>
          <w:tcPr>
            <w:tcW w:w="3686" w:type="dxa"/>
            <w:vAlign w:val="center"/>
          </w:tcPr>
          <w:p w14:paraId="0DF40E9D">
            <w:pPr>
              <w:widowControl/>
              <w:jc w:val="left"/>
              <w:rPr>
                <w:rFonts w:ascii="Times New Roman" w:hAnsi="Times New Roman" w:eastAsia="宋体" w:cs="Times New Roman"/>
                <w:szCs w:val="21"/>
                <w:highlight w:val="none"/>
              </w:rPr>
            </w:pPr>
          </w:p>
        </w:tc>
        <w:tc>
          <w:tcPr>
            <w:tcW w:w="3402" w:type="dxa"/>
            <w:vAlign w:val="center"/>
          </w:tcPr>
          <w:p w14:paraId="2F92F1A2">
            <w:pPr>
              <w:widowControl/>
              <w:jc w:val="left"/>
              <w:rPr>
                <w:rFonts w:ascii="Times New Roman" w:hAnsi="Times New Roman" w:eastAsia="宋体" w:cs="Times New Roman"/>
                <w:szCs w:val="21"/>
                <w:highlight w:val="none"/>
              </w:rPr>
            </w:pPr>
          </w:p>
        </w:tc>
        <w:tc>
          <w:tcPr>
            <w:tcW w:w="992" w:type="dxa"/>
            <w:vAlign w:val="center"/>
          </w:tcPr>
          <w:p w14:paraId="463663C0">
            <w:pPr>
              <w:widowControl/>
              <w:jc w:val="center"/>
              <w:rPr>
                <w:rFonts w:ascii="Times New Roman" w:hAnsi="Times New Roman" w:eastAsia="宋体" w:cs="Times New Roman"/>
                <w:szCs w:val="21"/>
                <w:highlight w:val="none"/>
              </w:rPr>
            </w:pPr>
          </w:p>
        </w:tc>
        <w:tc>
          <w:tcPr>
            <w:tcW w:w="986" w:type="dxa"/>
            <w:vAlign w:val="center"/>
          </w:tcPr>
          <w:p w14:paraId="2E2AE1D5">
            <w:pPr>
              <w:widowControl/>
              <w:jc w:val="center"/>
              <w:rPr>
                <w:rFonts w:ascii="Times New Roman" w:hAnsi="Times New Roman" w:eastAsia="宋体" w:cs="Times New Roman"/>
                <w:szCs w:val="21"/>
                <w:highlight w:val="none"/>
              </w:rPr>
            </w:pPr>
          </w:p>
        </w:tc>
      </w:tr>
    </w:tbl>
    <w:p w14:paraId="681BFCE1">
      <w:pPr>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r>
    </w:p>
    <w:p w14:paraId="74099394">
      <w:pPr>
        <w:widowControl/>
        <w:jc w:val="left"/>
        <w:rPr>
          <w:rFonts w:ascii="宋体" w:hAnsi="宋体" w:eastAsia="宋体" w:cs="Times New Roman"/>
          <w:b/>
          <w:bCs/>
          <w:szCs w:val="21"/>
          <w:highlight w:val="none"/>
        </w:rPr>
      </w:pPr>
      <w:r>
        <w:rPr>
          <w:rFonts w:hint="eastAsia" w:ascii="宋体" w:hAnsi="宋体" w:eastAsia="宋体" w:cs="Times New Roman"/>
          <w:b/>
          <w:bCs/>
          <w:szCs w:val="21"/>
          <w:highlight w:val="none"/>
        </w:rPr>
        <w:t>附件2：考核标准</w:t>
      </w:r>
    </w:p>
    <w:p w14:paraId="40558407">
      <w:pPr>
        <w:rPr>
          <w:rFonts w:ascii="Times New Roman" w:hAnsi="Times New Roman" w:eastAsia="宋体" w:cs="Times New Roman"/>
          <w:szCs w:val="20"/>
          <w:highlight w:val="none"/>
        </w:rPr>
      </w:pPr>
    </w:p>
    <w:p w14:paraId="71F3CB84">
      <w:pPr>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w:t>
      </w:r>
    </w:p>
    <w:p w14:paraId="2B5B167F">
      <w:pPr>
        <w:rPr>
          <w:rFonts w:ascii="Times New Roman" w:hAnsi="Times New Roman" w:eastAsia="宋体" w:cs="Times New Roman"/>
          <w:szCs w:val="20"/>
          <w:highlight w:val="none"/>
        </w:rPr>
      </w:pPr>
      <w:r>
        <w:rPr>
          <w:rFonts w:ascii="Times New Roman" w:hAnsi="Times New Roman" w:eastAsia="宋体" w:cs="Times New Roman"/>
          <w:szCs w:val="20"/>
          <w:highlight w:val="none"/>
        </w:rPr>
        <w:br w:type="page"/>
      </w:r>
    </w:p>
    <w:p w14:paraId="6E947363">
      <w:pPr>
        <w:rPr>
          <w:rFonts w:ascii="宋体" w:hAnsi="宋体" w:eastAsia="宋体" w:cs="Times New Roman"/>
          <w:b/>
          <w:bCs/>
          <w:szCs w:val="21"/>
          <w:highlight w:val="none"/>
        </w:rPr>
      </w:pPr>
      <w:r>
        <w:rPr>
          <w:rFonts w:hint="eastAsia" w:ascii="宋体" w:hAnsi="宋体" w:eastAsia="宋体" w:cs="Times New Roman"/>
          <w:b/>
          <w:bCs/>
          <w:szCs w:val="21"/>
          <w:highlight w:val="none"/>
        </w:rPr>
        <w:t>附件</w:t>
      </w:r>
      <w:r>
        <w:rPr>
          <w:rFonts w:ascii="宋体" w:hAnsi="宋体" w:eastAsia="宋体" w:cs="Times New Roman"/>
          <w:b/>
          <w:bCs/>
          <w:szCs w:val="21"/>
          <w:highlight w:val="none"/>
        </w:rPr>
        <w:t>3</w:t>
      </w:r>
      <w:r>
        <w:rPr>
          <w:rFonts w:hint="eastAsia" w:ascii="宋体" w:hAnsi="宋体" w:eastAsia="宋体" w:cs="Times New Roman"/>
          <w:b/>
          <w:bCs/>
          <w:szCs w:val="21"/>
          <w:highlight w:val="none"/>
        </w:rPr>
        <w:t>：</w:t>
      </w:r>
      <w:r>
        <w:rPr>
          <w:rFonts w:ascii="宋体" w:hAnsi="宋体" w:eastAsia="宋体" w:cs="Times New Roman"/>
          <w:b/>
          <w:bCs/>
          <w:szCs w:val="21"/>
          <w:highlight w:val="none"/>
        </w:rPr>
        <w:t>服务</w:t>
      </w:r>
      <w:r>
        <w:rPr>
          <w:rFonts w:hint="eastAsia" w:ascii="宋体" w:hAnsi="宋体" w:eastAsia="宋体" w:cs="Times New Roman"/>
          <w:b/>
          <w:bCs/>
          <w:szCs w:val="21"/>
          <w:highlight w:val="none"/>
        </w:rPr>
        <w:t>方案</w:t>
      </w:r>
    </w:p>
    <w:p w14:paraId="65169F63">
      <w:pPr>
        <w:rPr>
          <w:rFonts w:ascii="Times New Roman" w:hAnsi="Times New Roman" w:eastAsia="宋体" w:cs="Times New Roman"/>
          <w:szCs w:val="20"/>
          <w:highlight w:val="none"/>
        </w:rPr>
      </w:pPr>
    </w:p>
    <w:p w14:paraId="0341045F">
      <w:pPr>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w:t>
      </w:r>
    </w:p>
    <w:p w14:paraId="61435B06">
      <w:pPr>
        <w:pStyle w:val="16"/>
        <w:ind w:firstLine="0" w:firstLineChars="0"/>
        <w:contextualSpacing/>
        <w:rPr>
          <w:rFonts w:ascii="Times New Roman" w:hAnsi="Times New Roman"/>
        </w:rPr>
      </w:pPr>
    </w:p>
    <w:p w14:paraId="2C51A505">
      <w:pPr>
        <w:rPr>
          <w:rFonts w:ascii="Times New Roman" w:hAnsi="Times New Roman" w:cs="Times New Roman"/>
          <w:b/>
          <w:bCs/>
          <w:sz w:val="44"/>
          <w:szCs w:val="52"/>
        </w:rPr>
      </w:pPr>
    </w:p>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57B74785">
      <w:pPr>
        <w:pStyle w:val="27"/>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B5815F4-3689-4B6C-AFDB-A3E09D2AF7C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DD22C9F-FFFA-4E92-A752-9442650F2B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A352DC1A-E833-43CF-BDD3-94232CBB7C4A}"/>
  </w:font>
  <w:font w:name="仿宋">
    <w:panose1 w:val="02010609060101010101"/>
    <w:charset w:val="86"/>
    <w:family w:val="modern"/>
    <w:pitch w:val="default"/>
    <w:sig w:usb0="800002BF" w:usb1="38CF7CFA" w:usb2="00000016" w:usb3="00000000" w:csb0="00040001" w:csb1="00000000"/>
    <w:embedRegular r:id="rId4" w:fontKey="{FB84D458-F7EB-4929-996D-89800FE81E3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5" w:fontKey="{A607BD28-39F7-42C8-B717-2577C3A38237}"/>
  </w:font>
  <w:font w:name="微软雅黑">
    <w:panose1 w:val="020B0503020204020204"/>
    <w:charset w:val="86"/>
    <w:family w:val="auto"/>
    <w:pitch w:val="default"/>
    <w:sig w:usb0="80000287" w:usb1="2ACF3C50" w:usb2="00000016" w:usb3="00000000" w:csb0="0004001F" w:csb1="00000000"/>
    <w:embedRegular r:id="rId6" w:fontKey="{A57FBE1D-7AD9-4F7E-84BD-C93C368E316A}"/>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0E00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7B0E00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48B33EC"/>
    <w:multiLevelType w:val="singleLevel"/>
    <w:tmpl w:val="F48B33EC"/>
    <w:lvl w:ilvl="0" w:tentative="0">
      <w:start w:val="1"/>
      <w:numFmt w:val="decimal"/>
      <w:suff w:val="nothing"/>
      <w:lvlText w:val="（%1）"/>
      <w:lvlJc w:val="left"/>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2"/>
  </w:num>
  <w:num w:numId="3">
    <w:abstractNumId w:val="16"/>
  </w:num>
  <w:num w:numId="4">
    <w:abstractNumId w:val="25"/>
  </w:num>
  <w:num w:numId="5">
    <w:abstractNumId w:val="12"/>
  </w:num>
  <w:num w:numId="6">
    <w:abstractNumId w:val="20"/>
  </w:num>
  <w:num w:numId="7">
    <w:abstractNumId w:val="15"/>
  </w:num>
  <w:num w:numId="8">
    <w:abstractNumId w:val="3"/>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C4927"/>
    <w:rsid w:val="003E4BF1"/>
    <w:rsid w:val="00426031"/>
    <w:rsid w:val="00427BF2"/>
    <w:rsid w:val="00461368"/>
    <w:rsid w:val="004F4DC4"/>
    <w:rsid w:val="00500885"/>
    <w:rsid w:val="00540FCE"/>
    <w:rsid w:val="005A705A"/>
    <w:rsid w:val="005D169E"/>
    <w:rsid w:val="00607092"/>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3103BAE"/>
    <w:rsid w:val="04174CC4"/>
    <w:rsid w:val="058C78B0"/>
    <w:rsid w:val="05E13064"/>
    <w:rsid w:val="072332DA"/>
    <w:rsid w:val="078A573C"/>
    <w:rsid w:val="090879C5"/>
    <w:rsid w:val="092A0515"/>
    <w:rsid w:val="093A3733"/>
    <w:rsid w:val="09A03EDE"/>
    <w:rsid w:val="0B4508AE"/>
    <w:rsid w:val="0C0D512F"/>
    <w:rsid w:val="0C6805B7"/>
    <w:rsid w:val="0C8B7F7D"/>
    <w:rsid w:val="0C917B0E"/>
    <w:rsid w:val="0CF161C9"/>
    <w:rsid w:val="0E0B7FF0"/>
    <w:rsid w:val="0E65470A"/>
    <w:rsid w:val="0E7C112B"/>
    <w:rsid w:val="0F8B4CE8"/>
    <w:rsid w:val="0FB82141"/>
    <w:rsid w:val="117A5014"/>
    <w:rsid w:val="127F05A0"/>
    <w:rsid w:val="131F0527"/>
    <w:rsid w:val="13557B56"/>
    <w:rsid w:val="136D78F8"/>
    <w:rsid w:val="140908D1"/>
    <w:rsid w:val="14C173FE"/>
    <w:rsid w:val="14CF1B1B"/>
    <w:rsid w:val="15134E53"/>
    <w:rsid w:val="15CC4977"/>
    <w:rsid w:val="15D66ED9"/>
    <w:rsid w:val="162A4F7D"/>
    <w:rsid w:val="16A82A66"/>
    <w:rsid w:val="173B5475"/>
    <w:rsid w:val="17E72CD8"/>
    <w:rsid w:val="181426AF"/>
    <w:rsid w:val="192F5006"/>
    <w:rsid w:val="1994787E"/>
    <w:rsid w:val="19E50C18"/>
    <w:rsid w:val="1AF35E37"/>
    <w:rsid w:val="1BA94001"/>
    <w:rsid w:val="1D532BBD"/>
    <w:rsid w:val="1D82366F"/>
    <w:rsid w:val="1DD000AF"/>
    <w:rsid w:val="1DD45AAC"/>
    <w:rsid w:val="1E09745A"/>
    <w:rsid w:val="1E0B5246"/>
    <w:rsid w:val="1EA467FE"/>
    <w:rsid w:val="201B291E"/>
    <w:rsid w:val="21521B0A"/>
    <w:rsid w:val="21AC4ECC"/>
    <w:rsid w:val="22B025C2"/>
    <w:rsid w:val="238B1303"/>
    <w:rsid w:val="23D4489F"/>
    <w:rsid w:val="24217571"/>
    <w:rsid w:val="24FE78B3"/>
    <w:rsid w:val="25697F5A"/>
    <w:rsid w:val="262001B9"/>
    <w:rsid w:val="272A6FE5"/>
    <w:rsid w:val="27930786"/>
    <w:rsid w:val="27B87AF9"/>
    <w:rsid w:val="27E80EA9"/>
    <w:rsid w:val="280414A1"/>
    <w:rsid w:val="28570368"/>
    <w:rsid w:val="28846321"/>
    <w:rsid w:val="28F00E11"/>
    <w:rsid w:val="2927387C"/>
    <w:rsid w:val="29824F56"/>
    <w:rsid w:val="29C5318E"/>
    <w:rsid w:val="29DA009F"/>
    <w:rsid w:val="2A9E2829"/>
    <w:rsid w:val="2B502F98"/>
    <w:rsid w:val="2B764647"/>
    <w:rsid w:val="2B826E74"/>
    <w:rsid w:val="2BFC0FF0"/>
    <w:rsid w:val="2C9A0A9E"/>
    <w:rsid w:val="2D7626DC"/>
    <w:rsid w:val="2DA70D65"/>
    <w:rsid w:val="2E3E316C"/>
    <w:rsid w:val="2EBF2F4F"/>
    <w:rsid w:val="2EFD0262"/>
    <w:rsid w:val="2F552023"/>
    <w:rsid w:val="33C9246D"/>
    <w:rsid w:val="34126ED7"/>
    <w:rsid w:val="3427766B"/>
    <w:rsid w:val="343706EB"/>
    <w:rsid w:val="34B157F7"/>
    <w:rsid w:val="351A08D0"/>
    <w:rsid w:val="35A65B28"/>
    <w:rsid w:val="35B1007D"/>
    <w:rsid w:val="36124C6D"/>
    <w:rsid w:val="36334CE5"/>
    <w:rsid w:val="37B02769"/>
    <w:rsid w:val="37C64260"/>
    <w:rsid w:val="39B3630B"/>
    <w:rsid w:val="39F74BA5"/>
    <w:rsid w:val="3A551407"/>
    <w:rsid w:val="3B033C36"/>
    <w:rsid w:val="3DDF3AB1"/>
    <w:rsid w:val="3E5D4E8E"/>
    <w:rsid w:val="3EBD5B21"/>
    <w:rsid w:val="3FAE22FF"/>
    <w:rsid w:val="3FE25336"/>
    <w:rsid w:val="40532D51"/>
    <w:rsid w:val="410F0A26"/>
    <w:rsid w:val="42075FF8"/>
    <w:rsid w:val="4255690C"/>
    <w:rsid w:val="42664FBD"/>
    <w:rsid w:val="42842020"/>
    <w:rsid w:val="439A5D2A"/>
    <w:rsid w:val="440525B4"/>
    <w:rsid w:val="46064E72"/>
    <w:rsid w:val="465B470D"/>
    <w:rsid w:val="468567BB"/>
    <w:rsid w:val="47150D60"/>
    <w:rsid w:val="4782487D"/>
    <w:rsid w:val="487307B7"/>
    <w:rsid w:val="487B19AB"/>
    <w:rsid w:val="498779AB"/>
    <w:rsid w:val="4A3E412A"/>
    <w:rsid w:val="4A5C2802"/>
    <w:rsid w:val="4AEF78B9"/>
    <w:rsid w:val="4B31068E"/>
    <w:rsid w:val="4B7122DD"/>
    <w:rsid w:val="4BA55220"/>
    <w:rsid w:val="4BAD0151"/>
    <w:rsid w:val="4BD765E4"/>
    <w:rsid w:val="4BE85FBF"/>
    <w:rsid w:val="4C8F75A2"/>
    <w:rsid w:val="4D066C0A"/>
    <w:rsid w:val="4DAD4403"/>
    <w:rsid w:val="4DB85903"/>
    <w:rsid w:val="4DF94F37"/>
    <w:rsid w:val="4E5E7A74"/>
    <w:rsid w:val="4E8C008E"/>
    <w:rsid w:val="4ECA2430"/>
    <w:rsid w:val="4F695058"/>
    <w:rsid w:val="4F6F19FD"/>
    <w:rsid w:val="4FEF758C"/>
    <w:rsid w:val="50771A9C"/>
    <w:rsid w:val="51C47F6D"/>
    <w:rsid w:val="53191BD8"/>
    <w:rsid w:val="53574AE5"/>
    <w:rsid w:val="5455382C"/>
    <w:rsid w:val="550146D2"/>
    <w:rsid w:val="55EA33B8"/>
    <w:rsid w:val="581B5AAA"/>
    <w:rsid w:val="58DB1253"/>
    <w:rsid w:val="59701E26"/>
    <w:rsid w:val="5A113973"/>
    <w:rsid w:val="5A5C174F"/>
    <w:rsid w:val="5A6A4AC7"/>
    <w:rsid w:val="5A8C2C8F"/>
    <w:rsid w:val="5B2130BD"/>
    <w:rsid w:val="5BE523F7"/>
    <w:rsid w:val="5BE72873"/>
    <w:rsid w:val="5C571B18"/>
    <w:rsid w:val="5D0A3490"/>
    <w:rsid w:val="5D7E0D39"/>
    <w:rsid w:val="5DF536DD"/>
    <w:rsid w:val="5E9B5B97"/>
    <w:rsid w:val="5E9D3F29"/>
    <w:rsid w:val="5EDC2437"/>
    <w:rsid w:val="5F492843"/>
    <w:rsid w:val="5FE63BE9"/>
    <w:rsid w:val="60384CD1"/>
    <w:rsid w:val="60655808"/>
    <w:rsid w:val="60C457EE"/>
    <w:rsid w:val="61E805AF"/>
    <w:rsid w:val="62487DE4"/>
    <w:rsid w:val="631402F3"/>
    <w:rsid w:val="63A9427A"/>
    <w:rsid w:val="63AA3121"/>
    <w:rsid w:val="63D462B1"/>
    <w:rsid w:val="641A3596"/>
    <w:rsid w:val="643B5D39"/>
    <w:rsid w:val="64D96647"/>
    <w:rsid w:val="655B51E5"/>
    <w:rsid w:val="65C47781"/>
    <w:rsid w:val="65E40ADA"/>
    <w:rsid w:val="65EE0CA2"/>
    <w:rsid w:val="66330B86"/>
    <w:rsid w:val="66E22203"/>
    <w:rsid w:val="67E660D5"/>
    <w:rsid w:val="68701E42"/>
    <w:rsid w:val="68B812C9"/>
    <w:rsid w:val="69D50CF4"/>
    <w:rsid w:val="6AF44E44"/>
    <w:rsid w:val="6B185026"/>
    <w:rsid w:val="6C0C7CB9"/>
    <w:rsid w:val="6C487AFD"/>
    <w:rsid w:val="6CB24363"/>
    <w:rsid w:val="6D8A7502"/>
    <w:rsid w:val="6EA93466"/>
    <w:rsid w:val="6EC76ECB"/>
    <w:rsid w:val="6F912DCA"/>
    <w:rsid w:val="6FCF0795"/>
    <w:rsid w:val="70256A67"/>
    <w:rsid w:val="709F1517"/>
    <w:rsid w:val="70BC3E77"/>
    <w:rsid w:val="70E81B34"/>
    <w:rsid w:val="71381023"/>
    <w:rsid w:val="713F6856"/>
    <w:rsid w:val="714F7246"/>
    <w:rsid w:val="719153B4"/>
    <w:rsid w:val="73714961"/>
    <w:rsid w:val="73B01C95"/>
    <w:rsid w:val="73E26C2E"/>
    <w:rsid w:val="74E53276"/>
    <w:rsid w:val="754D1D92"/>
    <w:rsid w:val="758350A9"/>
    <w:rsid w:val="768865A9"/>
    <w:rsid w:val="77071BC4"/>
    <w:rsid w:val="77541AA4"/>
    <w:rsid w:val="77EE068E"/>
    <w:rsid w:val="78302A2A"/>
    <w:rsid w:val="79EB6EA3"/>
    <w:rsid w:val="7A530E81"/>
    <w:rsid w:val="7B560FD7"/>
    <w:rsid w:val="7B5F74F8"/>
    <w:rsid w:val="7B690630"/>
    <w:rsid w:val="7C5123F4"/>
    <w:rsid w:val="7D040AB6"/>
    <w:rsid w:val="7D4119E6"/>
    <w:rsid w:val="7DAF162B"/>
    <w:rsid w:val="7DC42B41"/>
    <w:rsid w:val="7EFC30BD"/>
    <w:rsid w:val="7F8B02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1039</Words>
  <Characters>1106</Characters>
  <Lines>68</Lines>
  <Paragraphs>19</Paragraphs>
  <TotalTime>4</TotalTime>
  <ScaleCrop>false</ScaleCrop>
  <LinksUpToDate>false</LinksUpToDate>
  <CharactersWithSpaces>1168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2026-08-24T07:30:57Z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934EF6A1E4AC4AC2BFFF9401D1C51CED_13</vt:lpwstr>
  </property>
  <property fmtid="{D5CDD505-2E9C-101B-9397-08002B2CF9AE}" pid="4" name="KSOTemplateDocerSaveRecord">
    <vt:lpwstr>eyJoZGlkIjoiNDc0MTk5M2JkMmE1NDI4NDczMTFjZTZjODJmMzdhNjkiLCJ1c2VySWQiOiIyMTIzMTcyNzYifQ==</vt:lpwstr>
  </property>
</Properties>
</file>