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四川省人民医院2026年便携式心电图机采购项目（3）</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8</w:t>
      </w:r>
      <w:r>
        <w:rPr>
          <w:rFonts w:ascii="Times New Roman" w:hAnsi="Times New Roman" w:eastAsia="黑体" w:cs="Times New Roman"/>
          <w:b/>
          <w:sz w:val="36"/>
          <w:szCs w:val="36"/>
          <w:lang w:val="zh-CN"/>
        </w:rPr>
        <w:t>月</w:t>
      </w:r>
      <w:bookmarkStart w:id="118" w:name="_GoBack"/>
      <w:bookmarkEnd w:id="118"/>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0358"/>
      <w:bookmarkStart w:id="1" w:name="_Toc62832406"/>
      <w:bookmarkStart w:id="2" w:name="_Toc1907"/>
      <w:bookmarkStart w:id="3" w:name="_Toc3240"/>
      <w:bookmarkStart w:id="4" w:name="_Toc21919"/>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四川省人民医院2026年便携式心电图机采购项目（3）</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CGZX-YXZ20261175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18000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4A7E0B5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若得分相同则报价&lt;最低&gt;</w:t>
            </w:r>
            <w:r>
              <w:rPr>
                <w:rFonts w:hint="eastAsia" w:ascii="Times New Roman" w:hAnsi="Times New Roman" w:eastAsia="仿宋" w:cs="Times New Roman"/>
                <w:sz w:val="22"/>
                <w:highlight w:val="none"/>
              </w:rPr>
              <w:t>的为成交供应商。若得分相同且报价亦相同</w:t>
            </w:r>
            <w:r>
              <w:rPr>
                <w:rFonts w:hint="eastAsia" w:ascii="Times New Roman" w:hAnsi="Times New Roman" w:eastAsia="仿宋" w:cs="Times New Roman"/>
                <w:sz w:val="22"/>
              </w:rPr>
              <w:t>，则采取随机抽取的方式确定成交供应商。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宫</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3933F85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4"/>
        <w:gridCol w:w="18"/>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4"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4"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4"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4"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4"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4"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4"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4"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4" w:type="pct"/>
            <w:vMerge w:val="continue"/>
            <w:vAlign w:val="center"/>
          </w:tcPr>
          <w:p w14:paraId="430DC133">
            <w:pPr>
              <w:rPr>
                <w:rFonts w:ascii="Times New Roman" w:hAnsi="Times New Roman" w:eastAsia="仿宋" w:cs="Times New Roman"/>
                <w:sz w:val="22"/>
              </w:rPr>
            </w:pPr>
          </w:p>
        </w:tc>
      </w:tr>
      <w:tr w14:paraId="07E9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1422" w:hRule="atLeast"/>
          <w:jc w:val="center"/>
        </w:trPr>
        <w:tc>
          <w:tcPr>
            <w:tcW w:w="514" w:type="pct"/>
            <w:shd w:val="clear" w:color="auto" w:fill="auto"/>
            <w:vAlign w:val="center"/>
          </w:tcPr>
          <w:p w14:paraId="56C51611">
            <w:pPr>
              <w:jc w:val="center"/>
              <w:rPr>
                <w:rFonts w:hint="eastAsia" w:ascii="Times New Roman" w:hAnsi="Times New Roman" w:eastAsia="仿宋" w:cs="Times New Roman"/>
                <w:kern w:val="2"/>
                <w:sz w:val="22"/>
                <w:szCs w:val="22"/>
                <w:lang w:val="en-US" w:eastAsia="zh-CN" w:bidi="ar-SA"/>
              </w:rPr>
            </w:pPr>
            <w:r>
              <w:rPr>
                <w:rFonts w:ascii="Times New Roman" w:hAnsi="Times New Roman" w:eastAsia="仿宋" w:cs="Times New Roman"/>
                <w:sz w:val="22"/>
              </w:rPr>
              <w:t>9</w:t>
            </w:r>
          </w:p>
        </w:tc>
        <w:tc>
          <w:tcPr>
            <w:tcW w:w="1633" w:type="pct"/>
            <w:shd w:val="clear" w:color="auto" w:fill="auto"/>
            <w:vAlign w:val="center"/>
          </w:tcPr>
          <w:p w14:paraId="67CA6DB6">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经营许可</w:t>
            </w:r>
          </w:p>
        </w:tc>
        <w:tc>
          <w:tcPr>
            <w:tcW w:w="2844" w:type="pct"/>
            <w:shd w:val="clear" w:color="auto" w:fill="auto"/>
            <w:vAlign w:val="center"/>
          </w:tcPr>
          <w:p w14:paraId="60FA9F3F">
            <w:pPr>
              <w:rPr>
                <w:rFonts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14:paraId="129DC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pct"/>
          <w:trHeight w:val="947" w:hRule="atLeast"/>
          <w:jc w:val="center"/>
        </w:trPr>
        <w:tc>
          <w:tcPr>
            <w:tcW w:w="514" w:type="pct"/>
            <w:shd w:val="clear" w:color="auto" w:fill="auto"/>
            <w:vAlign w:val="center"/>
          </w:tcPr>
          <w:p w14:paraId="48171A48">
            <w:pPr>
              <w:jc w:val="center"/>
              <w:rPr>
                <w:rFonts w:hint="eastAsia" w:ascii="Times New Roman" w:hAnsi="Times New Roman" w:eastAsia="仿宋" w:cs="Times New Roman"/>
                <w:kern w:val="2"/>
                <w:sz w:val="22"/>
                <w:szCs w:val="22"/>
                <w:lang w:val="en-US" w:eastAsia="zh-CN" w:bidi="ar-SA"/>
              </w:rPr>
            </w:pPr>
            <w:r>
              <w:rPr>
                <w:rFonts w:hint="eastAsia" w:ascii="Times New Roman" w:hAnsi="Times New Roman" w:eastAsia="仿宋" w:cs="Times New Roman"/>
                <w:sz w:val="22"/>
              </w:rPr>
              <w:t>10</w:t>
            </w:r>
          </w:p>
        </w:tc>
        <w:tc>
          <w:tcPr>
            <w:tcW w:w="1633" w:type="pct"/>
            <w:shd w:val="clear" w:color="auto" w:fill="auto"/>
            <w:vAlign w:val="center"/>
          </w:tcPr>
          <w:p w14:paraId="30AEEA00">
            <w:pPr>
              <w:jc w:val="center"/>
              <w:rPr>
                <w:rFonts w:ascii="Times New Roman" w:hAnsi="Times New Roman" w:eastAsia="仿宋" w:cs="Times New Roman"/>
                <w:b/>
                <w:kern w:val="2"/>
                <w:sz w:val="22"/>
                <w:szCs w:val="22"/>
                <w:lang w:val="en-US" w:eastAsia="zh-CN" w:bidi="ar-SA"/>
              </w:rPr>
            </w:pPr>
            <w:r>
              <w:rPr>
                <w:rFonts w:hint="eastAsia" w:ascii="仿宋" w:hAnsi="仿宋" w:eastAsia="仿宋"/>
                <w:b/>
                <w:color w:val="000000" w:themeColor="text1"/>
                <w:sz w:val="22"/>
                <w14:textFill>
                  <w14:solidFill>
                    <w14:schemeClr w14:val="tx1"/>
                  </w14:solidFill>
                </w14:textFill>
              </w:rPr>
              <w:t>产品授权</w:t>
            </w:r>
          </w:p>
        </w:tc>
        <w:tc>
          <w:tcPr>
            <w:tcW w:w="2844" w:type="pct"/>
            <w:shd w:val="clear" w:color="auto" w:fill="auto"/>
            <w:vAlign w:val="center"/>
          </w:tcPr>
          <w:p w14:paraId="56BA03A4">
            <w:pPr>
              <w:rPr>
                <w:rFonts w:ascii="Times New Roman" w:hAnsi="Times New Roman" w:eastAsia="仿宋" w:cs="Times New Roman"/>
                <w:kern w:val="2"/>
                <w:sz w:val="22"/>
                <w:szCs w:val="22"/>
                <w:lang w:val="en-US" w:eastAsia="zh-CN" w:bidi="ar-SA"/>
              </w:rPr>
            </w:pPr>
            <w:r>
              <w:rPr>
                <w:rFonts w:hint="eastAsia" w:ascii="仿宋" w:hAnsi="仿宋" w:eastAsia="仿宋"/>
                <w:bCs/>
                <w:color w:val="000000" w:themeColor="text1"/>
                <w:sz w:val="22"/>
                <w14:textFill>
                  <w14:solidFill>
                    <w14:schemeClr w14:val="tx1"/>
                  </w14:solidFill>
                </w14:textFill>
              </w:rPr>
              <w:t>响应供应商获得的经销授权书复印件（逐级，加盖响应供应商公章）（如涉及）</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便携式心电图机</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2"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2"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便携式心电图机</w:t>
            </w:r>
          </w:p>
        </w:tc>
        <w:tc>
          <w:tcPr>
            <w:tcW w:w="528"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70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69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1.8</w:t>
            </w:r>
          </w:p>
        </w:tc>
        <w:tc>
          <w:tcPr>
            <w:tcW w:w="516"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是</w:t>
            </w:r>
          </w:p>
        </w:tc>
      </w:tr>
    </w:tbl>
    <w:p w14:paraId="77FA62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  具备18导联同步心电图采集功能。</w:t>
      </w:r>
    </w:p>
    <w:p w14:paraId="222646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  采用触控操作设计，具备≥10英寸触控显示屏。</w:t>
      </w:r>
    </w:p>
    <w:p w14:paraId="19BE52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  ▲输入阻抗≥100MΩ，内部噪声≤10μVP-P，共模抑制比≥125dB。（提供产品说明书证明）</w:t>
      </w:r>
    </w:p>
    <w:p w14:paraId="3B5F9E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  ▲耐极化电压≥960mV，定标电压灵敏度误差±1%。（提供产品说明书证明）</w:t>
      </w:r>
    </w:p>
    <w:p w14:paraId="70B2EA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  频率响应范围：满足0.01—350Hz，具备全频滤波功能。</w:t>
      </w:r>
    </w:p>
    <w:p w14:paraId="38E7F4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  ▲时间常数≥5s。（提供产品说明书证明）</w:t>
      </w:r>
    </w:p>
    <w:p w14:paraId="2F904A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  ▲具备QTc参数测量功能，内置≥5种测量算法，QTc计算方法可通过系统调阅并设置。（提供产品说明书证明或该功能界面截图证明）</w:t>
      </w:r>
    </w:p>
    <w:p w14:paraId="110CB5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  具备全导联起搏检测功能和任意心搏放大功能。</w:t>
      </w:r>
    </w:p>
    <w:p w14:paraId="4D18EE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  ▲具备异常心电图自动识别和预警提示功能，可以弹窗或语音提示优先诊断。（提供产品说明书证明或该功能界面截图证明）</w:t>
      </w:r>
    </w:p>
    <w:p w14:paraId="761BCC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10. 至少具备以下异常事件自动识别和预警提示功能：导联脱落、伪差、左右手接反、无法识别、心律波形失常。</w:t>
      </w:r>
    </w:p>
    <w:p w14:paraId="394FA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11. 至少具备以下检测值记录功能：心率、电轴、P波时限、P-R间期、QRS时限、Q-T间期、QTc、T波、Rv5、Sv1。</w:t>
      </w:r>
    </w:p>
    <w:p w14:paraId="726B86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12. 至少具备以下实时信息提醒功能：危急报告、诊断退回、导联纠错、诊断完成。</w:t>
      </w:r>
    </w:p>
    <w:p w14:paraId="1DB851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13. 具备采集前5秒的数据回顾功能。</w:t>
      </w:r>
    </w:p>
    <w:p w14:paraId="197DA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14. 具备图谱采集自动记录功能，可设置图谱最小采集时间，设置范围满足10s—1800s。</w:t>
      </w:r>
    </w:p>
    <w:p w14:paraId="5D7031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15. 具备起搏器识别和提醒功能。</w:t>
      </w:r>
    </w:p>
    <w:p w14:paraId="40CE5A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16. 具备下载获取待检查信息功能，可批量下载预约记录，可显示待检查列表，列表项目至少包含患者姓名、性别、年龄信息。</w:t>
      </w:r>
    </w:p>
    <w:p w14:paraId="6952E6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17. ▲具备二维码生成和查看功能，可将患者检查数据（含心电波形）生成二维码，支持手机微信扫码查看。（提供产品说明书证明或该功能界面截图证明）</w:t>
      </w:r>
    </w:p>
    <w:p w14:paraId="4B7251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18. 具备内置式4G功能（非外接模块），具备WIFI功能</w:t>
      </w:r>
      <w:r>
        <w:rPr>
          <w:rFonts w:hint="eastAsia" w:ascii="Times New Roman" w:hAnsi="Times New Roman" w:eastAsia="仿宋" w:cs="Times New Roman"/>
          <w:sz w:val="24"/>
          <w:szCs w:val="24"/>
          <w:lang w:eastAsia="zh-CN"/>
        </w:rPr>
        <w:t>。</w:t>
      </w:r>
    </w:p>
    <w:p w14:paraId="10C34E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19. 具备LAN、USB、DATA接口，内置软件支持远程网络更新和升级。</w:t>
      </w:r>
    </w:p>
    <w:p w14:paraId="7388F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20. ▲抗电击程度≥防除颤CF型。（提供产品铭牌证明）</w:t>
      </w:r>
    </w:p>
    <w:p w14:paraId="7E9F8AC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21. ★每台配置专用台车1个，每台配置物联网卡1张，物联网卡包含≥5年流量（流量涉及费用包含在此次投标总价中）。</w:t>
      </w:r>
    </w:p>
    <w:p w14:paraId="26A5A7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22. ★具备开放式数据接口，支持与</w:t>
      </w:r>
      <w:r>
        <w:rPr>
          <w:rFonts w:hint="eastAsia" w:ascii="Times New Roman" w:hAnsi="Times New Roman" w:eastAsia="仿宋" w:cs="Times New Roman"/>
          <w:sz w:val="24"/>
          <w:szCs w:val="24"/>
          <w:lang w:eastAsia="zh-CN"/>
        </w:rPr>
        <w:t>采购人</w:t>
      </w:r>
      <w:r>
        <w:rPr>
          <w:rFonts w:hint="eastAsia" w:ascii="Times New Roman" w:hAnsi="Times New Roman" w:eastAsia="仿宋" w:cs="Times New Roman"/>
          <w:sz w:val="24"/>
          <w:szCs w:val="24"/>
        </w:rPr>
        <w:t>现心电及电生理网络系统（纳龙aECG-Net V3.0）数据对接。接口清单由纳龙aECG-Net V3.0厂商提供，由此产生的接口费用（含设备、包装、运输、安装、调试、税费、可能产生的相关费用等）   包含在本次采购费用中，采购人不承担除成交价以外的任何费用。与采购人现有软件供应商接口对接所产生的费用限高价为每台心电图机0.5万元，实际产生的接口费由</w:t>
      </w:r>
      <w:r>
        <w:rPr>
          <w:rFonts w:hint="eastAsia" w:ascii="Times New Roman" w:hAnsi="Times New Roman" w:eastAsia="仿宋" w:cs="Times New Roman"/>
          <w:sz w:val="24"/>
          <w:szCs w:val="24"/>
          <w:lang w:val="en-US" w:eastAsia="zh-CN"/>
        </w:rPr>
        <w:t>成交</w:t>
      </w:r>
      <w:r>
        <w:rPr>
          <w:rFonts w:hint="eastAsia" w:ascii="Times New Roman" w:hAnsi="Times New Roman" w:eastAsia="仿宋" w:cs="Times New Roman"/>
          <w:sz w:val="24"/>
          <w:szCs w:val="24"/>
        </w:rPr>
        <w:t>供应商与采购人现有软件供应商对接，采购人不参与议价。</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w:t>
      </w:r>
      <w:r>
        <w:rPr>
          <w:rFonts w:hint="eastAsia" w:ascii="仿宋" w:hAnsi="仿宋" w:eastAsia="仿宋" w:cs="仿宋"/>
          <w:color w:val="000000" w:themeColor="text1"/>
          <w:sz w:val="24"/>
          <w:szCs w:val="24"/>
          <w:lang w:val="en-US" w:eastAsia="zh-CN"/>
          <w14:textFill>
            <w14:solidFill>
              <w14:schemeClr w14:val="tx1"/>
            </w14:solidFill>
          </w14:textFill>
        </w:rPr>
        <w:t>心电主电缆、导联线验收合格后不低于2年。心电主电缆、导联线验收合格后不低于2年。</w:t>
      </w:r>
      <w:r>
        <w:rPr>
          <w:rFonts w:hint="eastAsia" w:ascii="仿宋" w:hAnsi="仿宋" w:eastAsia="仿宋" w:cs="仿宋"/>
          <w:color w:val="000000" w:themeColor="text1"/>
          <w:sz w:val="24"/>
          <w:szCs w:val="24"/>
          <w14:textFill>
            <w14:solidFill>
              <w14:schemeClr w14:val="tx1"/>
            </w14:solidFill>
          </w14:textFill>
        </w:rPr>
        <w:t>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文件格式），采购人将以此为依据进行验收。技术参数中采购人的实质性配置要求★包含的内容须在分项报价明细表中报价（技术参数第</w:t>
      </w:r>
      <w:r>
        <w:rPr>
          <w:rFonts w:hint="eastAsia" w:ascii="仿宋" w:hAnsi="仿宋" w:eastAsia="仿宋" w:cs="仿宋"/>
          <w:color w:val="000000" w:themeColor="text1"/>
          <w:sz w:val="24"/>
          <w:szCs w:val="24"/>
          <w:lang w:val="en-US" w:eastAsia="zh-CN"/>
          <w14:textFill>
            <w14:solidFill>
              <w14:schemeClr w14:val="tx1"/>
            </w14:solidFill>
          </w14:textFill>
        </w:rPr>
        <w:t>21</w:t>
      </w:r>
      <w:r>
        <w:rPr>
          <w:rFonts w:hint="eastAsia" w:ascii="仿宋" w:hAnsi="仿宋" w:eastAsia="仿宋" w:cs="仿宋"/>
          <w:color w:val="000000" w:themeColor="text1"/>
          <w:sz w:val="24"/>
          <w:szCs w:val="24"/>
          <w14:textFill>
            <w14:solidFill>
              <w14:schemeClr w14:val="tx1"/>
            </w14:solidFill>
          </w14:textFill>
        </w:rPr>
        <w:t>条），除此之外，若涉及设备正常运行所需的其他配置内容，供应商在配置清单中列明涉及的产品名称、型号（若有）、数量即可，供应商可根据响应产品实际情况确定是否单独报价。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6.供应商提供的产品的生产日期与到货日期时间间隔不大于3个月，供应商提供承诺函，格式自拟。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13768"/>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23</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35</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8171"/>
      <w:bookmarkStart w:id="21" w:name="_Toc3094"/>
      <w:bookmarkStart w:id="22" w:name="_Toc22827"/>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5913"/>
      <w:bookmarkStart w:id="24" w:name="_Toc29819"/>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9428"/>
      <w:bookmarkStart w:id="28" w:name="_Toc30609"/>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32352"/>
      <w:bookmarkStart w:id="30" w:name="_Toc9041"/>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17163"/>
      <w:bookmarkStart w:id="36" w:name="_Toc32749"/>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3558"/>
      <w:bookmarkStart w:id="40" w:name="_Toc6803"/>
      <w:bookmarkStart w:id="41" w:name="_Toc2412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5996"/>
      <w:bookmarkStart w:id="44" w:name="_Toc2752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19987"/>
      <w:bookmarkStart w:id="48" w:name="_Toc2031"/>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6029"/>
      <w:bookmarkStart w:id="51" w:name="_Toc21519"/>
      <w:bookmarkStart w:id="52" w:name="_Toc14829"/>
      <w:bookmarkStart w:id="53" w:name="_Toc11352"/>
      <w:bookmarkStart w:id="54" w:name="_Toc6482"/>
      <w:bookmarkStart w:id="55" w:name="_Toc3023"/>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30971"/>
      <w:bookmarkStart w:id="57" w:name="_Toc31838"/>
      <w:bookmarkStart w:id="58" w:name="_Toc17857"/>
      <w:bookmarkStart w:id="59" w:name="_Toc4305"/>
      <w:bookmarkStart w:id="60" w:name="_Toc22676"/>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27186"/>
      <w:bookmarkStart w:id="62" w:name="_Toc15613"/>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13706"/>
      <w:bookmarkStart w:id="66" w:name="_Toc25357"/>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25638"/>
      <w:bookmarkStart w:id="70" w:name="_Toc27661"/>
      <w:bookmarkStart w:id="71" w:name="_Toc20589"/>
      <w:bookmarkStart w:id="72" w:name="_Toc11351"/>
      <w:bookmarkStart w:id="73" w:name="_Toc12015"/>
      <w:bookmarkStart w:id="74" w:name="_Toc15526"/>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6969"/>
      <w:bookmarkStart w:id="76" w:name="_Toc16435"/>
      <w:bookmarkStart w:id="77" w:name="_Toc1074"/>
      <w:bookmarkStart w:id="78" w:name="_Toc2041"/>
      <w:bookmarkStart w:id="79" w:name="_Toc12967"/>
      <w:bookmarkStart w:id="80" w:name="_Toc23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4806"/>
      <w:bookmarkStart w:id="82" w:name="_Toc28634"/>
      <w:bookmarkStart w:id="83" w:name="_Toc26839"/>
      <w:bookmarkStart w:id="84" w:name="_Toc31686"/>
      <w:bookmarkStart w:id="85" w:name="_Toc21082"/>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24494"/>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30002"/>
      <w:bookmarkStart w:id="92" w:name="_Toc14685"/>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20691"/>
      <w:bookmarkStart w:id="114"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F8DB899-BCA7-4379-9AD0-78630A2356B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A219586-52A8-49FF-8D32-580EF6BC95F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B47AF2B-11B5-4746-A296-6C57BB8B9986}"/>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AFC9B92-BA70-46C1-8773-D541BF764607}"/>
  </w:font>
  <w:font w:name="Segoe UI Symbol">
    <w:panose1 w:val="020B0502040204020203"/>
    <w:charset w:val="00"/>
    <w:family w:val="swiss"/>
    <w:pitch w:val="default"/>
    <w:sig w:usb0="800001E3" w:usb1="1200FFEF" w:usb2="00040000" w:usb3="04000000" w:csb0="00000001" w:csb1="40000000"/>
    <w:embedRegular r:id="rId5" w:fontKey="{160641C0-9499-4EFD-9AF3-513B0D3BFD01}"/>
  </w:font>
  <w:font w:name="Wingdings 2">
    <w:altName w:val="Wingdings"/>
    <w:panose1 w:val="05020102010507070707"/>
    <w:charset w:val="4D"/>
    <w:family w:val="decorative"/>
    <w:pitch w:val="default"/>
    <w:sig w:usb0="00000000" w:usb1="00000000" w:usb2="00000000" w:usb3="00000000" w:csb0="80000000" w:csb1="00000000"/>
    <w:embedRegular r:id="rId6" w:fontKey="{880D3CAB-7315-4BE5-AC1E-9E69D8C4F690}"/>
  </w:font>
  <w:font w:name="Songti SC">
    <w:altName w:val="宋体"/>
    <w:panose1 w:val="02010600040101010101"/>
    <w:charset w:val="86"/>
    <w:family w:val="auto"/>
    <w:pitch w:val="default"/>
    <w:sig w:usb0="00000000" w:usb1="00000000" w:usb2="00000010" w:usb3="00000000" w:csb0="0004009F" w:csb1="00000000"/>
    <w:embedRegular r:id="rId7" w:fontKey="{7FFA4584-7878-4FFF-B358-B34DA99DC6B9}"/>
  </w:font>
  <w:font w:name="微软雅黑">
    <w:panose1 w:val="020B0503020204020204"/>
    <w:charset w:val="86"/>
    <w:family w:val="auto"/>
    <w:pitch w:val="default"/>
    <w:sig w:usb0="80000287" w:usb1="2ACF3C50" w:usb2="00000016" w:usb3="00000000" w:csb0="0004001F" w:csb1="00000000"/>
    <w:embedRegular r:id="rId8" w:fontKey="{4F13CFE7-8338-4D37-8700-2FB2B025F0EA}"/>
  </w:font>
  <w:font w:name="Arial">
    <w:panose1 w:val="020B0604020202020204"/>
    <w:charset w:val="00"/>
    <w:family w:val="auto"/>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5FA5054"/>
    <w:rsid w:val="262001B9"/>
    <w:rsid w:val="27B87AF9"/>
    <w:rsid w:val="27E80EA9"/>
    <w:rsid w:val="280414A1"/>
    <w:rsid w:val="282322F9"/>
    <w:rsid w:val="28570368"/>
    <w:rsid w:val="28E72E42"/>
    <w:rsid w:val="29C5318E"/>
    <w:rsid w:val="2B502F98"/>
    <w:rsid w:val="2C9A0A9E"/>
    <w:rsid w:val="2DA70D65"/>
    <w:rsid w:val="2DF13843"/>
    <w:rsid w:val="2F66770D"/>
    <w:rsid w:val="32E9414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88427F3"/>
    <w:rsid w:val="49EA6E56"/>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5FEF4558"/>
    <w:rsid w:val="60384CD1"/>
    <w:rsid w:val="60655808"/>
    <w:rsid w:val="60C419F0"/>
    <w:rsid w:val="60F86CEE"/>
    <w:rsid w:val="63A9427A"/>
    <w:rsid w:val="63D462B1"/>
    <w:rsid w:val="641A3596"/>
    <w:rsid w:val="64D96647"/>
    <w:rsid w:val="655B51E5"/>
    <w:rsid w:val="65E40ADA"/>
    <w:rsid w:val="66330B86"/>
    <w:rsid w:val="66E22203"/>
    <w:rsid w:val="68A1631F"/>
    <w:rsid w:val="68B812C9"/>
    <w:rsid w:val="69D50CF4"/>
    <w:rsid w:val="6B397ACC"/>
    <w:rsid w:val="6C487AFD"/>
    <w:rsid w:val="6CB24363"/>
    <w:rsid w:val="6EA93466"/>
    <w:rsid w:val="6FCF0795"/>
    <w:rsid w:val="7011584E"/>
    <w:rsid w:val="71381023"/>
    <w:rsid w:val="736933C5"/>
    <w:rsid w:val="73714961"/>
    <w:rsid w:val="7421016F"/>
    <w:rsid w:val="754D1D92"/>
    <w:rsid w:val="755E72EB"/>
    <w:rsid w:val="758350A9"/>
    <w:rsid w:val="764A5DA0"/>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46</Words>
  <Characters>52</Characters>
  <Lines>72</Lines>
  <Paragraphs>20</Paragraphs>
  <TotalTime>4</TotalTime>
  <ScaleCrop>false</ScaleCrop>
  <LinksUpToDate>false</LinksUpToDate>
  <CharactersWithSpaces>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2026-08-12T01:23:51Z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