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全转录组基因测序分析技术服务采购项目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1907"/>
      <w:bookmarkStart w:id="2" w:name="_Toc62832406"/>
      <w:bookmarkStart w:id="3" w:name="_Toc20358"/>
      <w:bookmarkStart w:id="4" w:name="_Toc3240"/>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hint="eastAsia" w:ascii="Times New Roman" w:hAnsi="Times New Roman" w:eastAsia="仿宋" w:cs="Times New Roman"/>
                <w:sz w:val="22"/>
                <w:lang w:val="en-US" w:eastAsia="zh-CN"/>
              </w:rPr>
              <w:t>全转录组基因测序分析技术服务采购项目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CGZX-KYB20260829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限高单价</w:t>
            </w:r>
          </w:p>
        </w:tc>
        <w:tc>
          <w:tcPr>
            <w:tcW w:w="7236" w:type="dxa"/>
            <w:vAlign w:val="center"/>
          </w:tcPr>
          <w:p w14:paraId="763D7477">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本项目为据实结算项目，支付上限：人民币48万元。</w:t>
            </w:r>
          </w:p>
          <w:p w14:paraId="706A1554">
            <w:pPr>
              <w:spacing w:line="360" w:lineRule="auto"/>
              <w:ind w:left="210" w:leftChars="100"/>
              <w:rPr>
                <w:rFonts w:hint="eastAsia" w:ascii="Times New Roman" w:hAnsi="Times New Roman" w:eastAsia="仿宋" w:cs="Times New Roman"/>
                <w:sz w:val="22"/>
                <w:lang w:eastAsia="zh-CN"/>
              </w:rPr>
            </w:pPr>
            <w:bookmarkStart w:id="104" w:name="_GoBack"/>
            <w:bookmarkEnd w:id="104"/>
            <w:r>
              <w:rPr>
                <w:rFonts w:hint="eastAsia" w:ascii="Times New Roman" w:hAnsi="Times New Roman" w:eastAsia="仿宋" w:cs="Times New Roman"/>
                <w:sz w:val="22"/>
                <w:lang w:eastAsia="zh-CN"/>
              </w:rPr>
              <w:t>建库服务、测序服务、生信分析</w:t>
            </w:r>
            <w:r>
              <w:rPr>
                <w:rFonts w:hint="eastAsia" w:ascii="Times New Roman" w:hAnsi="Times New Roman" w:eastAsia="仿宋" w:cs="Times New Roman"/>
                <w:sz w:val="22"/>
                <w:lang w:val="en-US" w:eastAsia="zh-CN"/>
              </w:rPr>
              <w:t>限高单价：2000元/份</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lang w:eastAsia="zh-CN"/>
              </w:rPr>
              <w:t>超过</w:t>
            </w:r>
            <w:r>
              <w:rPr>
                <w:rFonts w:hint="eastAsia" w:ascii="仿宋" w:hAnsi="仿宋" w:eastAsia="仿宋" w:cs="仿宋"/>
                <w:color w:val="auto"/>
                <w:sz w:val="22"/>
                <w:szCs w:val="22"/>
                <w:lang w:val="en-US" w:eastAsia="zh-CN"/>
              </w:rPr>
              <w:t>限高单价</w:t>
            </w:r>
            <w:r>
              <w:rPr>
                <w:rFonts w:hint="eastAsia" w:ascii="仿宋" w:hAnsi="仿宋" w:eastAsia="仿宋" w:cs="仿宋"/>
                <w:color w:val="auto"/>
                <w:sz w:val="22"/>
                <w:szCs w:val="22"/>
                <w:lang w:eastAsia="zh-CN"/>
              </w:rPr>
              <w:t>的报价，</w:t>
            </w:r>
            <w:r>
              <w:rPr>
                <w:rFonts w:hint="eastAsia" w:ascii="Times New Roman" w:hAnsi="Times New Roman" w:eastAsia="仿宋" w:cs="Times New Roman"/>
                <w:sz w:val="22"/>
              </w:rPr>
              <w:t>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w:t>
            </w:r>
            <w:r>
              <w:rPr>
                <w:rFonts w:hint="eastAsia" w:ascii="Times New Roman" w:hAnsi="Times New Roman" w:eastAsia="仿宋" w:cs="Times New Roman"/>
                <w:sz w:val="22"/>
                <w:szCs w:val="22"/>
                <w:lang w:val="en-US" w:eastAsia="zh-CN"/>
              </w:rPr>
              <w:t>支付上限</w:t>
            </w:r>
            <w:r>
              <w:rPr>
                <w:rFonts w:hint="eastAsia" w:ascii="Times New Roman" w:hAnsi="Times New Roman" w:eastAsia="仿宋" w:cs="Times New Roman"/>
                <w:sz w:val="22"/>
                <w:szCs w:val="22"/>
                <w:lang w:val="zh-CN" w:eastAsia="zh-CN"/>
              </w:rPr>
              <w:t>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科研部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曹老师 028-87394218</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一、项目简介</w:t>
      </w:r>
    </w:p>
    <w:p w14:paraId="77675B30">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本项目拟确定一家供应商为采购人提供全转录组基因测序分析技术服务。</w:t>
      </w:r>
    </w:p>
    <w:p w14:paraId="6FD82835">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二、服务内容</w:t>
      </w:r>
    </w:p>
    <w:p w14:paraId="3A292F4A">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（一）采购清单</w:t>
      </w:r>
    </w:p>
    <w:tbl>
      <w:tblPr>
        <w:tblStyle w:val="18"/>
        <w:tblW w:w="98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66"/>
        <w:gridCol w:w="2052"/>
        <w:gridCol w:w="1526"/>
      </w:tblGrid>
      <w:tr w14:paraId="41C93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5" w:hRule="atLeast"/>
        </w:trPr>
        <w:tc>
          <w:tcPr>
            <w:tcW w:w="0" w:type="auto"/>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C700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服务内容</w:t>
            </w:r>
          </w:p>
        </w:tc>
        <w:tc>
          <w:tcPr>
            <w:tcW w:w="0" w:type="auto"/>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714D1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限高单价</w:t>
            </w:r>
          </w:p>
        </w:tc>
        <w:tc>
          <w:tcPr>
            <w:tcW w:w="1526"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10B0FB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预估数量</w:t>
            </w:r>
          </w:p>
        </w:tc>
      </w:tr>
      <w:tr w14:paraId="63E72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5" w:hRule="atLeast"/>
        </w:trPr>
        <w:tc>
          <w:tcPr>
            <w:tcW w:w="626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6E4B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建库服务、测序服务、生信分析</w:t>
            </w:r>
          </w:p>
        </w:tc>
        <w:tc>
          <w:tcPr>
            <w:tcW w:w="2052"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C3159D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2000元/份</w:t>
            </w:r>
          </w:p>
        </w:tc>
        <w:tc>
          <w:tcPr>
            <w:tcW w:w="1526"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E53D6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240份</w:t>
            </w:r>
          </w:p>
        </w:tc>
      </w:tr>
    </w:tbl>
    <w:p w14:paraId="0E69AC80">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p>
    <w:p w14:paraId="25472CD5">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（二）技术要求</w:t>
      </w:r>
    </w:p>
    <w:p w14:paraId="0481ABE5">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（1）建库类型：mRNA/lncRNA/circRNA采用链特异性建库；miRNA采用Small RNA建库技术/富集小片段。</w:t>
      </w:r>
    </w:p>
    <w:p w14:paraId="0D9A3FBD">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（2）测序平台及内容：采用二代高通量测序（NGS）测序平台；测序内容如下：【mRNA/lncRNA/circRNA：双端测序（Paired-end）， PE150；miRNA：单端测序（Single-end）， SE50】</w:t>
      </w:r>
    </w:p>
    <w:p w14:paraId="7BEF40A2">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（3）数据量：mRNA/lncRNA/circRNA：≥16Gb Clean Data，miRNA：≥20M Clean Reads</w:t>
      </w:r>
    </w:p>
    <w:p w14:paraId="604AC9A6">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（4）主要分析：覆盖mRNA、lncRNA、circRNA、miRNA四类RNA分子，同时提供各类分子的鉴定、表达定量及互作分析等。</w:t>
      </w:r>
    </w:p>
    <w:p w14:paraId="38B7C0C3">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（三）样本交接要求：样本采集后，供应商需在接到通知后6小时内将样本登记并取走，需具有-80°环境完善的医学样本运输条件。</w:t>
      </w:r>
    </w:p>
    <w:p w14:paraId="30F5DB59">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（四）交付时间要求：供应商需在取走样本后的70 个工作日内完成测序及数据分析服务。</w:t>
      </w:r>
    </w:p>
    <w:p w14:paraId="43455A6C">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（五）数据分析要求：</w:t>
      </w:r>
    </w:p>
    <w:p w14:paraId="76591775">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1、ln cRNA文库数据量12Gb，ln cRNA 分析内容：</w:t>
      </w:r>
    </w:p>
    <w:p w14:paraId="0457D4AF">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(1)原始数据质控：包括去除接头、污染序列及低质量reads的处理，含N量高的序列等；</w:t>
      </w:r>
    </w:p>
    <w:p w14:paraId="4F749519">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(2)数据产出统计及测序数据质量评估；</w:t>
      </w:r>
    </w:p>
    <w:p w14:paraId="001C27EE">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(3)参考基因组比对分析；</w:t>
      </w:r>
    </w:p>
    <w:p w14:paraId="02523690">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(4)测序reads随机性分布分析；</w:t>
      </w:r>
    </w:p>
    <w:p w14:paraId="6759B172">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(5)转录本拼接；</w:t>
      </w:r>
    </w:p>
    <w:p w14:paraId="2484FAB6">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(6)ln cRNA筛选(如果参考基因组注释文件中有ln cRNA的注释进行已知ln cRNA的分析)；</w:t>
      </w:r>
    </w:p>
    <w:p w14:paraId="5F660F2A">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(7)表达水平分析（ln cRNA和mRNA）；</w:t>
      </w:r>
    </w:p>
    <w:p w14:paraId="001660DD">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(8)样品间相关性分析；</w:t>
      </w:r>
    </w:p>
    <w:p w14:paraId="140BCA97">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(9)差异表达分析（ln cRNA和mRNA）；</w:t>
      </w:r>
    </w:p>
    <w:p w14:paraId="05E1B47B">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(10)差异基因聚类分析（ln cRNA和mRNA）；</w:t>
      </w:r>
    </w:p>
    <w:p w14:paraId="63EE8BF9">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(11)差异mRNA功能富集分析（GO和KEGG）；</w:t>
      </w:r>
    </w:p>
    <w:p w14:paraId="6B5D80F2">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(12)差异mRNA蛋白网络互作分析；</w:t>
      </w:r>
    </w:p>
    <w:p w14:paraId="490C54CF">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(13)LncRNA和mRNA联合分析</w:t>
      </w:r>
    </w:p>
    <w:p w14:paraId="2EBB014F">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(14)差异ln cRNA靶基因的功能富集分析（GO和KEGG）；</w:t>
      </w:r>
    </w:p>
    <w:p w14:paraId="7F7ABE3B">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(15)差异ln cRNA靶基因的蛋白网络互作分析；</w:t>
      </w:r>
    </w:p>
    <w:p w14:paraId="0D9A169A">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(16)SNP/InDel分析；</w:t>
      </w:r>
    </w:p>
    <w:p w14:paraId="50262207">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(17)可变剪接分析；</w:t>
      </w:r>
    </w:p>
    <w:p w14:paraId="41C178EB">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2、小RNA文库测10M reads，circRNA分析内容：</w:t>
      </w:r>
    </w:p>
    <w:p w14:paraId="2B1EF5C4">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(1)原始数据质控：包括去除接头、污染序列及低质量reads的处理，含N量高的序列等；</w:t>
      </w:r>
    </w:p>
    <w:p w14:paraId="3AD8CA68">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(2)数据产出统计及测序数据的成分和质量评估；</w:t>
      </w:r>
    </w:p>
    <w:p w14:paraId="39F607D7">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(3)参考序列比对分析（以基因组为参考序列，需提供基因组链接、基因组结构注释文件和功能注释文件）；</w:t>
      </w:r>
    </w:p>
    <w:p w14:paraId="2FE407A7">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(4)circRNA鉴定；</w:t>
      </w:r>
    </w:p>
    <w:p w14:paraId="2B8268FF">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(5)circRNA来源统计；</w:t>
      </w:r>
    </w:p>
    <w:p w14:paraId="71A084CB">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(6)circRNA序列分析；</w:t>
      </w:r>
    </w:p>
    <w:p w14:paraId="5A7E5C6F">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(7)circRNA在染色体上的密度分布；</w:t>
      </w:r>
    </w:p>
    <w:p w14:paraId="6EA3225E">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(8)表达水平分析；</w:t>
      </w:r>
    </w:p>
    <w:p w14:paraId="65D98B04">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(9)差异表达水平分析（&gt;=2个样本）；</w:t>
      </w:r>
    </w:p>
    <w:p w14:paraId="23D60765">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(10)差异circRNA筛选；</w:t>
      </w:r>
    </w:p>
    <w:p w14:paraId="0FF365D4">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(11)差异circRNA聚类分析；</w:t>
      </w:r>
    </w:p>
    <w:p w14:paraId="6D3BF4D7">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(12)差异circRNA维恩图；（2-5个比较组合）</w:t>
      </w:r>
    </w:p>
    <w:p w14:paraId="02D1FDB3">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(13)差异circRNA来源基因分析；</w:t>
      </w:r>
    </w:p>
    <w:p w14:paraId="49AE4838">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(14)差异circRNA来源基因功能富集分析（GO和KEGG）；</w:t>
      </w:r>
    </w:p>
    <w:p w14:paraId="7E686823">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(15)miRNA结合位点分析；</w:t>
      </w:r>
    </w:p>
    <w:p w14:paraId="0BB6C29D">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(16)miRNA-circRNA的调控网络；</w:t>
      </w:r>
    </w:p>
    <w:p w14:paraId="48BB2AC2">
      <w:pPr>
        <w:pStyle w:val="14"/>
        <w:keepNext w:val="0"/>
        <w:keepLines w:val="0"/>
        <w:pageBreakBefore w:val="0"/>
        <w:widowControl/>
        <w:suppressLineNumbers w:val="0"/>
        <w:kinsoku/>
        <w:wordWrap/>
        <w:overflowPunct/>
        <w:topLinePunct w:val="0"/>
        <w:autoSpaceDE/>
        <w:autoSpaceDN/>
        <w:bidi w:val="0"/>
        <w:adjustRightInd/>
        <w:spacing w:beforeAutospacing="0" w:afterAutospacing="0"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六）保密要求：所有样本信息，实验数据、分析结果，以及科研方案供应商均不得复制、分发、披露或散布给任何人。保密内容（包括但不限于技术信息和其他资料）的泄露对对采购人造成的损失全部由供应商承担。</w:t>
      </w:r>
    </w:p>
    <w:p w14:paraId="3A1346E8">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、商务要求：</w:t>
      </w:r>
    </w:p>
    <w:p w14:paraId="54F544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资金支付条款：服务期内，每三个月按实结算一次费用，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本项目预估共需240份“建库服务、测序服务、生信分析”服务）</w:t>
      </w:r>
    </w:p>
    <w:p w14:paraId="0474155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3D3732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3、服务期限：自合同签订生效之日起1年。</w:t>
      </w:r>
    </w:p>
    <w:p w14:paraId="7A961E1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4.1验收时间：供应商完成样本全部分析工作后 5 个自然日内向采购人提供数据分析结果，采购人接收数据分析结果后 10 个自然日内组织验收。</w:t>
      </w:r>
    </w:p>
    <w:p w14:paraId="3977F2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4.4验收方式：现场整体验收   </w:t>
      </w:r>
    </w:p>
    <w:p w14:paraId="696E6C6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531B5A3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4.6验收内容：每一阶段或轮次按照基于本项目采购需求编制的采购文件要求及供应商响应文件情况，由供应商向采购人提供的阶段性全部服务。</w:t>
      </w:r>
    </w:p>
    <w:p w14:paraId="7F7995D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2052C81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4.7.6如本项目验收方式为考核验收，则考核结果须为合格。</w:t>
      </w:r>
    </w:p>
    <w:p w14:paraId="0F5282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4.7.7其他验收标准：测序数据质控要求Q20&gt;90%，Q30&gt;85%，每个文库数据产出不低于目标数据量的98%；可供分析的数据量不少于6G的raw data；全转录组中lncRNA可供分析的数据量不少于16G的raw data，sRNA可供分析的数据量不少于10M的raw data；每一阶段或轮次的实验需提供明细实验步骤和结果，包括所有测序原始数据，个性化生物信息学数据分析。</w:t>
      </w:r>
    </w:p>
    <w:p w14:paraId="72A1AA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2975E3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1068D4F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ascii="Times New Roman" w:hAnsi="Times New Roman" w:eastAsia="仿宋" w:cs="Times New Roman"/>
          <w:sz w:val="24"/>
          <w:szCs w:val="24"/>
        </w:rPr>
      </w:pPr>
      <w:r>
        <w:rPr>
          <w:rFonts w:hint="eastAsia" w:ascii="仿宋" w:hAnsi="仿宋" w:eastAsia="仿宋"/>
          <w:sz w:val="24"/>
          <w:szCs w:val="24"/>
          <w:lang w:val="en-US" w:eastAsia="zh-CN"/>
        </w:rPr>
        <w:t>4.12是否邀请专家：否</w:t>
      </w:r>
    </w:p>
    <w:p w14:paraId="476325FA">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A6A2942">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41746D47">
      <w:pPr>
        <w:pStyle w:val="16"/>
        <w:ind w:firstLine="0"/>
        <w:rPr>
          <w:rFonts w:ascii="Times New Roman" w:hAnsi="Times New Roman" w:eastAsia="仿宋" w:cs="Times New Roman"/>
          <w:sz w:val="24"/>
          <w:szCs w:val="24"/>
        </w:rPr>
      </w:pPr>
    </w:p>
    <w:p w14:paraId="65BDB4CC">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p w14:paraId="665E61C0">
      <w:pPr>
        <w:jc w:val="center"/>
        <w:rPr>
          <w:rFonts w:hint="default" w:eastAsiaTheme="minorEastAsia"/>
          <w:lang w:val="en-US" w:eastAsia="zh-CN"/>
        </w:rPr>
      </w:pPr>
      <w:r>
        <w:rPr>
          <w:rFonts w:hint="eastAsia"/>
          <w:lang w:eastAsia="zh-CN"/>
        </w:rPr>
        <w:t>（</w:t>
      </w:r>
      <w:r>
        <w:rPr>
          <w:rFonts w:hint="eastAsia"/>
          <w:lang w:val="en-US" w:eastAsia="zh-CN"/>
        </w:rPr>
        <w:t>本项目不涉及</w:t>
      </w:r>
      <w:r>
        <w:rPr>
          <w:rFonts w:hint="eastAsia"/>
          <w:lang w:eastAsia="zh-CN"/>
        </w:rPr>
        <w:t>）</w:t>
      </w:r>
    </w:p>
    <w:p w14:paraId="121219B9">
      <w:pPr>
        <w:rPr>
          <w:rFonts w:ascii="Times New Roman" w:hAnsi="Times New Roman" w:cs="Times New Roman"/>
        </w:rPr>
      </w:pPr>
      <w:bookmarkStart w:id="18" w:name="_Toc22827"/>
      <w:bookmarkStart w:id="19" w:name="_Toc28171"/>
      <w:bookmarkStart w:id="20" w:name="_Toc3094"/>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989"/>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3023"/>
      <w:bookmarkStart w:id="50" w:name="_Toc6482"/>
      <w:bookmarkStart w:id="51" w:name="_Toc11352"/>
      <w:bookmarkStart w:id="52" w:name="_Toc16029"/>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30971"/>
      <w:bookmarkStart w:id="56" w:name="_Toc17857"/>
      <w:bookmarkStart w:id="57" w:name="_Toc31838"/>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15526"/>
      <w:bookmarkStart w:id="69" w:name="_Toc11351"/>
      <w:bookmarkStart w:id="70" w:name="_Toc25638"/>
      <w:bookmarkStart w:id="71" w:name="_Toc27661"/>
      <w:bookmarkStart w:id="72" w:name="_Toc20589"/>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1074"/>
      <w:bookmarkStart w:id="75" w:name="_Toc2041"/>
      <w:bookmarkStart w:id="76" w:name="_Toc12967"/>
      <w:bookmarkStart w:id="77" w:name="_Toc26969"/>
      <w:bookmarkStart w:id="78" w:name="_Toc16435"/>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4806"/>
      <w:bookmarkStart w:id="81" w:name="_Toc1369"/>
      <w:bookmarkStart w:id="82" w:name="_Toc28634"/>
      <w:bookmarkStart w:id="83" w:name="_Toc21082"/>
      <w:bookmarkStart w:id="84" w:name="_Toc2683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8"/>
        <w:gridCol w:w="3096"/>
        <w:gridCol w:w="2986"/>
        <w:gridCol w:w="2571"/>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60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2991" w:type="dxa"/>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建库服务、测序服务、生信分析（元/份）</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0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全转录组基因测序分析技术服务</w:t>
            </w:r>
          </w:p>
        </w:tc>
        <w:tc>
          <w:tcPr>
            <w:tcW w:w="2991" w:type="dxa"/>
            <w:vAlign w:val="center"/>
          </w:tcPr>
          <w:p w14:paraId="29431FEC">
            <w:pPr>
              <w:pStyle w:val="7"/>
              <w:pBdr>
                <w:top w:val="none" w:color="auto" w:sz="0" w:space="0"/>
                <w:left w:val="none" w:color="auto" w:sz="0" w:space="0"/>
                <w:bottom w:val="none" w:color="auto" w:sz="0" w:space="0"/>
                <w:right w:val="none" w:color="auto" w:sz="0" w:space="0"/>
                <w:between w:val="none" w:color="auto" w:sz="0" w:space="0"/>
              </w:pBdr>
              <w:jc w:val="left"/>
              <w:rPr>
                <w:rFonts w:hint="eastAsia" w:eastAsia="宋体"/>
                <w:b w:val="0"/>
                <w:bCs w:val="0"/>
                <w:vertAlign w:val="baseline"/>
                <w:lang w:val="en-US" w:eastAsia="zh-CN"/>
              </w:rPr>
            </w:pPr>
            <w:r>
              <w:rPr>
                <w:rFonts w:hint="eastAsia" w:eastAsia="宋体"/>
                <w:b w:val="0"/>
                <w:bCs w:val="0"/>
                <w:vertAlign w:val="baseline"/>
                <w:lang w:val="en-US" w:eastAsia="zh-CN"/>
              </w:rPr>
              <w:t>大写：</w:t>
            </w:r>
          </w:p>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r>
              <w:rPr>
                <w:rFonts w:hint="eastAsia" w:eastAsia="宋体"/>
                <w:b w:val="0"/>
                <w:bCs w:val="0"/>
                <w:vertAlign w:val="baseline"/>
                <w:lang w:val="en-US" w:eastAsia="zh-CN"/>
              </w:rPr>
              <w:t>小写：</w:t>
            </w: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FABE301-9BDA-482F-9477-189D7DA12B7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46C6310-C6E5-4C7F-8E1B-D5114DB501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D7BA9B2-364D-4063-8761-93F2947509DF}"/>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29B3625-FFF7-4509-B375-E9BFB87C8EBA}"/>
  </w:font>
  <w:font w:name="Segoe UI Symbol">
    <w:panose1 w:val="020B0502040204020203"/>
    <w:charset w:val="00"/>
    <w:family w:val="swiss"/>
    <w:pitch w:val="default"/>
    <w:sig w:usb0="800001E3" w:usb1="1200FFEF" w:usb2="00040000" w:usb3="04000000" w:csb0="00000001" w:csb1="40000000"/>
    <w:embedRegular r:id="rId5" w:fontKey="{E2055DCF-B8F8-4EF5-87EF-AF67878CE012}"/>
  </w:font>
  <w:font w:name="Wingdings 2">
    <w:altName w:val="Wingdings"/>
    <w:panose1 w:val="05020102010507070707"/>
    <w:charset w:val="4D"/>
    <w:family w:val="decorative"/>
    <w:pitch w:val="default"/>
    <w:sig w:usb0="00000000" w:usb1="00000000" w:usb2="00000000" w:usb3="00000000" w:csb0="80000000" w:csb1="00000000"/>
    <w:embedRegular r:id="rId6" w:fontKey="{9D7B0548-09D8-4323-944C-1AADA2A1EDC1}"/>
  </w:font>
  <w:font w:name="微软雅黑">
    <w:panose1 w:val="020B0503020204020204"/>
    <w:charset w:val="86"/>
    <w:family w:val="swiss"/>
    <w:pitch w:val="default"/>
    <w:sig w:usb0="80000287" w:usb1="2ACF3C50" w:usb2="00000016" w:usb3="00000000" w:csb0="0004001F" w:csb1="00000000"/>
    <w:embedRegular r:id="rId7" w:fontKey="{4E519BE6-2B6E-407C-8084-B6E0FA851388}"/>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5</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35</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FF304F"/>
    <w:rsid w:val="1DD000AF"/>
    <w:rsid w:val="1E09745A"/>
    <w:rsid w:val="1E176351"/>
    <w:rsid w:val="1FD31681"/>
    <w:rsid w:val="229D6DB5"/>
    <w:rsid w:val="23332932"/>
    <w:rsid w:val="23D4489F"/>
    <w:rsid w:val="248A553D"/>
    <w:rsid w:val="262001B9"/>
    <w:rsid w:val="26E85AE1"/>
    <w:rsid w:val="27B87AF9"/>
    <w:rsid w:val="27E80EA9"/>
    <w:rsid w:val="280414A1"/>
    <w:rsid w:val="28570368"/>
    <w:rsid w:val="29A82748"/>
    <w:rsid w:val="29C5318E"/>
    <w:rsid w:val="2B502F98"/>
    <w:rsid w:val="2C9A0A9E"/>
    <w:rsid w:val="2CA621A6"/>
    <w:rsid w:val="2DA70D65"/>
    <w:rsid w:val="2EE31C10"/>
    <w:rsid w:val="313B414B"/>
    <w:rsid w:val="3427766B"/>
    <w:rsid w:val="343706EB"/>
    <w:rsid w:val="351A08D0"/>
    <w:rsid w:val="36334CE5"/>
    <w:rsid w:val="36A829A3"/>
    <w:rsid w:val="3A551407"/>
    <w:rsid w:val="3AE57E7C"/>
    <w:rsid w:val="3B033C36"/>
    <w:rsid w:val="3E4D49D4"/>
    <w:rsid w:val="3E5D4E8E"/>
    <w:rsid w:val="3FE25336"/>
    <w:rsid w:val="41EC6EE3"/>
    <w:rsid w:val="42075FF8"/>
    <w:rsid w:val="42842020"/>
    <w:rsid w:val="441167AE"/>
    <w:rsid w:val="44B14170"/>
    <w:rsid w:val="468567BB"/>
    <w:rsid w:val="4782487D"/>
    <w:rsid w:val="47B927EA"/>
    <w:rsid w:val="49F21769"/>
    <w:rsid w:val="4B31068E"/>
    <w:rsid w:val="4BA55220"/>
    <w:rsid w:val="4BAD0151"/>
    <w:rsid w:val="4C7174F3"/>
    <w:rsid w:val="4C8F75A2"/>
    <w:rsid w:val="4D581919"/>
    <w:rsid w:val="4DAD4403"/>
    <w:rsid w:val="4E8C008E"/>
    <w:rsid w:val="4FEF758C"/>
    <w:rsid w:val="50771A9C"/>
    <w:rsid w:val="51C47F6D"/>
    <w:rsid w:val="535C64FC"/>
    <w:rsid w:val="5455382C"/>
    <w:rsid w:val="54643166"/>
    <w:rsid w:val="55242A52"/>
    <w:rsid w:val="56C55F4F"/>
    <w:rsid w:val="571F5A86"/>
    <w:rsid w:val="57235ED9"/>
    <w:rsid w:val="5774152D"/>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9F0516E"/>
    <w:rsid w:val="6C260DCB"/>
    <w:rsid w:val="6C487AFD"/>
    <w:rsid w:val="6CB24363"/>
    <w:rsid w:val="6EA93466"/>
    <w:rsid w:val="6EE4021E"/>
    <w:rsid w:val="6F97249D"/>
    <w:rsid w:val="6FCF0795"/>
    <w:rsid w:val="70EE62C9"/>
    <w:rsid w:val="71241736"/>
    <w:rsid w:val="71381023"/>
    <w:rsid w:val="7139702E"/>
    <w:rsid w:val="73714961"/>
    <w:rsid w:val="740B27F3"/>
    <w:rsid w:val="754D1D92"/>
    <w:rsid w:val="758350A9"/>
    <w:rsid w:val="759E3B4B"/>
    <w:rsid w:val="7641182E"/>
    <w:rsid w:val="76FA6613"/>
    <w:rsid w:val="775218F8"/>
    <w:rsid w:val="79687E1D"/>
    <w:rsid w:val="79B62FBA"/>
    <w:rsid w:val="7B0A23D6"/>
    <w:rsid w:val="7B560FD7"/>
    <w:rsid w:val="7B5F74F8"/>
    <w:rsid w:val="7B690630"/>
    <w:rsid w:val="7C5123F4"/>
    <w:rsid w:val="7CB400F8"/>
    <w:rsid w:val="7D040AB6"/>
    <w:rsid w:val="7D4119E6"/>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129</Words>
  <Characters>136</Characters>
  <Lines>127</Lines>
  <Paragraphs>35</Paragraphs>
  <TotalTime>0</TotalTime>
  <ScaleCrop>false</ScaleCrop>
  <LinksUpToDate>false</LinksUpToDate>
  <CharactersWithSpaces>156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2026-08-05T01:54:23Z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BA5372134E0243939F0223CB7169D9E9_13</vt:lpwstr>
  </property>
  <property fmtid="{D5CDD505-2E9C-101B-9397-08002B2CF9AE}" pid="4" name="KSOTemplateDocerSaveRecord">
    <vt:lpwstr>eyJoZGlkIjoiZjQ1ZDk1MmU3MjAyNzI4MjAzOTVhMjZhNTA1ZWNlMmEiLCJ1c2VySWQiOiI2NTgwMTYxNjcifQ==</vt:lpwstr>
  </property>
</Properties>
</file>