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肺功能信息化系统</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20358"/>
      <w:bookmarkStart w:id="2" w:name="_Toc21919"/>
      <w:bookmarkStart w:id="3" w:name="_Toc3240"/>
      <w:bookmarkStart w:id="4" w:name="_Toc62832406"/>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3"/>
        <w:gridCol w:w="1998"/>
        <w:gridCol w:w="769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601"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01"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01"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肺功能信息化系统采购</w:t>
            </w:r>
            <w:r>
              <w:rPr>
                <w:rFonts w:ascii="Times New Roman" w:hAnsi="Times New Roman" w:eastAsia="仿宋" w:cs="Times New Roman"/>
                <w:sz w:val="22"/>
              </w:rPr>
              <w:t>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01"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CGZX-YXX20261323</w:t>
            </w:r>
            <w:r>
              <w:rPr>
                <w:rFonts w:ascii="Times New Roman" w:hAnsi="Times New Roman" w:eastAsia="仿宋" w:cs="Times New Roman"/>
                <w:sz w:val="22"/>
              </w:rPr>
              <w:t xml:space="preserve">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01"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01"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14:paraId="526F90A0">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338000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，限高单价</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lang w:eastAsia="zh-CN"/>
              </w:rPr>
              <w:t>分项限高总价</w:t>
            </w:r>
            <w:r>
              <w:rPr>
                <w:rFonts w:hint="eastAsia" w:ascii="Times New Roman" w:hAnsi="Times New Roman" w:eastAsia="仿宋" w:cs="Times New Roman"/>
                <w:sz w:val="22"/>
                <w:lang w:val="en-US" w:eastAsia="zh-CN"/>
              </w:rPr>
              <w:t>详见第四章。</w:t>
            </w:r>
          </w:p>
          <w:p w14:paraId="5686ADE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lang w:eastAsia="zh-CN"/>
              </w:rPr>
              <w:t>限高单价</w:t>
            </w:r>
            <w:r>
              <w:rPr>
                <w:rFonts w:ascii="Times New Roman" w:hAnsi="Times New Roman" w:eastAsia="仿宋" w:cs="Times New Roman"/>
                <w:sz w:val="22"/>
              </w:rPr>
              <w:t>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01"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01"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01"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01"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601"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01"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01"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01"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合同总价5%。（逾期未缴纳履约保证金，视为自动放弃成交资格）</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rPr>
              <w:t>合同生效后</w:t>
            </w:r>
            <w:r>
              <w:rPr>
                <w:rFonts w:hint="eastAsia" w:ascii="Times New Roman" w:hAnsi="Times New Roman" w:eastAsia="仿宋" w:cs="Times New Roman"/>
                <w:sz w:val="22"/>
                <w:szCs w:val="22"/>
                <w:u w:val="single"/>
                <w:lang w:val="zh-CN"/>
              </w:rPr>
              <w:t>7</w:t>
            </w:r>
            <w:r>
              <w:rPr>
                <w:rFonts w:hint="eastAsia" w:ascii="Times New Roman" w:hAnsi="Times New Roman" w:eastAsia="仿宋" w:cs="Times New Roman"/>
                <w:sz w:val="22"/>
                <w:szCs w:val="22"/>
                <w:lang w:val="zh-CN"/>
              </w:rPr>
              <w:t>个工作日内</w:t>
            </w:r>
            <w:r>
              <w:rPr>
                <w:rFonts w:ascii="Times New Roman" w:hAnsi="Times New Roman" w:eastAsia="仿宋" w:cs="Times New Roman"/>
                <w:sz w:val="22"/>
                <w:szCs w:val="22"/>
                <w:lang w:val="zh-CN"/>
              </w:rPr>
              <w:t>；</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服务期满后，供应商向采购人提交退款申请及相应票据，采购人在 55工作日内将履约保证金扣减考核金额（如涉及考核）后一次性无息退还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092565A1">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供应商拒绝履行与采购人订立的合同；</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01"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01"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01"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01"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王老师028-87393060</w:t>
            </w:r>
          </w:p>
          <w:p w14:paraId="2BA809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医学信息中心</w:t>
            </w:r>
            <w:r>
              <w:rPr>
                <w:rFonts w:ascii="Times New Roman" w:hAnsi="Times New Roman" w:eastAsia="仿宋" w:cs="Times New Roman"/>
                <w:sz w:val="22"/>
              </w:rPr>
              <w:t>部门</w:t>
            </w:r>
          </w:p>
          <w:p w14:paraId="6870918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刘</w:t>
            </w:r>
            <w:r>
              <w:rPr>
                <w:rFonts w:ascii="Times New Roman" w:hAnsi="Times New Roman" w:eastAsia="仿宋" w:cs="Times New Roman"/>
                <w:sz w:val="22"/>
                <w:u w:val="none"/>
              </w:rPr>
              <w:t>老师</w:t>
            </w:r>
            <w:r>
              <w:rPr>
                <w:rFonts w:hint="eastAsia" w:ascii="Times New Roman" w:hAnsi="Times New Roman" w:eastAsia="仿宋" w:cs="Times New Roman"/>
                <w:sz w:val="22"/>
              </w:rPr>
              <w:t>028-87393250</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028-87393060</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1"/>
        <w:gridCol w:w="11"/>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w:t>
            </w:r>
            <w:r>
              <w:rPr>
                <w:rFonts w:ascii="Times New Roman" w:hAnsi="Times New Roman" w:eastAsia="仿宋" w:cs="Times New Roman"/>
                <w:b/>
                <w:bCs/>
                <w:sz w:val="22"/>
                <w:u w:val="single"/>
              </w:rPr>
              <w:t xml:space="preserve">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b/>
                <w:bCs/>
                <w:sz w:val="22"/>
                <w:u w:val="single"/>
                <w:lang w:val="en-US" w:eastAsia="zh-CN"/>
              </w:rPr>
              <w:t>/</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5C119761">
      <w:pPr>
        <w:pStyle w:val="16"/>
        <w:numPr>
          <w:ilvl w:val="0"/>
          <w:numId w:val="0"/>
        </w:numPr>
        <w:spacing w:line="360" w:lineRule="auto"/>
        <w:rPr>
          <w:rFonts w:hint="eastAsia" w:ascii="Times New Roman" w:hAnsi="Times New Roman" w:eastAsia="仿宋" w:cs="Times New Roman"/>
          <w:b w:val="0"/>
          <w:kern w:val="2"/>
          <w:sz w:val="24"/>
          <w:szCs w:val="24"/>
          <w:lang w:val="en-US" w:eastAsia="zh-CN" w:bidi="ar-SA"/>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本项目拟确定一名供应商提供肺功能信息化系统</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ascii="Times New Roman" w:hAnsi="Times New Roman" w:eastAsia="仿宋" w:cs="Times New Roman"/>
          <w:sz w:val="24"/>
          <w:szCs w:val="24"/>
        </w:rPr>
        <w:cr/>
      </w:r>
      <w:r>
        <w:rPr>
          <w:rFonts w:hint="eastAsia" w:ascii="Times New Roman" w:hAnsi="Times New Roman" w:eastAsia="仿宋" w:cs="Times New Roman"/>
          <w:b/>
          <w:bCs/>
          <w:sz w:val="24"/>
          <w:szCs w:val="24"/>
          <w:lang w:val="en-US" w:eastAsia="zh-CN"/>
        </w:rPr>
        <w:t>（一）采购清单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74"/>
        <w:gridCol w:w="3741"/>
        <w:gridCol w:w="1306"/>
        <w:gridCol w:w="1333"/>
        <w:gridCol w:w="2756"/>
      </w:tblGrid>
      <w:tr w14:paraId="2AC9D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71C44E8">
            <w:pPr>
              <w:pStyle w:val="14"/>
              <w:keepNext w:val="0"/>
              <w:keepLines w:val="0"/>
              <w:widowControl/>
              <w:suppressLineNumbers w:val="0"/>
              <w:jc w:val="center"/>
              <w:rPr>
                <w:rStyle w:val="21"/>
                <w:rFonts w:hint="eastAsia" w:ascii="仿宋" w:hAnsi="仿宋" w:eastAsia="仿宋" w:cs="仿宋"/>
                <w:color w:val="000000"/>
                <w:sz w:val="24"/>
                <w:szCs w:val="24"/>
              </w:rPr>
            </w:pPr>
            <w:r>
              <w:rPr>
                <w:rStyle w:val="21"/>
                <w:rFonts w:hint="eastAsia" w:ascii="仿宋" w:hAnsi="仿宋" w:eastAsia="仿宋" w:cs="仿宋"/>
                <w:color w:val="000000"/>
                <w:sz w:val="24"/>
                <w:szCs w:val="24"/>
              </w:rPr>
              <w:t>序号</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A830AF6">
            <w:pPr>
              <w:pStyle w:val="14"/>
              <w:keepNext w:val="0"/>
              <w:keepLines w:val="0"/>
              <w:widowControl/>
              <w:suppressLineNumbers w:val="0"/>
              <w:jc w:val="center"/>
              <w:rPr>
                <w:rStyle w:val="21"/>
                <w:rFonts w:hint="eastAsia" w:ascii="仿宋" w:hAnsi="仿宋" w:eastAsia="仿宋" w:cs="仿宋"/>
                <w:color w:val="000000"/>
                <w:sz w:val="24"/>
                <w:szCs w:val="24"/>
              </w:rPr>
            </w:pPr>
            <w:r>
              <w:rPr>
                <w:rStyle w:val="21"/>
                <w:rFonts w:hint="eastAsia" w:ascii="仿宋" w:hAnsi="仿宋" w:eastAsia="仿宋" w:cs="仿宋"/>
                <w:color w:val="000000"/>
                <w:sz w:val="24"/>
                <w:szCs w:val="24"/>
              </w:rPr>
              <w:t>品名</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9B30644">
            <w:pPr>
              <w:pStyle w:val="14"/>
              <w:keepNext w:val="0"/>
              <w:keepLines w:val="0"/>
              <w:widowControl/>
              <w:suppressLineNumbers w:val="0"/>
              <w:jc w:val="center"/>
              <w:rPr>
                <w:rStyle w:val="21"/>
                <w:rFonts w:hint="eastAsia" w:ascii="仿宋" w:hAnsi="仿宋" w:eastAsia="仿宋" w:cs="仿宋"/>
                <w:color w:val="000000"/>
                <w:sz w:val="24"/>
                <w:szCs w:val="24"/>
              </w:rPr>
            </w:pPr>
            <w:r>
              <w:rPr>
                <w:rFonts w:hint="eastAsia" w:ascii="Times New Roman" w:hAnsi="Times New Roman" w:eastAsia="仿宋" w:cs="Times New Roman"/>
                <w:b w:val="0"/>
                <w:kern w:val="2"/>
                <w:sz w:val="24"/>
                <w:szCs w:val="24"/>
                <w:lang w:val="en-US" w:eastAsia="zh-CN" w:bidi="ar-SA"/>
              </w:rPr>
              <w:t>★</w:t>
            </w:r>
            <w:r>
              <w:rPr>
                <w:rStyle w:val="21"/>
                <w:rFonts w:hint="eastAsia" w:ascii="仿宋" w:hAnsi="仿宋" w:eastAsia="仿宋" w:cs="仿宋"/>
                <w:color w:val="000000"/>
                <w:sz w:val="24"/>
                <w:szCs w:val="24"/>
              </w:rPr>
              <w:t>数量</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2AF1EF1">
            <w:pPr>
              <w:pStyle w:val="14"/>
              <w:keepNext w:val="0"/>
              <w:keepLines w:val="0"/>
              <w:widowControl/>
              <w:suppressLineNumbers w:val="0"/>
              <w:jc w:val="center"/>
              <w:rPr>
                <w:rStyle w:val="21"/>
                <w:rFonts w:hint="eastAsia" w:ascii="仿宋" w:hAnsi="仿宋" w:eastAsia="仿宋" w:cs="仿宋"/>
                <w:color w:val="000000"/>
                <w:sz w:val="24"/>
                <w:szCs w:val="24"/>
              </w:rPr>
            </w:pPr>
            <w:r>
              <w:rPr>
                <w:rFonts w:hint="eastAsia" w:ascii="Times New Roman" w:hAnsi="Times New Roman" w:eastAsia="仿宋" w:cs="Times New Roman"/>
                <w:b w:val="0"/>
                <w:kern w:val="2"/>
                <w:sz w:val="24"/>
                <w:szCs w:val="24"/>
                <w:lang w:val="en-US" w:eastAsia="zh-CN" w:bidi="ar-SA"/>
              </w:rPr>
              <w:t>★</w:t>
            </w:r>
            <w:r>
              <w:rPr>
                <w:rStyle w:val="21"/>
                <w:rFonts w:hint="eastAsia" w:ascii="仿宋" w:hAnsi="仿宋" w:eastAsia="仿宋" w:cs="仿宋"/>
                <w:color w:val="000000"/>
                <w:sz w:val="24"/>
                <w:szCs w:val="24"/>
              </w:rPr>
              <w:t>单位</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B70D2F4">
            <w:pPr>
              <w:pStyle w:val="14"/>
              <w:keepNext w:val="0"/>
              <w:keepLines w:val="0"/>
              <w:widowControl/>
              <w:suppressLineNumbers w:val="0"/>
              <w:jc w:val="center"/>
              <w:rPr>
                <w:rStyle w:val="21"/>
                <w:rFonts w:hint="eastAsia" w:ascii="仿宋" w:hAnsi="仿宋" w:eastAsia="仿宋" w:cs="仿宋"/>
                <w:color w:val="000000"/>
                <w:sz w:val="24"/>
                <w:szCs w:val="24"/>
              </w:rPr>
            </w:pPr>
            <w:r>
              <w:rPr>
                <w:rFonts w:hint="eastAsia" w:ascii="Times New Roman" w:hAnsi="Times New Roman" w:eastAsia="仿宋" w:cs="Times New Roman"/>
                <w:b w:val="0"/>
                <w:kern w:val="2"/>
                <w:sz w:val="24"/>
                <w:szCs w:val="24"/>
                <w:lang w:val="en-US" w:eastAsia="zh-CN" w:bidi="ar-SA"/>
              </w:rPr>
              <w:t>★</w:t>
            </w:r>
            <w:r>
              <w:rPr>
                <w:rStyle w:val="21"/>
                <w:rFonts w:hint="eastAsia" w:ascii="仿宋" w:hAnsi="仿宋" w:eastAsia="仿宋" w:cs="仿宋"/>
                <w:color w:val="000000"/>
                <w:sz w:val="24"/>
                <w:szCs w:val="24"/>
              </w:rPr>
              <w:t>限高单价（万元）</w:t>
            </w:r>
          </w:p>
        </w:tc>
      </w:tr>
      <w:tr w14:paraId="456CB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103F79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5B0E89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首页工作台</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DB1A7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DC38AE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F89AC5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r>
      <w:tr w14:paraId="6584A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A849FF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726EBF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患者管理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784AA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DC1004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BF6C37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w:t>
            </w:r>
          </w:p>
        </w:tc>
      </w:tr>
      <w:tr w14:paraId="6F6B0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41EAD5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180D89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检查医嘱管理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10280B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59A2B5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211B92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r>
      <w:tr w14:paraId="53FBE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F7FF42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F4D5A5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检查评估管理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9BE96F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CF2196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D00453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w:t>
            </w:r>
          </w:p>
        </w:tc>
      </w:tr>
      <w:tr w14:paraId="7EE4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1EA44F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4F4A0A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报告解读</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753F12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3B0F21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17CE60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4.0</w:t>
            </w:r>
          </w:p>
        </w:tc>
      </w:tr>
      <w:tr w14:paraId="2317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E3F3F0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23F9B6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报告审核</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08C8F1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F6FFF4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247B38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w:t>
            </w:r>
          </w:p>
        </w:tc>
      </w:tr>
      <w:tr w14:paraId="618C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86DDEB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1ECCBA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肺功能辅助质控与判读</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911ABA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2ED2E2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EB6671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4.0</w:t>
            </w:r>
          </w:p>
        </w:tc>
      </w:tr>
      <w:tr w14:paraId="4DDFC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64C352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A0A7F0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检查报告综合查询</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7C8B09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64C0BA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B6FA9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1.8</w:t>
            </w:r>
          </w:p>
        </w:tc>
      </w:tr>
      <w:tr w14:paraId="3C877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7E7F16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F02259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多源检查数据集成</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2980E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44E46F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9CB5E0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w:t>
            </w:r>
          </w:p>
        </w:tc>
      </w:tr>
      <w:tr w14:paraId="29383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9ABCDC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9B7278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风险指标识别</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232A84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69DC2A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0B6CA8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w:t>
            </w:r>
          </w:p>
        </w:tc>
      </w:tr>
      <w:tr w14:paraId="78203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9E2A95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5F0F52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0B79A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FC9F9D1">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E0D8F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0.5</w:t>
            </w:r>
          </w:p>
        </w:tc>
      </w:tr>
      <w:tr w14:paraId="72A13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CEFC16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12</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C26B30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设备质控</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EEE33E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729AB7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6E5A62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w:t>
            </w:r>
          </w:p>
        </w:tc>
      </w:tr>
      <w:tr w14:paraId="5BF64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E7435E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13</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55921A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工作量统计</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15C8708">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E7EC28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AFF8B1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r>
      <w:tr w14:paraId="10F13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DEEBED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14</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AE660B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系统对接</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878B76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A4FD40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930914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0.5</w:t>
            </w:r>
          </w:p>
        </w:tc>
      </w:tr>
      <w:tr w14:paraId="7D1B3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7DE53A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94A28A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数据管理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C23456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7F702C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9195F1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w:t>
            </w:r>
          </w:p>
        </w:tc>
      </w:tr>
      <w:tr w14:paraId="1A1E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0A4B65C">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16</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23C55D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日志管理</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48ECA5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25893B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34AF77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w:t>
            </w:r>
          </w:p>
        </w:tc>
      </w:tr>
      <w:tr w14:paraId="0650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1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0E54D6F">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17</w:t>
            </w:r>
          </w:p>
        </w:tc>
        <w:tc>
          <w:tcPr>
            <w:tcW w:w="179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64719C2">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全院肺功能建设中心申报</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9AD0D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w:t>
            </w:r>
          </w:p>
        </w:tc>
        <w:tc>
          <w:tcPr>
            <w:tcW w:w="640"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3DAFE4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项</w:t>
            </w:r>
          </w:p>
        </w:tc>
        <w:tc>
          <w:tcPr>
            <w:tcW w:w="1323"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70C678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4.0</w:t>
            </w:r>
          </w:p>
        </w:tc>
      </w:tr>
    </w:tbl>
    <w:p w14:paraId="7D7415D5">
      <w:pPr>
        <w:pStyle w:val="3"/>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ascii="仿宋" w:hAnsi="仿宋" w:eastAsia="仿宋" w:cs="仿宋"/>
          <w:b w:val="0"/>
          <w:kern w:val="2"/>
          <w:sz w:val="24"/>
          <w:szCs w:val="24"/>
          <w:lang w:val="en-US" w:eastAsia="zh-CN" w:bidi="ar-SA"/>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val="0"/>
          <w:kern w:val="2"/>
          <w:sz w:val="24"/>
          <w:szCs w:val="24"/>
          <w:lang w:val="en-US" w:eastAsia="zh-CN" w:bidi="ar-SA"/>
        </w:rPr>
        <w:t>★</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b/>
          <w:bCs/>
          <w:kern w:val="2"/>
          <w:sz w:val="24"/>
          <w:szCs w:val="24"/>
          <w:lang w:val="en-US" w:eastAsia="zh-CN" w:bidi="ar-SA"/>
        </w:rPr>
        <w:t>接口清单</w:t>
      </w:r>
    </w:p>
    <w:p w14:paraId="2185D7C7">
      <w:pPr>
        <w:pStyle w:val="16"/>
        <w:numPr>
          <w:ilvl w:val="0"/>
          <w:numId w:val="0"/>
        </w:numPr>
        <w:spacing w:line="360" w:lineRule="auto"/>
        <w:ind w:firstLine="480" w:firstLineChars="20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本项目实施期间，凡涉及与东软集团股份有限公司（以下简称“东软”）既有系统对接，所产生的费用由采购人承担；其余非东软系统对接产生的费用，则由成交供应商承担</w:t>
      </w:r>
      <w:bookmarkStart w:id="99" w:name="_GoBack"/>
      <w:bookmarkEnd w:id="99"/>
      <w:r>
        <w:rPr>
          <w:rFonts w:hint="eastAsia" w:ascii="Times New Roman" w:hAnsi="Times New Roman" w:eastAsia="仿宋" w:cs="Times New Roman"/>
          <w:sz w:val="24"/>
          <w:szCs w:val="24"/>
          <w:lang w:val="en-US" w:eastAsia="zh-CN"/>
        </w:rPr>
        <w:t>，涵盖设备、包装、运输、安装、调试、税费及可能衍生的各项支出，均包含在本次采购费用中，采购人不再支付成交金额以外的任何款项。对接过程中，成交供应商应与采购人现有软件、硬件供应商友好协商，并于协商前向采购人提交接口方案清单，对接所产生费用的限高价为本项目合同总价的10%。</w:t>
      </w:r>
    </w:p>
    <w:p w14:paraId="35006163">
      <w:pPr>
        <w:ind w:firstLineChars="20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br w:type="page"/>
      </w:r>
    </w:p>
    <w:p w14:paraId="10010C9A">
      <w:pPr>
        <w:pStyle w:val="16"/>
        <w:numPr>
          <w:ilvl w:val="0"/>
          <w:numId w:val="0"/>
        </w:numPr>
        <w:spacing w:line="360" w:lineRule="auto"/>
        <w:ind w:firstLine="480" w:firstLineChars="200"/>
        <w:rPr>
          <w:rFonts w:hint="eastAsia" w:ascii="Times New Roman" w:hAnsi="Times New Roman" w:eastAsia="仿宋" w:cs="Times New Roman"/>
          <w:sz w:val="24"/>
          <w:szCs w:val="24"/>
          <w:lang w:val="en-US" w:eastAsia="zh-CN"/>
        </w:rPr>
      </w:pP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97"/>
        <w:gridCol w:w="2682"/>
        <w:gridCol w:w="1575"/>
        <w:gridCol w:w="2203"/>
        <w:gridCol w:w="1684"/>
        <w:gridCol w:w="1373"/>
      </w:tblGrid>
      <w:tr w14:paraId="65219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68" w:hRule="atLeast"/>
        </w:trPr>
        <w:tc>
          <w:tcPr>
            <w:tcW w:w="10414"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EC80F59">
            <w:pPr>
              <w:pStyle w:val="14"/>
              <w:keepNext w:val="0"/>
              <w:keepLines w:val="0"/>
              <w:widowControl/>
              <w:suppressLineNumbers w:val="0"/>
              <w:spacing w:line="360" w:lineRule="auto"/>
              <w:jc w:val="center"/>
            </w:pPr>
            <w:r>
              <w:rPr>
                <w:rFonts w:ascii="仿宋" w:hAnsi="仿宋" w:eastAsia="仿宋" w:cs="仿宋"/>
                <w:sz w:val="24"/>
                <w:szCs w:val="24"/>
              </w:rPr>
              <w:t>肺功能信息化系统与</w:t>
            </w:r>
            <w:r>
              <w:rPr>
                <w:rFonts w:hint="eastAsia" w:ascii="仿宋" w:hAnsi="仿宋" w:eastAsia="仿宋" w:cs="仿宋"/>
                <w:sz w:val="24"/>
                <w:szCs w:val="24"/>
                <w:lang w:val="en-US" w:eastAsia="zh-CN"/>
              </w:rPr>
              <w:t>采购人</w:t>
            </w:r>
            <w:r>
              <w:rPr>
                <w:rFonts w:ascii="仿宋" w:hAnsi="仿宋" w:eastAsia="仿宋" w:cs="仿宋"/>
                <w:sz w:val="24"/>
                <w:szCs w:val="24"/>
              </w:rPr>
              <w:t>肺功能硬件设备对接</w:t>
            </w:r>
          </w:p>
        </w:tc>
      </w:tr>
      <w:tr w14:paraId="545E6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644E0C">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序号</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11DFC74">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设备</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708CD84">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品牌</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82F9903">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型号</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C541EDB">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院区/数量</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8F40DA">
            <w:pPr>
              <w:pStyle w:val="14"/>
              <w:keepNext w:val="0"/>
              <w:keepLines w:val="0"/>
              <w:widowControl/>
              <w:suppressLineNumbers w:val="0"/>
              <w:spacing w:line="240" w:lineRule="auto"/>
              <w:jc w:val="center"/>
              <w:rPr>
                <w:rFonts w:hint="eastAsia" w:ascii="仿宋" w:hAnsi="仿宋" w:eastAsia="仿宋" w:cs="仿宋"/>
                <w:b/>
                <w:bCs/>
                <w:szCs w:val="24"/>
              </w:rPr>
            </w:pPr>
            <w:r>
              <w:rPr>
                <w:rFonts w:hint="eastAsia" w:ascii="仿宋" w:hAnsi="仿宋" w:eastAsia="仿宋" w:cs="仿宋"/>
                <w:b/>
                <w:bCs/>
                <w:sz w:val="24"/>
                <w:szCs w:val="24"/>
              </w:rPr>
              <w:t>对接方式</w:t>
            </w:r>
          </w:p>
        </w:tc>
      </w:tr>
      <w:tr w14:paraId="46F91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6D4DE9">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1</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831C6BA">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大型肺功能仪</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C7C9188">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德国耶格</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95AA32">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MasterScreenSes</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0F9FB7B">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龙泉/1台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496B89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3F75D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A882F38">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2</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AD34365">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呼出气一氧化氮测定系统</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8C391D">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瑞典NIOX</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1726F9">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NIOX MINO</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7D01A2">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龙泉/1台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DA6FFC">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0EE32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7C7624">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3</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7D1E0F">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便携式肺功能测定仪</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00EC84">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优呼吸</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50345AA">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PF810</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A90F0E0">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龙泉/1台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6F0533E">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接口协议</w:t>
            </w:r>
          </w:p>
        </w:tc>
      </w:tr>
      <w:tr w14:paraId="75434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9B5970">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4</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C2FC58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大型肺功能仪</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92C7D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德国耶格</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5C4B3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MasterScreenSes</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A5A05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本部/2台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A32371">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39BF1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7B66DD5">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5</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459094">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呼出气一氧化氮测定系统</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4686E29">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瑞典NIOX</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4144B3">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NIOX MINO</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2A3D42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6CBCAA">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415B7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5504D6C">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6</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1939FE">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呼出气一氧化氮测定系统</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49BF790">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无锡尚沃</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6A7592">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F32843">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A9E458A">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693C8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C07D3C3">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7</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B386A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呼出气一氧化氮测定系统</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8A4ED4">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瑞士艾科</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7875F7">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ANALYZER CLD 88 sp with DENOX 88</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0DC287F">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6C60226">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43499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897F64E">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8</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2975B95">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肺功能测定仪</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896A78E">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优呼吸</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B5B69D">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PF810</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A2EEEDB">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本部/5台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D22895">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接口协议</w:t>
            </w:r>
          </w:p>
        </w:tc>
      </w:tr>
      <w:tr w14:paraId="0A0B4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048243">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9</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71E0985">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运动心肺测定系统</w:t>
            </w:r>
          </w:p>
        </w:tc>
        <w:tc>
          <w:tcPr>
            <w:tcW w:w="15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B85315F">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德国CorTex</w:t>
            </w:r>
          </w:p>
        </w:tc>
        <w:tc>
          <w:tcPr>
            <w:tcW w:w="220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C9F4CD">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w:t>
            </w:r>
          </w:p>
        </w:tc>
        <w:tc>
          <w:tcPr>
            <w:tcW w:w="168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3B77AC0">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本部/1台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DCD516">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PDF</w:t>
            </w:r>
          </w:p>
        </w:tc>
      </w:tr>
      <w:tr w14:paraId="5689D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10414"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04A8813">
            <w:pPr>
              <w:pStyle w:val="14"/>
              <w:keepNext w:val="0"/>
              <w:keepLines w:val="0"/>
              <w:widowControl/>
              <w:suppressLineNumbers w:val="0"/>
              <w:spacing w:line="240" w:lineRule="auto"/>
              <w:jc w:val="center"/>
              <w:rPr>
                <w:rFonts w:hint="eastAsia" w:ascii="仿宋" w:hAnsi="仿宋" w:eastAsia="仿宋" w:cs="仿宋"/>
                <w:szCs w:val="24"/>
              </w:rPr>
            </w:pPr>
            <w:r>
              <w:rPr>
                <w:rFonts w:hint="eastAsia" w:ascii="仿宋" w:hAnsi="仿宋" w:eastAsia="仿宋" w:cs="仿宋"/>
                <w:sz w:val="24"/>
                <w:szCs w:val="24"/>
              </w:rPr>
              <w:t>设备对接范围：本部及分院区肺功能室对接设备总计：14台，如有需要，需支持对接临床科室其他肺功能相关小型设备，临床科室设备对接不超过100台。</w:t>
            </w:r>
          </w:p>
        </w:tc>
      </w:tr>
      <w:tr w14:paraId="788B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5" w:hRule="atLeast"/>
        </w:trPr>
        <w:tc>
          <w:tcPr>
            <w:tcW w:w="10414"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F579CD">
            <w:pPr>
              <w:pStyle w:val="14"/>
              <w:keepNext w:val="0"/>
              <w:keepLines w:val="0"/>
              <w:widowControl/>
              <w:suppressLineNumbers w:val="0"/>
              <w:spacing w:line="360" w:lineRule="auto"/>
              <w:jc w:val="center"/>
            </w:pPr>
            <w:r>
              <w:rPr>
                <w:rFonts w:hint="eastAsia" w:ascii="仿宋" w:hAnsi="仿宋" w:eastAsia="仿宋" w:cs="仿宋"/>
                <w:sz w:val="24"/>
                <w:szCs w:val="24"/>
              </w:rPr>
              <w:t>肺功能信息化系统与采购人软件对接</w:t>
            </w:r>
          </w:p>
        </w:tc>
      </w:tr>
      <w:tr w14:paraId="6E979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ED7818D">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1C58E">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软件</w:t>
            </w:r>
          </w:p>
        </w:tc>
        <w:tc>
          <w:tcPr>
            <w:tcW w:w="3778"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F6B676">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生产厂商（全称）</w:t>
            </w:r>
          </w:p>
        </w:tc>
        <w:tc>
          <w:tcPr>
            <w:tcW w:w="3057"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F5A5045">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对接描述</w:t>
            </w:r>
          </w:p>
        </w:tc>
      </w:tr>
      <w:tr w14:paraId="2BDF5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DB980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FAAA7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HIS</w:t>
            </w:r>
          </w:p>
        </w:tc>
        <w:tc>
          <w:tcPr>
            <w:tcW w:w="3778"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6322A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057"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C2AB1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数据同步</w:t>
            </w:r>
          </w:p>
        </w:tc>
      </w:tr>
      <w:tr w14:paraId="54A47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662ED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268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9D61E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集成平台</w:t>
            </w:r>
          </w:p>
        </w:tc>
        <w:tc>
          <w:tcPr>
            <w:tcW w:w="3778"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2F16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057"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49B6F0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数据同步</w:t>
            </w:r>
          </w:p>
        </w:tc>
      </w:tr>
    </w:tbl>
    <w:p w14:paraId="03A1BE32">
      <w:pPr>
        <w:pStyle w:val="3"/>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cs="Times New Roman"/>
          <w:sz w:val="24"/>
          <w:szCs w:val="24"/>
          <w:lang w:val="en-US" w:eastAsia="zh-CN"/>
        </w:rPr>
      </w:pPr>
    </w:p>
    <w:p w14:paraId="09B982B9">
      <w:pPr>
        <w:pStyle w:val="3"/>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cs="Times New Roman"/>
          <w:b w:val="0"/>
          <w:kern w:val="2"/>
          <w:sz w:val="24"/>
          <w:szCs w:val="24"/>
          <w:lang w:val="en-US" w:eastAsia="zh-CN" w:bidi="ar-SA"/>
        </w:rPr>
      </w:pPr>
      <w:r>
        <w:rPr>
          <w:rFonts w:hint="eastAsia" w:cs="Times New Roman"/>
          <w:sz w:val="24"/>
          <w:szCs w:val="24"/>
          <w:lang w:val="en-US" w:eastAsia="zh-CN"/>
        </w:rPr>
        <w:t>（二）技术</w:t>
      </w:r>
      <w:r>
        <w:rPr>
          <w:rFonts w:hint="eastAsia" w:cs="Times New Roman"/>
          <w:b/>
          <w:bCs/>
          <w:kern w:val="2"/>
          <w:sz w:val="24"/>
          <w:szCs w:val="24"/>
          <w:lang w:val="en-US" w:eastAsia="zh-CN" w:bidi="ar-SA"/>
        </w:rPr>
        <w:t>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606"/>
        <w:gridCol w:w="7629"/>
      </w:tblGrid>
      <w:tr w14:paraId="16446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A56B53">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E603AAD">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参数模块</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72284DE">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参数需求</w:t>
            </w:r>
          </w:p>
        </w:tc>
      </w:tr>
      <w:tr w14:paraId="30C9C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7C8FA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E08ED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首页工作台</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52AB98">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1、查阅患者；</w:t>
            </w:r>
            <w:r>
              <w:rPr>
                <w:rFonts w:hint="eastAsia" w:ascii="仿宋" w:hAnsi="仿宋" w:eastAsia="仿宋" w:cs="仿宋"/>
                <w:sz w:val="24"/>
                <w:szCs w:val="24"/>
              </w:rPr>
              <w:br w:type="textWrapping"/>
            </w:r>
            <w:r>
              <w:rPr>
                <w:rFonts w:hint="eastAsia" w:ascii="仿宋" w:hAnsi="仿宋" w:eastAsia="仿宋" w:cs="仿宋"/>
                <w:sz w:val="24"/>
                <w:szCs w:val="24"/>
              </w:rPr>
              <w:t>2、快捷操作：报告查询、设备管理；</w:t>
            </w:r>
            <w:r>
              <w:rPr>
                <w:rFonts w:hint="eastAsia" w:ascii="仿宋" w:hAnsi="仿宋" w:eastAsia="仿宋" w:cs="仿宋"/>
                <w:sz w:val="24"/>
                <w:szCs w:val="24"/>
              </w:rPr>
              <w:br w:type="textWrapping"/>
            </w:r>
            <w:r>
              <w:rPr>
                <w:rFonts w:hint="eastAsia" w:ascii="仿宋" w:hAnsi="仿宋" w:eastAsia="仿宋" w:cs="仿宋"/>
                <w:sz w:val="24"/>
                <w:szCs w:val="24"/>
              </w:rPr>
              <w:t>3、待办事项提醒：定期设备质控、待解读报告、待审核报告；</w:t>
            </w:r>
            <w:r>
              <w:rPr>
                <w:rFonts w:hint="eastAsia" w:ascii="仿宋" w:hAnsi="仿宋" w:eastAsia="仿宋" w:cs="仿宋"/>
                <w:sz w:val="24"/>
                <w:szCs w:val="24"/>
              </w:rPr>
              <w:br w:type="textWrapping"/>
            </w:r>
            <w:r>
              <w:rPr>
                <w:rFonts w:hint="eastAsia" w:ascii="仿宋" w:hAnsi="仿宋" w:eastAsia="仿宋" w:cs="仿宋"/>
                <w:sz w:val="24"/>
                <w:szCs w:val="24"/>
              </w:rPr>
              <w:t>4、肺功能检查概要数据统计。</w:t>
            </w:r>
          </w:p>
        </w:tc>
      </w:tr>
      <w:tr w14:paraId="531F5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758CE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02E0C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患者管理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07E380C">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患者详情：历史检查报告数据查询（至少包括肺功能检查报告、心肺功能评估报告、呼吸功能评估报告、呼出气检测报告），支持检查报告对比查看，支持绘制关键指标变化曲线趋势图。</w:t>
            </w:r>
          </w:p>
        </w:tc>
      </w:tr>
      <w:tr w14:paraId="503B2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75EC90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99B10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检查医嘱管理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BE55B2">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1、对接院内HIS系统检查医嘱申请单信息，实现检查项目、预约状态及检查执行状态的查询与管理；</w:t>
            </w:r>
            <w:r>
              <w:rPr>
                <w:rFonts w:hint="eastAsia" w:ascii="仿宋" w:hAnsi="仿宋" w:eastAsia="仿宋" w:cs="仿宋"/>
                <w:sz w:val="24"/>
                <w:szCs w:val="24"/>
              </w:rPr>
              <w:br w:type="textWrapping"/>
            </w:r>
            <w:r>
              <w:rPr>
                <w:rFonts w:hint="eastAsia" w:ascii="仿宋" w:hAnsi="仿宋" w:eastAsia="仿宋" w:cs="仿宋"/>
                <w:sz w:val="24"/>
                <w:szCs w:val="24"/>
              </w:rPr>
              <w:t>2、支持设备通过由肺功能检查管理系统提供的标准接口（WebService、MQ、HL7、视图、存储过程）读取申请单；</w:t>
            </w:r>
            <w:r>
              <w:rPr>
                <w:rFonts w:hint="eastAsia" w:ascii="仿宋" w:hAnsi="仿宋" w:eastAsia="仿宋" w:cs="仿宋"/>
                <w:sz w:val="24"/>
                <w:szCs w:val="24"/>
              </w:rPr>
              <w:br w:type="textWrapping"/>
            </w:r>
            <w:r>
              <w:rPr>
                <w:rFonts w:hint="eastAsia" w:ascii="仿宋" w:hAnsi="仿宋" w:eastAsia="仿宋" w:cs="仿宋"/>
                <w:sz w:val="24"/>
                <w:szCs w:val="24"/>
              </w:rPr>
              <w:t>3、支持科室手动录入检查申请单。</w:t>
            </w:r>
          </w:p>
        </w:tc>
      </w:tr>
      <w:tr w14:paraId="6448B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7D9F72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A6D62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检查评估管理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9D895C">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患者检查评估数据综合管理，支持检查前对患者症状、疾病史、用药情况进行评估。</w:t>
            </w:r>
          </w:p>
        </w:tc>
      </w:tr>
      <w:tr w14:paraId="39515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E777CD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E0583F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报告解读</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3D7E48F">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1、支持肺功能质控中心对多院区、多科室的检查报告进行统一解读；</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w:t>
            </w:r>
            <w:r>
              <w:rPr>
                <w:rFonts w:hint="eastAsia" w:ascii="仿宋" w:hAnsi="仿宋" w:eastAsia="仿宋" w:cs="仿宋"/>
                <w:sz w:val="24"/>
                <w:szCs w:val="24"/>
              </w:rPr>
              <w:t>2、肺功能检查源数据能够对接上传的设备，支持肺功能检查源数据（曲线、指标）的解读；</w:t>
            </w:r>
            <w:r>
              <w:rPr>
                <w:rFonts w:hint="eastAsia" w:ascii="仿宋" w:hAnsi="仿宋" w:eastAsia="仿宋" w:cs="仿宋"/>
                <w:sz w:val="24"/>
                <w:szCs w:val="24"/>
              </w:rPr>
              <w:br w:type="textWrapping"/>
            </w:r>
            <w:r>
              <w:rPr>
                <w:rFonts w:hint="eastAsia" w:ascii="仿宋" w:hAnsi="仿宋" w:eastAsia="仿宋" w:cs="仿宋"/>
                <w:sz w:val="24"/>
                <w:szCs w:val="24"/>
              </w:rPr>
              <w:t>3、已解读、待解读报告综合管理。</w:t>
            </w:r>
          </w:p>
        </w:tc>
      </w:tr>
      <w:tr w14:paraId="0B2FC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6F1F6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EEDC5B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报告审核</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552DC4">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1、支持肺功能质控中心对多院区、多科室的检查报告进行统一审核（可设定一级、二级审核流程以及科室人员的审核角色与权限）；</w:t>
            </w:r>
            <w:r>
              <w:rPr>
                <w:rFonts w:hint="eastAsia" w:ascii="仿宋" w:hAnsi="仿宋" w:eastAsia="仿宋" w:cs="仿宋"/>
                <w:sz w:val="24"/>
                <w:szCs w:val="24"/>
              </w:rPr>
              <w:br w:type="textWrapping"/>
            </w:r>
            <w:r>
              <w:rPr>
                <w:rFonts w:hint="eastAsia" w:ascii="仿宋" w:hAnsi="仿宋" w:eastAsia="仿宋" w:cs="仿宋"/>
                <w:sz w:val="24"/>
                <w:szCs w:val="24"/>
              </w:rPr>
              <w:t>2、支持对肺功能检查的常规类型判读、特殊类型判读、FVC/FEV1指标质量分级的审核；</w:t>
            </w:r>
            <w:r>
              <w:rPr>
                <w:rFonts w:hint="eastAsia" w:ascii="仿宋" w:hAnsi="仿宋" w:eastAsia="仿宋" w:cs="仿宋"/>
                <w:sz w:val="24"/>
                <w:szCs w:val="24"/>
              </w:rPr>
              <w:br w:type="textWrapping"/>
            </w:r>
            <w:r>
              <w:rPr>
                <w:rFonts w:hint="eastAsia" w:ascii="仿宋" w:hAnsi="仿宋" w:eastAsia="仿宋" w:cs="仿宋"/>
                <w:sz w:val="24"/>
                <w:szCs w:val="24"/>
              </w:rPr>
              <w:t>3、已审核、待审核报告综合管理。</w:t>
            </w:r>
          </w:p>
        </w:tc>
      </w:tr>
      <w:tr w14:paraId="2DAF7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0A6E4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C7516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肺功能辅助质控与判读</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5F921D8">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具备肺功能计算机辅助质控分析软件，支持对接入原始数据的肺功能检查进行智能辅助质控与判读，并支持以下功能：</w:t>
            </w:r>
            <w:r>
              <w:rPr>
                <w:rFonts w:hint="eastAsia" w:ascii="仿宋" w:hAnsi="仿宋" w:eastAsia="仿宋" w:cs="仿宋"/>
                <w:sz w:val="24"/>
                <w:szCs w:val="24"/>
              </w:rPr>
              <w:br w:type="textWrapping"/>
            </w:r>
            <w:r>
              <w:rPr>
                <w:rFonts w:hint="eastAsia" w:ascii="仿宋" w:hAnsi="仿宋" w:eastAsia="仿宋" w:cs="仿宋"/>
                <w:sz w:val="24"/>
                <w:szCs w:val="24"/>
              </w:rPr>
              <w:t>1、支持常规类型判读，至少包括混合性、阻塞性、阻塞性通气功能障碍，小气道功能障碍；</w:t>
            </w:r>
            <w:r>
              <w:rPr>
                <w:rFonts w:hint="eastAsia" w:ascii="仿宋" w:hAnsi="仿宋" w:eastAsia="仿宋" w:cs="仿宋"/>
                <w:sz w:val="24"/>
                <w:szCs w:val="24"/>
              </w:rPr>
              <w:br w:type="textWrapping"/>
            </w:r>
            <w:r>
              <w:rPr>
                <w:rFonts w:hint="eastAsia" w:ascii="仿宋" w:hAnsi="仿宋" w:eastAsia="仿宋" w:cs="仿宋"/>
                <w:sz w:val="24"/>
                <w:szCs w:val="24"/>
              </w:rPr>
              <w:t>2、支持特殊类型判读，至少包括单侧支气管不完全性阻塞，可变胸内型上气道阻塞，可变胸外型上气道阻塞，固定型上气道阻塞；</w:t>
            </w:r>
            <w:r>
              <w:rPr>
                <w:rFonts w:hint="eastAsia" w:ascii="仿宋" w:hAnsi="仿宋" w:eastAsia="仿宋" w:cs="仿宋"/>
                <w:sz w:val="24"/>
                <w:szCs w:val="24"/>
              </w:rPr>
              <w:br w:type="textWrapping"/>
            </w:r>
            <w:r>
              <w:rPr>
                <w:rFonts w:hint="eastAsia" w:ascii="仿宋" w:hAnsi="仿宋" w:eastAsia="仿宋" w:cs="仿宋"/>
                <w:sz w:val="24"/>
                <w:szCs w:val="24"/>
              </w:rPr>
              <w:t>3、支持FVC、FEV1指标可接受性和质量分级判定；</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w:t>
            </w:r>
            <w:r>
              <w:rPr>
                <w:rFonts w:hint="eastAsia" w:ascii="仿宋" w:hAnsi="仿宋" w:eastAsia="仿宋" w:cs="仿宋"/>
                <w:sz w:val="24"/>
                <w:szCs w:val="24"/>
              </w:rPr>
              <w:t>4、支持曲线问题判定，</w:t>
            </w:r>
            <w:r>
              <w:rPr>
                <w:rFonts w:hint="eastAsia" w:ascii="仿宋" w:hAnsi="仿宋" w:eastAsia="仿宋" w:cs="仿宋"/>
                <w:bCs/>
                <w:sz w:val="24"/>
                <w:szCs w:val="24"/>
                <w:lang w:val="en-US" w:eastAsia="zh-CN"/>
              </w:rPr>
              <w:t>至少包括</w:t>
            </w:r>
            <w:r>
              <w:rPr>
                <w:rFonts w:hint="eastAsia" w:ascii="仿宋" w:hAnsi="仿宋" w:eastAsia="仿宋" w:cs="仿宋"/>
                <w:sz w:val="24"/>
                <w:szCs w:val="24"/>
              </w:rPr>
              <w:t>呼气起始犹豫，爆发力不足，呼气第1秒内有咳嗽，呼气第1秒内有声门关闭，呼气第1秒后有声门关闭，外推容积过多，呼气过程出现舌头堵塞咬嘴；</w:t>
            </w:r>
            <w:r>
              <w:rPr>
                <w:rFonts w:hint="eastAsia" w:ascii="仿宋" w:hAnsi="仿宋" w:eastAsia="仿宋" w:cs="仿宋"/>
                <w:sz w:val="24"/>
                <w:szCs w:val="24"/>
              </w:rPr>
              <w:br w:type="textWrapping"/>
            </w:r>
            <w:r>
              <w:rPr>
                <w:rFonts w:hint="eastAsia" w:ascii="仿宋" w:hAnsi="仿宋" w:eastAsia="仿宋" w:cs="仿宋"/>
                <w:sz w:val="24"/>
                <w:szCs w:val="24"/>
              </w:rPr>
              <w:t>5、辅助质控与判读结果“绿 - 黄 - 红”置信度分区，在报告解读环节辅助医护人员建立分区解读机制。</w:t>
            </w:r>
          </w:p>
        </w:tc>
      </w:tr>
      <w:tr w14:paraId="0FF9F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B8189D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4A0E2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检查报告综合查询</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12E627">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建立全院肺功能检查数据库，支持多院区、多科室检查报告数据综合管理，多条件组合检索与查询，包括肺功能检查报告、心肺功能评估报告、呼吸功能评估报告、呼出气检测报告等，支持按PDF格式导出，满足单个或者批量导出报告。</w:t>
            </w:r>
          </w:p>
        </w:tc>
      </w:tr>
      <w:tr w14:paraId="45452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64D79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3B0175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多源检查数据集成</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7BC163">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1、开放肺功能标准数据接口，支持多品牌</w:t>
            </w:r>
            <w:r>
              <w:rPr>
                <w:rFonts w:hint="eastAsia" w:ascii="仿宋" w:hAnsi="仿宋" w:eastAsia="仿宋" w:cs="仿宋"/>
                <w:sz w:val="24"/>
                <w:szCs w:val="24"/>
                <w:lang w:eastAsia="zh-CN"/>
              </w:rPr>
              <w:t>（为“肺功能信息化系统与</w:t>
            </w:r>
            <w:r>
              <w:rPr>
                <w:rFonts w:hint="eastAsia" w:ascii="仿宋" w:hAnsi="仿宋" w:eastAsia="仿宋" w:cs="仿宋"/>
                <w:sz w:val="24"/>
                <w:szCs w:val="24"/>
                <w:lang w:val="en-US" w:eastAsia="zh-CN"/>
              </w:rPr>
              <w:t>采购人</w:t>
            </w:r>
            <w:r>
              <w:rPr>
                <w:rFonts w:hint="eastAsia" w:ascii="仿宋" w:hAnsi="仿宋" w:eastAsia="仿宋" w:cs="仿宋"/>
                <w:sz w:val="24"/>
                <w:szCs w:val="24"/>
                <w:lang w:eastAsia="zh-CN"/>
              </w:rPr>
              <w:t>肺功能硬件设备对接”表中的品牌）</w:t>
            </w:r>
            <w:r>
              <w:rPr>
                <w:rFonts w:hint="eastAsia" w:ascii="仿宋" w:hAnsi="仿宋" w:eastAsia="仿宋" w:cs="仿宋"/>
                <w:sz w:val="24"/>
                <w:szCs w:val="24"/>
              </w:rPr>
              <w:t>肺功能检查设备的数据接入，实现科室内肺功能设备报告和数据的自动接入系统；</w:t>
            </w:r>
            <w:r>
              <w:rPr>
                <w:rFonts w:hint="eastAsia" w:ascii="仿宋" w:hAnsi="仿宋" w:eastAsia="仿宋" w:cs="仿宋"/>
                <w:sz w:val="24"/>
                <w:szCs w:val="24"/>
              </w:rPr>
              <w:br w:type="textWrapping"/>
            </w:r>
            <w:r>
              <w:rPr>
                <w:rFonts w:hint="eastAsia" w:ascii="仿宋" w:hAnsi="仿宋" w:eastAsia="仿宋" w:cs="仿宋"/>
                <w:sz w:val="24"/>
                <w:szCs w:val="24"/>
              </w:rPr>
              <w:t>2、闭源设备的检查报告数据自动抓取与导入，通过OCR识别技术提取检查数据并结构化存储；</w:t>
            </w:r>
            <w:r>
              <w:rPr>
                <w:rFonts w:hint="eastAsia" w:ascii="仿宋" w:hAnsi="仿宋" w:eastAsia="仿宋" w:cs="仿宋"/>
                <w:sz w:val="24"/>
                <w:szCs w:val="24"/>
              </w:rPr>
              <w:br w:type="textWrapping"/>
            </w:r>
            <w:r>
              <w:rPr>
                <w:rFonts w:hint="eastAsia" w:ascii="仿宋" w:hAnsi="仿宋" w:eastAsia="仿宋" w:cs="仿宋"/>
                <w:sz w:val="24"/>
                <w:szCs w:val="24"/>
              </w:rPr>
              <w:t>3、系统支持存储报告信息，可将科室各类型肺功能相关设备的患者报告及数据信息统一存储，报告可转化存储为PDF格式。</w:t>
            </w:r>
          </w:p>
        </w:tc>
      </w:tr>
      <w:tr w14:paraId="63625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FAA8B3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12819F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风险指标识别</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EBEC699">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w:t>
            </w:r>
            <w:r>
              <w:rPr>
                <w:rFonts w:hint="eastAsia" w:ascii="仿宋" w:hAnsi="仿宋" w:eastAsia="仿宋" w:cs="仿宋"/>
                <w:sz w:val="24"/>
                <w:szCs w:val="24"/>
              </w:rPr>
              <w:t>1、肺功能检查报告风险指标自动识别，报告结论异常特征抓取，提示医生处理；</w:t>
            </w:r>
            <w:r>
              <w:rPr>
                <w:rFonts w:hint="eastAsia" w:ascii="仿宋" w:hAnsi="仿宋" w:eastAsia="仿宋" w:cs="仿宋"/>
                <w:sz w:val="24"/>
                <w:szCs w:val="24"/>
              </w:rPr>
              <w:br w:type="textWrapping"/>
            </w:r>
            <w:r>
              <w:rPr>
                <w:rFonts w:hint="eastAsia" w:ascii="仿宋" w:hAnsi="仿宋" w:eastAsia="仿宋" w:cs="仿宋"/>
                <w:sz w:val="24"/>
                <w:szCs w:val="24"/>
              </w:rPr>
              <w:t>2、检查结果风险指标统计，综合管理。</w:t>
            </w:r>
          </w:p>
        </w:tc>
      </w:tr>
      <w:tr w14:paraId="4D6B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F0D96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EE980E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设备管理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388A09C">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1、设备统一管理，可以按照科室，类型，厂商，型号等进行设备的查询；</w:t>
            </w:r>
            <w:r>
              <w:rPr>
                <w:rFonts w:hint="eastAsia" w:ascii="仿宋" w:hAnsi="仿宋" w:eastAsia="仿宋" w:cs="仿宋"/>
                <w:sz w:val="24"/>
                <w:szCs w:val="24"/>
              </w:rPr>
              <w:br w:type="textWrapping"/>
            </w:r>
            <w:r>
              <w:rPr>
                <w:rFonts w:hint="eastAsia" w:ascii="仿宋" w:hAnsi="仿宋" w:eastAsia="仿宋" w:cs="仿宋"/>
                <w:sz w:val="24"/>
                <w:szCs w:val="24"/>
              </w:rPr>
              <w:t>2、可进行设备的统计，可生成统计图和相应的报表数据，支持报表导出。</w:t>
            </w:r>
          </w:p>
        </w:tc>
      </w:tr>
      <w:tr w14:paraId="04DF6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B4479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9C8F4B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设备质控</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C67FFAA">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w:t>
            </w:r>
            <w:r>
              <w:rPr>
                <w:rFonts w:hint="eastAsia" w:ascii="仿宋" w:hAnsi="仿宋" w:eastAsia="仿宋" w:cs="仿宋"/>
                <w:sz w:val="24"/>
                <w:szCs w:val="24"/>
              </w:rPr>
              <w:t>1、设备日常定标及线性验证、容量验证、阻抗验证等质控报告综合管理，质控报告已对接的设备，生成的质控报告自动上传；未对接的设备质控结果支持截图上传；</w:t>
            </w:r>
            <w:r>
              <w:rPr>
                <w:rFonts w:hint="eastAsia" w:ascii="仿宋" w:hAnsi="仿宋" w:eastAsia="仿宋" w:cs="仿宋"/>
                <w:sz w:val="24"/>
                <w:szCs w:val="24"/>
              </w:rPr>
              <w:br w:type="textWrapping"/>
            </w:r>
            <w:r>
              <w:rPr>
                <w:rFonts w:hint="eastAsia" w:ascii="仿宋" w:hAnsi="仿宋" w:eastAsia="仿宋" w:cs="仿宋"/>
                <w:sz w:val="24"/>
                <w:szCs w:val="24"/>
              </w:rPr>
              <w:t>2、设备质控待办任务提醒及质控异常日志预警。</w:t>
            </w:r>
          </w:p>
        </w:tc>
      </w:tr>
      <w:tr w14:paraId="6114B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FA65D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C9831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工作量统计</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E7B79D">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1、工作报表统计，可统计每日、每周、每月工作量，并导出报表。</w:t>
            </w:r>
            <w:r>
              <w:rPr>
                <w:rFonts w:hint="eastAsia" w:ascii="仿宋" w:hAnsi="仿宋" w:eastAsia="仿宋" w:cs="仿宋"/>
                <w:sz w:val="24"/>
                <w:szCs w:val="24"/>
              </w:rPr>
              <w:br w:type="textWrapping"/>
            </w:r>
            <w:r>
              <w:rPr>
                <w:rFonts w:hint="eastAsia" w:ascii="仿宋" w:hAnsi="仿宋" w:eastAsia="仿宋" w:cs="仿宋"/>
                <w:sz w:val="24"/>
                <w:szCs w:val="24"/>
              </w:rPr>
              <w:t>2、支持开单科室、开单医生、报告技师工作量的统计功能。</w:t>
            </w:r>
          </w:p>
        </w:tc>
      </w:tr>
      <w:tr w14:paraId="6AB7C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A38287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640FAC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系统对接</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6734DCC">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支持上传PDF格式的报告。</w:t>
            </w:r>
          </w:p>
        </w:tc>
      </w:tr>
      <w:tr w14:paraId="1F680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43A0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7A4205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数据管理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B66BA6">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系统数据满足综合查询，数据导出过程不影响系统正常使用。</w:t>
            </w:r>
          </w:p>
        </w:tc>
      </w:tr>
      <w:tr w14:paraId="44B11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3CF36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BEAB45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日志管理</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C403D2A">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1、系统操作日志存储时间6个月，便于后续追踪溯源；</w:t>
            </w:r>
            <w:r>
              <w:rPr>
                <w:rFonts w:hint="eastAsia" w:ascii="仿宋" w:hAnsi="仿宋" w:eastAsia="仿宋" w:cs="仿宋"/>
                <w:sz w:val="24"/>
                <w:szCs w:val="24"/>
              </w:rPr>
              <w:br w:type="textWrapping"/>
            </w:r>
            <w:r>
              <w:rPr>
                <w:rFonts w:hint="eastAsia" w:ascii="仿宋" w:hAnsi="仿宋" w:eastAsia="仿宋" w:cs="仿宋"/>
                <w:sz w:val="24"/>
                <w:szCs w:val="24"/>
              </w:rPr>
              <w:t>2、所有接口调用能记录日志（含请求参数、响应结果、调用时间），保留6个月。</w:t>
            </w:r>
          </w:p>
        </w:tc>
      </w:tr>
      <w:tr w14:paraId="41B02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878E66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160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6A7BF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全院肺功能建设中心申报</w:t>
            </w:r>
          </w:p>
        </w:tc>
        <w:tc>
          <w:tcPr>
            <w:tcW w:w="762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7646DA">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w:t>
            </w:r>
            <w:r>
              <w:rPr>
                <w:rFonts w:hint="eastAsia" w:ascii="仿宋" w:hAnsi="仿宋" w:eastAsia="仿宋" w:cs="仿宋"/>
                <w:sz w:val="24"/>
                <w:szCs w:val="24"/>
              </w:rPr>
              <w:t>根据国家呼吸系统疾病临床医学研究中心要求的“全院肺功能建设中心”评审指标，系统支持一键导出有关评审指标数据的特定格式文件，能够适配肺功能质量控制网，支持上传读取评审指标数据进行“全院肺功能建设中心”申报。特定格式文件技术加密，无法常规读取和阅览，保障数据安全，仅支持适配肺功能质量控制网上传。</w:t>
            </w:r>
          </w:p>
          <w:p w14:paraId="5A00BA53">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肺功能检查质量控制网网址：https://pftqc.elungcare.cn/#/home</w:t>
            </w:r>
            <w:r>
              <w:rPr>
                <w:rFonts w:hint="eastAsia" w:ascii="仿宋" w:hAnsi="仿宋" w:eastAsia="仿宋" w:cs="仿宋"/>
                <w:b/>
                <w:bCs/>
                <w:sz w:val="24"/>
                <w:szCs w:val="24"/>
                <w:lang w:eastAsia="zh-CN"/>
              </w:rPr>
              <w:t>）</w:t>
            </w:r>
            <w:r>
              <w:rPr>
                <w:rFonts w:hint="eastAsia" w:ascii="仿宋" w:hAnsi="仿宋" w:eastAsia="仿宋" w:cs="仿宋"/>
                <w:sz w:val="24"/>
                <w:szCs w:val="24"/>
              </w:rPr>
              <w:t xml:space="preserve"> </w:t>
            </w:r>
          </w:p>
        </w:tc>
      </w:tr>
    </w:tbl>
    <w:p w14:paraId="147A51C3">
      <w:pPr>
        <w:pStyle w:val="16"/>
        <w:numPr>
          <w:ilvl w:val="0"/>
          <w:numId w:val="0"/>
        </w:numPr>
        <w:ind w:firstLine="0" w:firstLineChars="0"/>
        <w:rPr>
          <w:rFonts w:ascii="Times New Roman" w:hAnsi="Times New Roman" w:eastAsia="仿宋" w:cs="Times New Roman"/>
          <w:sz w:val="24"/>
          <w:szCs w:val="24"/>
        </w:rPr>
      </w:pPr>
      <w:r>
        <w:rPr>
          <w:rFonts w:hint="eastAsia" w:ascii="仿宋" w:hAnsi="仿宋" w:eastAsia="仿宋" w:cs="仿宋"/>
          <w:color w:val="auto"/>
          <w:sz w:val="24"/>
          <w:szCs w:val="24"/>
        </w:rPr>
        <w:t>★</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三</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服务要求</w:t>
      </w:r>
      <w:r>
        <w:rPr>
          <w:rFonts w:ascii="Times New Roman" w:hAnsi="Times New Roman" w:eastAsia="仿宋" w:cs="Times New Roman"/>
          <w:sz w:val="24"/>
          <w:szCs w:val="24"/>
        </w:rPr>
        <w:cr/>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40"/>
        <w:gridCol w:w="1794"/>
        <w:gridCol w:w="6461"/>
        <w:gridCol w:w="1519"/>
      </w:tblGrid>
      <w:tr w14:paraId="4440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525" w:type="dxa"/>
            <w:shd w:val="clear" w:color="auto" w:fill="auto"/>
            <w:tcMar>
              <w:top w:w="0" w:type="dxa"/>
              <w:left w:w="105" w:type="dxa"/>
              <w:bottom w:w="0" w:type="dxa"/>
              <w:right w:w="105" w:type="dxa"/>
            </w:tcMar>
            <w:vAlign w:val="top"/>
          </w:tcPr>
          <w:p w14:paraId="4FEC5D75">
            <w:pPr>
              <w:pStyle w:val="14"/>
              <w:keepNext w:val="0"/>
              <w:keepLines w:val="0"/>
              <w:widowControl/>
              <w:suppressLineNumbers w:val="0"/>
              <w:spacing w:line="240" w:lineRule="auto"/>
              <w:jc w:val="center"/>
              <w:rPr>
                <w:rFonts w:hint="eastAsia" w:ascii="仿宋" w:hAnsi="仿宋" w:eastAsia="仿宋" w:cs="仿宋"/>
                <w:b/>
                <w:bCs/>
                <w:sz w:val="24"/>
                <w:szCs w:val="24"/>
              </w:rPr>
            </w:pPr>
          </w:p>
        </w:tc>
        <w:tc>
          <w:tcPr>
            <w:tcW w:w="1470" w:type="dxa"/>
            <w:shd w:val="clear" w:color="auto" w:fill="auto"/>
            <w:tcMar>
              <w:top w:w="0" w:type="dxa"/>
              <w:left w:w="105" w:type="dxa"/>
              <w:bottom w:w="0" w:type="dxa"/>
              <w:right w:w="105" w:type="dxa"/>
            </w:tcMar>
            <w:vAlign w:val="top"/>
          </w:tcPr>
          <w:p w14:paraId="73CB0808">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服务类型</w:t>
            </w:r>
          </w:p>
        </w:tc>
        <w:tc>
          <w:tcPr>
            <w:tcW w:w="5295" w:type="dxa"/>
            <w:shd w:val="clear" w:color="auto" w:fill="auto"/>
            <w:tcMar>
              <w:top w:w="0" w:type="dxa"/>
              <w:left w:w="105" w:type="dxa"/>
              <w:bottom w:w="0" w:type="dxa"/>
              <w:right w:w="105" w:type="dxa"/>
            </w:tcMar>
            <w:vAlign w:val="top"/>
          </w:tcPr>
          <w:p w14:paraId="6B347737">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1245" w:type="dxa"/>
            <w:shd w:val="clear" w:color="auto" w:fill="auto"/>
            <w:tcMar>
              <w:top w:w="0" w:type="dxa"/>
              <w:left w:w="105" w:type="dxa"/>
              <w:bottom w:w="0" w:type="dxa"/>
              <w:right w:w="105" w:type="dxa"/>
            </w:tcMar>
            <w:vAlign w:val="top"/>
          </w:tcPr>
          <w:p w14:paraId="3AE68D3B">
            <w:pPr>
              <w:pStyle w:val="14"/>
              <w:keepNext w:val="0"/>
              <w:keepLines w:val="0"/>
              <w:widowControl/>
              <w:suppressLineNumbers w:val="0"/>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服务期</w:t>
            </w:r>
          </w:p>
        </w:tc>
      </w:tr>
      <w:tr w14:paraId="426F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57EDB87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70" w:type="dxa"/>
            <w:shd w:val="clear" w:color="auto" w:fill="auto"/>
            <w:tcMar>
              <w:top w:w="0" w:type="dxa"/>
              <w:left w:w="105" w:type="dxa"/>
              <w:bottom w:w="0" w:type="dxa"/>
              <w:right w:w="105" w:type="dxa"/>
            </w:tcMar>
            <w:vAlign w:val="center"/>
          </w:tcPr>
          <w:p w14:paraId="3201560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基本服务</w:t>
            </w:r>
          </w:p>
        </w:tc>
        <w:tc>
          <w:tcPr>
            <w:tcW w:w="5295" w:type="dxa"/>
            <w:shd w:val="clear" w:color="auto" w:fill="auto"/>
            <w:tcMar>
              <w:top w:w="0" w:type="dxa"/>
              <w:left w:w="105" w:type="dxa"/>
              <w:bottom w:w="0" w:type="dxa"/>
              <w:right w:w="105" w:type="dxa"/>
            </w:tcMar>
            <w:vAlign w:val="top"/>
          </w:tcPr>
          <w:p w14:paraId="04584DBB">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基本服务至少满足以下内容：</w:t>
            </w:r>
          </w:p>
          <w:p w14:paraId="12954566">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1、稳定性：服务期内需保障业务稳定，不无故出现崩溃或宕机现象；</w:t>
            </w:r>
          </w:p>
          <w:p w14:paraId="37915637">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2、安全性：具备完善的安全防护机制，做好数据备份，在合同签订后15个工作日内提交《安全事件应急响应手册》，重大安全事件（数据泄露、勒索病毒等）30分钟内电话通报、2小时内到场、4小时内出具初步处置报告；</w:t>
            </w:r>
          </w:p>
          <w:p w14:paraId="4F83F1C3">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3、数据质量：供应商收到异议后，成交供应商应在5个工作日内对数据质量问题进行原因查找和反馈，30个工作日内对数据质量问题进行数据清洗；</w:t>
            </w:r>
          </w:p>
          <w:p w14:paraId="476DC728">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4、响应速度：服务期内，采购人通过电话、微信、现场提出的支持需求，供应商须在需求提出的当日完成响应；</w:t>
            </w:r>
          </w:p>
          <w:p w14:paraId="6C6060C6">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5、备件供应：无；</w:t>
            </w:r>
          </w:p>
          <w:p w14:paraId="028D4221">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6、定期巡检：服务期内每月提供至少1次软硬件服务期巡检报告；</w:t>
            </w:r>
          </w:p>
          <w:p w14:paraId="434D95A8">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7、培训服务：每年提供≥2次培训服务，并提交培训方案和签到表；</w:t>
            </w:r>
          </w:p>
          <w:p w14:paraId="77B8E859">
            <w:pPr>
              <w:pStyle w:val="14"/>
              <w:keepNext w:val="0"/>
              <w:keepLines w:val="0"/>
              <w:widowControl/>
              <w:suppressLineNumbers w:val="0"/>
              <w:spacing w:line="240" w:lineRule="auto"/>
              <w:jc w:val="left"/>
              <w:rPr>
                <w:rFonts w:hint="eastAsia" w:ascii="仿宋" w:hAnsi="仿宋" w:eastAsia="仿宋" w:cs="仿宋"/>
                <w:sz w:val="24"/>
                <w:szCs w:val="24"/>
              </w:rPr>
            </w:pPr>
            <w:r>
              <w:rPr>
                <w:rFonts w:hint="eastAsia" w:ascii="仿宋" w:hAnsi="仿宋" w:eastAsia="仿宋" w:cs="仿宋"/>
                <w:sz w:val="24"/>
                <w:szCs w:val="24"/>
              </w:rPr>
              <w:t>8、文档服务：上线运行之日提交本次采购内容的《四川省人民医院应用系统档案》。服务期满后需提交本次采购内容的运维记录签字扫描版本。</w:t>
            </w:r>
          </w:p>
          <w:p w14:paraId="069D735F">
            <w:pPr>
              <w:pStyle w:val="14"/>
              <w:keepNext w:val="0"/>
              <w:keepLines w:val="0"/>
              <w:widowControl/>
              <w:suppressLineNumbers w:val="0"/>
              <w:spacing w:line="240" w:lineRule="auto"/>
              <w:jc w:val="left"/>
              <w:rPr>
                <w:rFonts w:hint="eastAsia" w:ascii="仿宋" w:hAnsi="仿宋" w:eastAsia="仿宋" w:cs="仿宋"/>
                <w:sz w:val="24"/>
                <w:szCs w:val="24"/>
                <w:lang w:eastAsia="zh-CN"/>
              </w:rPr>
            </w:pPr>
            <w:r>
              <w:rPr>
                <w:rFonts w:hint="default" w:ascii="仿宋" w:hAnsi="仿宋" w:eastAsia="仿宋" w:cs="仿宋"/>
                <w:sz w:val="24"/>
                <w:szCs w:val="24"/>
              </w:rPr>
              <w:t>9、</w:t>
            </w:r>
            <w:r>
              <w:rPr>
                <w:rFonts w:hint="eastAsia" w:ascii="仿宋" w:hAnsi="仿宋" w:eastAsia="仿宋" w:cs="仿宋"/>
                <w:sz w:val="24"/>
                <w:szCs w:val="24"/>
              </w:rPr>
              <w:t>人员服务：项目实施期间，提供1名技术工程师驻场完成必要的现场实施工作，具备2年以上本项目相关系统实施经验，熟悉系统安装、设备数据接入、集成调试等工作，确保项目顺利完成。驻场期间纳入医院统一管理。工作时间：工作日8:00-17:30,法定节假日按照医院统一放假时间，节假日期间安排人员远程值班,人员轮转、变动须提前通知采购人</w:t>
            </w:r>
            <w:r>
              <w:rPr>
                <w:rFonts w:hint="eastAsia" w:ascii="仿宋" w:hAnsi="仿宋" w:eastAsia="仿宋" w:cs="仿宋"/>
                <w:sz w:val="24"/>
                <w:szCs w:val="24"/>
                <w:lang w:eastAsia="zh-CN"/>
              </w:rPr>
              <w:t>。</w:t>
            </w:r>
          </w:p>
          <w:p w14:paraId="34323F86">
            <w:pPr>
              <w:pStyle w:val="14"/>
              <w:keepNext w:val="0"/>
              <w:keepLines w:val="0"/>
              <w:widowControl/>
              <w:suppressLineNumbers w:val="0"/>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10、其他：</w:t>
            </w:r>
          </w:p>
          <w:p w14:paraId="4C2804DC">
            <w:pPr>
              <w:pStyle w:val="14"/>
              <w:keepNext w:val="0"/>
              <w:keepLines w:val="0"/>
              <w:widowControl/>
              <w:suppressLineNumbers w:val="0"/>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1）服务期内，采购人每月按照四川省人民医院供应商考核指标（附件：供应商考评要求）对供应商行为进行评价考核，考核结果关联最终付款金额和履约保证金（如有履约保证金）。</w:t>
            </w:r>
          </w:p>
          <w:p w14:paraId="783BAD9B">
            <w:pPr>
              <w:pStyle w:val="14"/>
              <w:keepNext w:val="0"/>
              <w:keepLines w:val="0"/>
              <w:widowControl/>
              <w:suppressLineNumbers w:val="0"/>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2）成交供应商应当与本项目相关的第三方保持有痕的沟通，明确项目的具体要求和功能等方面的细节。采购人负责组织、监督和验收，以确保项目的顺利完成。</w:t>
            </w:r>
          </w:p>
          <w:p w14:paraId="72A14A5A">
            <w:pPr>
              <w:pStyle w:val="14"/>
              <w:keepNext w:val="0"/>
              <w:keepLines w:val="0"/>
              <w:widowControl/>
              <w:suppressLineNumbers w:val="0"/>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3）如涉及因本项目开发的系统原因造成采购人的经济损失，由成交供应商负责向采购人进行赔偿。</w:t>
            </w:r>
          </w:p>
        </w:tc>
        <w:tc>
          <w:tcPr>
            <w:tcW w:w="1245" w:type="dxa"/>
            <w:shd w:val="clear" w:color="auto" w:fill="auto"/>
            <w:tcMar>
              <w:top w:w="0" w:type="dxa"/>
              <w:left w:w="105" w:type="dxa"/>
              <w:bottom w:w="0" w:type="dxa"/>
              <w:right w:w="105" w:type="dxa"/>
            </w:tcMar>
            <w:vAlign w:val="center"/>
          </w:tcPr>
          <w:p w14:paraId="15F72DF7">
            <w:pPr>
              <w:pStyle w:val="14"/>
              <w:keepNext w:val="0"/>
              <w:keepLines w:val="0"/>
              <w:widowControl/>
              <w:suppressLineNumbers w:val="0"/>
              <w:spacing w:line="240" w:lineRule="auto"/>
              <w:jc w:val="left"/>
            </w:pPr>
            <w:r>
              <w:rPr>
                <w:rFonts w:hint="eastAsia" w:ascii="仿宋" w:hAnsi="仿宋" w:eastAsia="仿宋" w:cs="仿宋"/>
                <w:sz w:val="24"/>
                <w:szCs w:val="24"/>
              </w:rPr>
              <w:t>验收合格之日起，提供不低于</w:t>
            </w:r>
            <w:r>
              <w:rPr>
                <w:rFonts w:hint="eastAsia" w:ascii="仿宋" w:hAnsi="仿宋" w:eastAsia="仿宋" w:cs="仿宋"/>
                <w:sz w:val="24"/>
                <w:szCs w:val="24"/>
                <w:u w:val="single"/>
              </w:rPr>
              <w:t>5</w:t>
            </w:r>
            <w:r>
              <w:rPr>
                <w:rFonts w:hint="eastAsia" w:ascii="仿宋" w:hAnsi="仿宋" w:eastAsia="仿宋" w:cs="仿宋"/>
                <w:sz w:val="24"/>
                <w:szCs w:val="24"/>
              </w:rPr>
              <w:t>年</w:t>
            </w:r>
          </w:p>
        </w:tc>
      </w:tr>
    </w:tbl>
    <w:p w14:paraId="1ACBF7F0">
      <w:pPr>
        <w:pStyle w:val="16"/>
        <w:numPr>
          <w:ilvl w:val="0"/>
          <w:numId w:val="0"/>
        </w:numPr>
        <w:ind w:firstLine="0" w:firstLineChars="0"/>
        <w:rPr>
          <w:rFonts w:ascii="Times New Roman" w:hAnsi="Times New Roman" w:eastAsia="仿宋" w:cs="Times New Roman"/>
          <w:sz w:val="24"/>
          <w:szCs w:val="24"/>
        </w:rPr>
      </w:pPr>
    </w:p>
    <w:p w14:paraId="5464E524">
      <w:pPr>
        <w:spacing w:line="360" w:lineRule="auto"/>
        <w:ind w:left="480" w:hanging="480" w:hangingChars="200"/>
        <w:rPr>
          <w:rFonts w:ascii="Times New Roman" w:hAnsi="Times New Roman" w:eastAsia="仿宋" w:cs="Times New Roman"/>
          <w:b/>
          <w:bCs/>
          <w:sz w:val="24"/>
          <w:szCs w:val="24"/>
        </w:rPr>
      </w:pPr>
      <w:r>
        <w:rPr>
          <w:rFonts w:hint="eastAsia" w:ascii="仿宋" w:hAnsi="仿宋" w:eastAsia="仿宋" w:cs="仿宋"/>
          <w:color w:val="auto"/>
          <w:sz w:val="24"/>
          <w:szCs w:val="24"/>
        </w:rPr>
        <w:t>★</w:t>
      </w:r>
      <w:r>
        <w:rPr>
          <w:rFonts w:ascii="Times New Roman" w:hAnsi="Times New Roman" w:eastAsia="仿宋" w:cs="Times New Roman"/>
          <w:b/>
          <w:bCs/>
          <w:sz w:val="24"/>
          <w:szCs w:val="24"/>
        </w:rPr>
        <w:t>四、商务要求：</w:t>
      </w:r>
    </w:p>
    <w:p w14:paraId="47B26D5A">
      <w:pPr>
        <w:spacing w:line="360" w:lineRule="auto"/>
        <w:ind w:firstLine="480" w:firstLineChars="200"/>
        <w:rPr>
          <w:rFonts w:ascii="Times New Roman" w:hAnsi="Times New Roman" w:eastAsia="仿宋" w:cs="Times New Roman"/>
          <w:sz w:val="24"/>
          <w:szCs w:val="24"/>
        </w:rPr>
      </w:pPr>
      <w:r>
        <w:rPr>
          <w:rFonts w:hint="eastAsia" w:ascii="仿宋" w:hAnsi="仿宋" w:eastAsia="仿宋" w:cs="仿宋"/>
          <w:kern w:val="0"/>
          <w:sz w:val="24"/>
          <w:szCs w:val="24"/>
        </w:rPr>
        <w:t>1. 实施时间：本项目合同签订生效后，供应商应在 15 个工作日内开始实施；</w:t>
      </w:r>
    </w:p>
    <w:p w14:paraId="750E3FE5">
      <w:pPr>
        <w:spacing w:line="360" w:lineRule="auto"/>
        <w:ind w:left="479" w:leftChars="228" w:firstLine="0" w:firstLineChars="0"/>
        <w:rPr>
          <w:rFonts w:hint="eastAsia" w:ascii="仿宋" w:hAnsi="仿宋" w:eastAsia="仿宋" w:cs="仿宋"/>
          <w:sz w:val="24"/>
          <w:szCs w:val="24"/>
        </w:rPr>
      </w:pPr>
      <w:r>
        <w:rPr>
          <w:rFonts w:hint="eastAsia" w:ascii="仿宋" w:hAnsi="仿宋" w:eastAsia="仿宋" w:cs="仿宋"/>
          <w:kern w:val="0"/>
          <w:sz w:val="24"/>
          <w:szCs w:val="24"/>
        </w:rPr>
        <w:t>2.实施周期：本项目开始实施之日起180日内，完成本项目包含的所有软件功能的上线运行</w:t>
      </w:r>
      <w:r>
        <w:rPr>
          <w:rFonts w:hint="eastAsia" w:ascii="仿宋" w:hAnsi="仿宋" w:eastAsia="仿宋" w:cs="仿宋"/>
          <w:kern w:val="0"/>
          <w:sz w:val="24"/>
          <w:szCs w:val="24"/>
          <w:lang w:val="en-US" w:eastAsia="zh-CN"/>
        </w:rPr>
        <w:t>。未在实施周期内完成，视为供应商违约并自动放弃该项目，采购人有权终止合同，合同所有款项将不予支付（已缴纳的履约保证金，将不予退还），已支付款项，供应商应于7个工作日内退还采购人</w:t>
      </w:r>
      <w:r>
        <w:rPr>
          <w:rFonts w:hint="eastAsia" w:ascii="仿宋" w:hAnsi="仿宋" w:eastAsia="仿宋" w:cs="仿宋"/>
          <w:kern w:val="0"/>
          <w:sz w:val="24"/>
          <w:szCs w:val="24"/>
        </w:rPr>
        <w:t>。</w:t>
      </w:r>
    </w:p>
    <w:p w14:paraId="2D9C3971">
      <w:pPr>
        <w:spacing w:line="360" w:lineRule="auto"/>
        <w:ind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 服务地点：本项目涉及的四川省人民医院所有院区。</w:t>
      </w:r>
    </w:p>
    <w:p w14:paraId="20F29CC8">
      <w:pPr>
        <w:spacing w:line="360" w:lineRule="auto"/>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lang w:eastAsia="zh-CN"/>
        </w:rPr>
        <w:t>.</w:t>
      </w:r>
      <w:r>
        <w:rPr>
          <w:rFonts w:hint="eastAsia" w:ascii="仿宋" w:hAnsi="仿宋" w:eastAsia="仿宋" w:cs="仿宋"/>
          <w:kern w:val="2"/>
          <w:sz w:val="24"/>
          <w:szCs w:val="24"/>
        </w:rPr>
        <w:t>付款方式</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r>
        <w:rPr>
          <w:rFonts w:hint="eastAsia" w:ascii="仿宋" w:hAnsi="仿宋" w:eastAsia="仿宋" w:cs="仿宋"/>
          <w:kern w:val="0"/>
          <w:sz w:val="24"/>
          <w:szCs w:val="24"/>
        </w:rPr>
        <w:t>。</w:t>
      </w:r>
    </w:p>
    <w:p w14:paraId="10CAF758">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en-US" w:eastAsia="zh-CN"/>
        </w:rPr>
        <w:t>5.知识产权归属</w:t>
      </w:r>
      <w:r>
        <w:rPr>
          <w:rFonts w:hint="eastAsia" w:ascii="仿宋" w:hAnsi="仿宋" w:eastAsia="仿宋" w:cs="仿宋"/>
          <w:kern w:val="2"/>
          <w:sz w:val="24"/>
          <w:szCs w:val="24"/>
          <w:lang w:eastAsia="zh-CN"/>
        </w:rPr>
        <w:t>：由采购人、供应商双方共同开发的项目：采购人、供应商双方共同研发的该系统软件产品，知识产权归采购人、供应商双方共同拥有，软件所有数据归采购人所有</w:t>
      </w:r>
      <w:r>
        <w:rPr>
          <w:rFonts w:hint="eastAsia" w:ascii="仿宋" w:hAnsi="仿宋" w:eastAsia="仿宋" w:cs="仿宋"/>
          <w:kern w:val="2"/>
          <w:sz w:val="24"/>
          <w:szCs w:val="24"/>
        </w:rPr>
        <w:t>。</w:t>
      </w:r>
    </w:p>
    <w:p w14:paraId="361DE3A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6.履约验收方案</w:t>
      </w:r>
    </w:p>
    <w:p w14:paraId="1B0740D4">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0DD99EC2">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23BF5DAF">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3B11CB8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1A6CFF5B">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(5)履约验收内容：按照基于本项目采购需求编制的采购文件要求及供应商响应文件情况，供应商实施完成的所有软件功能。</w:t>
      </w:r>
    </w:p>
    <w:p w14:paraId="5DBEA0C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(6)履约验收时间:供应商完成所有软件功能上线后5日内通知采购人验收，采购人接供应商通知后10日内组织验收。</w:t>
      </w:r>
    </w:p>
    <w:p w14:paraId="3FE7BF5A">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068232A9">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02074A2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1761CC7B">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57CC608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5D33AA8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453623D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2F43BC0A">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678C459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61F63D6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r>
        <w:rPr>
          <w:rFonts w:hint="eastAsia" w:ascii="仿宋" w:hAnsi="仿宋" w:eastAsia="仿宋" w:cs="仿宋"/>
          <w:b w:val="0"/>
          <w:sz w:val="24"/>
          <w:szCs w:val="24"/>
          <w:vertAlign w:val="baseline"/>
          <w:lang w:val="en-US" w:eastAsia="zh-CN"/>
        </w:rPr>
        <w:t>。</w:t>
      </w:r>
    </w:p>
    <w:p w14:paraId="2E88D54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2B8B19B5">
      <w:pPr>
        <w:spacing w:line="360"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b w:val="0"/>
          <w:bCs w:val="0"/>
          <w:kern w:val="2"/>
          <w:sz w:val="24"/>
          <w:szCs w:val="24"/>
          <w:lang w:val="en-US" w:eastAsia="zh-CN"/>
        </w:rPr>
        <w:t>7）其它标准：无。</w:t>
      </w:r>
    </w:p>
    <w:p w14:paraId="7002AE8C">
      <w:pPr>
        <w:spacing w:line="360" w:lineRule="auto"/>
        <w:ind w:firstLine="480" w:firstLineChars="200"/>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7.履约验收其它事项</w:t>
      </w:r>
      <w:r>
        <w:rPr>
          <w:rFonts w:hint="eastAsia" w:ascii="仿宋" w:hAnsi="仿宋" w:eastAsia="仿宋" w:cs="仿宋"/>
          <w:kern w:val="2"/>
          <w:sz w:val="24"/>
          <w:szCs w:val="24"/>
          <w:lang w:val="en-US" w:eastAsia="zh-CN"/>
        </w:rPr>
        <w:tab/>
      </w:r>
      <w:r>
        <w:rPr>
          <w:rFonts w:hint="eastAsia" w:ascii="仿宋" w:hAnsi="仿宋" w:eastAsia="仿宋" w:cs="仿宋"/>
          <w:kern w:val="2"/>
          <w:sz w:val="24"/>
          <w:szCs w:val="24"/>
          <w:lang w:val="en-US" w:eastAsia="zh-CN"/>
        </w:rPr>
        <w:t>：无。</w:t>
      </w:r>
    </w:p>
    <w:p w14:paraId="350EEC87">
      <w:pPr>
        <w:spacing w:line="360" w:lineRule="auto"/>
      </w:pPr>
      <w:r>
        <w:rPr>
          <w:rFonts w:hint="default" w:ascii="Times New Roman" w:hAnsi="Times New Roman" w:eastAsia="仿宋" w:cs="Times New Roman"/>
          <w:b/>
          <w:bCs/>
          <w:kern w:val="2"/>
          <w:sz w:val="24"/>
          <w:szCs w:val="24"/>
          <w:lang w:val="en-US" w:eastAsia="zh-CN"/>
        </w:rPr>
        <w:t>五、履约要求</w:t>
      </w:r>
    </w:p>
    <w:p w14:paraId="5DA9AB99">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1.售后服务方案:根据供应商所提供的运维服务方案进行综合评审，方案应至少包括：①售后保障措施②售后技术支持及维护保养方案③人员培训方案④售后服务人员安排及联系方式。</w:t>
      </w:r>
    </w:p>
    <w:p w14:paraId="0DD3EC0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2.项目经验:</w:t>
      </w:r>
      <w:r>
        <w:rPr>
          <w:rFonts w:hint="default" w:ascii="仿宋" w:hAnsi="仿宋" w:eastAsia="仿宋" w:cs="仿宋"/>
          <w:bCs/>
          <w:sz w:val="24"/>
          <w:szCs w:val="24"/>
          <w:lang w:val="en-US" w:eastAsia="zh-CN"/>
        </w:rPr>
        <w:t>供应商提供2023年1月1日（含）以来类似项目业绩（肺功能管理系统项目）</w:t>
      </w:r>
      <w:r>
        <w:rPr>
          <w:rFonts w:hint="eastAsia" w:ascii="仿宋" w:hAnsi="仿宋" w:eastAsia="仿宋" w:cs="仿宋"/>
          <w:sz w:val="24"/>
          <w:szCs w:val="24"/>
          <w:lang w:val="en-US" w:eastAsia="zh-CN"/>
        </w:rPr>
        <w:t>，注：</w:t>
      </w:r>
      <w:r>
        <w:rPr>
          <w:rFonts w:hint="default" w:ascii="仿宋" w:hAnsi="仿宋" w:eastAsia="仿宋" w:cs="仿宋"/>
          <w:bCs/>
          <w:sz w:val="24"/>
          <w:szCs w:val="24"/>
          <w:lang w:val="en-US" w:eastAsia="zh-CN"/>
        </w:rPr>
        <w:t>提供中标（成交）通知书或采购合同关键页（至少包括合同首页、建设内容、金额、签字盖章页）复印件，并加盖供应商单位公章</w:t>
      </w:r>
      <w:r>
        <w:rPr>
          <w:rFonts w:hint="eastAsia" w:ascii="仿宋" w:hAnsi="仿宋" w:eastAsia="仿宋" w:cs="仿宋"/>
          <w:sz w:val="24"/>
          <w:szCs w:val="24"/>
          <w:lang w:val="en-US" w:eastAsia="zh-CN"/>
        </w:rPr>
        <w:t>。</w:t>
      </w:r>
    </w:p>
    <w:p w14:paraId="6F26B4EE">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3.项目实施团队：</w:t>
      </w:r>
      <w:r>
        <w:rPr>
          <w:rFonts w:hint="default" w:ascii="仿宋" w:hAnsi="仿宋" w:eastAsia="仿宋" w:cs="仿宋"/>
          <w:bCs/>
          <w:sz w:val="24"/>
          <w:szCs w:val="24"/>
          <w:lang w:val="en-US" w:eastAsia="zh-CN"/>
        </w:rPr>
        <w:t>（1）拟派的技术工程师（1人）提供计算机技术与软件专业技术资格（水平）证书；（2）拟投入本项目的团队人员（技术工程师除外）具备计算机或电子信息类的中级或以上职称</w:t>
      </w:r>
      <w:r>
        <w:rPr>
          <w:rFonts w:hint="eastAsia" w:ascii="仿宋" w:hAnsi="仿宋" w:eastAsia="仿宋" w:cs="仿宋"/>
          <w:sz w:val="24"/>
          <w:szCs w:val="24"/>
          <w:lang w:val="en-US" w:eastAsia="zh-CN"/>
        </w:rPr>
        <w:t>。注：</w:t>
      </w:r>
      <w:r>
        <w:rPr>
          <w:rFonts w:hint="eastAsia" w:ascii="仿宋" w:hAnsi="仿宋" w:eastAsia="仿宋" w:cs="仿宋"/>
          <w:bCs/>
          <w:kern w:val="2"/>
          <w:sz w:val="24"/>
          <w:szCs w:val="24"/>
          <w:lang w:val="en-US" w:eastAsia="zh-CN" w:bidi="ar-SA"/>
        </w:rPr>
        <w:t>以上人员均应为供应商正式员工，响应时提供人员名单、人员证书复印件及在职证明或劳动合同复印件，并加盖供应商公章</w:t>
      </w:r>
      <w:r>
        <w:rPr>
          <w:rFonts w:hint="eastAsia" w:ascii="仿宋" w:hAnsi="仿宋" w:eastAsia="仿宋" w:cs="仿宋"/>
          <w:sz w:val="24"/>
          <w:szCs w:val="24"/>
          <w:lang w:val="en-US" w:eastAsia="zh-CN"/>
        </w:rPr>
        <w:t>。</w:t>
      </w:r>
    </w:p>
    <w:p w14:paraId="45B53364">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4.供应商实力：</w:t>
      </w:r>
      <w:r>
        <w:rPr>
          <w:rFonts w:hint="eastAsia" w:ascii="仿宋" w:hAnsi="仿宋" w:eastAsia="仿宋" w:cs="仿宋"/>
          <w:sz w:val="24"/>
          <w:szCs w:val="24"/>
        </w:rPr>
        <w:t>（1）响应系统需取得相关的软件著作权，注：提供有效的证书复印件并加盖供应商单位公章</w:t>
      </w:r>
      <w:r>
        <w:rPr>
          <w:rFonts w:hint="eastAsia" w:ascii="仿宋" w:hAnsi="仿宋" w:eastAsia="仿宋" w:cs="仿宋"/>
          <w:sz w:val="24"/>
          <w:szCs w:val="24"/>
          <w:lang w:val="en-US" w:eastAsia="zh-CN"/>
        </w:rPr>
        <w:t>。（2）肺功能辅助质控与判读取得软件著作权。注：提供有效的证书复印件并加盖供应商单位公章。</w:t>
      </w:r>
    </w:p>
    <w:p w14:paraId="141145A5">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★5.本次采购的系统后续需对接国家呼吸中心肺功能中控平台，供应商的响应系统具有信息系统安全等级保护第三级备案认证。注：提供有效期内的信息系统三级等保证书复印件并加盖公章。</w:t>
      </w:r>
    </w:p>
    <w:p w14:paraId="5FB211E8">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sz w:val="24"/>
          <w:szCs w:val="24"/>
        </w:rPr>
        <w:t>★</w:t>
      </w:r>
      <w:r>
        <w:rPr>
          <w:rFonts w:hint="eastAsia" w:ascii="仿宋" w:hAnsi="仿宋" w:eastAsia="仿宋" w:cs="仿宋"/>
          <w:kern w:val="2"/>
          <w:sz w:val="24"/>
          <w:szCs w:val="24"/>
          <w:lang w:val="en-US" w:eastAsia="zh-CN"/>
        </w:rPr>
        <w:t>附件：供</w:t>
      </w:r>
      <w:r>
        <w:rPr>
          <w:rFonts w:hint="eastAsia" w:ascii="仿宋" w:hAnsi="仿宋" w:eastAsia="仿宋" w:cs="仿宋"/>
          <w:kern w:val="2"/>
          <w:sz w:val="24"/>
          <w:szCs w:val="24"/>
        </w:rPr>
        <w:t>应商考评要求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058"/>
        <w:gridCol w:w="1523"/>
        <w:gridCol w:w="1562"/>
        <w:gridCol w:w="1891"/>
        <w:gridCol w:w="3162"/>
        <w:gridCol w:w="1218"/>
      </w:tblGrid>
      <w:tr w14:paraId="76131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317373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四川省人民医院供应商考核</w:t>
            </w:r>
          </w:p>
        </w:tc>
      </w:tr>
      <w:tr w14:paraId="12C99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11984B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供应商</w:t>
            </w:r>
          </w:p>
        </w:tc>
        <w:tc>
          <w:tcPr>
            <w:tcW w:w="1481" w:type="pct"/>
            <w:gridSpan w:val="2"/>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0DB904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908" w:type="pct"/>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0FF514D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合同名</w:t>
            </w:r>
          </w:p>
        </w:tc>
        <w:tc>
          <w:tcPr>
            <w:tcW w:w="2101" w:type="pct"/>
            <w:gridSpan w:val="2"/>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36DE55B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7A53B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FCB917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指标类别</w:t>
            </w: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E67727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指标</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3B8743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考核内容</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781C80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扣分</w:t>
            </w:r>
          </w:p>
        </w:tc>
      </w:tr>
      <w:tr w14:paraId="42147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0CB3EE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性能质</w:t>
            </w:r>
          </w:p>
          <w:p w14:paraId="644580B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量评价</w:t>
            </w: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6A10A7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稳定性</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BC82B8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出现故障，导致系统不稳定，影响医院业务：出现故障时间≤30分钟扣1分，30＜分钟且≤60分钟扣2分，&gt;60分钟扣5分；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3008763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63AB0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99C260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63D538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安全性</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734773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3647B80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5A7A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D3AE52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80CCB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用户满意度</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A6BC66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接到投诉时，一次扣1分；出现整改和处理后仍然不满足要求的情况，每5日为一个周期追扣2分，不满一个周期的算一个周期；</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77691B0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2D2DB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508"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032658B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使用支</w:t>
            </w:r>
          </w:p>
          <w:p w14:paraId="3632855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持评价</w:t>
            </w: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F04BAD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考勤</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24CEB9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驻场工程师每日签到，每次迟到一次扣0.5分；旷工或漏签一次扣1分；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1082F35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5F5D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48DF5D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59B7933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响应速度</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F57B89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若需要现场支持时，须及时响应，不响应扣1分；发现异常不处理或未向采购人及时汇报，扣0.5分；服务期内不接听电话，每次扣0.5分；微信群响应不及时或不按规定响应，每次扣0.1分；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1D57D8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62BAC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61D088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7C14F2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备件供应(本项仅涉及提供硬件的供应商)</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CAC6D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4913A71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22649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95BD71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06A68A1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定期巡检</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6AB4A4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每月定期巡检服务，缺少一次扣1分；没有按要求提供巡检报告的，缺少一次扣1分；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028130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6B48E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FC8972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803D91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培训服务</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5406B2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没有按要求派专业技术人员对医院相关人员进行使用操作、设备维修、保养等技术的培训（不少于2次/年，并提供培训方案和培训签到表），缺少一次扣1分；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72B8C18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4238E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56EA5AF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7C4599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技术文档</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45FB2E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未能在规定时间内按要求提交文档，包括但不限于操作手册、业务数据结构表、运维记录、巡检记录等，缺少一项扣1分；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top"/>
          </w:tcPr>
          <w:p w14:paraId="3FA45FE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53003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rPr>
        <w:tc>
          <w:tcPr>
            <w:tcW w:w="508"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99515A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违规违</w:t>
            </w:r>
          </w:p>
          <w:p w14:paraId="5F416A0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纪评价</w:t>
            </w: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3358C99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廉洁从业</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8F178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违反行业廉洁要求或违法违纪行为，一旦查实，一票否决</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1DCCF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一票否决</w:t>
            </w:r>
          </w:p>
        </w:tc>
      </w:tr>
      <w:tr w14:paraId="0DD50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565EBC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3861C5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安全规范</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D2D4FF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不遵守安全生产规范，每次扣2分；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A94F5E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3EFB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vMerge w:val="continue"/>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CE7E17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c>
          <w:tcPr>
            <w:tcW w:w="731"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7EF542D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其他违纪违规</w:t>
            </w:r>
          </w:p>
        </w:tc>
        <w:tc>
          <w:tcPr>
            <w:tcW w:w="3176" w:type="pct"/>
            <w:gridSpan w:val="3"/>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85C2D0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其它不利于医院信息化建设相关行为，视情节严重程度，经采购人讨论酌情扣分</w:t>
            </w:r>
          </w:p>
        </w:tc>
        <w:tc>
          <w:tcPr>
            <w:tcW w:w="583"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0256D0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14FB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94C7BF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扣分合计</w:t>
            </w:r>
          </w:p>
        </w:tc>
        <w:tc>
          <w:tcPr>
            <w:tcW w:w="4491" w:type="pct"/>
            <w:gridSpan w:val="5"/>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917EB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p>
        </w:tc>
      </w:tr>
      <w:tr w14:paraId="090AD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8"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B9D2F9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考核人</w:t>
            </w:r>
          </w:p>
        </w:tc>
        <w:tc>
          <w:tcPr>
            <w:tcW w:w="4491" w:type="pct"/>
            <w:gridSpan w:val="5"/>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0C1F2BC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年    月    日</w:t>
            </w:r>
          </w:p>
        </w:tc>
      </w:tr>
    </w:tbl>
    <w:p w14:paraId="781B2576">
      <w:pPr>
        <w:pStyle w:val="16"/>
        <w:ind w:firstLine="420" w:firstLineChars="200"/>
        <w:rPr>
          <w:rFonts w:hint="eastAsia" w:ascii="仿宋" w:hAnsi="仿宋" w:eastAsia="仿宋" w:cs="仿宋"/>
          <w:sz w:val="21"/>
          <w:szCs w:val="21"/>
        </w:rPr>
      </w:pPr>
    </w:p>
    <w:p w14:paraId="68075CC5">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备注：</w:t>
      </w:r>
    </w:p>
    <w:p w14:paraId="1AC52BA0">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1.服务期内，采购人可按照本项目采购需求内容对应的考核指标对供应商进行考核，具体指标以采购人要求为准；</w:t>
      </w:r>
    </w:p>
    <w:p w14:paraId="75EAA25D">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2.考核关联最终付款金额，具体计算规则如下：</w:t>
      </w:r>
    </w:p>
    <w:p w14:paraId="0482F883">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1）平均扣分=服务期汇总考核扣分之和÷服务期内考核次数；</w:t>
      </w:r>
    </w:p>
    <w:p w14:paraId="1CDA426C">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2）0分＜平均扣分≤3分，将对供应商进行诫勉谈话；</w:t>
      </w:r>
    </w:p>
    <w:p w14:paraId="0874C126">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3）3分＜平均扣分≤5分，对供应商提出警告，从合同待支付金额中或履约保证金中扣除合同总金额5%费用，扣完为止；</w:t>
      </w:r>
    </w:p>
    <w:p w14:paraId="5E5C3243">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4）5分＜平均扣分≤10分，对供应商提出严重警告，从合同待支付金额中或履约保证金中扣除合同总金额10%费用，扣完为止；</w:t>
      </w:r>
    </w:p>
    <w:p w14:paraId="623407B4">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5）10分＜平均扣分，视为不合格，终止合同，合同待支付金额不予支付和履约保证金（如有履约保证金）不予退还；</w:t>
      </w:r>
    </w:p>
    <w:p w14:paraId="29CE5D5E">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616066C6">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4.如合同待支付金额或履约保证金中无款可扣且考核后出现扣款情况，供应商承诺在得到采购人考核结果后的10日内向采购人缴纳对应的扣款金额。（提供承诺函）</w:t>
      </w:r>
    </w:p>
    <w:p w14:paraId="2F56916E">
      <w:pPr>
        <w:pStyle w:val="16"/>
        <w:ind w:firstLine="420" w:firstLineChars="200"/>
        <w:rPr>
          <w:rFonts w:hint="eastAsia" w:ascii="仿宋" w:hAnsi="仿宋" w:eastAsia="仿宋" w:cs="仿宋"/>
          <w:sz w:val="21"/>
          <w:szCs w:val="21"/>
        </w:rPr>
      </w:pPr>
      <w:r>
        <w:rPr>
          <w:rFonts w:hint="eastAsia" w:ascii="仿宋" w:hAnsi="仿宋" w:eastAsia="仿宋" w:cs="仿宋"/>
          <w:sz w:val="21"/>
          <w:szCs w:val="21"/>
        </w:rPr>
        <w:t>5.本考核指标最终解释权归四川省医学科学院·四川省人民医院。</w:t>
      </w:r>
    </w:p>
    <w:p w14:paraId="50C9E4E6">
      <w:pPr>
        <w:pStyle w:val="16"/>
        <w:ind w:firstLine="420" w:firstLineChars="200"/>
        <w:rPr>
          <w:rFonts w:hint="eastAsia" w:ascii="仿宋" w:hAnsi="仿宋" w:eastAsia="仿宋" w:cs="仿宋"/>
          <w:b w:val="0"/>
          <w:sz w:val="24"/>
          <w:szCs w:val="24"/>
          <w:vertAlign w:val="baseline"/>
          <w:lang w:val="en-US" w:eastAsia="zh-CN"/>
        </w:rPr>
      </w:pPr>
      <w:r>
        <w:rPr>
          <w:rFonts w:hint="eastAsia" w:ascii="仿宋" w:hAnsi="仿宋" w:eastAsia="仿宋" w:cs="仿宋"/>
          <w:sz w:val="21"/>
          <w:szCs w:val="21"/>
        </w:rPr>
        <w:t>注：本章中带“</w:t>
      </w:r>
      <w:r>
        <w:rPr>
          <w:rFonts w:hint="eastAsia" w:ascii="仿宋" w:hAnsi="仿宋" w:eastAsia="仿宋" w:cs="仿宋"/>
          <w:b/>
          <w:bCs/>
          <w:sz w:val="21"/>
          <w:szCs w:val="21"/>
        </w:rPr>
        <w:t>★</w:t>
      </w:r>
      <w:r>
        <w:rPr>
          <w:rFonts w:hint="eastAsia" w:ascii="仿宋" w:hAnsi="仿宋" w:eastAsia="仿宋" w:cs="仿宋"/>
          <w:sz w:val="21"/>
          <w:szCs w:val="21"/>
        </w:rPr>
        <w:t>”的条款为实质性要求，不满足将被作为无效响应处理。</w:t>
      </w:r>
    </w:p>
    <w:p w14:paraId="31FFE0F8">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39CDDE8F">
      <w:pPr>
        <w:rPr>
          <w:rFonts w:ascii="Times New Roman" w:hAnsi="Times New Roman" w:cs="Times New Roman"/>
        </w:rPr>
      </w:pPr>
    </w:p>
    <w:p w14:paraId="29DFF5B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646"/>
        <w:gridCol w:w="872"/>
        <w:gridCol w:w="6108"/>
        <w:gridCol w:w="978"/>
      </w:tblGrid>
      <w:tr w14:paraId="6830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0"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7F4DA47E">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46" w:type="dxa"/>
            <w:tcBorders>
              <w:top w:val="single" w:color="auto" w:sz="4" w:space="0"/>
              <w:left w:val="single" w:color="auto" w:sz="4" w:space="0"/>
              <w:bottom w:val="single" w:color="auto" w:sz="4" w:space="0"/>
              <w:right w:val="single" w:color="auto" w:sz="4" w:space="0"/>
            </w:tcBorders>
            <w:vAlign w:val="center"/>
          </w:tcPr>
          <w:p w14:paraId="2B9486A7">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评审因素</w:t>
            </w:r>
          </w:p>
        </w:tc>
        <w:tc>
          <w:tcPr>
            <w:tcW w:w="872" w:type="dxa"/>
            <w:tcBorders>
              <w:top w:val="single" w:color="auto" w:sz="4" w:space="0"/>
              <w:left w:val="single" w:color="auto" w:sz="4" w:space="0"/>
              <w:bottom w:val="single" w:color="auto" w:sz="4" w:space="0"/>
              <w:right w:val="single" w:color="auto" w:sz="4" w:space="0"/>
            </w:tcBorders>
            <w:vAlign w:val="center"/>
          </w:tcPr>
          <w:p w14:paraId="1FDBDF58">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6108" w:type="dxa"/>
            <w:tcBorders>
              <w:top w:val="single" w:color="auto" w:sz="4" w:space="0"/>
              <w:left w:val="single" w:color="auto" w:sz="4" w:space="0"/>
              <w:bottom w:val="single" w:color="auto" w:sz="4" w:space="0"/>
              <w:right w:val="single" w:color="auto" w:sz="4" w:space="0"/>
            </w:tcBorders>
            <w:vAlign w:val="center"/>
          </w:tcPr>
          <w:p w14:paraId="735940A3">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评分标准</w:t>
            </w:r>
          </w:p>
        </w:tc>
        <w:tc>
          <w:tcPr>
            <w:tcW w:w="978" w:type="dxa"/>
            <w:tcBorders>
              <w:top w:val="single" w:color="auto" w:sz="4" w:space="0"/>
              <w:left w:val="single" w:color="auto" w:sz="4" w:space="0"/>
              <w:bottom w:val="single" w:color="auto" w:sz="4" w:space="0"/>
              <w:right w:val="single" w:color="auto" w:sz="4" w:space="0"/>
            </w:tcBorders>
            <w:vAlign w:val="center"/>
          </w:tcPr>
          <w:p w14:paraId="1C063ACA">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说明</w:t>
            </w:r>
          </w:p>
        </w:tc>
      </w:tr>
      <w:tr w14:paraId="7B3F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0DE13E65">
            <w:pPr>
              <w:spacing w:line="360" w:lineRule="auto"/>
              <w:ind w:firstLine="28"/>
              <w:jc w:val="center"/>
              <w:rPr>
                <w:rFonts w:hint="eastAsia" w:ascii="仿宋" w:hAnsi="仿宋" w:eastAsia="仿宋" w:cs="仿宋"/>
                <w:sz w:val="24"/>
                <w:szCs w:val="24"/>
              </w:rPr>
            </w:pPr>
            <w:r>
              <w:rPr>
                <w:rFonts w:hint="eastAsia" w:ascii="仿宋" w:hAnsi="仿宋" w:eastAsia="仿宋" w:cs="仿宋"/>
                <w:sz w:val="24"/>
                <w:szCs w:val="24"/>
              </w:rPr>
              <w:t>1</w:t>
            </w:r>
          </w:p>
        </w:tc>
        <w:tc>
          <w:tcPr>
            <w:tcW w:w="1646" w:type="dxa"/>
            <w:tcBorders>
              <w:top w:val="single" w:color="auto" w:sz="4" w:space="0"/>
              <w:left w:val="single" w:color="auto" w:sz="4" w:space="0"/>
              <w:bottom w:val="single" w:color="auto" w:sz="4" w:space="0"/>
              <w:right w:val="single" w:color="auto" w:sz="4" w:space="0"/>
            </w:tcBorders>
            <w:vAlign w:val="center"/>
          </w:tcPr>
          <w:p w14:paraId="6E5FFE10">
            <w:pPr>
              <w:spacing w:line="360" w:lineRule="auto"/>
              <w:ind w:firstLine="28"/>
              <w:jc w:val="center"/>
              <w:rPr>
                <w:rFonts w:hint="default" w:ascii="仿宋" w:hAnsi="仿宋" w:eastAsia="仿宋" w:cs="仿宋"/>
                <w:sz w:val="24"/>
                <w:szCs w:val="24"/>
                <w:lang w:val="en-US" w:eastAsia="zh-CN"/>
              </w:rPr>
            </w:pPr>
            <w:r>
              <w:rPr>
                <w:rFonts w:hint="eastAsia" w:ascii="仿宋" w:hAnsi="仿宋" w:eastAsia="仿宋" w:cs="仿宋"/>
                <w:bCs/>
                <w:sz w:val="24"/>
                <w:szCs w:val="24"/>
                <w:lang w:val="en-US" w:eastAsia="zh-CN"/>
              </w:rPr>
              <w:t>报价30%</w:t>
            </w:r>
          </w:p>
        </w:tc>
        <w:tc>
          <w:tcPr>
            <w:tcW w:w="872" w:type="dxa"/>
            <w:tcBorders>
              <w:top w:val="single" w:color="auto" w:sz="4" w:space="0"/>
              <w:left w:val="single" w:color="auto" w:sz="4" w:space="0"/>
              <w:bottom w:val="single" w:color="auto" w:sz="4" w:space="0"/>
              <w:right w:val="single" w:color="auto" w:sz="4" w:space="0"/>
            </w:tcBorders>
            <w:vAlign w:val="center"/>
          </w:tcPr>
          <w:p w14:paraId="74E5CB0C">
            <w:pPr>
              <w:spacing w:line="360" w:lineRule="auto"/>
              <w:ind w:firstLine="28"/>
              <w:jc w:val="center"/>
              <w:rPr>
                <w:rFonts w:hint="eastAsia" w:ascii="仿宋" w:hAnsi="仿宋" w:eastAsia="仿宋" w:cs="仿宋"/>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6108" w:type="dxa"/>
            <w:tcBorders>
              <w:top w:val="single" w:color="auto" w:sz="4" w:space="0"/>
              <w:left w:val="single" w:color="auto" w:sz="4" w:space="0"/>
              <w:bottom w:val="single" w:color="auto" w:sz="4" w:space="0"/>
              <w:right w:val="single" w:color="auto" w:sz="4" w:space="0"/>
            </w:tcBorders>
            <w:vAlign w:val="center"/>
          </w:tcPr>
          <w:p w14:paraId="4611A876">
            <w:pPr>
              <w:spacing w:line="360" w:lineRule="auto"/>
              <w:jc w:val="left"/>
              <w:rPr>
                <w:rFonts w:hint="default" w:ascii="仿宋" w:hAnsi="仿宋" w:eastAsia="仿宋" w:cs="仿宋"/>
                <w:sz w:val="24"/>
                <w:szCs w:val="24"/>
                <w:lang w:val="en-US"/>
              </w:rPr>
            </w:pPr>
            <w:r>
              <w:rPr>
                <w:rFonts w:hint="eastAsia" w:ascii="仿宋" w:hAnsi="仿宋" w:eastAsia="仿宋" w:cs="仿宋"/>
                <w:sz w:val="24"/>
                <w:szCs w:val="24"/>
                <w:highlight w:val="none"/>
                <w:lang w:val="en-US" w:eastAsia="zh-CN"/>
              </w:rPr>
              <w:t>以本次最低有效谈判报价为基准价，其价格分为满分，谈判报价得分=(基准价／谈判报价) *30。</w:t>
            </w:r>
          </w:p>
        </w:tc>
        <w:tc>
          <w:tcPr>
            <w:tcW w:w="978" w:type="dxa"/>
            <w:tcBorders>
              <w:top w:val="single" w:color="auto" w:sz="4" w:space="0"/>
              <w:left w:val="single" w:color="auto" w:sz="4" w:space="0"/>
              <w:bottom w:val="single" w:color="auto" w:sz="4" w:space="0"/>
              <w:right w:val="single" w:color="auto" w:sz="4" w:space="0"/>
            </w:tcBorders>
            <w:vAlign w:val="center"/>
          </w:tcPr>
          <w:p w14:paraId="32A6A61F">
            <w:pPr>
              <w:spacing w:line="360" w:lineRule="auto"/>
              <w:jc w:val="center"/>
              <w:rPr>
                <w:rFonts w:hint="eastAsia" w:ascii="仿宋" w:hAnsi="仿宋" w:eastAsia="仿宋" w:cs="仿宋"/>
                <w:sz w:val="24"/>
                <w:szCs w:val="24"/>
                <w:lang w:eastAsia="zh-CN"/>
              </w:rPr>
            </w:pPr>
          </w:p>
        </w:tc>
      </w:tr>
      <w:tr w14:paraId="1536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1430453D">
            <w:pPr>
              <w:spacing w:line="360" w:lineRule="auto"/>
              <w:ind w:firstLine="28"/>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646" w:type="dxa"/>
            <w:tcBorders>
              <w:top w:val="single" w:color="auto" w:sz="4" w:space="0"/>
              <w:left w:val="single" w:color="auto" w:sz="4" w:space="0"/>
              <w:bottom w:val="single" w:color="auto" w:sz="4" w:space="0"/>
              <w:right w:val="single" w:color="auto" w:sz="4" w:space="0"/>
            </w:tcBorders>
            <w:vAlign w:val="center"/>
          </w:tcPr>
          <w:p w14:paraId="32D3FB77">
            <w:pPr>
              <w:spacing w:line="360" w:lineRule="auto"/>
              <w:ind w:firstLine="28"/>
              <w:jc w:val="center"/>
              <w:rPr>
                <w:rFonts w:hint="default" w:ascii="仿宋" w:hAnsi="仿宋" w:eastAsia="仿宋" w:cs="仿宋"/>
                <w:bCs/>
                <w:sz w:val="24"/>
                <w:szCs w:val="24"/>
                <w:lang w:val="en-US" w:eastAsia="zh-CN"/>
              </w:rPr>
            </w:pPr>
            <w:r>
              <w:rPr>
                <w:rFonts w:hint="default" w:ascii="仿宋" w:hAnsi="仿宋" w:eastAsia="仿宋" w:cs="仿宋"/>
                <w:bCs/>
                <w:sz w:val="24"/>
                <w:szCs w:val="24"/>
                <w:lang w:val="en-US" w:eastAsia="zh-CN"/>
              </w:rPr>
              <w:t>技术响应及系统演示</w:t>
            </w:r>
            <w:r>
              <w:rPr>
                <w:rFonts w:hint="eastAsia" w:ascii="仿宋" w:hAnsi="仿宋" w:eastAsia="仿宋" w:cs="仿宋"/>
                <w:bCs/>
                <w:sz w:val="24"/>
                <w:szCs w:val="24"/>
                <w:lang w:val="en-US" w:eastAsia="zh-CN"/>
              </w:rPr>
              <w:t>47</w:t>
            </w:r>
            <w:r>
              <w:rPr>
                <w:rFonts w:hint="default" w:ascii="仿宋" w:hAnsi="仿宋" w:eastAsia="仿宋" w:cs="仿宋"/>
                <w:bCs/>
                <w:sz w:val="24"/>
                <w:szCs w:val="24"/>
                <w:lang w:val="en-US" w:eastAsia="zh-CN"/>
              </w:rPr>
              <w:t>%</w:t>
            </w:r>
          </w:p>
        </w:tc>
        <w:tc>
          <w:tcPr>
            <w:tcW w:w="872" w:type="dxa"/>
            <w:tcBorders>
              <w:top w:val="single" w:color="auto" w:sz="4" w:space="0"/>
              <w:left w:val="single" w:color="auto" w:sz="4" w:space="0"/>
              <w:bottom w:val="single" w:color="auto" w:sz="4" w:space="0"/>
              <w:right w:val="single" w:color="auto" w:sz="4" w:space="0"/>
            </w:tcBorders>
            <w:vAlign w:val="center"/>
          </w:tcPr>
          <w:p w14:paraId="12F9E0E1">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47分</w:t>
            </w:r>
          </w:p>
        </w:tc>
        <w:tc>
          <w:tcPr>
            <w:tcW w:w="6108" w:type="dxa"/>
            <w:tcBorders>
              <w:top w:val="single" w:color="auto" w:sz="4" w:space="0"/>
              <w:left w:val="single" w:color="auto" w:sz="4" w:space="0"/>
              <w:bottom w:val="single" w:color="auto" w:sz="4" w:space="0"/>
              <w:right w:val="single" w:color="auto" w:sz="4" w:space="0"/>
            </w:tcBorders>
            <w:vAlign w:val="center"/>
          </w:tcPr>
          <w:p w14:paraId="5409924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完全符合谈判文件“（二）技术要求”的得47分。</w:t>
            </w:r>
          </w:p>
          <w:p w14:paraId="1A3D6278">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带“★”的条款为本项目的实质性要求，不满足其响应文件将作无效处理，不参与本项评分；带“</w:t>
            </w:r>
            <w:r>
              <w:rPr>
                <w:rFonts w:hint="eastAsia"/>
                <w:lang w:val="en-US" w:eastAsia="zh-CN"/>
              </w:rPr>
              <w:t>●</w:t>
            </w:r>
            <w:r>
              <w:rPr>
                <w:rFonts w:hint="eastAsia" w:ascii="仿宋" w:hAnsi="仿宋" w:eastAsia="仿宋" w:cs="仿宋"/>
                <w:sz w:val="24"/>
                <w:szCs w:val="24"/>
                <w:lang w:val="en-US" w:eastAsia="zh-CN"/>
              </w:rPr>
              <w:t>”的技术参数为演示技术参数条款，作为演示评分因素，非“★”、“</w:t>
            </w:r>
            <w:r>
              <w:rPr>
                <w:rFonts w:hint="eastAsia"/>
                <w:lang w:val="en-US" w:eastAsia="zh-CN"/>
              </w:rPr>
              <w:t>●</w:t>
            </w:r>
            <w:r>
              <w:rPr>
                <w:rFonts w:hint="eastAsia" w:ascii="仿宋" w:hAnsi="仿宋" w:eastAsia="仿宋" w:cs="仿宋"/>
                <w:sz w:val="24"/>
                <w:szCs w:val="24"/>
                <w:lang w:val="en-US" w:eastAsia="zh-CN"/>
              </w:rPr>
              <w:t>”的为一般技术参数条款，作为一般评审因素。</w:t>
            </w:r>
          </w:p>
          <w:p w14:paraId="5BF09026">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非实质性要求有负偏离的，按以下方式计算得分：</w:t>
            </w:r>
          </w:p>
          <w:p w14:paraId="261F5EAE">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1、一般技术参数条款=（供应商满足一般技术参数条款条数÷一般技术参数条款总条数）×32。</w:t>
            </w:r>
          </w:p>
          <w:p w14:paraId="0F35C82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2、演示技术参数条款=（供应商满足演示技术参数条款条数÷演示技术参数条款总条数）×15。</w:t>
            </w:r>
          </w:p>
          <w:p w14:paraId="276537F9">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14:paraId="6BA4C20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①针对演示技术参数条款，供应商需在开标当天进行真实系统产品演示，不接受PPT、DEMO、录制的视频演示，演示环境由供应商自行搭建，演示时间不超过15分钟。（腾讯会议视频演示）</w:t>
            </w:r>
          </w:p>
          <w:p w14:paraId="3079CF8F">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②针对技术参数条款的响应，有具体要求技术支撑材料的按具体要求提供，未作具体要求的自行响应即可。</w:t>
            </w:r>
          </w:p>
          <w:p w14:paraId="477011D0">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③以项数不能再拆分的最小项为一项。</w:t>
            </w:r>
          </w:p>
          <w:p w14:paraId="4FE971F8">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④得分保留小数点后两位小数，四舍五入。</w:t>
            </w:r>
          </w:p>
        </w:tc>
        <w:tc>
          <w:tcPr>
            <w:tcW w:w="978" w:type="dxa"/>
            <w:tcBorders>
              <w:top w:val="single" w:color="auto" w:sz="4" w:space="0"/>
              <w:left w:val="single" w:color="auto" w:sz="4" w:space="0"/>
              <w:bottom w:val="single" w:color="auto" w:sz="4" w:space="0"/>
              <w:right w:val="single" w:color="auto" w:sz="4" w:space="0"/>
            </w:tcBorders>
            <w:vAlign w:val="center"/>
          </w:tcPr>
          <w:p w14:paraId="4910982C">
            <w:pPr>
              <w:spacing w:line="360" w:lineRule="auto"/>
              <w:jc w:val="center"/>
              <w:rPr>
                <w:rFonts w:hint="eastAsia" w:ascii="仿宋" w:hAnsi="仿宋" w:eastAsia="仿宋" w:cs="仿宋"/>
                <w:sz w:val="24"/>
                <w:szCs w:val="24"/>
                <w:lang w:eastAsia="zh-CN"/>
              </w:rPr>
            </w:pPr>
          </w:p>
        </w:tc>
      </w:tr>
      <w:tr w14:paraId="3969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tcBorders>
              <w:top w:val="single" w:color="auto" w:sz="4" w:space="0"/>
              <w:left w:val="single" w:color="auto" w:sz="4" w:space="0"/>
              <w:right w:val="single" w:color="auto" w:sz="4" w:space="0"/>
            </w:tcBorders>
            <w:vAlign w:val="center"/>
          </w:tcPr>
          <w:p w14:paraId="143AB941">
            <w:pPr>
              <w:spacing w:line="360" w:lineRule="auto"/>
              <w:ind w:firstLine="28"/>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646" w:type="dxa"/>
            <w:tcBorders>
              <w:top w:val="single" w:color="auto" w:sz="4" w:space="0"/>
              <w:left w:val="single" w:color="auto" w:sz="4" w:space="0"/>
              <w:right w:val="single" w:color="auto" w:sz="4" w:space="0"/>
            </w:tcBorders>
            <w:shd w:val="clear" w:color="auto" w:fill="auto"/>
            <w:vAlign w:val="center"/>
          </w:tcPr>
          <w:p w14:paraId="70180820">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供应商实力6</w:t>
            </w:r>
            <w:r>
              <w:rPr>
                <w:rFonts w:hint="eastAsia" w:ascii="仿宋" w:hAnsi="仿宋" w:eastAsia="仿宋" w:cs="仿宋"/>
                <w:sz w:val="24"/>
                <w:szCs w:val="24"/>
              </w:rPr>
              <w:t>%</w:t>
            </w:r>
          </w:p>
        </w:tc>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14:paraId="456EA074">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w:t>
            </w:r>
            <w:r>
              <w:rPr>
                <w:rFonts w:hint="eastAsia" w:ascii="仿宋" w:hAnsi="仿宋" w:eastAsia="仿宋" w:cs="仿宋"/>
                <w:sz w:val="24"/>
                <w:szCs w:val="24"/>
              </w:rPr>
              <w:t>分</w:t>
            </w:r>
          </w:p>
        </w:tc>
        <w:tc>
          <w:tcPr>
            <w:tcW w:w="6108" w:type="dxa"/>
            <w:tcBorders>
              <w:top w:val="single" w:color="auto" w:sz="4" w:space="0"/>
              <w:left w:val="single" w:color="auto" w:sz="4" w:space="0"/>
              <w:bottom w:val="single" w:color="auto" w:sz="4" w:space="0"/>
              <w:right w:val="single" w:color="auto" w:sz="4" w:space="0"/>
            </w:tcBorders>
            <w:shd w:val="clear" w:color="auto" w:fill="auto"/>
            <w:vAlign w:val="center"/>
          </w:tcPr>
          <w:p w14:paraId="6A22B367">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响应系统需取得相关的软件著作权</w:t>
            </w:r>
            <w:r>
              <w:rPr>
                <w:rFonts w:hint="eastAsia" w:ascii="仿宋" w:hAnsi="仿宋" w:eastAsia="仿宋" w:cs="仿宋"/>
                <w:sz w:val="24"/>
                <w:szCs w:val="24"/>
                <w:lang w:val="en-US" w:eastAsia="zh-CN"/>
              </w:rPr>
              <w:t>，提供软件著作权证书的得3分。</w:t>
            </w:r>
          </w:p>
          <w:p w14:paraId="1CCF0F3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rPr>
              <w:t>提供有效的证书复印件并加盖供应商单位公章</w:t>
            </w:r>
            <w:r>
              <w:rPr>
                <w:rFonts w:hint="eastAsia" w:ascii="仿宋" w:hAnsi="仿宋" w:eastAsia="仿宋" w:cs="仿宋"/>
                <w:sz w:val="24"/>
                <w:szCs w:val="24"/>
                <w:lang w:val="en-US" w:eastAsia="zh-CN"/>
              </w:rPr>
              <w:t>。</w:t>
            </w:r>
          </w:p>
          <w:p w14:paraId="3717DC66">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（2）肺功能辅助质控与判读取得软件著作权，提供软件著作权证书的得3分。</w:t>
            </w:r>
          </w:p>
          <w:p w14:paraId="5A63F588">
            <w:pPr>
              <w:spacing w:line="360" w:lineRule="auto"/>
              <w:rPr>
                <w:rFonts w:hint="eastAsia"/>
                <w:lang w:val="en-US" w:eastAsia="zh-CN"/>
              </w:rPr>
            </w:pPr>
            <w:r>
              <w:rPr>
                <w:rFonts w:hint="eastAsia" w:ascii="仿宋" w:hAnsi="仿宋" w:eastAsia="仿宋" w:cs="仿宋"/>
                <w:sz w:val="24"/>
                <w:szCs w:val="24"/>
                <w:lang w:val="en-US" w:eastAsia="zh-CN"/>
              </w:rPr>
              <w:t>注：提供有效的证书复印件并加盖供应商单位公章。</w:t>
            </w:r>
          </w:p>
        </w:tc>
        <w:tc>
          <w:tcPr>
            <w:tcW w:w="978" w:type="dxa"/>
            <w:tcBorders>
              <w:top w:val="single" w:color="auto" w:sz="4" w:space="0"/>
              <w:left w:val="single" w:color="auto" w:sz="4" w:space="0"/>
              <w:bottom w:val="single" w:color="auto" w:sz="4" w:space="0"/>
              <w:right w:val="single" w:color="auto" w:sz="4" w:space="0"/>
            </w:tcBorders>
            <w:vAlign w:val="center"/>
          </w:tcPr>
          <w:p w14:paraId="119B7DE0">
            <w:pPr>
              <w:pStyle w:val="14"/>
              <w:keepNext w:val="0"/>
              <w:keepLines w:val="0"/>
              <w:widowControl/>
              <w:suppressLineNumbers w:val="0"/>
              <w:spacing w:line="360" w:lineRule="auto"/>
              <w:rPr>
                <w:rFonts w:hint="default" w:ascii="仿宋" w:hAnsi="仿宋" w:eastAsia="仿宋" w:cs="仿宋"/>
                <w:sz w:val="24"/>
                <w:szCs w:val="24"/>
                <w:lang w:val="en-US" w:eastAsia="zh-CN"/>
              </w:rPr>
            </w:pPr>
          </w:p>
        </w:tc>
      </w:tr>
      <w:tr w14:paraId="0F42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6CAC17FE">
            <w:pPr>
              <w:spacing w:line="360" w:lineRule="auto"/>
              <w:ind w:firstLine="28"/>
              <w:jc w:val="center"/>
              <w:rPr>
                <w:rFonts w:hint="eastAsia" w:ascii="仿宋" w:hAnsi="仿宋" w:eastAsia="仿宋" w:cs="仿宋"/>
                <w:sz w:val="24"/>
                <w:szCs w:val="24"/>
                <w:lang w:val="en-US" w:eastAsia="zh-CN"/>
              </w:rPr>
            </w:pPr>
          </w:p>
          <w:p w14:paraId="1513505D">
            <w:pPr>
              <w:spacing w:line="360" w:lineRule="auto"/>
              <w:ind w:firstLine="28"/>
              <w:jc w:val="center"/>
              <w:rPr>
                <w:rFonts w:hint="eastAsia" w:ascii="仿宋" w:hAnsi="仿宋" w:eastAsia="仿宋" w:cs="仿宋"/>
                <w:sz w:val="24"/>
                <w:szCs w:val="24"/>
                <w:lang w:val="en-US" w:eastAsia="zh-CN"/>
              </w:rPr>
            </w:pPr>
          </w:p>
          <w:p w14:paraId="1A63A5D5">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646" w:type="dxa"/>
            <w:tcBorders>
              <w:top w:val="single" w:color="auto" w:sz="4" w:space="0"/>
              <w:left w:val="single" w:color="auto" w:sz="4" w:space="0"/>
              <w:bottom w:val="single" w:color="auto" w:sz="4" w:space="0"/>
              <w:right w:val="single" w:color="auto" w:sz="4" w:space="0"/>
            </w:tcBorders>
            <w:shd w:val="clear" w:color="auto" w:fill="auto"/>
            <w:vAlign w:val="center"/>
          </w:tcPr>
          <w:p w14:paraId="2889A079">
            <w:pPr>
              <w:adjustRightInd w:val="0"/>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rPr>
              <w:t>项目实施团队</w:t>
            </w:r>
            <w:r>
              <w:rPr>
                <w:rFonts w:hint="eastAsia" w:ascii="仿宋" w:hAnsi="仿宋" w:eastAsia="仿宋" w:cs="仿宋"/>
                <w:sz w:val="24"/>
                <w:szCs w:val="24"/>
                <w:lang w:val="en-US" w:eastAsia="zh-CN"/>
              </w:rPr>
              <w:t>6</w:t>
            </w:r>
            <w:r>
              <w:rPr>
                <w:rFonts w:hint="eastAsia" w:ascii="仿宋" w:hAnsi="仿宋" w:eastAsia="仿宋" w:cs="仿宋"/>
                <w:sz w:val="24"/>
                <w:szCs w:val="24"/>
              </w:rPr>
              <w:t>%</w:t>
            </w:r>
          </w:p>
        </w:tc>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14:paraId="6E0BB123">
            <w:pPr>
              <w:adjustRightInd w:val="0"/>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w:t>
            </w:r>
            <w:r>
              <w:rPr>
                <w:rFonts w:hint="eastAsia" w:ascii="仿宋" w:hAnsi="仿宋" w:eastAsia="仿宋" w:cs="仿宋"/>
                <w:sz w:val="24"/>
                <w:szCs w:val="24"/>
              </w:rPr>
              <w:t>分</w:t>
            </w:r>
          </w:p>
        </w:tc>
        <w:tc>
          <w:tcPr>
            <w:tcW w:w="6108" w:type="dxa"/>
            <w:tcBorders>
              <w:top w:val="single" w:color="auto" w:sz="4" w:space="0"/>
              <w:left w:val="single" w:color="auto" w:sz="4" w:space="0"/>
              <w:bottom w:val="single" w:color="auto" w:sz="4" w:space="0"/>
              <w:right w:val="single" w:color="auto" w:sz="4" w:space="0"/>
            </w:tcBorders>
            <w:shd w:val="clear" w:color="auto" w:fill="auto"/>
            <w:vAlign w:val="center"/>
          </w:tcPr>
          <w:p w14:paraId="25A18240">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拟派的技术工程师（1人）提供计算机技术与软件专业技术资格（水平）证书</w:t>
            </w:r>
            <w:r>
              <w:rPr>
                <w:rFonts w:hint="eastAsia" w:ascii="仿宋" w:hAnsi="仿宋" w:eastAsia="仿宋" w:cs="仿宋"/>
                <w:sz w:val="24"/>
                <w:szCs w:val="24"/>
                <w:lang w:val="en-US" w:eastAsia="zh-CN"/>
              </w:rPr>
              <w:t>，初级得1分，中级得2分，高级得3分；</w:t>
            </w:r>
          </w:p>
          <w:p w14:paraId="0F2A6F8B">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拟投入本项目的团队人员（技术工程师除外）具备计算机或电子信息类的中级或以上职称</w:t>
            </w:r>
            <w:r>
              <w:rPr>
                <w:rFonts w:hint="eastAsia" w:ascii="仿宋" w:hAnsi="仿宋" w:eastAsia="仿宋" w:cs="仿宋"/>
                <w:sz w:val="24"/>
                <w:szCs w:val="24"/>
                <w:lang w:val="en-US" w:eastAsia="zh-CN"/>
              </w:rPr>
              <w:t>，每提供1个得3分，满分3分。</w:t>
            </w:r>
          </w:p>
          <w:p w14:paraId="3C4A8D8D">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w:t>
            </w:r>
            <w:r>
              <w:rPr>
                <w:rFonts w:hint="default" w:ascii="仿宋" w:hAnsi="仿宋" w:eastAsia="仿宋" w:cs="仿宋"/>
                <w:sz w:val="24"/>
                <w:szCs w:val="24"/>
                <w:lang w:val="en-US" w:eastAsia="zh-CN"/>
              </w:rPr>
              <w:t>以上人员均应为供应商正式员工，响应时提供人员名单、人员证书复印件及在职证明或劳动合同复印件，并加盖供应商公章</w:t>
            </w:r>
            <w:r>
              <w:rPr>
                <w:rFonts w:hint="eastAsia" w:ascii="仿宋" w:hAnsi="仿宋" w:eastAsia="仿宋" w:cs="仿宋"/>
                <w:sz w:val="24"/>
                <w:szCs w:val="24"/>
                <w:lang w:val="en-US" w:eastAsia="zh-CN"/>
              </w:rPr>
              <w:t>。</w:t>
            </w:r>
          </w:p>
        </w:tc>
        <w:tc>
          <w:tcPr>
            <w:tcW w:w="978" w:type="dxa"/>
            <w:tcBorders>
              <w:top w:val="single" w:color="auto" w:sz="4" w:space="0"/>
              <w:left w:val="single" w:color="auto" w:sz="4" w:space="0"/>
              <w:bottom w:val="single" w:color="auto" w:sz="4" w:space="0"/>
              <w:right w:val="single" w:color="auto" w:sz="4" w:space="0"/>
            </w:tcBorders>
            <w:vAlign w:val="center"/>
          </w:tcPr>
          <w:p w14:paraId="6267FED6">
            <w:pPr>
              <w:spacing w:line="360" w:lineRule="auto"/>
              <w:jc w:val="center"/>
              <w:rPr>
                <w:rFonts w:hint="eastAsia" w:ascii="仿宋" w:hAnsi="仿宋" w:eastAsia="仿宋" w:cs="仿宋"/>
                <w:bCs/>
                <w:sz w:val="24"/>
                <w:szCs w:val="24"/>
              </w:rPr>
            </w:pPr>
          </w:p>
        </w:tc>
      </w:tr>
      <w:tr w14:paraId="12D3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1E1AEE41">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646" w:type="dxa"/>
            <w:tcBorders>
              <w:top w:val="single" w:color="auto" w:sz="4" w:space="0"/>
              <w:left w:val="single" w:color="auto" w:sz="4" w:space="0"/>
              <w:bottom w:val="single" w:color="auto" w:sz="4" w:space="0"/>
              <w:right w:val="single" w:color="auto" w:sz="4" w:space="0"/>
            </w:tcBorders>
            <w:shd w:val="clear" w:color="auto" w:fill="auto"/>
            <w:vAlign w:val="center"/>
          </w:tcPr>
          <w:p w14:paraId="5CAFC338">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售后服务方案</w:t>
            </w:r>
            <w:r>
              <w:rPr>
                <w:rFonts w:hint="eastAsia" w:ascii="仿宋" w:hAnsi="仿宋" w:eastAsia="仿宋" w:cs="仿宋"/>
                <w:sz w:val="24"/>
                <w:szCs w:val="24"/>
                <w:lang w:val="en-US" w:eastAsia="zh-CN"/>
              </w:rPr>
              <w:t>8</w:t>
            </w:r>
            <w:r>
              <w:rPr>
                <w:rFonts w:hint="eastAsia" w:ascii="仿宋" w:hAnsi="仿宋" w:eastAsia="仿宋" w:cs="仿宋"/>
                <w:sz w:val="24"/>
                <w:szCs w:val="24"/>
              </w:rPr>
              <w:t>%</w:t>
            </w:r>
          </w:p>
        </w:tc>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14:paraId="0D807CD6">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w:t>
            </w:r>
            <w:r>
              <w:rPr>
                <w:rFonts w:hint="eastAsia" w:ascii="仿宋" w:hAnsi="仿宋" w:eastAsia="仿宋" w:cs="仿宋"/>
                <w:sz w:val="24"/>
                <w:szCs w:val="24"/>
              </w:rPr>
              <w:t>分</w:t>
            </w:r>
          </w:p>
        </w:tc>
        <w:tc>
          <w:tcPr>
            <w:tcW w:w="6108" w:type="dxa"/>
            <w:tcBorders>
              <w:top w:val="single" w:color="auto" w:sz="4" w:space="0"/>
              <w:left w:val="single" w:color="auto" w:sz="4" w:space="0"/>
              <w:bottom w:val="single" w:color="auto" w:sz="4" w:space="0"/>
              <w:right w:val="single" w:color="auto" w:sz="4" w:space="0"/>
            </w:tcBorders>
            <w:shd w:val="clear" w:color="auto" w:fill="auto"/>
            <w:vAlign w:val="center"/>
          </w:tcPr>
          <w:p w14:paraId="51653D1E">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所提供的运维服务方案进行综合评审，方案应至少包括：①售后保障措施②售后技术支持及维护保养方案③人员培训方案④售后服务人员安排及联系方式。方案包含以上4个方面的得8分，每缺少一项的扣2分，每有一项存在内容缺陷扣1分，扣完为止。（内容缺陷是指：非专门针对本项目或不适用项目特性的情形、内容不完整或缺少关键节点、套用其他项目内容、涉及的规范及标准错误、不利于项目实施、不可能实现的情形等任意一种情形。）</w:t>
            </w:r>
          </w:p>
        </w:tc>
        <w:tc>
          <w:tcPr>
            <w:tcW w:w="978" w:type="dxa"/>
            <w:tcBorders>
              <w:top w:val="single" w:color="auto" w:sz="4" w:space="0"/>
              <w:left w:val="single" w:color="auto" w:sz="4" w:space="0"/>
              <w:bottom w:val="single" w:color="auto" w:sz="4" w:space="0"/>
              <w:right w:val="single" w:color="auto" w:sz="4" w:space="0"/>
            </w:tcBorders>
            <w:vAlign w:val="center"/>
          </w:tcPr>
          <w:p w14:paraId="24AAD99E">
            <w:pPr>
              <w:spacing w:line="360" w:lineRule="auto"/>
              <w:jc w:val="center"/>
              <w:rPr>
                <w:rFonts w:hint="eastAsia" w:ascii="仿宋" w:hAnsi="仿宋" w:eastAsia="仿宋" w:cs="仿宋"/>
                <w:bCs/>
                <w:sz w:val="24"/>
                <w:szCs w:val="24"/>
              </w:rPr>
            </w:pPr>
          </w:p>
        </w:tc>
      </w:tr>
      <w:tr w14:paraId="5842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158EECE5">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646" w:type="dxa"/>
            <w:tcBorders>
              <w:top w:val="single" w:color="auto" w:sz="4" w:space="0"/>
              <w:left w:val="single" w:color="auto" w:sz="4" w:space="0"/>
              <w:bottom w:val="single" w:color="auto" w:sz="4" w:space="0"/>
              <w:right w:val="single" w:color="auto" w:sz="4" w:space="0"/>
            </w:tcBorders>
            <w:shd w:val="clear" w:color="auto" w:fill="auto"/>
            <w:vAlign w:val="center"/>
          </w:tcPr>
          <w:p w14:paraId="65CBE6F1">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项目业绩</w:t>
            </w:r>
            <w:r>
              <w:rPr>
                <w:rFonts w:hint="eastAsia" w:ascii="仿宋" w:hAnsi="仿宋" w:eastAsia="仿宋" w:cs="仿宋"/>
                <w:sz w:val="24"/>
                <w:szCs w:val="24"/>
                <w:lang w:val="en-US" w:eastAsia="zh-CN"/>
              </w:rPr>
              <w:t>3</w:t>
            </w:r>
            <w:r>
              <w:rPr>
                <w:rFonts w:hint="eastAsia" w:ascii="仿宋" w:hAnsi="仿宋" w:eastAsia="仿宋" w:cs="仿宋"/>
                <w:sz w:val="24"/>
                <w:szCs w:val="24"/>
              </w:rPr>
              <w:t>%</w:t>
            </w:r>
          </w:p>
        </w:tc>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14:paraId="4FFEAF62">
            <w:pPr>
              <w:adjustRightInd w:val="0"/>
              <w:snapToGrid w:val="0"/>
              <w:jc w:val="center"/>
              <w:rPr>
                <w:rFonts w:hint="eastAsia" w:ascii="仿宋" w:hAnsi="仿宋" w:eastAsia="仿宋" w:cs="仿宋"/>
                <w:bCs/>
                <w:kern w:val="2"/>
                <w:sz w:val="24"/>
                <w:szCs w:val="24"/>
                <w:lang w:val="en-US" w:eastAsia="zh-CN" w:bidi="ar-SA"/>
              </w:rPr>
            </w:pP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c>
          <w:tcPr>
            <w:tcW w:w="6108" w:type="dxa"/>
            <w:tcBorders>
              <w:top w:val="single" w:color="auto" w:sz="4" w:space="0"/>
              <w:left w:val="single" w:color="auto" w:sz="4" w:space="0"/>
              <w:bottom w:val="single" w:color="auto" w:sz="4" w:space="0"/>
              <w:right w:val="single" w:color="auto" w:sz="4" w:space="0"/>
            </w:tcBorders>
            <w:shd w:val="clear" w:color="auto" w:fill="auto"/>
            <w:vAlign w:val="center"/>
          </w:tcPr>
          <w:p w14:paraId="182C9A8D">
            <w:pPr>
              <w:spacing w:line="360" w:lineRule="auto"/>
              <w:rPr>
                <w:rFonts w:hint="eastAsia" w:ascii="仿宋" w:hAnsi="仿宋" w:eastAsia="仿宋" w:cs="仿宋"/>
                <w:sz w:val="24"/>
                <w:szCs w:val="24"/>
                <w:lang w:val="en-US" w:eastAsia="zh-CN"/>
              </w:rPr>
            </w:pPr>
            <w:r>
              <w:rPr>
                <w:rFonts w:hint="default" w:ascii="仿宋" w:hAnsi="仿宋" w:eastAsia="仿宋" w:cs="仿宋"/>
                <w:bCs/>
                <w:sz w:val="24"/>
                <w:szCs w:val="24"/>
                <w:lang w:val="en-US" w:eastAsia="zh-CN"/>
              </w:rPr>
              <w:t>供应商提供2023年1月1日（含）以来类似项目业绩（肺功能管理系统项目）</w:t>
            </w:r>
            <w:r>
              <w:rPr>
                <w:rFonts w:hint="eastAsia" w:ascii="仿宋" w:hAnsi="仿宋" w:eastAsia="仿宋" w:cs="仿宋"/>
                <w:sz w:val="24"/>
                <w:szCs w:val="24"/>
                <w:lang w:val="en-US" w:eastAsia="zh-CN"/>
              </w:rPr>
              <w:t>，每提供一个得1分，最多得3分。</w:t>
            </w:r>
          </w:p>
          <w:p w14:paraId="1E4A29FB">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r>
              <w:rPr>
                <w:rFonts w:hint="default" w:ascii="仿宋" w:hAnsi="仿宋" w:eastAsia="仿宋" w:cs="仿宋"/>
                <w:bCs/>
                <w:sz w:val="24"/>
                <w:szCs w:val="24"/>
                <w:lang w:val="en-US" w:eastAsia="zh-CN"/>
              </w:rPr>
              <w:t>提供中标（成交）通知书或采购合同关键页（至少包括合同首页、建设内容、金额、签字盖章页）复印件，并加盖供应商单位公章</w:t>
            </w:r>
            <w:r>
              <w:rPr>
                <w:rFonts w:hint="eastAsia" w:ascii="仿宋" w:hAnsi="仿宋" w:eastAsia="仿宋" w:cs="仿宋"/>
                <w:sz w:val="24"/>
                <w:szCs w:val="24"/>
                <w:lang w:val="en-US" w:eastAsia="zh-CN"/>
              </w:rPr>
              <w:t>，缺项或不提供的不得分。</w:t>
            </w:r>
          </w:p>
        </w:tc>
        <w:tc>
          <w:tcPr>
            <w:tcW w:w="978" w:type="dxa"/>
            <w:tcBorders>
              <w:top w:val="single" w:color="auto" w:sz="4" w:space="0"/>
              <w:left w:val="single" w:color="auto" w:sz="4" w:space="0"/>
              <w:bottom w:val="single" w:color="auto" w:sz="4" w:space="0"/>
              <w:right w:val="single" w:color="auto" w:sz="4" w:space="0"/>
            </w:tcBorders>
            <w:vAlign w:val="center"/>
          </w:tcPr>
          <w:p w14:paraId="316C328F">
            <w:pPr>
              <w:spacing w:line="360" w:lineRule="auto"/>
              <w:jc w:val="center"/>
              <w:rPr>
                <w:rFonts w:hint="eastAsia" w:ascii="仿宋" w:hAnsi="仿宋" w:eastAsia="仿宋" w:cs="仿宋"/>
                <w:bCs/>
                <w:sz w:val="24"/>
                <w:szCs w:val="24"/>
              </w:rPr>
            </w:pPr>
          </w:p>
        </w:tc>
      </w:tr>
    </w:tbl>
    <w:p w14:paraId="6ECB1CF1">
      <w:pPr>
        <w:rPr>
          <w:lang w:val="zh-CN"/>
        </w:rPr>
      </w:pPr>
    </w:p>
    <w:p w14:paraId="6AD346D4">
      <w:pPr>
        <w:rPr>
          <w:rFonts w:ascii="Times New Roman" w:hAnsi="Times New Roman" w:cs="Times New Roman"/>
        </w:rPr>
      </w:pPr>
      <w:bookmarkStart w:id="18" w:name="_Toc3094"/>
      <w:bookmarkStart w:id="19" w:name="_Toc28171"/>
      <w:bookmarkStart w:id="20" w:name="_Toc22827"/>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17905"/>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6029"/>
      <w:bookmarkStart w:id="50" w:name="_Toc3023"/>
      <w:bookmarkStart w:id="51" w:name="_Toc11352"/>
      <w:bookmarkStart w:id="52" w:name="_Toc6482"/>
      <w:bookmarkStart w:id="53" w:name="_Toc21519"/>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30971"/>
      <w:bookmarkStart w:id="56" w:name="_Toc17857"/>
      <w:bookmarkStart w:id="57" w:name="_Toc4305"/>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15526"/>
      <w:bookmarkStart w:id="69" w:name="_Toc11351"/>
      <w:bookmarkStart w:id="70" w:name="_Toc12015"/>
      <w:bookmarkStart w:id="71" w:name="_Toc27661"/>
      <w:bookmarkStart w:id="72" w:name="_Toc25638"/>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16435"/>
      <w:bookmarkStart w:id="75" w:name="_Toc26969"/>
      <w:bookmarkStart w:id="76" w:name="_Toc12967"/>
      <w:bookmarkStart w:id="77" w:name="_Toc1074"/>
      <w:bookmarkStart w:id="78" w:name="_Toc2041"/>
      <w:r>
        <w:rPr>
          <w:rStyle w:val="41"/>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8634"/>
      <w:bookmarkStart w:id="81" w:name="_Toc26839"/>
      <w:bookmarkStart w:id="82" w:name="_Toc1369"/>
      <w:bookmarkStart w:id="83" w:name="_Toc31686"/>
      <w:bookmarkStart w:id="84" w:name="_Toc24806"/>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7"/>
        <w:gridCol w:w="2377"/>
        <w:gridCol w:w="1978"/>
        <w:gridCol w:w="1376"/>
        <w:gridCol w:w="1716"/>
        <w:gridCol w:w="1712"/>
      </w:tblGrid>
      <w:tr w14:paraId="5EAC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22" w:type="pct"/>
            <w:vAlign w:val="center"/>
          </w:tcPr>
          <w:p w14:paraId="2CF60CA8">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162" w:type="pct"/>
            <w:vAlign w:val="center"/>
          </w:tcPr>
          <w:p w14:paraId="76504FC3">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967" w:type="pct"/>
            <w:vAlign w:val="center"/>
          </w:tcPr>
          <w:p w14:paraId="172CB98F">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单价（元）</w:t>
            </w:r>
          </w:p>
        </w:tc>
        <w:tc>
          <w:tcPr>
            <w:tcW w:w="673" w:type="pct"/>
            <w:vAlign w:val="center"/>
          </w:tcPr>
          <w:p w14:paraId="29D764D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839" w:type="pct"/>
            <w:vAlign w:val="center"/>
          </w:tcPr>
          <w:p w14:paraId="47434C7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c>
          <w:tcPr>
            <w:tcW w:w="835" w:type="pct"/>
            <w:vAlign w:val="center"/>
          </w:tcPr>
          <w:p w14:paraId="6EAEFFDB">
            <w:pPr>
              <w:spacing w:line="36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60BF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33FA3AA9">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1</w:t>
            </w:r>
          </w:p>
        </w:tc>
        <w:tc>
          <w:tcPr>
            <w:tcW w:w="1162" w:type="pct"/>
            <w:vAlign w:val="center"/>
          </w:tcPr>
          <w:p w14:paraId="21A93F89">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首页工作台</w:t>
            </w:r>
          </w:p>
        </w:tc>
        <w:tc>
          <w:tcPr>
            <w:tcW w:w="967" w:type="pct"/>
            <w:vAlign w:val="center"/>
          </w:tcPr>
          <w:p w14:paraId="73F85007">
            <w:pPr>
              <w:pStyle w:val="7"/>
              <w:spacing w:line="360" w:lineRule="auto"/>
              <w:jc w:val="center"/>
              <w:rPr>
                <w:rFonts w:ascii="Times New Roman" w:hAnsi="Times New Roman" w:eastAsia="仿宋" w:cs="Times New Roman"/>
                <w:szCs w:val="21"/>
              </w:rPr>
            </w:pPr>
          </w:p>
        </w:tc>
        <w:tc>
          <w:tcPr>
            <w:tcW w:w="673" w:type="pct"/>
            <w:vAlign w:val="center"/>
          </w:tcPr>
          <w:p w14:paraId="18230512">
            <w:pPr>
              <w:pStyle w:val="7"/>
              <w:spacing w:line="360" w:lineRule="auto"/>
              <w:jc w:val="center"/>
              <w:rPr>
                <w:rFonts w:ascii="Times New Roman" w:hAnsi="Times New Roman" w:eastAsia="仿宋" w:cs="Times New Roman"/>
                <w:szCs w:val="21"/>
              </w:rPr>
            </w:pPr>
          </w:p>
        </w:tc>
        <w:tc>
          <w:tcPr>
            <w:tcW w:w="839" w:type="pct"/>
            <w:vAlign w:val="center"/>
          </w:tcPr>
          <w:p w14:paraId="12864601">
            <w:pPr>
              <w:pStyle w:val="7"/>
              <w:spacing w:line="360" w:lineRule="auto"/>
              <w:jc w:val="center"/>
              <w:rPr>
                <w:rFonts w:ascii="Times New Roman" w:hAnsi="Times New Roman" w:eastAsia="仿宋" w:cs="Times New Roman"/>
                <w:szCs w:val="21"/>
              </w:rPr>
            </w:pPr>
          </w:p>
        </w:tc>
        <w:tc>
          <w:tcPr>
            <w:tcW w:w="835" w:type="pct"/>
            <w:vAlign w:val="center"/>
          </w:tcPr>
          <w:p w14:paraId="4073DC3C">
            <w:pPr>
              <w:pStyle w:val="7"/>
              <w:spacing w:line="360" w:lineRule="auto"/>
              <w:jc w:val="center"/>
              <w:rPr>
                <w:rFonts w:ascii="Times New Roman" w:hAnsi="Times New Roman" w:eastAsia="仿宋" w:cs="Times New Roman"/>
                <w:szCs w:val="21"/>
              </w:rPr>
            </w:pPr>
          </w:p>
        </w:tc>
      </w:tr>
      <w:tr w14:paraId="2F08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772E1905">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2</w:t>
            </w:r>
          </w:p>
        </w:tc>
        <w:tc>
          <w:tcPr>
            <w:tcW w:w="1162" w:type="pct"/>
            <w:vAlign w:val="center"/>
          </w:tcPr>
          <w:p w14:paraId="6E4DF6A6">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患者管理</w:t>
            </w:r>
          </w:p>
        </w:tc>
        <w:tc>
          <w:tcPr>
            <w:tcW w:w="967" w:type="pct"/>
            <w:vAlign w:val="center"/>
          </w:tcPr>
          <w:p w14:paraId="6E186972">
            <w:pPr>
              <w:pStyle w:val="7"/>
              <w:spacing w:line="360" w:lineRule="auto"/>
              <w:jc w:val="center"/>
              <w:rPr>
                <w:rFonts w:ascii="Times New Roman" w:hAnsi="Times New Roman" w:eastAsia="仿宋" w:cs="Times New Roman"/>
                <w:szCs w:val="21"/>
              </w:rPr>
            </w:pPr>
          </w:p>
        </w:tc>
        <w:tc>
          <w:tcPr>
            <w:tcW w:w="673" w:type="pct"/>
            <w:vAlign w:val="center"/>
          </w:tcPr>
          <w:p w14:paraId="0BF23FA1">
            <w:pPr>
              <w:pStyle w:val="7"/>
              <w:spacing w:line="360" w:lineRule="auto"/>
              <w:jc w:val="center"/>
              <w:rPr>
                <w:rFonts w:ascii="Times New Roman" w:hAnsi="Times New Roman" w:eastAsia="仿宋" w:cs="Times New Roman"/>
                <w:szCs w:val="21"/>
              </w:rPr>
            </w:pPr>
          </w:p>
        </w:tc>
        <w:tc>
          <w:tcPr>
            <w:tcW w:w="839" w:type="pct"/>
            <w:vAlign w:val="center"/>
          </w:tcPr>
          <w:p w14:paraId="6C31C774">
            <w:pPr>
              <w:pStyle w:val="7"/>
              <w:spacing w:line="360" w:lineRule="auto"/>
              <w:jc w:val="center"/>
              <w:rPr>
                <w:rFonts w:ascii="Times New Roman" w:hAnsi="Times New Roman" w:eastAsia="仿宋" w:cs="Times New Roman"/>
                <w:szCs w:val="21"/>
              </w:rPr>
            </w:pPr>
          </w:p>
        </w:tc>
        <w:tc>
          <w:tcPr>
            <w:tcW w:w="835" w:type="pct"/>
            <w:vAlign w:val="center"/>
          </w:tcPr>
          <w:p w14:paraId="0552914F">
            <w:pPr>
              <w:pStyle w:val="7"/>
              <w:spacing w:line="360" w:lineRule="auto"/>
              <w:jc w:val="center"/>
              <w:rPr>
                <w:rFonts w:ascii="Times New Roman" w:hAnsi="Times New Roman" w:eastAsia="仿宋" w:cs="Times New Roman"/>
                <w:szCs w:val="21"/>
              </w:rPr>
            </w:pPr>
          </w:p>
        </w:tc>
      </w:tr>
      <w:tr w14:paraId="6077F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6A259680">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3</w:t>
            </w:r>
          </w:p>
        </w:tc>
        <w:tc>
          <w:tcPr>
            <w:tcW w:w="1162" w:type="pct"/>
            <w:vAlign w:val="center"/>
          </w:tcPr>
          <w:p w14:paraId="316FEE66">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检查医嘱管理</w:t>
            </w:r>
          </w:p>
        </w:tc>
        <w:tc>
          <w:tcPr>
            <w:tcW w:w="967" w:type="pct"/>
            <w:vAlign w:val="center"/>
          </w:tcPr>
          <w:p w14:paraId="0D492B58">
            <w:pPr>
              <w:pStyle w:val="7"/>
              <w:spacing w:line="360" w:lineRule="auto"/>
              <w:jc w:val="center"/>
              <w:rPr>
                <w:rFonts w:ascii="Times New Roman" w:hAnsi="Times New Roman" w:eastAsia="仿宋" w:cs="Times New Roman"/>
                <w:szCs w:val="21"/>
              </w:rPr>
            </w:pPr>
          </w:p>
        </w:tc>
        <w:tc>
          <w:tcPr>
            <w:tcW w:w="673" w:type="pct"/>
            <w:vAlign w:val="center"/>
          </w:tcPr>
          <w:p w14:paraId="1D5836CC">
            <w:pPr>
              <w:pStyle w:val="7"/>
              <w:spacing w:line="360" w:lineRule="auto"/>
              <w:jc w:val="center"/>
              <w:rPr>
                <w:rFonts w:ascii="Times New Roman" w:hAnsi="Times New Roman" w:eastAsia="仿宋" w:cs="Times New Roman"/>
                <w:szCs w:val="21"/>
              </w:rPr>
            </w:pPr>
          </w:p>
        </w:tc>
        <w:tc>
          <w:tcPr>
            <w:tcW w:w="839" w:type="pct"/>
            <w:vAlign w:val="center"/>
          </w:tcPr>
          <w:p w14:paraId="7E1EBAA7">
            <w:pPr>
              <w:pStyle w:val="7"/>
              <w:spacing w:line="360" w:lineRule="auto"/>
              <w:jc w:val="center"/>
              <w:rPr>
                <w:rFonts w:ascii="Times New Roman" w:hAnsi="Times New Roman" w:eastAsia="仿宋" w:cs="Times New Roman"/>
                <w:szCs w:val="21"/>
              </w:rPr>
            </w:pPr>
          </w:p>
        </w:tc>
        <w:tc>
          <w:tcPr>
            <w:tcW w:w="835" w:type="pct"/>
            <w:vAlign w:val="center"/>
          </w:tcPr>
          <w:p w14:paraId="2FC1E3E0">
            <w:pPr>
              <w:pStyle w:val="7"/>
              <w:spacing w:line="360" w:lineRule="auto"/>
              <w:jc w:val="center"/>
              <w:rPr>
                <w:rFonts w:ascii="Times New Roman" w:hAnsi="Times New Roman" w:eastAsia="仿宋" w:cs="Times New Roman"/>
                <w:szCs w:val="21"/>
              </w:rPr>
            </w:pPr>
          </w:p>
        </w:tc>
      </w:tr>
      <w:tr w14:paraId="515AE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2C9934E3">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4</w:t>
            </w:r>
          </w:p>
        </w:tc>
        <w:tc>
          <w:tcPr>
            <w:tcW w:w="1162" w:type="pct"/>
            <w:vAlign w:val="center"/>
          </w:tcPr>
          <w:p w14:paraId="153C183B">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检查评估管理</w:t>
            </w:r>
          </w:p>
        </w:tc>
        <w:tc>
          <w:tcPr>
            <w:tcW w:w="967" w:type="pct"/>
            <w:vAlign w:val="center"/>
          </w:tcPr>
          <w:p w14:paraId="05A478DE">
            <w:pPr>
              <w:pStyle w:val="7"/>
              <w:spacing w:line="360" w:lineRule="auto"/>
              <w:jc w:val="center"/>
              <w:rPr>
                <w:rFonts w:ascii="Times New Roman" w:hAnsi="Times New Roman" w:eastAsia="仿宋" w:cs="Times New Roman"/>
                <w:szCs w:val="21"/>
              </w:rPr>
            </w:pPr>
          </w:p>
        </w:tc>
        <w:tc>
          <w:tcPr>
            <w:tcW w:w="673" w:type="pct"/>
            <w:vAlign w:val="center"/>
          </w:tcPr>
          <w:p w14:paraId="1BC91E50">
            <w:pPr>
              <w:pStyle w:val="7"/>
              <w:spacing w:line="360" w:lineRule="auto"/>
              <w:jc w:val="center"/>
              <w:rPr>
                <w:rFonts w:ascii="Times New Roman" w:hAnsi="Times New Roman" w:eastAsia="仿宋" w:cs="Times New Roman"/>
                <w:szCs w:val="21"/>
              </w:rPr>
            </w:pPr>
          </w:p>
        </w:tc>
        <w:tc>
          <w:tcPr>
            <w:tcW w:w="839" w:type="pct"/>
            <w:vAlign w:val="center"/>
          </w:tcPr>
          <w:p w14:paraId="3C2D1280">
            <w:pPr>
              <w:pStyle w:val="7"/>
              <w:spacing w:line="360" w:lineRule="auto"/>
              <w:jc w:val="center"/>
              <w:rPr>
                <w:rFonts w:ascii="Times New Roman" w:hAnsi="Times New Roman" w:eastAsia="仿宋" w:cs="Times New Roman"/>
                <w:szCs w:val="21"/>
              </w:rPr>
            </w:pPr>
          </w:p>
        </w:tc>
        <w:tc>
          <w:tcPr>
            <w:tcW w:w="835" w:type="pct"/>
            <w:vAlign w:val="center"/>
          </w:tcPr>
          <w:p w14:paraId="78EC3AA0">
            <w:pPr>
              <w:pStyle w:val="7"/>
              <w:spacing w:line="360" w:lineRule="auto"/>
              <w:jc w:val="center"/>
              <w:rPr>
                <w:rFonts w:ascii="Times New Roman" w:hAnsi="Times New Roman" w:eastAsia="仿宋" w:cs="Times New Roman"/>
                <w:szCs w:val="21"/>
              </w:rPr>
            </w:pPr>
          </w:p>
        </w:tc>
      </w:tr>
      <w:tr w14:paraId="0693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0C40705E">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5</w:t>
            </w:r>
          </w:p>
        </w:tc>
        <w:tc>
          <w:tcPr>
            <w:tcW w:w="1162" w:type="pct"/>
            <w:vAlign w:val="center"/>
          </w:tcPr>
          <w:p w14:paraId="7F89FC00">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报告解读</w:t>
            </w:r>
          </w:p>
        </w:tc>
        <w:tc>
          <w:tcPr>
            <w:tcW w:w="967" w:type="pct"/>
            <w:vAlign w:val="center"/>
          </w:tcPr>
          <w:p w14:paraId="37A433F0">
            <w:pPr>
              <w:pStyle w:val="7"/>
              <w:spacing w:line="360" w:lineRule="auto"/>
              <w:jc w:val="center"/>
              <w:rPr>
                <w:rFonts w:ascii="Times New Roman" w:hAnsi="Times New Roman" w:eastAsia="仿宋" w:cs="Times New Roman"/>
                <w:szCs w:val="21"/>
              </w:rPr>
            </w:pPr>
          </w:p>
        </w:tc>
        <w:tc>
          <w:tcPr>
            <w:tcW w:w="673" w:type="pct"/>
            <w:vAlign w:val="center"/>
          </w:tcPr>
          <w:p w14:paraId="60554A2D">
            <w:pPr>
              <w:pStyle w:val="7"/>
              <w:spacing w:line="360" w:lineRule="auto"/>
              <w:jc w:val="center"/>
              <w:rPr>
                <w:rFonts w:ascii="Times New Roman" w:hAnsi="Times New Roman" w:eastAsia="仿宋" w:cs="Times New Roman"/>
                <w:szCs w:val="21"/>
              </w:rPr>
            </w:pPr>
          </w:p>
        </w:tc>
        <w:tc>
          <w:tcPr>
            <w:tcW w:w="839" w:type="pct"/>
            <w:vAlign w:val="center"/>
          </w:tcPr>
          <w:p w14:paraId="3D18456D">
            <w:pPr>
              <w:pStyle w:val="7"/>
              <w:spacing w:line="360" w:lineRule="auto"/>
              <w:jc w:val="center"/>
              <w:rPr>
                <w:rFonts w:ascii="Times New Roman" w:hAnsi="Times New Roman" w:eastAsia="仿宋" w:cs="Times New Roman"/>
                <w:szCs w:val="21"/>
              </w:rPr>
            </w:pPr>
          </w:p>
        </w:tc>
        <w:tc>
          <w:tcPr>
            <w:tcW w:w="835" w:type="pct"/>
            <w:vAlign w:val="center"/>
          </w:tcPr>
          <w:p w14:paraId="36FC6ACB">
            <w:pPr>
              <w:pStyle w:val="7"/>
              <w:spacing w:line="360" w:lineRule="auto"/>
              <w:jc w:val="center"/>
              <w:rPr>
                <w:rFonts w:ascii="Times New Roman" w:hAnsi="Times New Roman" w:eastAsia="仿宋" w:cs="Times New Roman"/>
                <w:szCs w:val="21"/>
              </w:rPr>
            </w:pPr>
          </w:p>
        </w:tc>
      </w:tr>
      <w:tr w14:paraId="4221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3DEB2E26">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6</w:t>
            </w:r>
          </w:p>
        </w:tc>
        <w:tc>
          <w:tcPr>
            <w:tcW w:w="1162" w:type="pct"/>
            <w:vAlign w:val="center"/>
          </w:tcPr>
          <w:p w14:paraId="4C780852">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报告审核</w:t>
            </w:r>
          </w:p>
        </w:tc>
        <w:tc>
          <w:tcPr>
            <w:tcW w:w="967" w:type="pct"/>
            <w:vAlign w:val="center"/>
          </w:tcPr>
          <w:p w14:paraId="32E98E2C">
            <w:pPr>
              <w:pStyle w:val="7"/>
              <w:spacing w:line="360" w:lineRule="auto"/>
              <w:jc w:val="center"/>
              <w:rPr>
                <w:rFonts w:ascii="Times New Roman" w:hAnsi="Times New Roman" w:eastAsia="仿宋" w:cs="Times New Roman"/>
                <w:szCs w:val="21"/>
              </w:rPr>
            </w:pPr>
          </w:p>
        </w:tc>
        <w:tc>
          <w:tcPr>
            <w:tcW w:w="673" w:type="pct"/>
            <w:vAlign w:val="center"/>
          </w:tcPr>
          <w:p w14:paraId="21F9F10C">
            <w:pPr>
              <w:pStyle w:val="7"/>
              <w:spacing w:line="360" w:lineRule="auto"/>
              <w:jc w:val="center"/>
              <w:rPr>
                <w:rFonts w:ascii="Times New Roman" w:hAnsi="Times New Roman" w:eastAsia="仿宋" w:cs="Times New Roman"/>
                <w:szCs w:val="21"/>
              </w:rPr>
            </w:pPr>
          </w:p>
        </w:tc>
        <w:tc>
          <w:tcPr>
            <w:tcW w:w="839" w:type="pct"/>
            <w:vAlign w:val="center"/>
          </w:tcPr>
          <w:p w14:paraId="09C47D44">
            <w:pPr>
              <w:pStyle w:val="7"/>
              <w:spacing w:line="360" w:lineRule="auto"/>
              <w:jc w:val="center"/>
              <w:rPr>
                <w:rFonts w:ascii="Times New Roman" w:hAnsi="Times New Roman" w:eastAsia="仿宋" w:cs="Times New Roman"/>
                <w:szCs w:val="21"/>
              </w:rPr>
            </w:pPr>
          </w:p>
        </w:tc>
        <w:tc>
          <w:tcPr>
            <w:tcW w:w="835" w:type="pct"/>
            <w:vAlign w:val="center"/>
          </w:tcPr>
          <w:p w14:paraId="3550BFDB">
            <w:pPr>
              <w:pStyle w:val="7"/>
              <w:spacing w:line="360" w:lineRule="auto"/>
              <w:jc w:val="center"/>
              <w:rPr>
                <w:rFonts w:ascii="Times New Roman" w:hAnsi="Times New Roman" w:eastAsia="仿宋" w:cs="Times New Roman"/>
                <w:szCs w:val="21"/>
              </w:rPr>
            </w:pPr>
          </w:p>
        </w:tc>
      </w:tr>
      <w:tr w14:paraId="4261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03E92998">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7</w:t>
            </w:r>
          </w:p>
        </w:tc>
        <w:tc>
          <w:tcPr>
            <w:tcW w:w="1162" w:type="pct"/>
            <w:vAlign w:val="center"/>
          </w:tcPr>
          <w:p w14:paraId="7FF51F87">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肺功能辅助质控与判读</w:t>
            </w:r>
          </w:p>
        </w:tc>
        <w:tc>
          <w:tcPr>
            <w:tcW w:w="967" w:type="pct"/>
            <w:vAlign w:val="center"/>
          </w:tcPr>
          <w:p w14:paraId="7A9291E9">
            <w:pPr>
              <w:pStyle w:val="7"/>
              <w:spacing w:line="360" w:lineRule="auto"/>
              <w:jc w:val="center"/>
              <w:rPr>
                <w:rFonts w:ascii="Times New Roman" w:hAnsi="Times New Roman" w:eastAsia="仿宋" w:cs="Times New Roman"/>
                <w:szCs w:val="21"/>
              </w:rPr>
            </w:pPr>
          </w:p>
        </w:tc>
        <w:tc>
          <w:tcPr>
            <w:tcW w:w="673" w:type="pct"/>
            <w:vAlign w:val="center"/>
          </w:tcPr>
          <w:p w14:paraId="05B58DEE">
            <w:pPr>
              <w:pStyle w:val="7"/>
              <w:spacing w:line="360" w:lineRule="auto"/>
              <w:jc w:val="center"/>
              <w:rPr>
                <w:rFonts w:ascii="Times New Roman" w:hAnsi="Times New Roman" w:eastAsia="仿宋" w:cs="Times New Roman"/>
                <w:szCs w:val="21"/>
              </w:rPr>
            </w:pPr>
          </w:p>
        </w:tc>
        <w:tc>
          <w:tcPr>
            <w:tcW w:w="839" w:type="pct"/>
            <w:vAlign w:val="center"/>
          </w:tcPr>
          <w:p w14:paraId="2F0EA427">
            <w:pPr>
              <w:pStyle w:val="7"/>
              <w:spacing w:line="360" w:lineRule="auto"/>
              <w:jc w:val="center"/>
              <w:rPr>
                <w:rFonts w:ascii="Times New Roman" w:hAnsi="Times New Roman" w:eastAsia="仿宋" w:cs="Times New Roman"/>
                <w:szCs w:val="21"/>
              </w:rPr>
            </w:pPr>
          </w:p>
        </w:tc>
        <w:tc>
          <w:tcPr>
            <w:tcW w:w="835" w:type="pct"/>
            <w:vAlign w:val="center"/>
          </w:tcPr>
          <w:p w14:paraId="6A674CAE">
            <w:pPr>
              <w:pStyle w:val="7"/>
              <w:spacing w:line="360" w:lineRule="auto"/>
              <w:jc w:val="center"/>
              <w:rPr>
                <w:rFonts w:ascii="Times New Roman" w:hAnsi="Times New Roman" w:eastAsia="仿宋" w:cs="Times New Roman"/>
                <w:szCs w:val="21"/>
              </w:rPr>
            </w:pPr>
          </w:p>
        </w:tc>
      </w:tr>
      <w:tr w14:paraId="0B77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7123C3D6">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8</w:t>
            </w:r>
          </w:p>
        </w:tc>
        <w:tc>
          <w:tcPr>
            <w:tcW w:w="1162" w:type="pct"/>
            <w:vAlign w:val="center"/>
          </w:tcPr>
          <w:p w14:paraId="0D64A5E0">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检查报告综合查询</w:t>
            </w:r>
          </w:p>
        </w:tc>
        <w:tc>
          <w:tcPr>
            <w:tcW w:w="967" w:type="pct"/>
            <w:vAlign w:val="center"/>
          </w:tcPr>
          <w:p w14:paraId="15B08EAE">
            <w:pPr>
              <w:pStyle w:val="7"/>
              <w:spacing w:line="360" w:lineRule="auto"/>
              <w:jc w:val="center"/>
              <w:rPr>
                <w:rFonts w:ascii="Times New Roman" w:hAnsi="Times New Roman" w:eastAsia="仿宋" w:cs="Times New Roman"/>
                <w:szCs w:val="21"/>
              </w:rPr>
            </w:pPr>
          </w:p>
        </w:tc>
        <w:tc>
          <w:tcPr>
            <w:tcW w:w="673" w:type="pct"/>
            <w:vAlign w:val="center"/>
          </w:tcPr>
          <w:p w14:paraId="6C9AE593">
            <w:pPr>
              <w:pStyle w:val="7"/>
              <w:spacing w:line="360" w:lineRule="auto"/>
              <w:jc w:val="center"/>
              <w:rPr>
                <w:rFonts w:ascii="Times New Roman" w:hAnsi="Times New Roman" w:eastAsia="仿宋" w:cs="Times New Roman"/>
                <w:szCs w:val="21"/>
              </w:rPr>
            </w:pPr>
          </w:p>
        </w:tc>
        <w:tc>
          <w:tcPr>
            <w:tcW w:w="839" w:type="pct"/>
            <w:vAlign w:val="center"/>
          </w:tcPr>
          <w:p w14:paraId="31FC3C74">
            <w:pPr>
              <w:pStyle w:val="7"/>
              <w:spacing w:line="360" w:lineRule="auto"/>
              <w:jc w:val="center"/>
              <w:rPr>
                <w:rFonts w:ascii="Times New Roman" w:hAnsi="Times New Roman" w:eastAsia="仿宋" w:cs="Times New Roman"/>
                <w:szCs w:val="21"/>
              </w:rPr>
            </w:pPr>
          </w:p>
        </w:tc>
        <w:tc>
          <w:tcPr>
            <w:tcW w:w="835" w:type="pct"/>
            <w:vAlign w:val="center"/>
          </w:tcPr>
          <w:p w14:paraId="1C270563">
            <w:pPr>
              <w:pStyle w:val="7"/>
              <w:spacing w:line="360" w:lineRule="auto"/>
              <w:jc w:val="center"/>
              <w:rPr>
                <w:rFonts w:ascii="Times New Roman" w:hAnsi="Times New Roman" w:eastAsia="仿宋" w:cs="Times New Roman"/>
                <w:szCs w:val="21"/>
              </w:rPr>
            </w:pPr>
          </w:p>
        </w:tc>
      </w:tr>
      <w:tr w14:paraId="011B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146F4765">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9</w:t>
            </w:r>
          </w:p>
        </w:tc>
        <w:tc>
          <w:tcPr>
            <w:tcW w:w="1162" w:type="pct"/>
            <w:vAlign w:val="center"/>
          </w:tcPr>
          <w:p w14:paraId="7CA07932">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多源检查数据集成</w:t>
            </w:r>
          </w:p>
        </w:tc>
        <w:tc>
          <w:tcPr>
            <w:tcW w:w="967" w:type="pct"/>
            <w:vAlign w:val="center"/>
          </w:tcPr>
          <w:p w14:paraId="16DE6EBA">
            <w:pPr>
              <w:pStyle w:val="7"/>
              <w:spacing w:line="360" w:lineRule="auto"/>
              <w:jc w:val="center"/>
              <w:rPr>
                <w:rFonts w:ascii="Times New Roman" w:hAnsi="Times New Roman" w:eastAsia="仿宋" w:cs="Times New Roman"/>
                <w:szCs w:val="21"/>
              </w:rPr>
            </w:pPr>
          </w:p>
        </w:tc>
        <w:tc>
          <w:tcPr>
            <w:tcW w:w="673" w:type="pct"/>
            <w:vAlign w:val="center"/>
          </w:tcPr>
          <w:p w14:paraId="074948FC">
            <w:pPr>
              <w:pStyle w:val="7"/>
              <w:spacing w:line="360" w:lineRule="auto"/>
              <w:jc w:val="center"/>
              <w:rPr>
                <w:rFonts w:ascii="Times New Roman" w:hAnsi="Times New Roman" w:eastAsia="仿宋" w:cs="Times New Roman"/>
                <w:szCs w:val="21"/>
              </w:rPr>
            </w:pPr>
          </w:p>
        </w:tc>
        <w:tc>
          <w:tcPr>
            <w:tcW w:w="839" w:type="pct"/>
            <w:vAlign w:val="center"/>
          </w:tcPr>
          <w:p w14:paraId="2ABF2985">
            <w:pPr>
              <w:pStyle w:val="7"/>
              <w:spacing w:line="360" w:lineRule="auto"/>
              <w:jc w:val="center"/>
              <w:rPr>
                <w:rFonts w:ascii="Times New Roman" w:hAnsi="Times New Roman" w:eastAsia="仿宋" w:cs="Times New Roman"/>
                <w:szCs w:val="21"/>
              </w:rPr>
            </w:pPr>
          </w:p>
        </w:tc>
        <w:tc>
          <w:tcPr>
            <w:tcW w:w="835" w:type="pct"/>
            <w:vAlign w:val="center"/>
          </w:tcPr>
          <w:p w14:paraId="5F133381">
            <w:pPr>
              <w:pStyle w:val="7"/>
              <w:spacing w:line="360" w:lineRule="auto"/>
              <w:jc w:val="center"/>
              <w:rPr>
                <w:rFonts w:ascii="Times New Roman" w:hAnsi="Times New Roman" w:eastAsia="仿宋" w:cs="Times New Roman"/>
                <w:szCs w:val="21"/>
              </w:rPr>
            </w:pPr>
          </w:p>
        </w:tc>
      </w:tr>
      <w:tr w14:paraId="0671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41A8A74D">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10</w:t>
            </w:r>
          </w:p>
        </w:tc>
        <w:tc>
          <w:tcPr>
            <w:tcW w:w="1162" w:type="pct"/>
            <w:vAlign w:val="center"/>
          </w:tcPr>
          <w:p w14:paraId="5E6E2A44">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风险指标识别</w:t>
            </w:r>
          </w:p>
        </w:tc>
        <w:tc>
          <w:tcPr>
            <w:tcW w:w="967" w:type="pct"/>
            <w:vAlign w:val="center"/>
          </w:tcPr>
          <w:p w14:paraId="14788408">
            <w:pPr>
              <w:pStyle w:val="7"/>
              <w:spacing w:line="360" w:lineRule="auto"/>
              <w:jc w:val="center"/>
              <w:rPr>
                <w:rFonts w:ascii="Times New Roman" w:hAnsi="Times New Roman" w:eastAsia="仿宋" w:cs="Times New Roman"/>
                <w:szCs w:val="21"/>
              </w:rPr>
            </w:pPr>
          </w:p>
        </w:tc>
        <w:tc>
          <w:tcPr>
            <w:tcW w:w="673" w:type="pct"/>
            <w:vAlign w:val="center"/>
          </w:tcPr>
          <w:p w14:paraId="106EA8E3">
            <w:pPr>
              <w:pStyle w:val="7"/>
              <w:spacing w:line="360" w:lineRule="auto"/>
              <w:jc w:val="center"/>
              <w:rPr>
                <w:rFonts w:ascii="Times New Roman" w:hAnsi="Times New Roman" w:eastAsia="仿宋" w:cs="Times New Roman"/>
                <w:szCs w:val="21"/>
              </w:rPr>
            </w:pPr>
          </w:p>
        </w:tc>
        <w:tc>
          <w:tcPr>
            <w:tcW w:w="839" w:type="pct"/>
            <w:vAlign w:val="center"/>
          </w:tcPr>
          <w:p w14:paraId="763F6EBE">
            <w:pPr>
              <w:pStyle w:val="7"/>
              <w:spacing w:line="360" w:lineRule="auto"/>
              <w:jc w:val="center"/>
              <w:rPr>
                <w:rFonts w:ascii="Times New Roman" w:hAnsi="Times New Roman" w:eastAsia="仿宋" w:cs="Times New Roman"/>
                <w:szCs w:val="21"/>
              </w:rPr>
            </w:pPr>
          </w:p>
        </w:tc>
        <w:tc>
          <w:tcPr>
            <w:tcW w:w="835" w:type="pct"/>
            <w:vAlign w:val="center"/>
          </w:tcPr>
          <w:p w14:paraId="2D69C24E">
            <w:pPr>
              <w:pStyle w:val="7"/>
              <w:spacing w:line="360" w:lineRule="auto"/>
              <w:jc w:val="center"/>
              <w:rPr>
                <w:rFonts w:ascii="Times New Roman" w:hAnsi="Times New Roman" w:eastAsia="仿宋" w:cs="Times New Roman"/>
                <w:szCs w:val="21"/>
              </w:rPr>
            </w:pPr>
          </w:p>
        </w:tc>
      </w:tr>
      <w:tr w14:paraId="611E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52390CF7">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11</w:t>
            </w:r>
          </w:p>
        </w:tc>
        <w:tc>
          <w:tcPr>
            <w:tcW w:w="1162" w:type="pct"/>
            <w:vAlign w:val="center"/>
          </w:tcPr>
          <w:p w14:paraId="487DB96D">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设备管理</w:t>
            </w:r>
          </w:p>
        </w:tc>
        <w:tc>
          <w:tcPr>
            <w:tcW w:w="967" w:type="pct"/>
            <w:vAlign w:val="center"/>
          </w:tcPr>
          <w:p w14:paraId="73B88253">
            <w:pPr>
              <w:pStyle w:val="7"/>
              <w:spacing w:line="360" w:lineRule="auto"/>
              <w:jc w:val="center"/>
              <w:rPr>
                <w:rFonts w:ascii="Times New Roman" w:hAnsi="Times New Roman" w:eastAsia="仿宋" w:cs="Times New Roman"/>
                <w:szCs w:val="21"/>
              </w:rPr>
            </w:pPr>
          </w:p>
        </w:tc>
        <w:tc>
          <w:tcPr>
            <w:tcW w:w="673" w:type="pct"/>
            <w:vAlign w:val="center"/>
          </w:tcPr>
          <w:p w14:paraId="3517C75E">
            <w:pPr>
              <w:pStyle w:val="7"/>
              <w:spacing w:line="360" w:lineRule="auto"/>
              <w:jc w:val="center"/>
              <w:rPr>
                <w:rFonts w:ascii="Times New Roman" w:hAnsi="Times New Roman" w:eastAsia="仿宋" w:cs="Times New Roman"/>
                <w:szCs w:val="21"/>
              </w:rPr>
            </w:pPr>
          </w:p>
        </w:tc>
        <w:tc>
          <w:tcPr>
            <w:tcW w:w="839" w:type="pct"/>
            <w:vAlign w:val="center"/>
          </w:tcPr>
          <w:p w14:paraId="1A5C591D">
            <w:pPr>
              <w:pStyle w:val="7"/>
              <w:spacing w:line="360" w:lineRule="auto"/>
              <w:jc w:val="center"/>
              <w:rPr>
                <w:rFonts w:ascii="Times New Roman" w:hAnsi="Times New Roman" w:eastAsia="仿宋" w:cs="Times New Roman"/>
                <w:szCs w:val="21"/>
              </w:rPr>
            </w:pPr>
          </w:p>
        </w:tc>
        <w:tc>
          <w:tcPr>
            <w:tcW w:w="835" w:type="pct"/>
            <w:vAlign w:val="center"/>
          </w:tcPr>
          <w:p w14:paraId="2D31A848">
            <w:pPr>
              <w:pStyle w:val="7"/>
              <w:spacing w:line="360" w:lineRule="auto"/>
              <w:jc w:val="center"/>
              <w:rPr>
                <w:rFonts w:ascii="Times New Roman" w:hAnsi="Times New Roman" w:eastAsia="仿宋" w:cs="Times New Roman"/>
                <w:szCs w:val="21"/>
              </w:rPr>
            </w:pPr>
          </w:p>
        </w:tc>
      </w:tr>
      <w:tr w14:paraId="296E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2" w:type="pct"/>
            <w:vAlign w:val="center"/>
          </w:tcPr>
          <w:p w14:paraId="06B9166B">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12</w:t>
            </w:r>
          </w:p>
        </w:tc>
        <w:tc>
          <w:tcPr>
            <w:tcW w:w="1162" w:type="pct"/>
            <w:vAlign w:val="center"/>
          </w:tcPr>
          <w:p w14:paraId="5F2EB27C">
            <w:pPr>
              <w:spacing w:line="360" w:lineRule="auto"/>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设备质控</w:t>
            </w:r>
          </w:p>
        </w:tc>
        <w:tc>
          <w:tcPr>
            <w:tcW w:w="967" w:type="pct"/>
            <w:vAlign w:val="center"/>
          </w:tcPr>
          <w:p w14:paraId="79F87B93">
            <w:pPr>
              <w:pStyle w:val="7"/>
              <w:spacing w:line="360" w:lineRule="auto"/>
              <w:jc w:val="center"/>
              <w:rPr>
                <w:rFonts w:ascii="Times New Roman" w:hAnsi="Times New Roman" w:eastAsia="仿宋" w:cs="Times New Roman"/>
                <w:szCs w:val="21"/>
              </w:rPr>
            </w:pPr>
          </w:p>
        </w:tc>
        <w:tc>
          <w:tcPr>
            <w:tcW w:w="673" w:type="pct"/>
            <w:vAlign w:val="center"/>
          </w:tcPr>
          <w:p w14:paraId="2E3EAB6E">
            <w:pPr>
              <w:pStyle w:val="7"/>
              <w:spacing w:line="360" w:lineRule="auto"/>
              <w:jc w:val="center"/>
              <w:rPr>
                <w:rFonts w:ascii="Times New Roman" w:hAnsi="Times New Roman" w:eastAsia="仿宋" w:cs="Times New Roman"/>
                <w:szCs w:val="21"/>
              </w:rPr>
            </w:pPr>
          </w:p>
        </w:tc>
        <w:tc>
          <w:tcPr>
            <w:tcW w:w="839" w:type="pct"/>
            <w:vAlign w:val="center"/>
          </w:tcPr>
          <w:p w14:paraId="1F3B415A">
            <w:pPr>
              <w:pStyle w:val="7"/>
              <w:spacing w:line="360" w:lineRule="auto"/>
              <w:jc w:val="center"/>
              <w:rPr>
                <w:rFonts w:ascii="Times New Roman" w:hAnsi="Times New Roman" w:eastAsia="仿宋" w:cs="Times New Roman"/>
                <w:szCs w:val="21"/>
              </w:rPr>
            </w:pPr>
          </w:p>
        </w:tc>
        <w:tc>
          <w:tcPr>
            <w:tcW w:w="835" w:type="pct"/>
            <w:vAlign w:val="center"/>
          </w:tcPr>
          <w:p w14:paraId="08C99639">
            <w:pPr>
              <w:pStyle w:val="7"/>
              <w:spacing w:line="360" w:lineRule="auto"/>
              <w:jc w:val="center"/>
              <w:rPr>
                <w:rFonts w:ascii="Times New Roman" w:hAnsi="Times New Roman" w:eastAsia="仿宋" w:cs="Times New Roman"/>
                <w:szCs w:val="21"/>
              </w:rPr>
            </w:pPr>
          </w:p>
        </w:tc>
      </w:tr>
      <w:tr w14:paraId="5210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684" w:type="pct"/>
            <w:gridSpan w:val="2"/>
            <w:vAlign w:val="center"/>
          </w:tcPr>
          <w:p w14:paraId="0F938BD6">
            <w:pPr>
              <w:spacing w:line="36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报价合计</w:t>
            </w:r>
          </w:p>
        </w:tc>
        <w:tc>
          <w:tcPr>
            <w:tcW w:w="3315" w:type="pct"/>
            <w:gridSpan w:val="4"/>
            <w:vAlign w:val="center"/>
          </w:tcPr>
          <w:p w14:paraId="444F9ACC">
            <w:pPr>
              <w:pStyle w:val="7"/>
              <w:spacing w:line="360" w:lineRule="auto"/>
              <w:jc w:val="both"/>
              <w:rPr>
                <w:rFonts w:hint="eastAsia" w:ascii="Times New Roman" w:hAnsi="Times New Roman" w:eastAsia="仿宋" w:cs="Times New Roman"/>
                <w:szCs w:val="21"/>
              </w:rPr>
            </w:pPr>
            <w:r>
              <w:rPr>
                <w:rFonts w:hint="eastAsia" w:ascii="Times New Roman" w:hAnsi="Times New Roman" w:eastAsia="仿宋" w:cs="Times New Roman"/>
                <w:szCs w:val="21"/>
              </w:rPr>
              <w:t>大写：           小写：</w:t>
            </w:r>
          </w:p>
        </w:tc>
      </w:tr>
      <w:tr w14:paraId="2D8E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6"/>
            <w:vAlign w:val="center"/>
          </w:tcPr>
          <w:p w14:paraId="005886F6">
            <w:pPr>
              <w:pStyle w:val="7"/>
              <w:spacing w:line="360" w:lineRule="auto"/>
              <w:jc w:val="left"/>
              <w:rPr>
                <w:rFonts w:hint="eastAsia" w:ascii="Times New Roman" w:hAnsi="Times New Roman" w:eastAsia="仿宋" w:cs="Times New Roman"/>
                <w:szCs w:val="21"/>
              </w:rPr>
            </w:pPr>
            <w:r>
              <w:rPr>
                <w:rFonts w:hint="eastAsia" w:ascii="Times New Roman" w:hAnsi="Times New Roman" w:eastAsia="仿宋" w:cs="Times New Roman"/>
                <w:szCs w:val="21"/>
              </w:rPr>
              <w:t>服务期：</w:t>
            </w:r>
          </w:p>
        </w:tc>
      </w:tr>
    </w:tbl>
    <w:p w14:paraId="665A25C3">
      <w:pPr>
        <w:pStyle w:val="7"/>
        <w:rPr>
          <w:rFonts w:ascii="Times New Roman" w:hAnsi="Times New Roman" w:eastAsia="仿宋" w:cs="Times New Roman"/>
          <w:szCs w:val="21"/>
        </w:rPr>
      </w:pPr>
    </w:p>
    <w:p w14:paraId="5FD51B88">
      <w:pPr>
        <w:pStyle w:val="7"/>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016"/>
        <w:gridCol w:w="3249"/>
        <w:gridCol w:w="1391"/>
        <w:gridCol w:w="928"/>
        <w:gridCol w:w="1628"/>
      </w:tblGrid>
      <w:tr w14:paraId="2CDD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476" w:type="pct"/>
            <w:vAlign w:val="center"/>
          </w:tcPr>
          <w:p w14:paraId="0D8E1257">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w:t>
            </w:r>
            <w:r>
              <w:rPr>
                <w:rFonts w:ascii="Times New Roman" w:hAnsi="Times New Roman" w:eastAsia="仿宋" w:cs="Times New Roman"/>
                <w:kern w:val="0"/>
                <w:szCs w:val="21"/>
                <w:lang w:val="zh-TW" w:eastAsia="zh-TW"/>
              </w:rPr>
              <w:t>名称</w:t>
            </w:r>
          </w:p>
        </w:tc>
        <w:tc>
          <w:tcPr>
            <w:tcW w:w="1590" w:type="pct"/>
            <w:vAlign w:val="center"/>
          </w:tcPr>
          <w:p w14:paraId="1E625698">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分项报价内容</w:t>
            </w:r>
          </w:p>
        </w:tc>
        <w:tc>
          <w:tcPr>
            <w:tcW w:w="681" w:type="pct"/>
            <w:vAlign w:val="center"/>
          </w:tcPr>
          <w:p w14:paraId="72A4E0FB">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w:t>
            </w:r>
            <w:r>
              <w:rPr>
                <w:rFonts w:hint="eastAsia" w:ascii="Times New Roman" w:hAnsi="Times New Roman" w:eastAsia="仿宋" w:cs="Times New Roman"/>
                <w:kern w:val="0"/>
                <w:szCs w:val="21"/>
                <w:lang w:val="zh-TW" w:eastAsia="zh-TW"/>
              </w:rPr>
              <w:t>价</w:t>
            </w:r>
            <w:r>
              <w:rPr>
                <w:rFonts w:ascii="Times New Roman" w:hAnsi="Times New Roman" w:eastAsia="仿宋" w:cs="Times New Roman"/>
                <w:kern w:val="0"/>
                <w:szCs w:val="21"/>
                <w:lang w:val="zh-TW" w:eastAsia="zh-TW"/>
              </w:rPr>
              <w:t>（元）</w:t>
            </w:r>
          </w:p>
        </w:tc>
        <w:tc>
          <w:tcPr>
            <w:tcW w:w="454" w:type="pct"/>
            <w:vAlign w:val="center"/>
          </w:tcPr>
          <w:p w14:paraId="3A57EF3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797" w:type="pct"/>
            <w:vAlign w:val="center"/>
          </w:tcPr>
          <w:p w14:paraId="5A814914">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14:paraId="171E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76" w:type="pct"/>
            <w:vAlign w:val="center"/>
          </w:tcPr>
          <w:p w14:paraId="451C5036">
            <w:pPr>
              <w:pStyle w:val="7"/>
              <w:jc w:val="center"/>
              <w:rPr>
                <w:rFonts w:ascii="Times New Roman" w:hAnsi="Times New Roman" w:eastAsia="仿宋" w:cs="Times New Roman"/>
                <w:szCs w:val="21"/>
              </w:rPr>
            </w:pPr>
          </w:p>
        </w:tc>
        <w:tc>
          <w:tcPr>
            <w:tcW w:w="1590" w:type="pct"/>
            <w:vAlign w:val="center"/>
          </w:tcPr>
          <w:p w14:paraId="6A3E00C8">
            <w:pPr>
              <w:pStyle w:val="7"/>
              <w:jc w:val="center"/>
              <w:rPr>
                <w:rFonts w:ascii="Times New Roman" w:hAnsi="Times New Roman" w:eastAsia="仿宋" w:cs="Times New Roman"/>
                <w:szCs w:val="21"/>
              </w:rPr>
            </w:pPr>
          </w:p>
        </w:tc>
        <w:tc>
          <w:tcPr>
            <w:tcW w:w="681" w:type="pct"/>
            <w:vAlign w:val="center"/>
          </w:tcPr>
          <w:p w14:paraId="6C46D90F">
            <w:pPr>
              <w:pStyle w:val="7"/>
              <w:jc w:val="center"/>
              <w:rPr>
                <w:rFonts w:ascii="Times New Roman" w:hAnsi="Times New Roman" w:eastAsia="仿宋" w:cs="Times New Roman"/>
                <w:szCs w:val="21"/>
              </w:rPr>
            </w:pPr>
          </w:p>
        </w:tc>
        <w:tc>
          <w:tcPr>
            <w:tcW w:w="454" w:type="pct"/>
            <w:vAlign w:val="center"/>
          </w:tcPr>
          <w:p w14:paraId="7501FFE5">
            <w:pPr>
              <w:pStyle w:val="7"/>
              <w:jc w:val="center"/>
              <w:rPr>
                <w:rFonts w:ascii="Times New Roman" w:hAnsi="Times New Roman" w:eastAsia="仿宋" w:cs="Times New Roman"/>
                <w:szCs w:val="21"/>
              </w:rPr>
            </w:pPr>
          </w:p>
        </w:tc>
        <w:tc>
          <w:tcPr>
            <w:tcW w:w="797" w:type="pct"/>
            <w:vAlign w:val="center"/>
          </w:tcPr>
          <w:p w14:paraId="68C2E029">
            <w:pPr>
              <w:pStyle w:val="7"/>
              <w:jc w:val="center"/>
              <w:rPr>
                <w:rFonts w:ascii="Times New Roman" w:hAnsi="Times New Roman" w:eastAsia="仿宋" w:cs="Times New Roman"/>
                <w:szCs w:val="21"/>
              </w:rPr>
            </w:pPr>
          </w:p>
        </w:tc>
      </w:tr>
      <w:tr w14:paraId="260D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76" w:type="pct"/>
            <w:vAlign w:val="center"/>
          </w:tcPr>
          <w:p w14:paraId="076F3292">
            <w:pPr>
              <w:pStyle w:val="7"/>
              <w:jc w:val="center"/>
              <w:rPr>
                <w:rFonts w:ascii="Times New Roman" w:hAnsi="Times New Roman" w:eastAsia="仿宋" w:cs="Times New Roman"/>
                <w:szCs w:val="21"/>
              </w:rPr>
            </w:pPr>
          </w:p>
        </w:tc>
        <w:tc>
          <w:tcPr>
            <w:tcW w:w="1590" w:type="pct"/>
            <w:vAlign w:val="center"/>
          </w:tcPr>
          <w:p w14:paraId="4FF3BCB7">
            <w:pPr>
              <w:pStyle w:val="7"/>
              <w:jc w:val="center"/>
              <w:rPr>
                <w:rFonts w:ascii="Times New Roman" w:hAnsi="Times New Roman" w:eastAsia="仿宋" w:cs="Times New Roman"/>
                <w:szCs w:val="21"/>
              </w:rPr>
            </w:pPr>
          </w:p>
        </w:tc>
        <w:tc>
          <w:tcPr>
            <w:tcW w:w="681" w:type="pct"/>
            <w:vAlign w:val="center"/>
          </w:tcPr>
          <w:p w14:paraId="3A6B8F50">
            <w:pPr>
              <w:pStyle w:val="7"/>
              <w:jc w:val="center"/>
              <w:rPr>
                <w:rFonts w:ascii="Times New Roman" w:hAnsi="Times New Roman" w:eastAsia="仿宋" w:cs="Times New Roman"/>
                <w:szCs w:val="21"/>
              </w:rPr>
            </w:pPr>
          </w:p>
        </w:tc>
        <w:tc>
          <w:tcPr>
            <w:tcW w:w="454" w:type="pct"/>
            <w:vAlign w:val="center"/>
          </w:tcPr>
          <w:p w14:paraId="4B65C39B">
            <w:pPr>
              <w:pStyle w:val="7"/>
              <w:jc w:val="center"/>
              <w:rPr>
                <w:rFonts w:ascii="Times New Roman" w:hAnsi="Times New Roman" w:eastAsia="仿宋" w:cs="Times New Roman"/>
                <w:szCs w:val="21"/>
              </w:rPr>
            </w:pPr>
          </w:p>
        </w:tc>
        <w:tc>
          <w:tcPr>
            <w:tcW w:w="797" w:type="pct"/>
            <w:vAlign w:val="center"/>
          </w:tcPr>
          <w:p w14:paraId="1A0DFF75">
            <w:pPr>
              <w:pStyle w:val="7"/>
              <w:jc w:val="center"/>
              <w:rPr>
                <w:rFonts w:ascii="Times New Roman" w:hAnsi="Times New Roman" w:eastAsia="仿宋" w:cs="Times New Roman"/>
                <w:szCs w:val="21"/>
              </w:rPr>
            </w:pPr>
          </w:p>
        </w:tc>
      </w:tr>
      <w:tr w14:paraId="55BE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76" w:type="pct"/>
            <w:vAlign w:val="center"/>
          </w:tcPr>
          <w:p w14:paraId="7D415413">
            <w:pPr>
              <w:pStyle w:val="7"/>
              <w:jc w:val="center"/>
              <w:rPr>
                <w:rFonts w:ascii="Times New Roman" w:hAnsi="Times New Roman" w:eastAsia="仿宋" w:cs="Times New Roman"/>
                <w:szCs w:val="21"/>
              </w:rPr>
            </w:pPr>
          </w:p>
        </w:tc>
        <w:tc>
          <w:tcPr>
            <w:tcW w:w="1590" w:type="pct"/>
            <w:vAlign w:val="center"/>
          </w:tcPr>
          <w:p w14:paraId="4E436A4B">
            <w:pPr>
              <w:pStyle w:val="7"/>
              <w:jc w:val="center"/>
              <w:rPr>
                <w:rFonts w:ascii="Times New Roman" w:hAnsi="Times New Roman" w:eastAsia="仿宋" w:cs="Times New Roman"/>
                <w:szCs w:val="21"/>
              </w:rPr>
            </w:pPr>
          </w:p>
        </w:tc>
        <w:tc>
          <w:tcPr>
            <w:tcW w:w="681" w:type="pct"/>
            <w:vAlign w:val="center"/>
          </w:tcPr>
          <w:p w14:paraId="3239B2B5">
            <w:pPr>
              <w:pStyle w:val="7"/>
              <w:jc w:val="center"/>
              <w:rPr>
                <w:rFonts w:ascii="Times New Roman" w:hAnsi="Times New Roman" w:eastAsia="仿宋" w:cs="Times New Roman"/>
                <w:szCs w:val="21"/>
              </w:rPr>
            </w:pPr>
          </w:p>
        </w:tc>
        <w:tc>
          <w:tcPr>
            <w:tcW w:w="454" w:type="pct"/>
            <w:vAlign w:val="center"/>
          </w:tcPr>
          <w:p w14:paraId="6A898FE2">
            <w:pPr>
              <w:pStyle w:val="7"/>
              <w:jc w:val="center"/>
              <w:rPr>
                <w:rFonts w:ascii="Times New Roman" w:hAnsi="Times New Roman" w:eastAsia="仿宋" w:cs="Times New Roman"/>
                <w:szCs w:val="21"/>
              </w:rPr>
            </w:pPr>
          </w:p>
        </w:tc>
        <w:tc>
          <w:tcPr>
            <w:tcW w:w="797" w:type="pct"/>
            <w:vAlign w:val="center"/>
          </w:tcPr>
          <w:p w14:paraId="3A61D1E7">
            <w:pPr>
              <w:pStyle w:val="7"/>
              <w:jc w:val="center"/>
              <w:rPr>
                <w:rFonts w:ascii="Times New Roman" w:hAnsi="Times New Roman" w:eastAsia="仿宋" w:cs="Times New Roman"/>
                <w:szCs w:val="21"/>
              </w:rPr>
            </w:pPr>
          </w:p>
        </w:tc>
      </w:tr>
      <w:tr w14:paraId="39E0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76" w:type="pct"/>
            <w:vAlign w:val="center"/>
          </w:tcPr>
          <w:p w14:paraId="058DC83F">
            <w:pPr>
              <w:pStyle w:val="7"/>
              <w:jc w:val="center"/>
              <w:rPr>
                <w:rFonts w:ascii="Times New Roman" w:hAnsi="Times New Roman" w:eastAsia="仿宋" w:cs="Times New Roman"/>
                <w:szCs w:val="21"/>
              </w:rPr>
            </w:pPr>
          </w:p>
        </w:tc>
        <w:tc>
          <w:tcPr>
            <w:tcW w:w="1590" w:type="pct"/>
            <w:vAlign w:val="center"/>
          </w:tcPr>
          <w:p w14:paraId="2B47C3BF">
            <w:pPr>
              <w:pStyle w:val="7"/>
              <w:jc w:val="center"/>
              <w:rPr>
                <w:rFonts w:ascii="Times New Roman" w:hAnsi="Times New Roman" w:eastAsia="仿宋" w:cs="Times New Roman"/>
                <w:szCs w:val="21"/>
              </w:rPr>
            </w:pPr>
          </w:p>
        </w:tc>
        <w:tc>
          <w:tcPr>
            <w:tcW w:w="681" w:type="pct"/>
            <w:vAlign w:val="center"/>
          </w:tcPr>
          <w:p w14:paraId="179BDA1A">
            <w:pPr>
              <w:pStyle w:val="7"/>
              <w:jc w:val="center"/>
              <w:rPr>
                <w:rFonts w:ascii="Times New Roman" w:hAnsi="Times New Roman" w:eastAsia="仿宋" w:cs="Times New Roman"/>
                <w:szCs w:val="21"/>
              </w:rPr>
            </w:pPr>
          </w:p>
        </w:tc>
        <w:tc>
          <w:tcPr>
            <w:tcW w:w="454" w:type="pct"/>
            <w:vAlign w:val="center"/>
          </w:tcPr>
          <w:p w14:paraId="510AD230">
            <w:pPr>
              <w:pStyle w:val="7"/>
              <w:jc w:val="center"/>
              <w:rPr>
                <w:rFonts w:ascii="Times New Roman" w:hAnsi="Times New Roman" w:eastAsia="仿宋" w:cs="Times New Roman"/>
                <w:szCs w:val="21"/>
              </w:rPr>
            </w:pPr>
          </w:p>
        </w:tc>
        <w:tc>
          <w:tcPr>
            <w:tcW w:w="797" w:type="pct"/>
            <w:vAlign w:val="center"/>
          </w:tcPr>
          <w:p w14:paraId="272E64DD">
            <w:pPr>
              <w:pStyle w:val="7"/>
              <w:jc w:val="center"/>
              <w:rPr>
                <w:rFonts w:ascii="Times New Roman" w:hAnsi="Times New Roman" w:eastAsia="仿宋" w:cs="Times New Roman"/>
                <w:szCs w:val="21"/>
              </w:rPr>
            </w:pPr>
          </w:p>
        </w:tc>
      </w:tr>
    </w:tbl>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r>
        <w:rPr>
          <w:rFonts w:hint="eastAsia" w:ascii="Times New Roman" w:hAnsi="Times New Roman" w:eastAsia="仿宋" w:cs="Times New Roman"/>
          <w:b w:val="0"/>
          <w:bCs w:val="0"/>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71639BA1">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6283913">
      <w:pPr>
        <w:shd w:val="clear"/>
        <w:spacing w:line="360" w:lineRule="auto"/>
        <w:contextualSpacing/>
        <w:rPr>
          <w:rFonts w:hint="eastAsia" w:ascii="仿宋" w:hAnsi="仿宋" w:eastAsia="仿宋" w:cs="仿宋"/>
          <w:sz w:val="24"/>
          <w:szCs w:val="24"/>
          <w:highlight w:val="none"/>
        </w:rPr>
      </w:pPr>
      <w:permStart w:id="0" w:edGrp="everyone"/>
    </w:p>
    <w:tbl>
      <w:tblPr>
        <w:tblStyle w:val="18"/>
        <w:tblW w:w="5000" w:type="pct"/>
        <w:jc w:val="center"/>
        <w:tblLayout w:type="autofit"/>
        <w:tblCellMar>
          <w:top w:w="0" w:type="dxa"/>
          <w:left w:w="0" w:type="dxa"/>
          <w:bottom w:w="0" w:type="dxa"/>
          <w:right w:w="0" w:type="dxa"/>
        </w:tblCellMar>
      </w:tblPr>
      <w:tblGrid>
        <w:gridCol w:w="4962"/>
        <w:gridCol w:w="5242"/>
      </w:tblGrid>
      <w:tr w14:paraId="63540378">
        <w:tblPrEx>
          <w:tblCellMar>
            <w:top w:w="0" w:type="dxa"/>
            <w:left w:w="0" w:type="dxa"/>
            <w:bottom w:w="0" w:type="dxa"/>
            <w:right w:w="0" w:type="dxa"/>
          </w:tblCellMar>
        </w:tblPrEx>
        <w:trPr>
          <w:trHeight w:val="767" w:hRule="atLeast"/>
          <w:jc w:val="center"/>
        </w:trPr>
        <w:tc>
          <w:tcPr>
            <w:tcW w:w="10204" w:type="dxa"/>
            <w:gridSpan w:val="2"/>
            <w:noWrap w:val="0"/>
            <w:vAlign w:val="top"/>
          </w:tcPr>
          <w:p w14:paraId="63F804F8">
            <w:pPr>
              <w:shd w:val="clea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合同编号</w:t>
            </w:r>
            <w:r>
              <w:rPr>
                <w:rFonts w:hint="eastAsia" w:ascii="仿宋" w:hAnsi="仿宋" w:eastAsia="仿宋" w:cs="仿宋"/>
                <w:color w:val="000000"/>
                <w:sz w:val="24"/>
                <w:szCs w:val="24"/>
                <w:highlight w:val="none"/>
              </w:rPr>
              <w:t>：CGZX-***</w:t>
            </w:r>
          </w:p>
          <w:p w14:paraId="15C14E0C">
            <w:pPr>
              <w:shd w:val="clea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签订地点</w:t>
            </w:r>
            <w:r>
              <w:rPr>
                <w:rFonts w:hint="eastAsia" w:ascii="仿宋" w:hAnsi="仿宋" w:eastAsia="仿宋" w:cs="仿宋"/>
                <w:color w:val="000000"/>
                <w:sz w:val="24"/>
                <w:szCs w:val="24"/>
                <w:highlight w:val="none"/>
              </w:rPr>
              <w:t>：四川省人民医院</w:t>
            </w:r>
          </w:p>
        </w:tc>
      </w:tr>
      <w:tr w14:paraId="3C041783">
        <w:tblPrEx>
          <w:tblCellMar>
            <w:top w:w="0" w:type="dxa"/>
            <w:left w:w="0" w:type="dxa"/>
            <w:bottom w:w="0" w:type="dxa"/>
            <w:right w:w="0" w:type="dxa"/>
          </w:tblCellMar>
        </w:tblPrEx>
        <w:trPr>
          <w:jc w:val="center"/>
        </w:trPr>
        <w:tc>
          <w:tcPr>
            <w:tcW w:w="4962" w:type="dxa"/>
            <w:noWrap w:val="0"/>
            <w:vAlign w:val="top"/>
          </w:tcPr>
          <w:p w14:paraId="0E17BF5F">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采购人（以下简称甲方）</w:t>
            </w:r>
            <w:r>
              <w:rPr>
                <w:rFonts w:hint="eastAsia" w:ascii="仿宋" w:hAnsi="仿宋" w:eastAsia="仿宋" w:cs="仿宋"/>
                <w:sz w:val="24"/>
                <w:szCs w:val="24"/>
                <w:highlight w:val="none"/>
              </w:rPr>
              <w:t>：四川省人民医院</w:t>
            </w:r>
          </w:p>
          <w:p w14:paraId="5A8B5C3F">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：四川省成都市一环路西二段32号</w:t>
            </w:r>
          </w:p>
          <w:p w14:paraId="685E543A">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项目联系人</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rPr>
              <w:t>电话</w:t>
            </w:r>
            <w:r>
              <w:rPr>
                <w:rFonts w:hint="eastAsia" w:ascii="仿宋" w:hAnsi="仿宋" w:eastAsia="仿宋" w:cs="仿宋"/>
                <w:sz w:val="24"/>
                <w:szCs w:val="24"/>
                <w:highlight w:val="none"/>
              </w:rPr>
              <w:t>：***</w:t>
            </w:r>
          </w:p>
        </w:tc>
        <w:tc>
          <w:tcPr>
            <w:tcW w:w="5242" w:type="dxa"/>
            <w:noWrap w:val="0"/>
            <w:vAlign w:val="top"/>
          </w:tcPr>
          <w:p w14:paraId="7CC0C4E0">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供应商（以下简称乙方）</w:t>
            </w:r>
            <w:r>
              <w:rPr>
                <w:rFonts w:hint="eastAsia" w:ascii="仿宋" w:hAnsi="仿宋" w:eastAsia="仿宋" w:cs="仿宋"/>
                <w:sz w:val="24"/>
                <w:szCs w:val="24"/>
                <w:highlight w:val="none"/>
              </w:rPr>
              <w:t>：***</w:t>
            </w:r>
          </w:p>
          <w:p w14:paraId="6D1E1352">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w:t>
            </w:r>
          </w:p>
          <w:p w14:paraId="22CCB4BB">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移动电话</w:t>
            </w:r>
            <w:r>
              <w:rPr>
                <w:rFonts w:hint="eastAsia" w:ascii="仿宋" w:hAnsi="仿宋" w:eastAsia="仿宋" w:cs="仿宋"/>
                <w:sz w:val="24"/>
                <w:szCs w:val="24"/>
                <w:highlight w:val="none"/>
              </w:rPr>
              <w:t>：***</w:t>
            </w:r>
          </w:p>
          <w:p w14:paraId="7BDB8EAE">
            <w:pPr>
              <w:shd w:val="clear"/>
              <w:spacing w:line="360" w:lineRule="auto"/>
              <w:contextualSpacing/>
              <w:rPr>
                <w:rFonts w:hint="eastAsia" w:ascii="仿宋" w:hAnsi="仿宋" w:eastAsia="仿宋" w:cs="仿宋"/>
                <w:sz w:val="24"/>
                <w:szCs w:val="24"/>
                <w:highlight w:val="none"/>
              </w:rPr>
            </w:pPr>
            <w:r>
              <w:rPr>
                <w:rFonts w:hint="eastAsia" w:ascii="仿宋" w:hAnsi="仿宋" w:eastAsia="仿宋" w:cs="仿宋"/>
                <w:b/>
                <w:bCs/>
                <w:sz w:val="24"/>
                <w:szCs w:val="24"/>
                <w:highlight w:val="none"/>
              </w:rPr>
              <w:t>联系人</w:t>
            </w:r>
            <w:r>
              <w:rPr>
                <w:rFonts w:hint="eastAsia" w:ascii="仿宋" w:hAnsi="仿宋" w:eastAsia="仿宋" w:cs="仿宋"/>
                <w:sz w:val="24"/>
                <w:szCs w:val="24"/>
                <w:highlight w:val="none"/>
              </w:rPr>
              <w:t>：***</w:t>
            </w:r>
          </w:p>
        </w:tc>
      </w:tr>
      <w:permEnd w:id="0"/>
    </w:tbl>
    <w:p w14:paraId="39786109">
      <w:pPr>
        <w:shd w:val="clear"/>
        <w:adjustRightInd w:val="0"/>
        <w:snapToGrid w:val="0"/>
        <w:spacing w:before="312" w:beforeLines="100" w:after="312" w:afterLines="100" w:line="360" w:lineRule="auto"/>
        <w:contextualSpacing/>
        <w:jc w:val="left"/>
        <w:rPr>
          <w:rFonts w:hint="eastAsia" w:ascii="仿宋" w:hAnsi="仿宋" w:eastAsia="仿宋" w:cs="仿宋"/>
          <w:color w:val="000000"/>
          <w:sz w:val="24"/>
          <w:szCs w:val="24"/>
          <w:highlight w:val="none"/>
        </w:rPr>
      </w:pPr>
      <w:bookmarkStart w:id="95" w:name="OLE_LINK6"/>
      <w:bookmarkStart w:id="96" w:name="OLE_LINK5"/>
    </w:p>
    <w:p w14:paraId="233268A5">
      <w:pPr>
        <w:shd w:val="clear"/>
        <w:adjustRightInd w:val="0"/>
        <w:snapToGrid w:val="0"/>
        <w:spacing w:before="312" w:beforeLines="100" w:after="312" w:afterLines="100" w:line="360" w:lineRule="auto"/>
        <w:ind w:firstLine="480" w:firstLineChars="200"/>
        <w:contextualSpacing/>
        <w:jc w:val="left"/>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根据《中华人民共和国民法典》及甲方发布的***项目（项目编号</w:t>
      </w:r>
      <w:permStart w:id="1" w:edGrp="everyone"/>
      <w:r>
        <w:rPr>
          <w:rFonts w:hint="eastAsia" w:ascii="仿宋" w:hAnsi="仿宋" w:eastAsia="仿宋" w:cs="仿宋"/>
          <w:color w:val="000000"/>
          <w:sz w:val="24"/>
          <w:szCs w:val="24"/>
          <w:highlight w:val="none"/>
        </w:rPr>
        <w:t>：</w:t>
      </w:r>
      <w:r>
        <w:rPr>
          <w:rFonts w:hint="eastAsia" w:ascii="仿宋" w:hAnsi="仿宋" w:eastAsia="仿宋" w:cs="仿宋"/>
          <w:sz w:val="24"/>
          <w:szCs w:val="24"/>
          <w:highlight w:val="none"/>
        </w:rPr>
        <w:t>***</w:t>
      </w:r>
      <w:permEnd w:id="1"/>
      <w:r>
        <w:rPr>
          <w:rFonts w:hint="eastAsia" w:ascii="仿宋" w:hAnsi="仿宋" w:eastAsia="仿宋" w:cs="仿宋"/>
          <w:color w:val="000000"/>
          <w:sz w:val="24"/>
          <w:szCs w:val="24"/>
          <w:highlight w:val="none"/>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bookmarkEnd w:id="95"/>
    <w:bookmarkEnd w:id="96"/>
    <w:p w14:paraId="4AB8A203">
      <w:pPr>
        <w:shd w:val="clear"/>
        <w:spacing w:line="360" w:lineRule="auto"/>
        <w:ind w:firstLine="480" w:firstLineChars="200"/>
        <w:rPr>
          <w:rFonts w:hint="eastAsia" w:ascii="仿宋" w:hAnsi="仿宋" w:eastAsia="仿宋" w:cs="仿宋"/>
          <w:color w:val="000000"/>
          <w:sz w:val="24"/>
          <w:szCs w:val="24"/>
          <w:highlight w:val="none"/>
        </w:rPr>
      </w:pPr>
    </w:p>
    <w:p w14:paraId="277A220A">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开发项目信息</w:t>
      </w:r>
    </w:p>
    <w:p w14:paraId="27BDF492">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软件名称：***。</w:t>
      </w:r>
    </w:p>
    <w:p w14:paraId="3076B05E">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软件的主要功能：</w:t>
      </w:r>
      <w:bookmarkStart w:id="97" w:name="OLE_LINK1"/>
      <w:r>
        <w:rPr>
          <w:rFonts w:hint="eastAsia" w:ascii="仿宋" w:hAnsi="仿宋" w:eastAsia="仿宋" w:cs="仿宋"/>
          <w:color w:val="000000"/>
          <w:sz w:val="24"/>
          <w:szCs w:val="24"/>
          <w:highlight w:val="none"/>
        </w:rPr>
        <w:t>***</w:t>
      </w:r>
      <w:r>
        <w:rPr>
          <w:rFonts w:hint="eastAsia" w:ascii="仿宋" w:hAnsi="仿宋" w:eastAsia="仿宋" w:cs="仿宋"/>
          <w:i/>
          <w:iCs/>
          <w:color w:val="000000"/>
          <w:sz w:val="24"/>
          <w:szCs w:val="24"/>
          <w:highlight w:val="none"/>
        </w:rPr>
        <w:t>&lt;根据项目实际情况可附附件说明</w:t>
      </w:r>
      <w:bookmarkEnd w:id="97"/>
      <w:r>
        <w:rPr>
          <w:rFonts w:hint="eastAsia" w:ascii="仿宋" w:hAnsi="仿宋" w:eastAsia="仿宋" w:cs="仿宋"/>
          <w:i/>
          <w:iCs/>
          <w:color w:val="000000"/>
          <w:sz w:val="24"/>
          <w:szCs w:val="24"/>
          <w:highlight w:val="none"/>
        </w:rPr>
        <w:t>&gt;</w:t>
      </w:r>
    </w:p>
    <w:p w14:paraId="41D29D99">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软件的设计要求：***</w:t>
      </w:r>
      <w:r>
        <w:rPr>
          <w:rFonts w:hint="eastAsia" w:ascii="仿宋" w:hAnsi="仿宋" w:eastAsia="仿宋" w:cs="仿宋"/>
          <w:i/>
          <w:iCs/>
          <w:color w:val="000000"/>
          <w:sz w:val="24"/>
          <w:szCs w:val="24"/>
          <w:highlight w:val="none"/>
        </w:rPr>
        <w:t>&lt;根据项目实际情况可附附件说明&gt;</w:t>
      </w:r>
    </w:p>
    <w:p w14:paraId="77963891">
      <w:pPr>
        <w:pStyle w:val="30"/>
        <w:numPr>
          <w:ilvl w:val="0"/>
          <w:numId w:val="13"/>
        </w:numPr>
        <w:shd w:val="clear"/>
        <w:spacing w:line="360" w:lineRule="auto"/>
        <w:ind w:left="0" w:firstLine="0"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分项明细：</w:t>
      </w:r>
      <w:r>
        <w:rPr>
          <w:rFonts w:hint="eastAsia" w:ascii="仿宋" w:hAnsi="仿宋" w:eastAsia="仿宋" w:cs="仿宋"/>
          <w:i/>
          <w:iCs/>
          <w:color w:val="000000"/>
          <w:sz w:val="24"/>
          <w:szCs w:val="24"/>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977"/>
        <w:gridCol w:w="3686"/>
        <w:gridCol w:w="963"/>
        <w:gridCol w:w="2016"/>
      </w:tblGrid>
      <w:tr w14:paraId="1BC3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663680C">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2977" w:type="dxa"/>
            <w:noWrap w:val="0"/>
            <w:vAlign w:val="center"/>
          </w:tcPr>
          <w:p w14:paraId="6CF160A2">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分项名称</w:t>
            </w:r>
          </w:p>
        </w:tc>
        <w:tc>
          <w:tcPr>
            <w:tcW w:w="3686" w:type="dxa"/>
            <w:noWrap w:val="0"/>
            <w:vAlign w:val="center"/>
          </w:tcPr>
          <w:p w14:paraId="1B5DA1AB">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具体内容</w:t>
            </w:r>
          </w:p>
        </w:tc>
        <w:tc>
          <w:tcPr>
            <w:tcW w:w="963" w:type="dxa"/>
            <w:noWrap w:val="0"/>
            <w:vAlign w:val="center"/>
          </w:tcPr>
          <w:p w14:paraId="384CEAEB">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分项价格（万元）</w:t>
            </w:r>
          </w:p>
        </w:tc>
        <w:tc>
          <w:tcPr>
            <w:tcW w:w="2016" w:type="dxa"/>
            <w:noWrap w:val="0"/>
            <w:vAlign w:val="top"/>
          </w:tcPr>
          <w:p w14:paraId="4975C80C">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40B4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19BBF7E">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2977" w:type="dxa"/>
            <w:noWrap w:val="0"/>
            <w:vAlign w:val="center"/>
          </w:tcPr>
          <w:p w14:paraId="2C246B5E">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10BC6E3E">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45165DA7">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70F1C07A">
            <w:pPr>
              <w:pStyle w:val="30"/>
              <w:shd w:val="clear"/>
              <w:spacing w:line="360" w:lineRule="auto"/>
              <w:ind w:firstLine="0" w:firstLineChars="0"/>
              <w:rPr>
                <w:rFonts w:hint="eastAsia" w:ascii="仿宋" w:hAnsi="仿宋" w:eastAsia="仿宋" w:cs="仿宋"/>
                <w:color w:val="000000"/>
                <w:sz w:val="24"/>
                <w:szCs w:val="24"/>
                <w:highlight w:val="none"/>
              </w:rPr>
            </w:pPr>
          </w:p>
        </w:tc>
      </w:tr>
      <w:tr w14:paraId="3C4B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FE14C55">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2977" w:type="dxa"/>
            <w:noWrap w:val="0"/>
            <w:vAlign w:val="center"/>
          </w:tcPr>
          <w:p w14:paraId="54A7E8BA">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5C6E0EBA">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7BE6BD50">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0BE0EA81">
            <w:pPr>
              <w:pStyle w:val="30"/>
              <w:shd w:val="clear"/>
              <w:spacing w:line="360" w:lineRule="auto"/>
              <w:ind w:firstLine="0" w:firstLineChars="0"/>
              <w:rPr>
                <w:rFonts w:hint="eastAsia" w:ascii="仿宋" w:hAnsi="仿宋" w:eastAsia="仿宋" w:cs="仿宋"/>
                <w:color w:val="000000"/>
                <w:sz w:val="24"/>
                <w:szCs w:val="24"/>
                <w:highlight w:val="none"/>
              </w:rPr>
            </w:pPr>
          </w:p>
        </w:tc>
      </w:tr>
      <w:tr w14:paraId="38B2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A672679">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2977" w:type="dxa"/>
            <w:noWrap w:val="0"/>
            <w:vAlign w:val="center"/>
          </w:tcPr>
          <w:p w14:paraId="7A14D2AC">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12C2C4F3">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141C7FCC">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7C64F035">
            <w:pPr>
              <w:pStyle w:val="30"/>
              <w:shd w:val="clear"/>
              <w:spacing w:line="360" w:lineRule="auto"/>
              <w:ind w:firstLine="0" w:firstLineChars="0"/>
              <w:rPr>
                <w:rFonts w:hint="eastAsia" w:ascii="仿宋" w:hAnsi="仿宋" w:eastAsia="仿宋" w:cs="仿宋"/>
                <w:color w:val="000000"/>
                <w:sz w:val="24"/>
                <w:szCs w:val="24"/>
                <w:highlight w:val="none"/>
              </w:rPr>
            </w:pPr>
          </w:p>
        </w:tc>
      </w:tr>
      <w:tr w14:paraId="7170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02ADE45">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2977" w:type="dxa"/>
            <w:noWrap w:val="0"/>
            <w:vAlign w:val="center"/>
          </w:tcPr>
          <w:p w14:paraId="176CF934">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35E843FC">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614BCEFF">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4B756CF7">
            <w:pPr>
              <w:pStyle w:val="30"/>
              <w:shd w:val="clear"/>
              <w:spacing w:line="360" w:lineRule="auto"/>
              <w:ind w:firstLine="0" w:firstLineChars="0"/>
              <w:rPr>
                <w:rFonts w:hint="eastAsia" w:ascii="仿宋" w:hAnsi="仿宋" w:eastAsia="仿宋" w:cs="仿宋"/>
                <w:color w:val="000000"/>
                <w:sz w:val="24"/>
                <w:szCs w:val="24"/>
                <w:highlight w:val="none"/>
              </w:rPr>
            </w:pPr>
          </w:p>
        </w:tc>
      </w:tr>
    </w:tbl>
    <w:p w14:paraId="675F0F5C">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合同总价</w:t>
      </w:r>
    </w:p>
    <w:p w14:paraId="5F0368D1">
      <w:pPr>
        <w:pStyle w:val="30"/>
        <w:numPr>
          <w:ilvl w:val="3"/>
          <w:numId w:val="12"/>
        </w:numPr>
        <w:shd w:val="clear"/>
        <w:spacing w:line="360" w:lineRule="auto"/>
        <w:ind w:left="0" w:firstLine="0" w:firstLine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本合同总价（含税）为人民币大写：*** 圆整，即RMB *** 元，该合同总价已包括软件设计、开发、交付、培训等服务、与其它第三方软件的全部接口、技术支持以及乙方为全面履行本合同义务所完成的其它所有事项的含税费用。</w:t>
      </w:r>
    </w:p>
    <w:p w14:paraId="409B2D00">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2.本合同执行期间合同总价不变，甲方无须另向乙方支付本合同规定之外的其他任何费用。</w:t>
      </w:r>
    </w:p>
    <w:p w14:paraId="058C5443">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工期</w:t>
      </w:r>
    </w:p>
    <w:p w14:paraId="4D6067E2">
      <w:pPr>
        <w:pStyle w:val="30"/>
        <w:numPr>
          <w:ilvl w:val="0"/>
          <w:numId w:val="1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实施时间：本项目合同签订生效后，</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应在 15 个工作日内开始实施。</w:t>
      </w:r>
    </w:p>
    <w:p w14:paraId="751E787E">
      <w:pPr>
        <w:pStyle w:val="30"/>
        <w:numPr>
          <w:ilvl w:val="0"/>
          <w:numId w:val="1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实施周期：本项目开始实施之日起180日内，完成本项目包含的所有软件功能的上线运行。未在实施周期内完成，视为</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违约并自动放弃该项目，</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有权终止合同，合同所有款项将不予支付（已缴纳的履约保证金，将不予退还），已支付款项，</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应于7个工作日内退还</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w:t>
      </w:r>
    </w:p>
    <w:p w14:paraId="04B7290A">
      <w:pPr>
        <w:pStyle w:val="30"/>
        <w:numPr>
          <w:ilvl w:val="0"/>
          <w:numId w:val="1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开发完成时间：202*年***月***日。</w:t>
      </w:r>
    </w:p>
    <w:p w14:paraId="10A43D48">
      <w:pPr>
        <w:pStyle w:val="30"/>
        <w:numPr>
          <w:ilvl w:val="0"/>
          <w:numId w:val="14"/>
        </w:numPr>
        <w:shd w:val="clear"/>
        <w:snapToGrid w:val="0"/>
        <w:spacing w:line="360" w:lineRule="auto"/>
        <w:ind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软件开发进度见附件：《开发进度表》</w:t>
      </w:r>
      <w:r>
        <w:rPr>
          <w:rFonts w:hint="eastAsia" w:ascii="仿宋" w:hAnsi="仿宋" w:eastAsia="仿宋" w:cs="仿宋"/>
          <w:i/>
          <w:iCs/>
          <w:sz w:val="24"/>
          <w:szCs w:val="24"/>
          <w:highlight w:val="none"/>
        </w:rPr>
        <w:t>&lt;根据项目实际情况编制&gt;</w:t>
      </w:r>
    </w:p>
    <w:p w14:paraId="49F46A73">
      <w:pPr>
        <w:pStyle w:val="30"/>
        <w:numPr>
          <w:ilvl w:val="0"/>
          <w:numId w:val="15"/>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如甲方原因推迟开发，甲方应向乙方提供书面延期通知书，并在确定继续开发时提供开工通知书，同时计算工期时应扣除因甲方原因造成的延期时间。</w:t>
      </w:r>
    </w:p>
    <w:p w14:paraId="0590878D">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交付</w:t>
      </w:r>
    </w:p>
    <w:p w14:paraId="69B95F30">
      <w:pPr>
        <w:pStyle w:val="30"/>
        <w:numPr>
          <w:ilvl w:val="0"/>
          <w:numId w:val="16"/>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交付的内容、形式及数量：</w:t>
      </w:r>
      <w:r>
        <w:rPr>
          <w:rFonts w:hint="eastAsia" w:ascii="仿宋" w:hAnsi="仿宋" w:eastAsia="仿宋" w:cs="仿宋"/>
          <w:i/>
          <w:iCs/>
          <w:sz w:val="24"/>
          <w:szCs w:val="24"/>
          <w:highlight w:val="none"/>
        </w:rPr>
        <w:t>&lt;包括但不限于完成甲方功能要求的可执行软件、软件的设计文件、软件的测试报告、软件使用说明书及在开发过程中产生的其他文档，根据项目实际情况编制本条款具体内容，如内容较多可附附件&gt;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1815"/>
        <w:gridCol w:w="2694"/>
        <w:gridCol w:w="2126"/>
        <w:gridCol w:w="567"/>
        <w:gridCol w:w="567"/>
        <w:gridCol w:w="1987"/>
      </w:tblGrid>
      <w:tr w14:paraId="1AAF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A2CA424">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1815" w:type="dxa"/>
            <w:noWrap w:val="0"/>
            <w:vAlign w:val="center"/>
          </w:tcPr>
          <w:p w14:paraId="3C101182">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交付事项</w:t>
            </w:r>
          </w:p>
        </w:tc>
        <w:tc>
          <w:tcPr>
            <w:tcW w:w="2694" w:type="dxa"/>
            <w:noWrap w:val="0"/>
            <w:vAlign w:val="center"/>
          </w:tcPr>
          <w:p w14:paraId="6213F7E0">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交付内容</w:t>
            </w:r>
          </w:p>
        </w:tc>
        <w:tc>
          <w:tcPr>
            <w:tcW w:w="2126" w:type="dxa"/>
            <w:noWrap w:val="0"/>
            <w:vAlign w:val="center"/>
          </w:tcPr>
          <w:p w14:paraId="38C3634A">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交付形式</w:t>
            </w:r>
          </w:p>
        </w:tc>
        <w:tc>
          <w:tcPr>
            <w:tcW w:w="567" w:type="dxa"/>
            <w:noWrap w:val="0"/>
            <w:vAlign w:val="top"/>
          </w:tcPr>
          <w:p w14:paraId="08811928">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w:t>
            </w:r>
          </w:p>
        </w:tc>
        <w:tc>
          <w:tcPr>
            <w:tcW w:w="567" w:type="dxa"/>
            <w:noWrap w:val="0"/>
            <w:vAlign w:val="top"/>
          </w:tcPr>
          <w:p w14:paraId="278DED0F">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数量</w:t>
            </w:r>
          </w:p>
        </w:tc>
        <w:tc>
          <w:tcPr>
            <w:tcW w:w="1987" w:type="dxa"/>
            <w:noWrap w:val="0"/>
            <w:vAlign w:val="top"/>
          </w:tcPr>
          <w:p w14:paraId="68112CD2">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5D1A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30F91C0E">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1815" w:type="dxa"/>
            <w:noWrap w:val="0"/>
            <w:vAlign w:val="center"/>
          </w:tcPr>
          <w:p w14:paraId="72CD09CA">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474DA10D">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5ECACBB3">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193D0C72">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62223DDE">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0741C0D5">
            <w:pPr>
              <w:pStyle w:val="30"/>
              <w:shd w:val="clear"/>
              <w:spacing w:line="360" w:lineRule="auto"/>
              <w:ind w:firstLine="0" w:firstLineChars="0"/>
              <w:rPr>
                <w:rFonts w:hint="eastAsia" w:ascii="仿宋" w:hAnsi="仿宋" w:eastAsia="仿宋" w:cs="仿宋"/>
                <w:color w:val="000000"/>
                <w:sz w:val="24"/>
                <w:szCs w:val="24"/>
                <w:highlight w:val="none"/>
              </w:rPr>
            </w:pPr>
          </w:p>
        </w:tc>
      </w:tr>
      <w:tr w14:paraId="40861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982478C">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1815" w:type="dxa"/>
            <w:noWrap w:val="0"/>
            <w:vAlign w:val="center"/>
          </w:tcPr>
          <w:p w14:paraId="2F3AA9B4">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27F2FCC5">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28B84741">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7CD471B4">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4E51B881">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19C5764C">
            <w:pPr>
              <w:pStyle w:val="30"/>
              <w:shd w:val="clear"/>
              <w:spacing w:line="360" w:lineRule="auto"/>
              <w:ind w:firstLine="0" w:firstLineChars="0"/>
              <w:rPr>
                <w:rFonts w:hint="eastAsia" w:ascii="仿宋" w:hAnsi="仿宋" w:eastAsia="仿宋" w:cs="仿宋"/>
                <w:color w:val="000000"/>
                <w:sz w:val="24"/>
                <w:szCs w:val="24"/>
                <w:highlight w:val="none"/>
              </w:rPr>
            </w:pPr>
          </w:p>
        </w:tc>
      </w:tr>
      <w:tr w14:paraId="468F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1694875">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1815" w:type="dxa"/>
            <w:noWrap w:val="0"/>
            <w:vAlign w:val="center"/>
          </w:tcPr>
          <w:p w14:paraId="5A4EC11D">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121BAAEB">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785DAE30">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021CE7E2">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4728D577">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2B9CBD7F">
            <w:pPr>
              <w:pStyle w:val="30"/>
              <w:shd w:val="clear"/>
              <w:spacing w:line="360" w:lineRule="auto"/>
              <w:ind w:firstLine="0" w:firstLineChars="0"/>
              <w:rPr>
                <w:rFonts w:hint="eastAsia" w:ascii="仿宋" w:hAnsi="仿宋" w:eastAsia="仿宋" w:cs="仿宋"/>
                <w:color w:val="000000"/>
                <w:sz w:val="24"/>
                <w:szCs w:val="24"/>
                <w:highlight w:val="none"/>
              </w:rPr>
            </w:pPr>
          </w:p>
        </w:tc>
      </w:tr>
      <w:tr w14:paraId="10A2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5FC97DA5">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1815" w:type="dxa"/>
            <w:noWrap w:val="0"/>
            <w:vAlign w:val="center"/>
          </w:tcPr>
          <w:p w14:paraId="0EF0B72D">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40508550">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79696515">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26027FD0">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558D0B38">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0E991025">
            <w:pPr>
              <w:pStyle w:val="30"/>
              <w:shd w:val="clear"/>
              <w:spacing w:line="360" w:lineRule="auto"/>
              <w:ind w:firstLine="0" w:firstLineChars="0"/>
              <w:rPr>
                <w:rFonts w:hint="eastAsia" w:ascii="仿宋" w:hAnsi="仿宋" w:eastAsia="仿宋" w:cs="仿宋"/>
                <w:color w:val="000000"/>
                <w:sz w:val="24"/>
                <w:szCs w:val="24"/>
                <w:highlight w:val="none"/>
              </w:rPr>
            </w:pPr>
          </w:p>
        </w:tc>
      </w:tr>
    </w:tbl>
    <w:p w14:paraId="3B847768">
      <w:pPr>
        <w:pStyle w:val="30"/>
        <w:numPr>
          <w:ilvl w:val="0"/>
          <w:numId w:val="16"/>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服务地点：本项目涉及的四川省人民医院所有院区。</w:t>
      </w:r>
    </w:p>
    <w:p w14:paraId="43830202">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验收</w:t>
      </w:r>
    </w:p>
    <w:p w14:paraId="658C0E43">
      <w:pPr>
        <w:pStyle w:val="30"/>
        <w:numPr>
          <w:ilvl w:val="0"/>
          <w:numId w:val="17"/>
        </w:numPr>
        <w:shd w:val="clear"/>
        <w:spacing w:line="360" w:lineRule="auto"/>
        <w:ind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甲、乙双方确定，按照本合同约定的验收方案对乙方交付的开发成果进行验收。</w:t>
      </w:r>
    </w:p>
    <w:p w14:paraId="5DF1605F">
      <w:pPr>
        <w:pStyle w:val="30"/>
        <w:numPr>
          <w:ilvl w:val="0"/>
          <w:numId w:val="17"/>
        </w:numPr>
        <w:shd w:val="clear"/>
        <w:spacing w:line="360" w:lineRule="auto"/>
        <w:ind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验收方案：</w:t>
      </w:r>
    </w:p>
    <w:p w14:paraId="5EA5FFDA">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验收主体：甲方</w:t>
      </w:r>
    </w:p>
    <w:p w14:paraId="35752AD5">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验收组织方式：自行验收</w:t>
      </w:r>
    </w:p>
    <w:p w14:paraId="510D287A">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验收程序：</w:t>
      </w:r>
      <w:r>
        <w:rPr>
          <w:rFonts w:hint="eastAsia"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 xml:space="preserve">一次性验收   </w:t>
      </w:r>
      <w:r>
        <w:rPr>
          <w:rFonts w:hint="eastAsia" w:ascii="仿宋" w:hAnsi="仿宋" w:eastAsia="仿宋" w:cs="仿宋"/>
          <w:sz w:val="24"/>
          <w:szCs w:val="24"/>
          <w:highlight w:val="none"/>
        </w:rPr>
        <w:sym w:font="Wingdings" w:char="F0A8"/>
      </w:r>
      <w:r>
        <w:rPr>
          <w:rFonts w:hint="eastAsia" w:ascii="仿宋" w:hAnsi="仿宋" w:eastAsia="仿宋" w:cs="仿宋"/>
          <w:color w:val="000000"/>
          <w:sz w:val="24"/>
          <w:szCs w:val="24"/>
          <w:highlight w:val="none"/>
        </w:rPr>
        <w:t>分段/分期验收</w:t>
      </w:r>
    </w:p>
    <w:p w14:paraId="47865FCF">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验收方式：</w:t>
      </w: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现场整体验收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考核验收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其它验收方式：</w:t>
      </w:r>
      <w:r>
        <w:rPr>
          <w:rFonts w:hint="eastAsia" w:ascii="仿宋" w:hAnsi="仿宋" w:eastAsia="仿宋" w:cs="仿宋"/>
          <w:color w:val="000000"/>
          <w:sz w:val="24"/>
          <w:szCs w:val="24"/>
          <w:highlight w:val="none"/>
          <w:u w:val="single"/>
          <w:shd w:val="clear" w:color="auto" w:fill="FFFFFF"/>
        </w:rPr>
        <w:t>***</w:t>
      </w:r>
    </w:p>
    <w:p w14:paraId="3928D105">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履约验收内容：按照甲方的采购文件要求及乙方响应文件响应情况，由乙方向甲方交付的</w:t>
      </w:r>
      <w:r>
        <w:rPr>
          <w:rFonts w:hint="eastAsia" w:ascii="仿宋" w:hAnsi="仿宋" w:eastAsia="仿宋" w:cs="仿宋"/>
          <w:sz w:val="24"/>
          <w:szCs w:val="24"/>
          <w:highlight w:val="none"/>
          <w:u w:val="single"/>
          <w:lang w:val="en-US" w:eastAsia="zh-CN"/>
        </w:rPr>
        <w:t>乙方</w:t>
      </w:r>
      <w:r>
        <w:rPr>
          <w:rFonts w:hint="eastAsia" w:ascii="仿宋" w:hAnsi="仿宋" w:eastAsia="仿宋" w:cs="仿宋"/>
          <w:sz w:val="24"/>
          <w:szCs w:val="24"/>
          <w:highlight w:val="none"/>
          <w:u w:val="single"/>
        </w:rPr>
        <w:t>实施完成的所有软件功能</w:t>
      </w:r>
      <w:r>
        <w:rPr>
          <w:rFonts w:hint="eastAsia" w:ascii="仿宋" w:hAnsi="仿宋" w:eastAsia="仿宋" w:cs="仿宋"/>
          <w:sz w:val="24"/>
          <w:szCs w:val="24"/>
          <w:highlight w:val="none"/>
        </w:rPr>
        <w:t>。</w:t>
      </w:r>
    </w:p>
    <w:p w14:paraId="71BC1E91">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履约验收时间：</w:t>
      </w:r>
    </w:p>
    <w:p w14:paraId="03F70763">
      <w:pPr>
        <w:pStyle w:val="30"/>
        <w:shd w:val="clear"/>
        <w:spacing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乙方完成全部交付内容后X日内通知甲方验收，甲方接乙方通知后X日内组织验收</w:t>
      </w:r>
    </w:p>
    <w:p w14:paraId="2CBD9FB5">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00A3"/>
      </w:r>
      <w:r>
        <w:rPr>
          <w:rFonts w:hint="eastAsia" w:ascii="仿宋" w:hAnsi="仿宋" w:eastAsia="仿宋" w:cs="仿宋"/>
          <w:color w:val="000000"/>
          <w:sz w:val="24"/>
          <w:szCs w:val="24"/>
          <w:highlight w:val="none"/>
        </w:rPr>
        <w:t>服务期满且乙方完成所有服务内容后X日内通知甲方验收，甲方接乙方通知后X日内组织验收</w:t>
      </w:r>
    </w:p>
    <w:p w14:paraId="04456ECB">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乙方完成每一阶段或轮次服务内容后X日内通知甲方验收，甲方接乙方通知后X日内组织验收</w:t>
      </w:r>
    </w:p>
    <w:p w14:paraId="58D9D959">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甲方完成考核后X日内组织验收</w:t>
      </w:r>
    </w:p>
    <w:p w14:paraId="774ED1B8">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 xml:space="preserve">其它验收时间：            </w:t>
      </w:r>
    </w:p>
    <w:p w14:paraId="133EBD26">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是否邀请本项目的其他供应商：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14F73ED3">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是否邀请专家：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70B325CE">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是否邀请服务对象：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579B7D0D">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是否邀请第三方检测机构：</w:t>
      </w:r>
      <w:r>
        <w:rPr>
          <w:rFonts w:hint="eastAsia" w:ascii="仿宋" w:hAnsi="仿宋" w:eastAsia="仿宋" w:cs="仿宋"/>
          <w:kern w:val="0"/>
          <w:sz w:val="24"/>
          <w:szCs w:val="24"/>
          <w:highlight w:val="none"/>
          <w:shd w:val="clear" w:color="auto" w:fill="FFFFFF"/>
        </w:rPr>
        <w:t xml:space="preserve">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0786E9C6">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验收标准：</w:t>
      </w:r>
    </w:p>
    <w:p w14:paraId="13FB151A">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FFFFFF"/>
        </w:rPr>
        <w:t>国家相关法律法规、行业标准、技术规范。</w:t>
      </w:r>
    </w:p>
    <w:p w14:paraId="1E7B69A3">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甲方采购文件相关技术、服务要求、乙方响应文件相关响应内容。</w:t>
      </w:r>
    </w:p>
    <w:p w14:paraId="6DD4B60A">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产品生产厂家出具的产品说明书、技术白皮书等官方技术资料（如涉及）。</w:t>
      </w:r>
    </w:p>
    <w:p w14:paraId="5A72BFE1">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如验收时，甲方与乙方认为本项目验收标准中的技术指标、质量要求等内容存在相互抵触或对其理解存在异议，应按照其中更严格的要求、标准等进行验收。</w:t>
      </w:r>
    </w:p>
    <w:p w14:paraId="4C5270CA">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按照《财政部关于进一步加强政府采购需求和履约验收管理的指导意见》（财库〔2016〕205号）的要求进行验收。（如本项目不涉及政府采购，将参照此条款）。</w:t>
      </w:r>
    </w:p>
    <w:p w14:paraId="722D858A">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如本项目验收方式为考核验收，则考核结果须为合格。</w:t>
      </w:r>
    </w:p>
    <w:p w14:paraId="7504E9D6">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其它标准：</w:t>
      </w:r>
      <w:r>
        <w:rPr>
          <w:rFonts w:hint="eastAsia" w:ascii="仿宋" w:hAnsi="仿宋" w:eastAsia="仿宋" w:cs="仿宋"/>
          <w:sz w:val="24"/>
          <w:szCs w:val="24"/>
          <w:highlight w:val="none"/>
          <w:u w:val="single"/>
        </w:rPr>
        <w:t>无。</w:t>
      </w:r>
    </w:p>
    <w:p w14:paraId="70B0F5DF">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其它验收要求：</w:t>
      </w:r>
      <w:r>
        <w:rPr>
          <w:rFonts w:hint="eastAsia" w:ascii="仿宋" w:hAnsi="仿宋" w:eastAsia="仿宋" w:cs="仿宋"/>
          <w:color w:val="000000"/>
          <w:kern w:val="0"/>
          <w:sz w:val="24"/>
          <w:szCs w:val="24"/>
          <w:highlight w:val="none"/>
          <w:u w:val="single"/>
        </w:rPr>
        <w:t>无</w:t>
      </w:r>
      <w:r>
        <w:rPr>
          <w:rFonts w:hint="eastAsia" w:ascii="仿宋" w:hAnsi="仿宋" w:eastAsia="仿宋" w:cs="仿宋"/>
          <w:i/>
          <w:iCs/>
          <w:color w:val="000000"/>
          <w:kern w:val="0"/>
          <w:sz w:val="24"/>
          <w:szCs w:val="24"/>
          <w:highlight w:val="none"/>
        </w:rPr>
        <w:t>&lt;如有请填写&gt;</w:t>
      </w:r>
    </w:p>
    <w:p w14:paraId="475D319E">
      <w:pPr>
        <w:pStyle w:val="30"/>
        <w:numPr>
          <w:ilvl w:val="0"/>
          <w:numId w:val="17"/>
        </w:numPr>
        <w:shd w:val="clear"/>
        <w:spacing w:line="360" w:lineRule="auto"/>
        <w:ind w:left="0" w:firstLine="0"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乙方按照本合同向甲方交付的软件：</w:t>
      </w:r>
      <w:bookmarkStart w:id="98" w:name="OLE_LINK3"/>
      <w:r>
        <w:rPr>
          <w:rFonts w:hint="eastAsia" w:ascii="仿宋" w:hAnsi="仿宋" w:eastAsia="仿宋" w:cs="仿宋"/>
          <w:i/>
          <w:iCs/>
          <w:color w:val="000000"/>
          <w:sz w:val="24"/>
          <w:szCs w:val="24"/>
          <w:highlight w:val="none"/>
        </w:rPr>
        <w:t>&lt;根据项目实际情况选择</w:t>
      </w:r>
      <w:bookmarkEnd w:id="98"/>
      <w:r>
        <w:rPr>
          <w:rFonts w:hint="eastAsia" w:ascii="仿宋" w:hAnsi="仿宋" w:eastAsia="仿宋" w:cs="仿宋"/>
          <w:i/>
          <w:iCs/>
          <w:color w:val="000000"/>
          <w:sz w:val="24"/>
          <w:szCs w:val="24"/>
          <w:highlight w:val="none"/>
        </w:rPr>
        <w:t>&gt;</w:t>
      </w:r>
    </w:p>
    <w:p w14:paraId="5B5C7515">
      <w:pPr>
        <w:pStyle w:val="30"/>
        <w:shd w:val="clear"/>
        <w:spacing w:line="360" w:lineRule="auto"/>
        <w:ind w:left="315" w:leftChars="150" w:firstLine="0"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2" w:char="00A3"/>
      </w:r>
      <w:r>
        <w:rPr>
          <w:rFonts w:hint="eastAsia" w:ascii="仿宋" w:hAnsi="仿宋" w:eastAsia="仿宋" w:cs="仿宋"/>
          <w:sz w:val="24"/>
          <w:szCs w:val="24"/>
          <w:highlight w:val="none"/>
          <w:u w:val="single"/>
        </w:rPr>
        <w:t>有试运行期</w:t>
      </w:r>
      <w:r>
        <w:rPr>
          <w:rFonts w:hint="eastAsia" w:ascii="仿宋" w:hAnsi="仿宋" w:eastAsia="仿宋" w:cs="仿宋"/>
          <w:sz w:val="24"/>
          <w:szCs w:val="24"/>
          <w:highlight w:val="none"/>
        </w:rPr>
        <w:t>，试运行期为***，试运行期间，如发现软件有缺陷，或性能和质量不符合本项目要求时，乙方须对相关问题进行修改和更正，同时试运行期时限按照上述修改、更正期进行相应顺延。</w:t>
      </w:r>
    </w:p>
    <w:p w14:paraId="7964C2D5">
      <w:pPr>
        <w:pStyle w:val="30"/>
        <w:shd w:val="clear"/>
        <w:spacing w:line="360" w:lineRule="auto"/>
        <w:ind w:left="315" w:leftChars="15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2" w:char="0052"/>
      </w:r>
      <w:r>
        <w:rPr>
          <w:rFonts w:hint="eastAsia" w:ascii="仿宋" w:hAnsi="仿宋" w:eastAsia="仿宋" w:cs="仿宋"/>
          <w:sz w:val="24"/>
          <w:szCs w:val="24"/>
          <w:highlight w:val="none"/>
          <w:u w:val="single"/>
        </w:rPr>
        <w:t>无试运行期</w:t>
      </w:r>
    </w:p>
    <w:p w14:paraId="27B0D215">
      <w:pPr>
        <w:pStyle w:val="30"/>
        <w:numPr>
          <w:ilvl w:val="0"/>
          <w:numId w:val="1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若验收交付内容涉及试运行的，经试运行达到设计使用要求、技术质量标准并经甲方认可后视为验收通过。</w:t>
      </w:r>
    </w:p>
    <w:p w14:paraId="611C19E0">
      <w:pPr>
        <w:pStyle w:val="30"/>
        <w:numPr>
          <w:ilvl w:val="0"/>
          <w:numId w:val="1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不能交付而须支付合同总价</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%的违约金给甲方，违约金不能弥补甲方损失的，乙方应全额赔偿。</w:t>
      </w:r>
    </w:p>
    <w:p w14:paraId="364D9409">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知识产权及保密</w:t>
      </w:r>
    </w:p>
    <w:p w14:paraId="3E283830">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甲、乙双方确定，因履行本合同所产生的开发成果及其相关知识产权归属</w:t>
      </w:r>
      <w:r>
        <w:rPr>
          <w:rFonts w:hint="eastAsia" w:ascii="仿宋" w:hAnsi="仿宋" w:eastAsia="仿宋" w:cs="仿宋"/>
          <w:sz w:val="24"/>
          <w:szCs w:val="24"/>
          <w:highlight w:val="none"/>
          <w:u w:val="single"/>
        </w:rPr>
        <w:t>甲方所有</w:t>
      </w:r>
      <w:r>
        <w:rPr>
          <w:rFonts w:hint="eastAsia" w:ascii="仿宋" w:hAnsi="仿宋" w:eastAsia="仿宋" w:cs="仿宋"/>
          <w:sz w:val="24"/>
          <w:szCs w:val="24"/>
          <w:highlight w:val="none"/>
        </w:rPr>
        <w:t>。</w:t>
      </w:r>
    </w:p>
    <w:p w14:paraId="3EB5D19E">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乙方不得在向甲方交付开发成果之前，自行将开发成果转让给第三方。</w:t>
      </w:r>
    </w:p>
    <w:p w14:paraId="4C53443F">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4BFD35B7">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甲、乙双方确定，甲方有权利用乙方按照本合同约定提供的产品，进行后续改进，由此产生的具有实质性或创造性技术进步特征的新的技术成果及其权利归属，由甲方享有。</w:t>
      </w:r>
    </w:p>
    <w:p w14:paraId="755D980E">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甲、乙双方确定，本合同价格已包含向本合同涉及的相关所有权人支付的专利权、商标权或其他知识产权的有关费用及税费。</w:t>
      </w:r>
    </w:p>
    <w:p w14:paraId="3832AC22">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甲乙双方均应对本合同内容，包括但不限于项目关键技术、实施方案等予以保密，非经双方一致同意，任何一方不得将协议内容泄露、提供给第三方或用作其他不正当用途。</w:t>
      </w:r>
    </w:p>
    <w:p w14:paraId="592481A3">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付款方式</w:t>
      </w:r>
    </w:p>
    <w:p w14:paraId="1E6BCBA4">
      <w:pPr>
        <w:pStyle w:val="30"/>
        <w:numPr>
          <w:ilvl w:val="0"/>
          <w:numId w:val="21"/>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p w14:paraId="2004FB23">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乙方在合同签订生效之日起的***个工作日内，按合同总价***%支付履约保证金；服务期满后，供应商向采购人提交退款申请及相应票据，采购人在 55工作日内将履约保证金扣减考核金额（如涉及考核）后一次性无息退还。</w:t>
      </w:r>
    </w:p>
    <w:p w14:paraId="4B5D9C4D">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本合同不涉及履约保证金。</w:t>
      </w:r>
    </w:p>
    <w:p w14:paraId="4E47A476">
      <w:pPr>
        <w:pStyle w:val="30"/>
        <w:numPr>
          <w:ilvl w:val="0"/>
          <w:numId w:val="21"/>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本项目价款采用以下方式支付，以人民币结算：</w:t>
      </w:r>
    </w:p>
    <w:p w14:paraId="1BDD96C6">
      <w:pPr>
        <w:pStyle w:val="16"/>
        <w:shd w:val="clear"/>
        <w:spacing w:after="0" w:line="360" w:lineRule="auto"/>
        <w:ind w:left="0" w:leftChars="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一次性支付：</w:t>
      </w:r>
      <w:r>
        <w:rPr>
          <w:rFonts w:hint="eastAsia" w:ascii="仿宋" w:hAnsi="仿宋" w:eastAsia="仿宋" w:cs="仿宋"/>
          <w:kern w:val="2"/>
          <w:sz w:val="24"/>
          <w:szCs w:val="24"/>
          <w:lang w:val="en-US" w:eastAsia="zh-CN"/>
        </w:rPr>
        <w:t>合同签订生效且项目验收合格后，乙方于5日内向甲方提供合法有效票据及其他相关请款资料，甲方于接到上述票据及资料以后的55日内，向乙方支付合同总价100%的金额（如有因考核等原因产生的扣款，应在支付前予以扣除）</w:t>
      </w:r>
      <w:r>
        <w:rPr>
          <w:rFonts w:hint="eastAsia" w:ascii="仿宋" w:hAnsi="仿宋" w:eastAsia="仿宋" w:cs="仿宋"/>
          <w:color w:val="000000"/>
          <w:sz w:val="24"/>
          <w:szCs w:val="24"/>
          <w:highlight w:val="none"/>
        </w:rPr>
        <w:t>。</w:t>
      </w:r>
    </w:p>
    <w:p w14:paraId="2637E241">
      <w:pPr>
        <w:pStyle w:val="16"/>
        <w:shd w:val="clear"/>
        <w:spacing w:after="0" w:line="360" w:lineRule="auto"/>
        <w:ind w:left="0" w:leftChars="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分阶段支付：</w:t>
      </w:r>
    </w:p>
    <w:p w14:paraId="6BE24D2A">
      <w:pPr>
        <w:pStyle w:val="16"/>
        <w:shd w:val="clear"/>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sz w:val="24"/>
          <w:szCs w:val="24"/>
          <w:highlight w:val="none"/>
        </w:rPr>
        <w:t>第一次付款：合同签订生效且项目验收通过后，乙方 5 日内向甲方提供合法有效票据及其他相关请款资料，甲方接到乙方请款资料以后的55日内，向乙方支付本次合同金额的 80%</w:t>
      </w:r>
      <w:r>
        <w:rPr>
          <w:rFonts w:hint="eastAsia" w:ascii="仿宋" w:hAnsi="仿宋" w:eastAsia="仿宋" w:cs="仿宋"/>
          <w:color w:val="000000"/>
          <w:sz w:val="24"/>
          <w:szCs w:val="24"/>
          <w:highlight w:val="none"/>
        </w:rPr>
        <w:t>。</w:t>
      </w:r>
    </w:p>
    <w:p w14:paraId="7A7DD6FA">
      <w:pPr>
        <w:pStyle w:val="16"/>
        <w:shd w:val="clear"/>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sz w:val="24"/>
          <w:szCs w:val="24"/>
          <w:highlight w:val="none"/>
        </w:rPr>
        <w:t>第二次付款：服务期满后，乙方 5 日内向甲方提供合法有效票据及其他相关请款资料，甲方接到乙方请款资料以后的90日内，向乙方支付合同总价20%减去考核扣除金额（若有考核）</w:t>
      </w:r>
      <w:r>
        <w:rPr>
          <w:rFonts w:hint="eastAsia" w:ascii="仿宋" w:hAnsi="仿宋" w:eastAsia="仿宋" w:cs="仿宋"/>
          <w:color w:val="000000"/>
          <w:sz w:val="24"/>
          <w:szCs w:val="24"/>
          <w:highlight w:val="none"/>
        </w:rPr>
        <w:t>。</w:t>
      </w:r>
    </w:p>
    <w:p w14:paraId="21139BE1">
      <w:pPr>
        <w:pStyle w:val="16"/>
        <w:shd w:val="clear"/>
        <w:spacing w:after="0" w:line="360" w:lineRule="auto"/>
        <w:ind w:left="0" w:leftChars="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00A8"/>
      </w:r>
      <w:r>
        <w:rPr>
          <w:rFonts w:hint="eastAsia" w:ascii="仿宋" w:hAnsi="仿宋" w:eastAsia="仿宋" w:cs="仿宋"/>
          <w:color w:val="000000"/>
          <w:sz w:val="24"/>
          <w:szCs w:val="24"/>
          <w:highlight w:val="none"/>
        </w:rPr>
        <w:t>实结算方式：</w:t>
      </w:r>
      <w:r>
        <w:rPr>
          <w:rFonts w:hint="eastAsia" w:ascii="仿宋" w:hAnsi="仿宋" w:eastAsia="仿宋" w:cs="仿宋"/>
          <w:sz w:val="24"/>
          <w:szCs w:val="24"/>
          <w:highlight w:val="none"/>
        </w:rPr>
        <w:t>本项目</w:t>
      </w:r>
      <w:r>
        <w:rPr>
          <w:rFonts w:hint="eastAsia" w:ascii="仿宋" w:hAnsi="仿宋" w:eastAsia="仿宋" w:cs="仿宋"/>
          <w:sz w:val="24"/>
          <w:szCs w:val="24"/>
          <w:highlight w:val="none"/>
          <w:u w:val="single"/>
        </w:rPr>
        <w:t>每月/每季度</w:t>
      </w:r>
      <w:r>
        <w:rPr>
          <w:rFonts w:hint="eastAsia" w:ascii="仿宋" w:hAnsi="仿宋" w:eastAsia="仿宋" w:cs="仿宋"/>
          <w:sz w:val="24"/>
          <w:szCs w:val="24"/>
          <w:highlight w:val="none"/>
        </w:rPr>
        <w:t>结算一次 ，根据本项目成交单价及实际验收数量，乙方需 5 日内向甲方提供合法有效票据及其他相关请款资料，甲方接到乙方请款资料以后的55日内支付相应价款，最终结算总价不得超过</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r>
        <w:rPr>
          <w:rFonts w:hint="eastAsia" w:ascii="仿宋" w:hAnsi="仿宋" w:eastAsia="仿宋" w:cs="仿宋"/>
          <w:color w:val="000000"/>
          <w:sz w:val="24"/>
          <w:szCs w:val="24"/>
          <w:highlight w:val="none"/>
        </w:rPr>
        <w:t>。</w:t>
      </w:r>
    </w:p>
    <w:p w14:paraId="27E028C7">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甲方付款前，乙方需提供合法有效票据及其他相关请款资料，否则甲方有权拒绝支付且不承担任何违约责任，且乙方不得因此停止工作。</w:t>
      </w:r>
    </w:p>
    <w:p w14:paraId="54CBD428">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乙方开票信息中的软件名称与合同中软件名称应一致。</w:t>
      </w:r>
    </w:p>
    <w:p w14:paraId="616CBBB1">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乙方开票信息应与合同预留账户信息一致，如有变更，乙方应当在变更后3日内通知甲方，否则，由此造成的损失由乙方自行承担。</w:t>
      </w:r>
    </w:p>
    <w:p w14:paraId="09FE1AF8">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售后服务</w:t>
      </w:r>
    </w:p>
    <w:p w14:paraId="6D479C90">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软件完成安装后，乙方应对甲方工作人员进行培训：***。</w:t>
      </w:r>
      <w:r>
        <w:rPr>
          <w:rFonts w:hint="eastAsia" w:ascii="仿宋" w:hAnsi="仿宋" w:eastAsia="仿宋" w:cs="仿宋"/>
          <w:i/>
          <w:iCs/>
          <w:sz w:val="24"/>
          <w:szCs w:val="24"/>
          <w:highlight w:val="none"/>
        </w:rPr>
        <w:t>&lt;具体培训内容可根据项目具体情况编制&gt;</w:t>
      </w:r>
      <w:r>
        <w:rPr>
          <w:rFonts w:hint="eastAsia" w:ascii="仿宋" w:hAnsi="仿宋" w:eastAsia="仿宋" w:cs="仿宋"/>
          <w:sz w:val="24"/>
          <w:szCs w:val="24"/>
          <w:highlight w:val="none"/>
        </w:rPr>
        <w:t>并保证甲方受训技术人员熟练掌握软件的使用方法，直至甲方受训技术人员能保证软件日常运行并能排除一般性故障。</w:t>
      </w:r>
    </w:p>
    <w:p w14:paraId="6CBFE6FE">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质保期为验收合格后</w:t>
      </w:r>
      <w:permStart w:id="2" w:edGrp="everyone"/>
      <w:r>
        <w:rPr>
          <w:rFonts w:hint="eastAsia" w:ascii="仿宋" w:hAnsi="仿宋" w:eastAsia="仿宋" w:cs="仿宋"/>
          <w:sz w:val="24"/>
          <w:szCs w:val="24"/>
          <w:highlight w:val="none"/>
        </w:rPr>
        <w:t>***</w:t>
      </w:r>
      <w:permEnd w:id="2"/>
      <w:r>
        <w:rPr>
          <w:rFonts w:hint="eastAsia" w:ascii="仿宋" w:hAnsi="仿宋" w:eastAsia="仿宋" w:cs="仿宋"/>
          <w:sz w:val="24"/>
          <w:szCs w:val="24"/>
          <w:highlight w:val="none"/>
        </w:rPr>
        <w:t>年（合同签订后甲方验收合格且甲乙双方签署验收报告之日起）。</w:t>
      </w:r>
    </w:p>
    <w:p w14:paraId="1C0962DF">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范围：质保期内发现软件不符合本合同约定的功能要求和技术指标，乙方在接到通知后***小时内响应到场，***小时内完成调试或维修，并承担相关费用；如经乙方3次调试或维修仍不能达到本合同约定的功能要求和技术指标，甲方有权退货并追究乙方的违约责任。</w:t>
      </w:r>
    </w:p>
    <w:p w14:paraId="32568752">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在质保期内乙方应保证甲方对软件的使用因故障停用时间小于***个工作日。</w:t>
      </w:r>
    </w:p>
    <w:p w14:paraId="461A281E">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售后服务涉及费用均已包含在本合同总价中。</w:t>
      </w:r>
    </w:p>
    <w:p w14:paraId="26A7EACE">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无论是质保期内还是在质保期外，若出现故障，乙方应在***小时内提供技术支持并作出答复。质保期满后甲方委托乙方继续提供维护服务的，因此产生的维护费用由甲乙双方另行商议，每年费用最高不超过</w:t>
      </w:r>
      <w:r>
        <w:rPr>
          <w:rFonts w:hint="eastAsia" w:ascii="仿宋" w:hAnsi="仿宋" w:eastAsia="仿宋" w:cs="仿宋"/>
          <w:sz w:val="24"/>
          <w:szCs w:val="24"/>
          <w:highlight w:val="none"/>
          <w:u w:val="single"/>
        </w:rPr>
        <w:t>本合同总价</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w:t>
      </w:r>
    </w:p>
    <w:p w14:paraId="7D567237">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因乙方原因致使软件不能达到本合同约定的功能要求和技术指标，按甲方实际停用天数自动延长其质保期,甲方有权延后履约保证金和维保费用的支付时间，并追究因此引发的乙方相应法律责任。</w:t>
      </w:r>
    </w:p>
    <w:p w14:paraId="00E079BB">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257E343B">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双方的权利和义务</w:t>
      </w:r>
    </w:p>
    <w:p w14:paraId="23CB3589">
      <w:pPr>
        <w:pStyle w:val="30"/>
        <w:numPr>
          <w:ilvl w:val="0"/>
          <w:numId w:val="23"/>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甲方的权利和义务：</w:t>
      </w:r>
    </w:p>
    <w:p w14:paraId="38D38C4C">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甲方有权获得乙方所提交的软件交付成果、服务及相关知识产权。</w:t>
      </w:r>
    </w:p>
    <w:p w14:paraId="6A0E155B">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甲方有权及时了解和监督软件开发的进展情况。</w:t>
      </w:r>
    </w:p>
    <w:p w14:paraId="780E5A2E">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甲方应向乙方提供完成软件开发所必需的资料和工作条件。</w:t>
      </w:r>
    </w:p>
    <w:p w14:paraId="2C61FDB7">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甲方应按照合同约定向乙方支付合同价款。</w:t>
      </w:r>
    </w:p>
    <w:p w14:paraId="36341926">
      <w:pPr>
        <w:pStyle w:val="30"/>
        <w:numPr>
          <w:ilvl w:val="0"/>
          <w:numId w:val="23"/>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乙方的权利和义务：</w:t>
      </w:r>
    </w:p>
    <w:p w14:paraId="3479637D">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乙方有权按照本合同约定收取合同价款。</w:t>
      </w:r>
    </w:p>
    <w:p w14:paraId="0016700F">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乙方有权要求甲方提供软件开发所必需的资料和支持。</w:t>
      </w:r>
    </w:p>
    <w:p w14:paraId="2C4196CB">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47CF22FC">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乙方应派遣身体健康、有相关工作经验和相应技能的技术人员到甲方现场并提供开发、安装、调试、测试、试运行、维护及培训等技术服务，该技术服务费用包括在本合同总价内。</w:t>
      </w:r>
    </w:p>
    <w:p w14:paraId="7067F139">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6F35AA90">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6AC7D294">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214A34AF">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0FA93EE1">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5ADC8C3D">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2FA2FBED">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违约责任</w:t>
      </w:r>
      <w:r>
        <w:rPr>
          <w:rFonts w:hint="eastAsia" w:ascii="仿宋" w:hAnsi="仿宋" w:eastAsia="仿宋" w:cs="仿宋"/>
          <w:i/>
          <w:iCs/>
          <w:sz w:val="24"/>
          <w:szCs w:val="24"/>
          <w:highlight w:val="none"/>
        </w:rPr>
        <w:t>&lt;本条款中违约金比例可根据项目实际情况确定&gt;</w:t>
      </w:r>
    </w:p>
    <w:p w14:paraId="5443DDAE">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1.甲方违约责任：甲方无正当理由拒绝交付及验收的，甲方应偿付合同总金额的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2FF889C5">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2.乙方违约责任：</w:t>
      </w:r>
    </w:p>
    <w:p w14:paraId="6D581192">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乙方拒绝交付软件，或交付的软件经两次验收仍不符合本合同约定的验收标准，甲方有权解除合同，乙方须向甲方支付合同总金额的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%作为违约金，并承担其它相应的经济损失。</w:t>
      </w:r>
    </w:p>
    <w:p w14:paraId="2594D903">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质保期内出现质量问题，因同一故障经乙方经</w:t>
      </w:r>
      <w:r>
        <w:rPr>
          <w:rFonts w:hint="eastAsia" w:ascii="仿宋" w:hAnsi="仿宋" w:eastAsia="仿宋" w:cs="仿宋"/>
          <w:sz w:val="24"/>
          <w:szCs w:val="24"/>
          <w:highlight w:val="none"/>
          <w:u w:val="single"/>
        </w:rPr>
        <w:t>2</w:t>
      </w:r>
      <w:r>
        <w:rPr>
          <w:rFonts w:hint="eastAsia" w:ascii="仿宋" w:hAnsi="仿宋" w:eastAsia="仿宋" w:cs="仿宋"/>
          <w:sz w:val="24"/>
          <w:szCs w:val="24"/>
          <w:highlight w:val="none"/>
        </w:rPr>
        <w:t>次调试或维修仍不能达到合同约定的功能要求和技术指标，甲方有权解除合同并要求退货，乙方按照合同总额的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%向甲方支付违约金。</w:t>
      </w:r>
    </w:p>
    <w:p w14:paraId="5819A663">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因乙方原因逾期交付，每逾期一天，须向甲方支付合同总金额的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none"/>
        </w:rPr>
        <w:t>%</w:t>
      </w:r>
      <w:r>
        <w:rPr>
          <w:rFonts w:hint="eastAsia" w:ascii="仿宋" w:hAnsi="仿宋" w:eastAsia="仿宋" w:cs="仿宋"/>
          <w:sz w:val="24"/>
          <w:szCs w:val="24"/>
          <w:highlight w:val="none"/>
        </w:rPr>
        <w:t>作为违约金。因乙方原因逾期交货超过</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天，甲方有权终止合同，乙方须按合同总金额的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u w:val="none"/>
        </w:rPr>
        <w:t>%</w:t>
      </w:r>
      <w:r>
        <w:rPr>
          <w:rFonts w:hint="eastAsia" w:ascii="仿宋" w:hAnsi="仿宋" w:eastAsia="仿宋" w:cs="仿宋"/>
          <w:sz w:val="24"/>
          <w:szCs w:val="24"/>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13F9B453">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乙方未按合同约定及时履行培训及维护义务时，每发生一次，乙方应按合同总金额的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‰向甲方支付违约金，乙方支付违约金的同时，仍有义务对甲方进行培训及对软件维护。</w:t>
      </w:r>
    </w:p>
    <w:p w14:paraId="702DCB66">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乙方在开发软件过程侵犯他人知识产权，甲方有权单方解除合同，并要求乙方赔偿所造成的损失，同时甲方有权要求对方按照合同总金额的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%支付违约金。</w:t>
      </w:r>
    </w:p>
    <w:p w14:paraId="28B1FFE0">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乙方违反保密义务，甲方有权单方解除合同，乙方应按甲方实际损失向甲方进行赔偿并向甲方支付合同总金额的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5F084D2F">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乙方偿付的违约金不足以弥补甲方损失的，还应按甲方损失尚未弥补的部分，支付赔偿金给甲方。</w:t>
      </w:r>
    </w:p>
    <w:p w14:paraId="44E47808">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乙方交付软件因质量问题导致甲方及第三方人身、财产损失的，乙方承担由此造成的全部法律责任。</w:t>
      </w:r>
    </w:p>
    <w:p w14:paraId="3DF72F30">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乙方未按照本合同约定的时限提供合法发票或提供发票瑕疵（包括但不限于发票种类有误、发票金额有误等），甲方付款时限相应顺延并不承担任何延期支付的违约责任。</w:t>
      </w:r>
    </w:p>
    <w:p w14:paraId="6B411523">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乙方在安装、调试及售后服务过程中，因未按规程操作、未采取必要的安全防范措施等原因直接或间接造成甲方及第三方人身、财产损失的，由乙方承担由此造成的全部法律责任。</w:t>
      </w:r>
    </w:p>
    <w:p w14:paraId="2C0615E1">
      <w:pPr>
        <w:pStyle w:val="30"/>
        <w:numPr>
          <w:ilvl w:val="0"/>
          <w:numId w:val="26"/>
        </w:numPr>
        <w:shd w:val="clear"/>
        <w:snapToGrid w:val="0"/>
        <w:spacing w:line="360" w:lineRule="auto"/>
        <w:ind w:left="525" w:hanging="600" w:hangingChars="250"/>
        <w:rPr>
          <w:rFonts w:hint="eastAsia" w:ascii="仿宋" w:hAnsi="仿宋" w:eastAsia="仿宋" w:cs="仿宋"/>
          <w:sz w:val="24"/>
          <w:szCs w:val="24"/>
          <w:highlight w:val="none"/>
        </w:rPr>
      </w:pPr>
      <w:r>
        <w:rPr>
          <w:rFonts w:hint="eastAsia" w:ascii="仿宋" w:hAnsi="仿宋" w:eastAsia="仿宋" w:cs="仿宋"/>
          <w:sz w:val="24"/>
          <w:szCs w:val="24"/>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24CC26E">
      <w:pPr>
        <w:pStyle w:val="30"/>
        <w:shd w:val="clear"/>
        <w:snapToGrid w:val="0"/>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3.本合同履行中如有任何一方违约，那么守约方为保障自己合法权益而产生的律师费、诉讼费、差旅费、公告费等，均由违约方承担。</w:t>
      </w:r>
    </w:p>
    <w:p w14:paraId="0F251768">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不可抗力</w:t>
      </w:r>
    </w:p>
    <w:p w14:paraId="34CCAF88">
      <w:pPr>
        <w:pStyle w:val="30"/>
        <w:shd w:val="clear"/>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如果遇到自然灾害和灾难及其他不可抗力事件而影响合同履行时，乙方应在三个工作日内以书面形式通知甲方。若不可抗力原因影响本合同执行时间超过</w:t>
      </w:r>
      <w:r>
        <w:rPr>
          <w:rFonts w:hint="eastAsia" w:ascii="仿宋" w:hAnsi="仿宋" w:eastAsia="仿宋" w:cs="仿宋"/>
          <w:bCs/>
          <w:sz w:val="24"/>
          <w:szCs w:val="24"/>
          <w:highlight w:val="none"/>
          <w:u w:val="single"/>
        </w:rPr>
        <w:t>***</w:t>
      </w:r>
      <w:r>
        <w:rPr>
          <w:rFonts w:hint="eastAsia" w:ascii="仿宋" w:hAnsi="仿宋" w:eastAsia="仿宋" w:cs="仿宋"/>
          <w:bCs/>
          <w:sz w:val="24"/>
          <w:szCs w:val="24"/>
          <w:highlight w:val="none"/>
          <w:u w:val="single"/>
          <w:lang w:val="en-US" w:eastAsia="zh-CN"/>
        </w:rPr>
        <w:t>日</w:t>
      </w:r>
      <w:r>
        <w:rPr>
          <w:rFonts w:hint="eastAsia" w:ascii="仿宋" w:hAnsi="仿宋" w:eastAsia="仿宋" w:cs="仿宋"/>
          <w:bCs/>
          <w:sz w:val="24"/>
          <w:szCs w:val="24"/>
          <w:highlight w:val="none"/>
        </w:rPr>
        <w:t>，甲方有权解除合同，双方互不承担违约责任。</w:t>
      </w:r>
    </w:p>
    <w:p w14:paraId="529A93A5">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争议解决办法</w:t>
      </w:r>
    </w:p>
    <w:p w14:paraId="2E27CCF0">
      <w:pPr>
        <w:pStyle w:val="30"/>
        <w:numPr>
          <w:ilvl w:val="0"/>
          <w:numId w:val="2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因软件的质量问题发生争议，由质量技术监督部门或其指定的质量鉴定机构进行质量鉴定。货物符合标准的，鉴定费由甲方承担；货物不符合质量标准的，鉴定费由乙方承担。</w:t>
      </w:r>
    </w:p>
    <w:p w14:paraId="559535D9">
      <w:pPr>
        <w:pStyle w:val="30"/>
        <w:numPr>
          <w:ilvl w:val="0"/>
          <w:numId w:val="2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合同履行期间,若双方发生争议，可协商或由有关部门调解解决，协商或调解不成的，任何一方均有权向甲方所在地具有管辖权的人民法院起诉。</w:t>
      </w:r>
    </w:p>
    <w:p w14:paraId="70434AF5">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送达（送达地址是司法机关、执法机关和仲裁机关将法律文书送达给当事人的收件地址）</w:t>
      </w:r>
    </w:p>
    <w:p w14:paraId="59CD0D33">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甲方送达地址：四川省成都市青羊区一环路西二段32号。</w:t>
      </w:r>
    </w:p>
    <w:p w14:paraId="5FD0A0B3">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乙方送达地址：***</w:t>
      </w:r>
    </w:p>
    <w:p w14:paraId="0CC52FF3">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DC278A0">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其他</w:t>
      </w:r>
    </w:p>
    <w:p w14:paraId="7FFD1602">
      <w:pPr>
        <w:pStyle w:val="30"/>
        <w:numPr>
          <w:ilvl w:val="0"/>
          <w:numId w:val="29"/>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如有未尽事宜，由双方依法订立补充合同。补充合同及本合同附件均为本合同的组成部分，与本合同具有同等法律效力。</w:t>
      </w:r>
    </w:p>
    <w:p w14:paraId="7DB79F18">
      <w:pPr>
        <w:pStyle w:val="30"/>
        <w:numPr>
          <w:ilvl w:val="0"/>
          <w:numId w:val="29"/>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本合同一式四份，自双方</w:t>
      </w:r>
      <w:r>
        <w:rPr>
          <w:rFonts w:hint="eastAsia" w:ascii="仿宋" w:hAnsi="仿宋" w:eastAsia="仿宋" w:cs="仿宋"/>
          <w:sz w:val="24"/>
          <w:szCs w:val="24"/>
          <w:highlight w:val="none"/>
          <w:lang w:val="en-US" w:eastAsia="zh-CN"/>
        </w:rPr>
        <w:t>签字且盖章</w:t>
      </w:r>
      <w:r>
        <w:rPr>
          <w:rFonts w:hint="eastAsia" w:ascii="仿宋" w:hAnsi="仿宋" w:eastAsia="仿宋" w:cs="仿宋"/>
          <w:sz w:val="24"/>
          <w:szCs w:val="24"/>
          <w:highlight w:val="none"/>
        </w:rPr>
        <w:t>之日起生效。甲方三份，乙方一份。</w:t>
      </w:r>
    </w:p>
    <w:p w14:paraId="4606659C">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合同附件</w:t>
      </w:r>
    </w:p>
    <w:p w14:paraId="546932E8">
      <w:pPr>
        <w:shd w:val="clear"/>
        <w:spacing w:line="360" w:lineRule="auto"/>
        <w:rPr>
          <w:rFonts w:hint="eastAsia" w:ascii="仿宋" w:hAnsi="仿宋" w:eastAsia="仿宋" w:cs="仿宋"/>
          <w:i/>
          <w:iCs/>
          <w:sz w:val="24"/>
          <w:szCs w:val="24"/>
          <w:highlight w:val="none"/>
        </w:rPr>
      </w:pPr>
      <w:r>
        <w:rPr>
          <w:rFonts w:hint="eastAsia" w:ascii="仿宋" w:hAnsi="仿宋" w:eastAsia="仿宋" w:cs="仿宋"/>
          <w:sz w:val="24"/>
          <w:szCs w:val="24"/>
          <w:highlight w:val="none"/>
        </w:rPr>
        <w:t>本合同为</w:t>
      </w:r>
      <w:r>
        <w:rPr>
          <w:rFonts w:hint="eastAsia" w:ascii="仿宋" w:hAnsi="仿宋" w:eastAsia="仿宋" w:cs="仿宋"/>
          <w:sz w:val="24"/>
          <w:szCs w:val="24"/>
          <w:highlight w:val="none"/>
          <w:u w:val="single"/>
        </w:rPr>
        <w:t>有</w:t>
      </w:r>
      <w:r>
        <w:rPr>
          <w:rFonts w:hint="eastAsia" w:ascii="仿宋" w:hAnsi="仿宋" w:eastAsia="仿宋" w:cs="仿宋"/>
          <w:sz w:val="24"/>
          <w:szCs w:val="24"/>
          <w:highlight w:val="none"/>
        </w:rPr>
        <w:t>附件合同。</w:t>
      </w:r>
      <w:r>
        <w:rPr>
          <w:rFonts w:hint="eastAsia" w:ascii="仿宋" w:hAnsi="仿宋" w:eastAsia="仿宋" w:cs="仿宋"/>
          <w:i/>
          <w:iCs/>
          <w:sz w:val="24"/>
          <w:szCs w:val="24"/>
          <w:highlight w:val="none"/>
        </w:rPr>
        <w:t>&lt;根据项目实际情况编制&gt;</w:t>
      </w:r>
    </w:p>
    <w:p w14:paraId="7CD5C0A9">
      <w:pPr>
        <w:pStyle w:val="7"/>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附件：《开发进度表》</w:t>
      </w:r>
    </w:p>
    <w:p w14:paraId="79BD7649">
      <w:pPr>
        <w:shd w:val="clea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18"/>
        <w:tblW w:w="5000" w:type="pct"/>
        <w:jc w:val="center"/>
        <w:tblLayout w:type="autofit"/>
        <w:tblCellMar>
          <w:top w:w="0" w:type="dxa"/>
          <w:left w:w="0" w:type="dxa"/>
          <w:bottom w:w="0" w:type="dxa"/>
          <w:right w:w="0" w:type="dxa"/>
        </w:tblCellMar>
      </w:tblPr>
      <w:tblGrid>
        <w:gridCol w:w="4962"/>
        <w:gridCol w:w="5242"/>
      </w:tblGrid>
      <w:tr w14:paraId="3284C461">
        <w:tblPrEx>
          <w:tblCellMar>
            <w:top w:w="0" w:type="dxa"/>
            <w:left w:w="0" w:type="dxa"/>
            <w:bottom w:w="0" w:type="dxa"/>
            <w:right w:w="0" w:type="dxa"/>
          </w:tblCellMar>
        </w:tblPrEx>
        <w:trPr>
          <w:trHeight w:val="519" w:hRule="atLeast"/>
          <w:jc w:val="center"/>
        </w:trPr>
        <w:tc>
          <w:tcPr>
            <w:tcW w:w="10214" w:type="dxa"/>
            <w:gridSpan w:val="2"/>
            <w:noWrap w:val="0"/>
            <w:vAlign w:val="top"/>
          </w:tcPr>
          <w:p w14:paraId="306ADAA1">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签订时间：202*年***月***日</w:t>
            </w:r>
          </w:p>
        </w:tc>
      </w:tr>
      <w:tr w14:paraId="6472D50D">
        <w:tblPrEx>
          <w:tblCellMar>
            <w:top w:w="0" w:type="dxa"/>
            <w:left w:w="0" w:type="dxa"/>
            <w:bottom w:w="0" w:type="dxa"/>
            <w:right w:w="0" w:type="dxa"/>
          </w:tblCellMar>
        </w:tblPrEx>
        <w:trPr>
          <w:jc w:val="center"/>
        </w:trPr>
        <w:tc>
          <w:tcPr>
            <w:tcW w:w="4967" w:type="dxa"/>
            <w:noWrap w:val="0"/>
            <w:vAlign w:val="top"/>
          </w:tcPr>
          <w:p w14:paraId="03D67978">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甲方：四川省人民医院（盖章）</w:t>
            </w:r>
          </w:p>
          <w:p w14:paraId="680036DD">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3ABD9EEB">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    址：四川省成都市一环路西二段32号</w:t>
            </w:r>
          </w:p>
          <w:p w14:paraId="230D60BD">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开户银行：建设银行成都青羊支行</w:t>
            </w:r>
          </w:p>
          <w:p w14:paraId="4A2E9E9C">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账号：5100 1446 4360 5037 4282</w:t>
            </w:r>
          </w:p>
        </w:tc>
        <w:tc>
          <w:tcPr>
            <w:tcW w:w="5247" w:type="dxa"/>
            <w:noWrap w:val="0"/>
            <w:vAlign w:val="top"/>
          </w:tcPr>
          <w:p w14:paraId="4D86E592">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permStart w:id="3" w:edGrp="everyone"/>
            <w:r>
              <w:rPr>
                <w:rFonts w:hint="eastAsia" w:ascii="仿宋" w:hAnsi="仿宋" w:eastAsia="仿宋" w:cs="仿宋"/>
                <w:sz w:val="24"/>
                <w:szCs w:val="24"/>
                <w:highlight w:val="none"/>
              </w:rPr>
              <w:t>***</w:t>
            </w:r>
            <w:permEnd w:id="3"/>
            <w:r>
              <w:rPr>
                <w:rFonts w:hint="eastAsia" w:ascii="仿宋" w:hAnsi="仿宋" w:eastAsia="仿宋" w:cs="仿宋"/>
                <w:sz w:val="24"/>
                <w:szCs w:val="24"/>
                <w:highlight w:val="none"/>
              </w:rPr>
              <w:t>（盖章）</w:t>
            </w:r>
          </w:p>
          <w:p w14:paraId="2925BE4B">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0BD0D917">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ermStart w:id="4" w:edGrp="everyone"/>
            <w:r>
              <w:rPr>
                <w:rFonts w:hint="eastAsia" w:ascii="仿宋" w:hAnsi="仿宋" w:eastAsia="仿宋" w:cs="仿宋"/>
                <w:sz w:val="24"/>
                <w:szCs w:val="24"/>
                <w:highlight w:val="none"/>
              </w:rPr>
              <w:t>***</w:t>
            </w:r>
            <w:permEnd w:id="4"/>
          </w:p>
          <w:p w14:paraId="45006533">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ermStart w:id="5" w:edGrp="everyone"/>
            <w:r>
              <w:rPr>
                <w:rFonts w:hint="eastAsia" w:ascii="仿宋" w:hAnsi="仿宋" w:eastAsia="仿宋" w:cs="仿宋"/>
                <w:sz w:val="24"/>
                <w:szCs w:val="24"/>
                <w:highlight w:val="none"/>
              </w:rPr>
              <w:t>***</w:t>
            </w:r>
          </w:p>
          <w:permEnd w:id="5"/>
          <w:p w14:paraId="23DF0AB2">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ermStart w:id="6" w:edGrp="everyone"/>
            <w:r>
              <w:rPr>
                <w:rFonts w:hint="eastAsia" w:ascii="仿宋" w:hAnsi="仿宋" w:eastAsia="仿宋" w:cs="仿宋"/>
                <w:sz w:val="24"/>
                <w:szCs w:val="24"/>
                <w:highlight w:val="none"/>
              </w:rPr>
              <w:t>***</w:t>
            </w:r>
            <w:permEnd w:id="6"/>
          </w:p>
        </w:tc>
      </w:tr>
    </w:tbl>
    <w:p w14:paraId="60AD1E32">
      <w:pPr>
        <w:shd w:val="clear"/>
        <w:spacing w:line="360" w:lineRule="auto"/>
        <w:rPr>
          <w:rFonts w:hint="eastAsia" w:ascii="仿宋" w:hAnsi="仿宋" w:eastAsia="仿宋" w:cs="仿宋"/>
          <w:sz w:val="24"/>
          <w:szCs w:val="24"/>
          <w:highlight w:val="none"/>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6094ED5B">
      <w:pPr>
        <w:shd w:val="clea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附件：开发进度表</w:t>
      </w:r>
    </w:p>
    <w:p w14:paraId="5D144090">
      <w:pPr>
        <w:pStyle w:val="16"/>
        <w:shd w:val="clear"/>
        <w:spacing w:line="360" w:lineRule="auto"/>
        <w:ind w:firstLine="0" w:firstLineChars="0"/>
        <w:contextualSpacing/>
        <w:rPr>
          <w:rFonts w:hint="eastAsia" w:ascii="仿宋" w:hAnsi="仿宋" w:eastAsia="仿宋" w:cs="仿宋"/>
          <w:sz w:val="24"/>
          <w:szCs w:val="24"/>
          <w:highlight w:val="none"/>
        </w:rPr>
      </w:pPr>
    </w:p>
    <w:p w14:paraId="24889803">
      <w:pPr>
        <w:pStyle w:val="16"/>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0FAC0373">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27852A60">
      <w:pPr>
        <w:pStyle w:val="27"/>
        <w:rPr>
          <w:rFonts w:ascii="Times New Roman" w:hAnsi="Times New Roman"/>
        </w:rPr>
      </w:pPr>
    </w:p>
    <w:sectPr>
      <w:headerReference r:id="rId8" w:type="default"/>
      <w:footerReference r:id="rId9"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304369-3B72-4913-90A9-EBB30C707CD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D5EE13E-0ACB-4F31-949F-0BBBAA840E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836549-8CA0-488C-AF01-63389A8D8750}"/>
  </w:font>
  <w:font w:name="FangSong_GB2312">
    <w:altName w:val="仿宋_GB2312"/>
    <w:panose1 w:val="020B0604020202020204"/>
    <w:charset w:val="86"/>
    <w:family w:val="modern"/>
    <w:pitch w:val="default"/>
    <w:sig w:usb0="00000000" w:usb1="00000000" w:usb2="00000010" w:usb3="00000000" w:csb0="00040001"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1508AA1-D9E5-4676-B3B6-34583CBF448D}"/>
  </w:font>
  <w:font w:name="Segoe UI Symbol">
    <w:panose1 w:val="020B0502040204020203"/>
    <w:charset w:val="00"/>
    <w:family w:val="swiss"/>
    <w:pitch w:val="default"/>
    <w:sig w:usb0="800001E3" w:usb1="1200FFEF" w:usb2="00040000" w:usb3="04000000" w:csb0="00000001" w:csb1="40000000"/>
    <w:embedRegular r:id="rId5" w:fontKey="{D953A427-9A6B-4C8D-8A0B-8D010C8A25C7}"/>
  </w:font>
  <w:font w:name="Wingdings 2">
    <w:altName w:val="Wingdings"/>
    <w:panose1 w:val="05020102010507070707"/>
    <w:charset w:val="4D"/>
    <w:family w:val="decorative"/>
    <w:pitch w:val="default"/>
    <w:sig w:usb0="00000000" w:usb1="00000000" w:usb2="00000000" w:usb3="00000000" w:csb0="80000001" w:csb1="00000000"/>
    <w:embedRegular r:id="rId6" w:fontKey="{58C8CF21-BDDD-4AA2-AC6D-C9ED04BB7BE2}"/>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yc">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3928C">
    <w:pPr>
      <w:pStyle w:val="11"/>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8C35C">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B8C35C">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2055B">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3"/>
  </w:num>
  <w:num w:numId="3">
    <w:abstractNumId w:val="18"/>
  </w:num>
  <w:num w:numId="4">
    <w:abstractNumId w:val="28"/>
  </w:num>
  <w:num w:numId="5">
    <w:abstractNumId w:val="10"/>
  </w:num>
  <w:num w:numId="6">
    <w:abstractNumId w:val="23"/>
  </w:num>
  <w:num w:numId="7">
    <w:abstractNumId w:val="17"/>
  </w:num>
  <w:num w:numId="8">
    <w:abstractNumId w:val="2"/>
  </w:num>
  <w:num w:numId="9">
    <w:abstractNumId w:val="1"/>
  </w:num>
  <w:num w:numId="10">
    <w:abstractNumId w:val="0"/>
  </w:num>
  <w:num w:numId="11">
    <w:abstractNumId w:val="4"/>
  </w:num>
  <w:num w:numId="12">
    <w:abstractNumId w:val="6"/>
  </w:num>
  <w:num w:numId="13">
    <w:abstractNumId w:val="25"/>
  </w:num>
  <w:num w:numId="14">
    <w:abstractNumId w:val="16"/>
  </w:num>
  <w:num w:numId="15">
    <w:abstractNumId w:val="5"/>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4564A0"/>
    <w:rsid w:val="078A573C"/>
    <w:rsid w:val="08D74F87"/>
    <w:rsid w:val="093A3733"/>
    <w:rsid w:val="0B4508AE"/>
    <w:rsid w:val="0C2B4193"/>
    <w:rsid w:val="0CF161C9"/>
    <w:rsid w:val="0E0B7FF0"/>
    <w:rsid w:val="0F904004"/>
    <w:rsid w:val="10E47154"/>
    <w:rsid w:val="117A5014"/>
    <w:rsid w:val="127F05A0"/>
    <w:rsid w:val="135F136E"/>
    <w:rsid w:val="136D78F8"/>
    <w:rsid w:val="15CC4977"/>
    <w:rsid w:val="162A4F7D"/>
    <w:rsid w:val="16A82A66"/>
    <w:rsid w:val="1994787E"/>
    <w:rsid w:val="1A6A7BF0"/>
    <w:rsid w:val="1BCC54CD"/>
    <w:rsid w:val="1DD000AF"/>
    <w:rsid w:val="1E09745A"/>
    <w:rsid w:val="1E176351"/>
    <w:rsid w:val="203F5011"/>
    <w:rsid w:val="20B830CE"/>
    <w:rsid w:val="21FE134A"/>
    <w:rsid w:val="22935D1D"/>
    <w:rsid w:val="23D4489F"/>
    <w:rsid w:val="24A73642"/>
    <w:rsid w:val="262001B9"/>
    <w:rsid w:val="2623605B"/>
    <w:rsid w:val="27B87AF9"/>
    <w:rsid w:val="27E80EA9"/>
    <w:rsid w:val="280414A1"/>
    <w:rsid w:val="28304227"/>
    <w:rsid w:val="28570368"/>
    <w:rsid w:val="29C5318E"/>
    <w:rsid w:val="2A3B43E5"/>
    <w:rsid w:val="2B502F98"/>
    <w:rsid w:val="2C9A0A9E"/>
    <w:rsid w:val="2DA70D65"/>
    <w:rsid w:val="335378F5"/>
    <w:rsid w:val="3427766B"/>
    <w:rsid w:val="343706EB"/>
    <w:rsid w:val="351A08D0"/>
    <w:rsid w:val="353D379E"/>
    <w:rsid w:val="36334CE5"/>
    <w:rsid w:val="37D61E6E"/>
    <w:rsid w:val="39125F84"/>
    <w:rsid w:val="3A551407"/>
    <w:rsid w:val="3B033C36"/>
    <w:rsid w:val="3E5D4E8E"/>
    <w:rsid w:val="3FE25336"/>
    <w:rsid w:val="41076015"/>
    <w:rsid w:val="42075FF8"/>
    <w:rsid w:val="42842020"/>
    <w:rsid w:val="45A2372B"/>
    <w:rsid w:val="468567BB"/>
    <w:rsid w:val="4782487D"/>
    <w:rsid w:val="49F417D1"/>
    <w:rsid w:val="4B31068E"/>
    <w:rsid w:val="4BA55220"/>
    <w:rsid w:val="4BAD0151"/>
    <w:rsid w:val="4BB037AB"/>
    <w:rsid w:val="4C184E09"/>
    <w:rsid w:val="4C6C2266"/>
    <w:rsid w:val="4C85551A"/>
    <w:rsid w:val="4C8F75A2"/>
    <w:rsid w:val="4DAD4403"/>
    <w:rsid w:val="4E8C008E"/>
    <w:rsid w:val="4FEF758C"/>
    <w:rsid w:val="50771A9C"/>
    <w:rsid w:val="51C47F6D"/>
    <w:rsid w:val="53E55E8D"/>
    <w:rsid w:val="53F03768"/>
    <w:rsid w:val="5455382C"/>
    <w:rsid w:val="58DB4E75"/>
    <w:rsid w:val="5D0A3490"/>
    <w:rsid w:val="5D7E0D39"/>
    <w:rsid w:val="5E9D3F29"/>
    <w:rsid w:val="60384CD1"/>
    <w:rsid w:val="60655808"/>
    <w:rsid w:val="60F86CEE"/>
    <w:rsid w:val="63A9427A"/>
    <w:rsid w:val="63D462B1"/>
    <w:rsid w:val="641A3596"/>
    <w:rsid w:val="64D96647"/>
    <w:rsid w:val="655B51E5"/>
    <w:rsid w:val="656A5A30"/>
    <w:rsid w:val="65E40ADA"/>
    <w:rsid w:val="66330B86"/>
    <w:rsid w:val="66E22203"/>
    <w:rsid w:val="68AA6162"/>
    <w:rsid w:val="68B812C9"/>
    <w:rsid w:val="68D4417F"/>
    <w:rsid w:val="68F918FB"/>
    <w:rsid w:val="69534B8A"/>
    <w:rsid w:val="69D50CF4"/>
    <w:rsid w:val="6BA50055"/>
    <w:rsid w:val="6C487AFD"/>
    <w:rsid w:val="6CB24363"/>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FollowedHyperlink"/>
    <w:basedOn w:val="20"/>
    <w:qFormat/>
    <w:uiPriority w:val="0"/>
    <w:rPr>
      <w:color w:val="800080"/>
      <w:u w:val="none"/>
    </w:rPr>
  </w:style>
  <w:style w:type="character" w:styleId="23">
    <w:name w:val="Hyperlink"/>
    <w:unhideWhenUsed/>
    <w:qFormat/>
    <w:uiPriority w:val="99"/>
    <w:rPr>
      <w:color w:val="0000FF"/>
      <w:u w:val="none"/>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character" w:customStyle="1" w:styleId="42">
    <w:name w:val="tmpztreemove_arrow"/>
    <w:basedOn w:val="20"/>
    <w:qFormat/>
    <w:uiPriority w:val="0"/>
  </w:style>
  <w:style w:type="character" w:customStyle="1" w:styleId="43">
    <w:name w:val="hover1"/>
    <w:basedOn w:val="20"/>
    <w:qFormat/>
    <w:uiPriority w:val="0"/>
    <w:rPr>
      <w:shd w:val="clear" w:fill="EEEEEE"/>
    </w:rPr>
  </w:style>
  <w:style w:type="character" w:customStyle="1" w:styleId="44">
    <w:name w:val="hover2"/>
    <w:basedOn w:val="20"/>
    <w:qFormat/>
    <w:uiPriority w:val="0"/>
    <w:rPr>
      <w:shd w:val="clear" w:fill="EEEEEE"/>
    </w:rPr>
  </w:style>
  <w:style w:type="character" w:customStyle="1" w:styleId="45">
    <w:name w:val="hover3"/>
    <w:basedOn w:val="20"/>
    <w:qFormat/>
    <w:uiPriority w:val="0"/>
    <w:rPr>
      <w:shd w:val="clear" w:fill="EEEEEE"/>
    </w:rPr>
  </w:style>
  <w:style w:type="character" w:customStyle="1" w:styleId="46">
    <w:name w:val="button"/>
    <w:basedOn w:val="20"/>
    <w:qFormat/>
    <w:uiPriority w:val="0"/>
  </w:style>
  <w:style w:type="character" w:customStyle="1" w:styleId="47">
    <w:name w:val="tips[data-v-39386422]"/>
    <w:basedOn w:val="20"/>
    <w:qFormat/>
    <w:uiPriority w:val="0"/>
  </w:style>
  <w:style w:type="character" w:customStyle="1" w:styleId="48">
    <w:name w:val="tips[data-v-2a725926]"/>
    <w:basedOn w:val="2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1279</Words>
  <Characters>1366</Characters>
  <Lines>72</Lines>
  <Paragraphs>20</Paragraphs>
  <TotalTime>8</TotalTime>
  <ScaleCrop>false</ScaleCrop>
  <LinksUpToDate>false</LinksUpToDate>
  <CharactersWithSpaces>1440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2026-10-19T08:05:16Z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2736D3530C8F461E96EC1811F10FDBDB_13</vt:lpwstr>
  </property>
  <property fmtid="{D5CDD505-2E9C-101B-9397-08002B2CF9AE}" pid="4" name="KSOTemplateDocerSaveRecord">
    <vt:lpwstr>eyJoZGlkIjoiYWMxYTg4OTgwZDQyMjAwZDhlMDcxNjAzNmY0ZDAzZTAiLCJ1c2VySWQiOiIyODQ3NTE0MTMifQ==</vt:lpwstr>
  </property>
</Properties>
</file>