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四川省人民医院医疗设备全过程管理系统维护服务采购项目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62832406"/>
      <w:bookmarkStart w:id="1" w:name="_Toc192583766"/>
      <w:bookmarkStart w:id="2" w:name="_Toc1907"/>
      <w:bookmarkStart w:id="3" w:name="_Toc3240"/>
      <w:bookmarkStart w:id="4" w:name="_Toc47131032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四川省人民医院医疗设备全过程管理系统维护服务采购项目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lang w:eastAsia="zh-CN"/>
              </w:rPr>
            </w:pPr>
            <w:r>
              <w:rPr>
                <w:rFonts w:hint="eastAsia" w:ascii="仿宋" w:hAnsi="仿宋" w:eastAsia="仿宋" w:cs="仿宋"/>
                <w:sz w:val="22"/>
                <w:lang w:eastAsia="zh-CN"/>
              </w:rPr>
              <w:t>CGZX-YXX20260559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人民币</w:t>
            </w:r>
            <w:r>
              <w:rPr>
                <w:rFonts w:hint="eastAsia" w:ascii="仿宋" w:hAnsi="仿宋" w:eastAsia="仿宋" w:cs="仿宋"/>
                <w:sz w:val="22"/>
                <w:szCs w:val="22"/>
                <w:u w:val="none"/>
                <w:lang w:val="en-US" w:eastAsia="zh-CN"/>
              </w:rPr>
              <w:t>70000</w:t>
            </w:r>
            <w:r>
              <w:rPr>
                <w:rFonts w:hint="eastAsia" w:ascii="仿宋" w:hAnsi="仿宋" w:eastAsia="仿宋" w:cs="仿宋"/>
                <w:sz w:val="22"/>
                <w:szCs w:val="22"/>
                <w:u w:val="none"/>
              </w:rPr>
              <w:t>元</w:t>
            </w:r>
            <w:r>
              <w:rPr>
                <w:rFonts w:hint="eastAsia" w:ascii="仿宋" w:hAnsi="仿宋" w:eastAsia="仿宋" w:cs="仿宋"/>
                <w:sz w:val="22"/>
                <w:szCs w:val="22"/>
                <w:u w:val="none"/>
                <w:lang w:val="en-US" w:eastAsia="zh-CN"/>
              </w:rPr>
              <w:t>。</w:t>
            </w:r>
          </w:p>
          <w:p w14:paraId="03707CAA">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杭州爱惠信息技术有限公司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杭州市上城区九和路520号铁汇发展中心T4-301</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ascii="Times New Roman" w:hAnsi="Times New Roman" w:eastAsia="仿宋" w:cs="Times New Roman"/>
                <w:sz w:val="22"/>
                <w:u w:color="000000"/>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716ADCDD">
            <w:pPr>
              <w:shd w:val="clea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老师028-</w:t>
            </w:r>
            <w:r>
              <w:rPr>
                <w:rFonts w:hint="eastAsia" w:ascii="仿宋" w:hAnsi="仿宋" w:eastAsia="仿宋" w:cs="仿宋"/>
                <w:sz w:val="22"/>
                <w:szCs w:val="22"/>
                <w:u w:val="none"/>
                <w:lang w:val="en-US" w:eastAsia="zh-CN"/>
              </w:rPr>
              <w:t>87393463</w:t>
            </w:r>
          </w:p>
          <w:p w14:paraId="2BA80911">
            <w:pPr>
              <w:shd w:val="clea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68709189">
            <w:pPr>
              <w:shd w:val="clea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老师028-</w:t>
            </w:r>
            <w:r>
              <w:rPr>
                <w:rFonts w:hint="eastAsia" w:ascii="仿宋" w:hAnsi="仿宋" w:eastAsia="仿宋" w:cs="仿宋"/>
                <w:sz w:val="22"/>
                <w:szCs w:val="22"/>
                <w:highlight w:val="none"/>
                <w:u w:val="none"/>
                <w:lang w:val="en-US" w:eastAsia="zh-CN"/>
              </w:rPr>
              <w:t>87393250</w:t>
            </w:r>
          </w:p>
          <w:p w14:paraId="418C3619">
            <w:pPr>
              <w:shd w:val="clea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B0424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5AF46595">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w:t>
            </w:r>
            <w:r>
              <w:rPr>
                <w:rFonts w:hint="eastAsia" w:ascii="仿宋" w:hAnsi="仿宋" w:eastAsia="仿宋" w:cs="仿宋"/>
                <w:sz w:val="22"/>
                <w:szCs w:val="22"/>
                <w:lang w:eastAsia="zh-CN"/>
              </w:rPr>
              <w:t>：400</w:t>
            </w:r>
            <w:r>
              <w:rPr>
                <w:rFonts w:hint="eastAsia" w:ascii="仿宋" w:hAnsi="仿宋" w:eastAsia="仿宋" w:cs="仿宋"/>
                <w:sz w:val="22"/>
                <w:szCs w:val="22"/>
              </w:rPr>
              <w:t xml:space="preserve">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92583767"/>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6058" w:type="dxa"/>
            <w:vAlign w:val="center"/>
          </w:tcPr>
          <w:p w14:paraId="7748C337">
            <w:pPr>
              <w:jc w:val="left"/>
              <w:rPr>
                <w:rFonts w:ascii="Times New Roman" w:hAnsi="Times New Roman" w:eastAsia="仿宋" w:cs="Times New Roman"/>
                <w:bCs/>
                <w:kern w:val="0"/>
                <w:sz w:val="22"/>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1"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20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全部</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14:paraId="5F1538F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0470DD5">
      <w:pPr>
        <w:pStyle w:val="17"/>
        <w:keepNext w:val="0"/>
        <w:keepLines w:val="0"/>
        <w:pageBreakBefore w:val="0"/>
        <w:kinsoku/>
        <w:wordWrap/>
        <w:overflowPunct/>
        <w:topLinePunct w:val="0"/>
        <w:autoSpaceDN/>
        <w:bidi w:val="0"/>
        <w:adjustRightInd w:val="0"/>
        <w:snapToGrid w:val="0"/>
        <w:spacing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本项目拟确定一名供应商提供四川省人民医院医疗设备全过程管理系统维护服务。</w:t>
      </w:r>
    </w:p>
    <w:p w14:paraId="3FA9EC4F">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服务内容</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5"/>
        <w:gridCol w:w="1450"/>
        <w:gridCol w:w="7563"/>
      </w:tblGrid>
      <w:tr w14:paraId="4653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4EF239D1">
            <w:pPr>
              <w:pStyle w:val="14"/>
              <w:keepNext w:val="0"/>
              <w:keepLines w:val="0"/>
              <w:widowControl/>
              <w:suppressLineNumbers w:val="0"/>
              <w:ind w:left="0" w:right="0" w:firstLine="0"/>
              <w:jc w:val="center"/>
              <w:rPr>
                <w:sz w:val="24"/>
                <w:szCs w:val="24"/>
              </w:rPr>
            </w:pPr>
            <w:r>
              <w:rPr>
                <w:rStyle w:val="21"/>
                <w:rFonts w:ascii="仿宋" w:hAnsi="仿宋" w:eastAsia="仿宋" w:cs="仿宋"/>
                <w:sz w:val="24"/>
                <w:szCs w:val="24"/>
              </w:rPr>
              <w:t>序号</w:t>
            </w:r>
          </w:p>
        </w:tc>
        <w:tc>
          <w:tcPr>
            <w:tcW w:w="736" w:type="pct"/>
            <w:shd w:val="clear" w:color="auto" w:fill="auto"/>
            <w:tcMar>
              <w:top w:w="0" w:type="dxa"/>
              <w:left w:w="105" w:type="dxa"/>
              <w:bottom w:w="0" w:type="dxa"/>
              <w:right w:w="105" w:type="dxa"/>
            </w:tcMar>
            <w:vAlign w:val="center"/>
          </w:tcPr>
          <w:p w14:paraId="39446BF8">
            <w:pPr>
              <w:pStyle w:val="14"/>
              <w:keepNext w:val="0"/>
              <w:keepLines w:val="0"/>
              <w:widowControl/>
              <w:suppressLineNumbers w:val="0"/>
              <w:ind w:left="0" w:right="0" w:firstLine="0"/>
              <w:jc w:val="center"/>
              <w:rPr>
                <w:sz w:val="24"/>
                <w:szCs w:val="24"/>
              </w:rPr>
            </w:pPr>
            <w:r>
              <w:rPr>
                <w:rStyle w:val="21"/>
                <w:rFonts w:hint="eastAsia" w:ascii="仿宋" w:hAnsi="仿宋" w:eastAsia="仿宋" w:cs="仿宋"/>
                <w:sz w:val="24"/>
                <w:szCs w:val="24"/>
              </w:rPr>
              <w:t>服务项目</w:t>
            </w:r>
          </w:p>
        </w:tc>
        <w:tc>
          <w:tcPr>
            <w:tcW w:w="3838" w:type="pct"/>
            <w:shd w:val="clear" w:color="auto" w:fill="auto"/>
            <w:tcMar>
              <w:top w:w="0" w:type="dxa"/>
              <w:left w:w="105" w:type="dxa"/>
              <w:bottom w:w="0" w:type="dxa"/>
              <w:right w:w="105" w:type="dxa"/>
            </w:tcMar>
            <w:vAlign w:val="center"/>
          </w:tcPr>
          <w:p w14:paraId="2A628F10">
            <w:pPr>
              <w:pStyle w:val="14"/>
              <w:keepNext w:val="0"/>
              <w:keepLines w:val="0"/>
              <w:widowControl/>
              <w:suppressLineNumbers w:val="0"/>
              <w:ind w:left="0" w:right="0" w:firstLine="0"/>
              <w:jc w:val="center"/>
              <w:rPr>
                <w:sz w:val="24"/>
                <w:szCs w:val="24"/>
              </w:rPr>
            </w:pPr>
            <w:r>
              <w:rPr>
                <w:rStyle w:val="21"/>
                <w:rFonts w:hint="eastAsia" w:ascii="仿宋" w:hAnsi="仿宋" w:eastAsia="仿宋" w:cs="仿宋"/>
                <w:sz w:val="24"/>
                <w:szCs w:val="24"/>
              </w:rPr>
              <w:t>服务要求</w:t>
            </w:r>
          </w:p>
        </w:tc>
      </w:tr>
      <w:tr w14:paraId="27C8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73B70A4C">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1</w:t>
            </w:r>
          </w:p>
        </w:tc>
        <w:tc>
          <w:tcPr>
            <w:tcW w:w="736" w:type="pct"/>
            <w:shd w:val="clear" w:color="auto" w:fill="auto"/>
            <w:tcMar>
              <w:top w:w="0" w:type="dxa"/>
              <w:left w:w="105" w:type="dxa"/>
              <w:bottom w:w="0" w:type="dxa"/>
              <w:right w:w="105" w:type="dxa"/>
            </w:tcMar>
            <w:vAlign w:val="center"/>
          </w:tcPr>
          <w:p w14:paraId="55AD03E2">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扫码直报与跟踪服务</w:t>
            </w:r>
          </w:p>
        </w:tc>
        <w:tc>
          <w:tcPr>
            <w:tcW w:w="3838" w:type="pct"/>
            <w:shd w:val="clear" w:color="auto" w:fill="auto"/>
            <w:tcMar>
              <w:top w:w="0" w:type="dxa"/>
              <w:left w:w="105" w:type="dxa"/>
              <w:bottom w:w="0" w:type="dxa"/>
              <w:right w:w="105" w:type="dxa"/>
            </w:tcMar>
            <w:vAlign w:val="center"/>
          </w:tcPr>
          <w:p w14:paraId="726B142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需在系统工作台主页上增配需求问题直报入口，支持微信、钉钉等扫码提交，医院端可上报疑难问题、需求反馈、培训需求等；2.技术客服需在24小时内完成线上/线下回访，明确问题并分配责任工程师；3.紧急问题响应时效≤8小时，非紧急问题按排期有序处理；4.支持扫码跟踪问题进度、催单、查询处理方案及对工程师评分；</w:t>
            </w:r>
          </w:p>
        </w:tc>
      </w:tr>
      <w:tr w14:paraId="4697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0A4E0A53">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2</w:t>
            </w:r>
          </w:p>
        </w:tc>
        <w:tc>
          <w:tcPr>
            <w:tcW w:w="736" w:type="pct"/>
            <w:shd w:val="clear" w:color="auto" w:fill="auto"/>
            <w:tcMar>
              <w:top w:w="0" w:type="dxa"/>
              <w:left w:w="105" w:type="dxa"/>
              <w:bottom w:w="0" w:type="dxa"/>
              <w:right w:w="105" w:type="dxa"/>
            </w:tcMar>
            <w:vAlign w:val="center"/>
          </w:tcPr>
          <w:p w14:paraId="02EF68CC">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紧急故障处理服务</w:t>
            </w:r>
          </w:p>
        </w:tc>
        <w:tc>
          <w:tcPr>
            <w:tcW w:w="3838" w:type="pct"/>
            <w:shd w:val="clear" w:color="auto" w:fill="auto"/>
            <w:tcMar>
              <w:top w:w="0" w:type="dxa"/>
              <w:left w:w="105" w:type="dxa"/>
              <w:bottom w:w="0" w:type="dxa"/>
              <w:right w:w="105" w:type="dxa"/>
            </w:tcMar>
            <w:vAlign w:val="center"/>
          </w:tcPr>
          <w:p w14:paraId="75F49B64">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针对系统无法登录、访问异常、业务卡顿、页面报错、操作系统瘫痪等紧急问题，提供7×24小时即时响应服务；2.响应方式包含远程优先处理，远程无法解决时按约定时限赶赴现场；3.支持网络安全检查、演练相关需求，可根据漏洞等级提供定制化解决方案；4.涉及服务器网络配置问题时，需提供专业协助处理方案并对接信息部门。</w:t>
            </w:r>
          </w:p>
        </w:tc>
      </w:tr>
      <w:tr w14:paraId="3B1F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129240F2">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3</w:t>
            </w:r>
          </w:p>
        </w:tc>
        <w:tc>
          <w:tcPr>
            <w:tcW w:w="736" w:type="pct"/>
            <w:shd w:val="clear" w:color="auto" w:fill="auto"/>
            <w:tcMar>
              <w:top w:w="0" w:type="dxa"/>
              <w:left w:w="105" w:type="dxa"/>
              <w:bottom w:w="0" w:type="dxa"/>
              <w:right w:w="105" w:type="dxa"/>
            </w:tcMar>
            <w:vAlign w:val="center"/>
          </w:tcPr>
          <w:p w14:paraId="1F27830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业务咨询服务</w:t>
            </w:r>
          </w:p>
        </w:tc>
        <w:tc>
          <w:tcPr>
            <w:tcW w:w="3838" w:type="pct"/>
            <w:shd w:val="clear" w:color="auto" w:fill="auto"/>
            <w:tcMar>
              <w:top w:w="0" w:type="dxa"/>
              <w:left w:w="105" w:type="dxa"/>
              <w:bottom w:w="0" w:type="dxa"/>
              <w:right w:w="105" w:type="dxa"/>
            </w:tcMar>
            <w:vAlign w:val="center"/>
          </w:tcPr>
          <w:p w14:paraId="6ABBDA57">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1.提供5×8小时一对一客服答疑服务，覆盖基础业务操作流程、模块数据权限调整、审批流程人员调整等咨询；2.可提供简洁版图示操作指引，确保用户快速掌握操作要点；3.咨询响应需</w:t>
            </w:r>
            <w:r>
              <w:rPr>
                <w:rFonts w:hint="eastAsia" w:ascii="仿宋" w:hAnsi="仿宋" w:eastAsia="仿宋" w:cs="仿宋"/>
                <w:sz w:val="24"/>
                <w:szCs w:val="24"/>
                <w:lang w:eastAsia="zh-CN"/>
              </w:rPr>
              <w:t>及时</w:t>
            </w:r>
            <w:r>
              <w:rPr>
                <w:rFonts w:hint="eastAsia" w:ascii="仿宋" w:hAnsi="仿宋" w:eastAsia="仿宋" w:cs="仿宋"/>
                <w:sz w:val="24"/>
                <w:szCs w:val="24"/>
              </w:rPr>
              <w:t>，复杂问题需明确告知解决时限并跟踪反馈。</w:t>
            </w:r>
          </w:p>
        </w:tc>
      </w:tr>
      <w:tr w14:paraId="3508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12E99F79">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4</w:t>
            </w:r>
          </w:p>
        </w:tc>
        <w:tc>
          <w:tcPr>
            <w:tcW w:w="736" w:type="pct"/>
            <w:shd w:val="clear" w:color="auto" w:fill="auto"/>
            <w:tcMar>
              <w:top w:w="0" w:type="dxa"/>
              <w:left w:w="105" w:type="dxa"/>
              <w:bottom w:w="0" w:type="dxa"/>
              <w:right w:w="105" w:type="dxa"/>
            </w:tcMar>
            <w:vAlign w:val="center"/>
          </w:tcPr>
          <w:p w14:paraId="50FC41E0">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服务器主机巡检服务</w:t>
            </w:r>
          </w:p>
        </w:tc>
        <w:tc>
          <w:tcPr>
            <w:tcW w:w="3838" w:type="pct"/>
            <w:shd w:val="clear" w:color="auto" w:fill="auto"/>
            <w:tcMar>
              <w:top w:w="0" w:type="dxa"/>
              <w:left w:w="105" w:type="dxa"/>
              <w:bottom w:w="0" w:type="dxa"/>
              <w:right w:w="105" w:type="dxa"/>
            </w:tcMar>
            <w:vAlign w:val="center"/>
          </w:tcPr>
          <w:p w14:paraId="5764AE11">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巡检范围包含磁盘空间、内存负载、存储负载、CPU负载，负载过高时需及时执行资源释放或提供扩容建议报告；2.开展弱密码管理，含数据库用户密码及效期检查、系统弱密码用户排查，提供修复申请方案；3.巡检频次≥</w:t>
            </w:r>
            <w:r>
              <w:rPr>
                <w:rFonts w:hint="eastAsia" w:ascii="仿宋" w:hAnsi="仿宋" w:eastAsia="仿宋" w:cs="仿宋"/>
                <w:sz w:val="24"/>
                <w:szCs w:val="24"/>
                <w:lang w:val="en-US" w:eastAsia="zh-CN"/>
              </w:rPr>
              <w:t>1</w:t>
            </w:r>
            <w:r>
              <w:rPr>
                <w:rFonts w:hint="eastAsia" w:ascii="仿宋" w:hAnsi="仿宋" w:eastAsia="仿宋" w:cs="仿宋"/>
                <w:sz w:val="24"/>
                <w:szCs w:val="24"/>
              </w:rPr>
              <w:t>2次/年，提供详细巡检报告并归档。</w:t>
            </w:r>
          </w:p>
        </w:tc>
      </w:tr>
      <w:tr w14:paraId="0CC4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45421CE5">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5</w:t>
            </w:r>
          </w:p>
        </w:tc>
        <w:tc>
          <w:tcPr>
            <w:tcW w:w="736" w:type="pct"/>
            <w:shd w:val="clear" w:color="auto" w:fill="auto"/>
            <w:tcMar>
              <w:top w:w="0" w:type="dxa"/>
              <w:left w:w="105" w:type="dxa"/>
              <w:bottom w:w="0" w:type="dxa"/>
              <w:right w:w="105" w:type="dxa"/>
            </w:tcMar>
            <w:vAlign w:val="center"/>
          </w:tcPr>
          <w:p w14:paraId="3E80FF64">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备份巡检服务</w:t>
            </w:r>
          </w:p>
        </w:tc>
        <w:tc>
          <w:tcPr>
            <w:tcW w:w="3838" w:type="pct"/>
            <w:shd w:val="clear" w:color="auto" w:fill="auto"/>
            <w:tcMar>
              <w:top w:w="0" w:type="dxa"/>
              <w:left w:w="105" w:type="dxa"/>
              <w:bottom w:w="0" w:type="dxa"/>
              <w:right w:w="105" w:type="dxa"/>
            </w:tcMar>
            <w:vAlign w:val="center"/>
          </w:tcPr>
          <w:p w14:paraId="02060355">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1.定时巡检服务器备份有效性，核查数据库自动备份及时性及备份文件可用性；2.按需提供异地数据备份服务，备份完成后出具备份函，经用户确认无异议后归档；3.巡检频次≥</w:t>
            </w:r>
            <w:r>
              <w:rPr>
                <w:rFonts w:hint="eastAsia" w:ascii="仿宋" w:hAnsi="仿宋" w:eastAsia="仿宋" w:cs="仿宋"/>
                <w:sz w:val="24"/>
                <w:szCs w:val="24"/>
                <w:lang w:val="en-US" w:eastAsia="zh-CN"/>
              </w:rPr>
              <w:t>1</w:t>
            </w:r>
            <w:r>
              <w:rPr>
                <w:rFonts w:hint="eastAsia" w:ascii="仿宋" w:hAnsi="仿宋" w:eastAsia="仿宋" w:cs="仿宋"/>
                <w:sz w:val="24"/>
                <w:szCs w:val="24"/>
              </w:rPr>
              <w:t>2次/年，支持备份恢复协助。</w:t>
            </w:r>
          </w:p>
        </w:tc>
      </w:tr>
      <w:tr w14:paraId="4691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12FBEBF8">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6</w:t>
            </w:r>
          </w:p>
        </w:tc>
        <w:tc>
          <w:tcPr>
            <w:tcW w:w="736" w:type="pct"/>
            <w:shd w:val="clear" w:color="auto" w:fill="auto"/>
            <w:tcMar>
              <w:top w:w="0" w:type="dxa"/>
              <w:left w:w="105" w:type="dxa"/>
              <w:bottom w:w="0" w:type="dxa"/>
              <w:right w:w="105" w:type="dxa"/>
            </w:tcMar>
            <w:vAlign w:val="center"/>
          </w:tcPr>
          <w:p w14:paraId="3AF994D9">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安全与漏洞处理服务</w:t>
            </w:r>
          </w:p>
        </w:tc>
        <w:tc>
          <w:tcPr>
            <w:tcW w:w="3838" w:type="pct"/>
            <w:shd w:val="clear" w:color="auto" w:fill="auto"/>
            <w:tcMar>
              <w:top w:w="0" w:type="dxa"/>
              <w:left w:w="105" w:type="dxa"/>
              <w:bottom w:w="0" w:type="dxa"/>
              <w:right w:w="105" w:type="dxa"/>
            </w:tcMar>
            <w:vAlign w:val="center"/>
          </w:tcPr>
          <w:p w14:paraId="7D9E977A">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可根据用户提供的改造文件，一对一完成系统安全修复与升级；2.支持弱密码管理、SQL注入、跨站脚本（XSS）、uWSGI路径遍历等各类等级漏洞修复；3.响应方式为远程优先，重大安全问题需配合现场处置，修复后提供安全修复报告。</w:t>
            </w:r>
          </w:p>
        </w:tc>
      </w:tr>
      <w:tr w14:paraId="0C19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6A88AEE5">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7</w:t>
            </w:r>
          </w:p>
        </w:tc>
        <w:tc>
          <w:tcPr>
            <w:tcW w:w="736" w:type="pct"/>
            <w:shd w:val="clear" w:color="auto" w:fill="auto"/>
            <w:tcMar>
              <w:top w:w="0" w:type="dxa"/>
              <w:left w:w="105" w:type="dxa"/>
              <w:bottom w:w="0" w:type="dxa"/>
              <w:right w:w="105" w:type="dxa"/>
            </w:tcMar>
            <w:vAlign w:val="center"/>
          </w:tcPr>
          <w:p w14:paraId="00A053D6">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业务数据调整服务</w:t>
            </w:r>
          </w:p>
        </w:tc>
        <w:tc>
          <w:tcPr>
            <w:tcW w:w="3838" w:type="pct"/>
            <w:shd w:val="clear" w:color="auto" w:fill="auto"/>
            <w:tcMar>
              <w:top w:w="0" w:type="dxa"/>
              <w:left w:w="105" w:type="dxa"/>
              <w:bottom w:w="0" w:type="dxa"/>
              <w:right w:w="105" w:type="dxa"/>
            </w:tcMar>
            <w:vAlign w:val="center"/>
          </w:tcPr>
          <w:p w14:paraId="3D497422">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支持错误数据恢复、历史数据修改、折旧补提等数据库操作，需凭申请科室及信息科签字盖章文件执行；2.可处理设备台账导入、字典批量对照、字典数据导入等复杂或大量数据操作；3.操作全程留痕，完成后提供数据校验报告。</w:t>
            </w:r>
          </w:p>
        </w:tc>
      </w:tr>
      <w:tr w14:paraId="5B20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5A5EE282">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8</w:t>
            </w:r>
          </w:p>
        </w:tc>
        <w:tc>
          <w:tcPr>
            <w:tcW w:w="736" w:type="pct"/>
            <w:shd w:val="clear" w:color="auto" w:fill="auto"/>
            <w:tcMar>
              <w:top w:w="0" w:type="dxa"/>
              <w:left w:w="105" w:type="dxa"/>
              <w:bottom w:w="0" w:type="dxa"/>
              <w:right w:w="105" w:type="dxa"/>
            </w:tcMar>
            <w:vAlign w:val="center"/>
          </w:tcPr>
          <w:p w14:paraId="3FA2943B">
            <w:pPr>
              <w:pStyle w:val="14"/>
              <w:keepNext w:val="0"/>
              <w:keepLines w:val="0"/>
              <w:widowControl/>
              <w:suppressLineNumbers w:val="0"/>
              <w:spacing w:line="360" w:lineRule="auto"/>
              <w:rPr>
                <w:sz w:val="24"/>
                <w:szCs w:val="24"/>
              </w:rPr>
            </w:pPr>
            <w:r>
              <w:rPr>
                <w:rFonts w:hint="eastAsia" w:ascii="仿宋" w:hAnsi="仿宋" w:eastAsia="仿宋" w:cs="仿宋"/>
                <w:sz w:val="24"/>
                <w:szCs w:val="24"/>
              </w:rPr>
              <w:t>客户经理现场回访服务</w:t>
            </w:r>
          </w:p>
        </w:tc>
        <w:tc>
          <w:tcPr>
            <w:tcW w:w="3838" w:type="pct"/>
            <w:shd w:val="clear" w:color="auto" w:fill="auto"/>
            <w:tcMar>
              <w:top w:w="0" w:type="dxa"/>
              <w:left w:w="105" w:type="dxa"/>
              <w:bottom w:w="0" w:type="dxa"/>
              <w:right w:w="105" w:type="dxa"/>
            </w:tcMar>
            <w:vAlign w:val="center"/>
          </w:tcPr>
          <w:p w14:paraId="2115EFB0">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1.提供客户经理现场回访服务，收集系统运行问题，交流管理趋势并提供优化方案；2.回访频次≥2次/年，形成回访纪要并跟踪问题整改。</w:t>
            </w:r>
          </w:p>
        </w:tc>
      </w:tr>
      <w:tr w14:paraId="56CD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4" w:type="pct"/>
            <w:shd w:val="clear" w:color="auto" w:fill="auto"/>
            <w:tcMar>
              <w:top w:w="0" w:type="dxa"/>
              <w:left w:w="105" w:type="dxa"/>
              <w:bottom w:w="0" w:type="dxa"/>
              <w:right w:w="105" w:type="dxa"/>
            </w:tcMar>
            <w:vAlign w:val="center"/>
          </w:tcPr>
          <w:p w14:paraId="0269B1AA">
            <w:pPr>
              <w:pStyle w:val="14"/>
              <w:keepNext w:val="0"/>
              <w:keepLines w:val="0"/>
              <w:widowControl/>
              <w:suppressLineNumbers w:val="0"/>
              <w:spacing w:line="360" w:lineRule="auto"/>
              <w:ind w:left="0" w:right="0" w:firstLine="0"/>
              <w:jc w:val="center"/>
              <w:textAlignment w:val="top"/>
              <w:rPr>
                <w:sz w:val="24"/>
                <w:szCs w:val="24"/>
              </w:rPr>
            </w:pPr>
            <w:r>
              <w:rPr>
                <w:rFonts w:hint="eastAsia" w:ascii="仿宋" w:hAnsi="仿宋" w:eastAsia="仿宋" w:cs="仿宋"/>
                <w:sz w:val="24"/>
                <w:szCs w:val="24"/>
              </w:rPr>
              <w:t>9</w:t>
            </w:r>
          </w:p>
        </w:tc>
        <w:tc>
          <w:tcPr>
            <w:tcW w:w="736" w:type="pct"/>
            <w:shd w:val="clear" w:color="auto" w:fill="auto"/>
            <w:tcMar>
              <w:top w:w="0" w:type="dxa"/>
              <w:left w:w="105" w:type="dxa"/>
              <w:bottom w:w="0" w:type="dxa"/>
              <w:right w:w="105" w:type="dxa"/>
            </w:tcMar>
            <w:vAlign w:val="center"/>
          </w:tcPr>
          <w:p w14:paraId="21B7DEA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用户培训与指导服务</w:t>
            </w:r>
          </w:p>
        </w:tc>
        <w:tc>
          <w:tcPr>
            <w:tcW w:w="3838" w:type="pct"/>
            <w:shd w:val="clear" w:color="auto" w:fill="auto"/>
            <w:tcMar>
              <w:top w:w="0" w:type="dxa"/>
              <w:left w:w="105" w:type="dxa"/>
              <w:bottom w:w="0" w:type="dxa"/>
              <w:right w:w="105" w:type="dxa"/>
            </w:tcMar>
            <w:vAlign w:val="center"/>
          </w:tcPr>
          <w:p w14:paraId="1CBBE0F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1.针对新上岗员工提供远程操作指导，覆盖系统核心功能及日常运维要点；2.可按需定制培训内容，提供培训课件及操作手册，确保用户掌握操作技能。</w:t>
            </w:r>
          </w:p>
        </w:tc>
      </w:tr>
    </w:tbl>
    <w:p w14:paraId="298587B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w:t>
      </w:r>
      <w:r>
        <w:rPr>
          <w:rFonts w:hint="eastAsia" w:ascii="仿宋" w:hAnsi="仿宋" w:eastAsia="仿宋" w:cs="仿宋"/>
          <w:b/>
          <w:bCs/>
          <w:sz w:val="24"/>
          <w:szCs w:val="24"/>
          <w:lang w:val="en-US" w:eastAsia="zh-CN"/>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4"/>
        <w:gridCol w:w="1607"/>
        <w:gridCol w:w="6110"/>
        <w:gridCol w:w="1437"/>
      </w:tblGrid>
      <w:tr w14:paraId="0D321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4" w:type="dxa"/>
            <w:shd w:val="clear" w:color="auto" w:fill="auto"/>
            <w:tcMar>
              <w:top w:w="0" w:type="dxa"/>
              <w:left w:w="105" w:type="dxa"/>
              <w:bottom w:w="0" w:type="dxa"/>
              <w:right w:w="105" w:type="dxa"/>
            </w:tcMar>
            <w:vAlign w:val="top"/>
          </w:tcPr>
          <w:p w14:paraId="78FB890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607" w:type="dxa"/>
            <w:shd w:val="clear" w:color="auto" w:fill="auto"/>
            <w:tcMar>
              <w:top w:w="0" w:type="dxa"/>
              <w:left w:w="105" w:type="dxa"/>
              <w:bottom w:w="0" w:type="dxa"/>
              <w:right w:w="105" w:type="dxa"/>
            </w:tcMar>
            <w:vAlign w:val="top"/>
          </w:tcPr>
          <w:p w14:paraId="3BF94E2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110" w:type="dxa"/>
            <w:shd w:val="clear" w:color="auto" w:fill="auto"/>
            <w:tcMar>
              <w:top w:w="0" w:type="dxa"/>
              <w:left w:w="105" w:type="dxa"/>
              <w:bottom w:w="0" w:type="dxa"/>
              <w:right w:w="105" w:type="dxa"/>
            </w:tcMar>
            <w:vAlign w:val="top"/>
          </w:tcPr>
          <w:p w14:paraId="6078935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7" w:type="dxa"/>
            <w:shd w:val="clear" w:color="auto" w:fill="auto"/>
            <w:tcMar>
              <w:top w:w="0" w:type="dxa"/>
              <w:left w:w="105" w:type="dxa"/>
              <w:bottom w:w="0" w:type="dxa"/>
              <w:right w:w="105" w:type="dxa"/>
            </w:tcMar>
            <w:vAlign w:val="top"/>
          </w:tcPr>
          <w:p w14:paraId="18E0FA9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5A2D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4" w:type="dxa"/>
            <w:shd w:val="clear" w:color="auto" w:fill="auto"/>
            <w:tcMar>
              <w:top w:w="0" w:type="dxa"/>
              <w:left w:w="105" w:type="dxa"/>
              <w:bottom w:w="0" w:type="dxa"/>
              <w:right w:w="105" w:type="dxa"/>
            </w:tcMar>
            <w:vAlign w:val="center"/>
          </w:tcPr>
          <w:p w14:paraId="2CB613D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607" w:type="dxa"/>
            <w:shd w:val="clear" w:color="auto" w:fill="auto"/>
            <w:tcMar>
              <w:top w:w="0" w:type="dxa"/>
              <w:left w:w="105" w:type="dxa"/>
              <w:bottom w:w="0" w:type="dxa"/>
              <w:right w:w="105" w:type="dxa"/>
            </w:tcMar>
            <w:vAlign w:val="center"/>
          </w:tcPr>
          <w:p w14:paraId="413296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10" w:type="dxa"/>
            <w:shd w:val="clear" w:color="auto" w:fill="auto"/>
            <w:tcMar>
              <w:top w:w="0" w:type="dxa"/>
              <w:left w:w="105" w:type="dxa"/>
              <w:bottom w:w="0" w:type="dxa"/>
              <w:right w:w="105" w:type="dxa"/>
            </w:tcMar>
            <w:vAlign w:val="top"/>
          </w:tcPr>
          <w:p w14:paraId="52F6019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4A1CFFA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1.</w:t>
            </w:r>
            <w:r>
              <w:rPr>
                <w:rStyle w:val="21"/>
                <w:rFonts w:hint="eastAsia" w:ascii="仿宋" w:hAnsi="仿宋" w:eastAsia="仿宋" w:cs="仿宋"/>
                <w:sz w:val="24"/>
                <w:szCs w:val="24"/>
              </w:rPr>
              <w:t>稳定性：</w:t>
            </w:r>
            <w:r>
              <w:rPr>
                <w:rFonts w:hint="eastAsia" w:ascii="仿宋" w:hAnsi="仿宋" w:eastAsia="仿宋" w:cs="仿宋"/>
                <w:sz w:val="24"/>
                <w:szCs w:val="24"/>
              </w:rPr>
              <w:t>服务期内需保障业务稳定，不无故出现崩溃或宕机现象；</w:t>
            </w:r>
          </w:p>
          <w:p w14:paraId="22901873">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2.</w:t>
            </w:r>
            <w:r>
              <w:rPr>
                <w:rStyle w:val="21"/>
                <w:rFonts w:hint="eastAsia" w:ascii="仿宋" w:hAnsi="仿宋" w:eastAsia="仿宋" w:cs="仿宋"/>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4718B2B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3.</w:t>
            </w:r>
            <w:r>
              <w:rPr>
                <w:rStyle w:val="21"/>
                <w:rFonts w:hint="eastAsia" w:ascii="仿宋" w:hAnsi="仿宋" w:eastAsia="仿宋" w:cs="仿宋"/>
                <w:sz w:val="24"/>
                <w:szCs w:val="24"/>
              </w:rPr>
              <w:t>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3EB1F55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4.</w:t>
            </w:r>
            <w:r>
              <w:rPr>
                <w:rStyle w:val="21"/>
                <w:rFonts w:hint="eastAsia" w:ascii="仿宋" w:hAnsi="仿宋" w:eastAsia="仿宋" w:cs="仿宋"/>
                <w:sz w:val="24"/>
                <w:szCs w:val="24"/>
              </w:rPr>
              <w:t>响应速度：</w:t>
            </w:r>
            <w:r>
              <w:rPr>
                <w:rFonts w:hint="eastAsia" w:ascii="仿宋" w:hAnsi="仿宋" w:eastAsia="仿宋" w:cs="仿宋"/>
                <w:sz w:val="24"/>
                <w:szCs w:val="24"/>
              </w:rPr>
              <w:t>服务期内，采购人通过电话、微信、现场提出的支持需求，供应商须在需求提出的当日完成响应；</w:t>
            </w:r>
          </w:p>
          <w:p w14:paraId="339CABC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5.</w:t>
            </w:r>
            <w:r>
              <w:rPr>
                <w:rStyle w:val="21"/>
                <w:rFonts w:hint="eastAsia" w:ascii="仿宋" w:hAnsi="仿宋" w:eastAsia="仿宋" w:cs="仿宋"/>
                <w:sz w:val="24"/>
                <w:szCs w:val="24"/>
              </w:rPr>
              <w:t>定期巡检：</w:t>
            </w:r>
            <w:r>
              <w:rPr>
                <w:rFonts w:hint="eastAsia" w:ascii="仿宋" w:hAnsi="仿宋" w:eastAsia="仿宋" w:cs="仿宋"/>
                <w:sz w:val="24"/>
                <w:szCs w:val="24"/>
              </w:rPr>
              <w:t>服务期内每月提供至少</w:t>
            </w:r>
            <w:r>
              <w:rPr>
                <w:rFonts w:hint="eastAsia" w:ascii="仿宋" w:hAnsi="仿宋" w:eastAsia="仿宋" w:cs="仿宋"/>
                <w:sz w:val="24"/>
                <w:szCs w:val="24"/>
                <w:lang w:val="en-US" w:eastAsia="zh-CN"/>
              </w:rPr>
              <w:t>1</w:t>
            </w:r>
            <w:r>
              <w:rPr>
                <w:rFonts w:hint="eastAsia" w:ascii="仿宋" w:hAnsi="仿宋" w:eastAsia="仿宋" w:cs="仿宋"/>
                <w:sz w:val="24"/>
                <w:szCs w:val="24"/>
              </w:rPr>
              <w:t>次软硬件服务期巡检报告；</w:t>
            </w:r>
          </w:p>
          <w:p w14:paraId="1439DA3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6.</w:t>
            </w:r>
            <w:r>
              <w:rPr>
                <w:rStyle w:val="21"/>
                <w:rFonts w:hint="eastAsia" w:ascii="仿宋" w:hAnsi="仿宋" w:eastAsia="仿宋" w:cs="仿宋"/>
                <w:sz w:val="24"/>
                <w:szCs w:val="24"/>
              </w:rPr>
              <w:t>培训服务：</w:t>
            </w:r>
            <w:r>
              <w:rPr>
                <w:rFonts w:hint="eastAsia" w:ascii="仿宋" w:hAnsi="仿宋" w:eastAsia="仿宋" w:cs="仿宋"/>
                <w:sz w:val="24"/>
                <w:szCs w:val="24"/>
              </w:rPr>
              <w:t>每年提供≥2次培训服务，并提交培训方案和签到表；</w:t>
            </w:r>
          </w:p>
          <w:p w14:paraId="44DD7A89">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7.</w:t>
            </w:r>
            <w:r>
              <w:rPr>
                <w:rStyle w:val="21"/>
                <w:rFonts w:hint="eastAsia" w:ascii="仿宋" w:hAnsi="仿宋" w:eastAsia="仿宋" w:cs="仿宋"/>
                <w:sz w:val="24"/>
                <w:szCs w:val="24"/>
              </w:rPr>
              <w:t>文档服务：</w:t>
            </w:r>
            <w:r>
              <w:rPr>
                <w:rFonts w:hint="eastAsia" w:ascii="仿宋" w:hAnsi="仿宋" w:eastAsia="仿宋" w:cs="仿宋"/>
                <w:sz w:val="24"/>
                <w:szCs w:val="24"/>
              </w:rPr>
              <w:t>无</w:t>
            </w:r>
          </w:p>
          <w:p w14:paraId="7FD6CF4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8.</w:t>
            </w:r>
            <w:r>
              <w:rPr>
                <w:rStyle w:val="21"/>
                <w:rFonts w:hint="eastAsia" w:ascii="仿宋" w:hAnsi="仿宋" w:eastAsia="仿宋" w:cs="仿宋"/>
                <w:sz w:val="24"/>
                <w:szCs w:val="24"/>
              </w:rPr>
              <w:t>人员服务：</w:t>
            </w:r>
            <w:r>
              <w:rPr>
                <w:rFonts w:hint="eastAsia" w:ascii="仿宋" w:hAnsi="仿宋" w:eastAsia="仿宋" w:cs="仿宋"/>
                <w:sz w:val="24"/>
                <w:szCs w:val="24"/>
              </w:rPr>
              <w:t>无</w:t>
            </w:r>
          </w:p>
          <w:p w14:paraId="4DF1C3F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lang w:eastAsia="zh-CN"/>
              </w:rPr>
              <w:t>9.</w:t>
            </w:r>
            <w:r>
              <w:rPr>
                <w:rStyle w:val="21"/>
                <w:rFonts w:hint="eastAsia" w:ascii="仿宋" w:hAnsi="仿宋" w:eastAsia="仿宋" w:cs="仿宋"/>
                <w:sz w:val="24"/>
                <w:szCs w:val="24"/>
              </w:rPr>
              <w:t>其他：</w:t>
            </w:r>
          </w:p>
          <w:p w14:paraId="40FBB9FC">
            <w:pPr>
              <w:pStyle w:val="14"/>
              <w:keepNext w:val="0"/>
              <w:keepLines w:val="0"/>
              <w:pageBreakBefore w:val="0"/>
              <w:widowControl/>
              <w:suppressLineNumbers w:val="0"/>
              <w:shd w:val="clear"/>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color w:val="auto"/>
                <w:sz w:val="24"/>
                <w:szCs w:val="24"/>
              </w:rPr>
            </w:pPr>
            <w:r>
              <w:rPr>
                <w:rFonts w:hint="eastAsia" w:ascii="仿宋" w:hAnsi="仿宋" w:eastAsia="仿宋" w:cs="仿宋"/>
                <w:sz w:val="24"/>
                <w:szCs w:val="24"/>
              </w:rPr>
              <w:t>1）从合同签</w:t>
            </w:r>
            <w:r>
              <w:rPr>
                <w:rFonts w:hint="eastAsia" w:ascii="仿宋" w:hAnsi="仿宋" w:eastAsia="仿宋" w:cs="仿宋"/>
                <w:sz w:val="24"/>
                <w:szCs w:val="24"/>
                <w:u w:val="none"/>
              </w:rPr>
              <w:t>订生效之日起，采购人</w:t>
            </w:r>
            <w:r>
              <w:rPr>
                <w:rStyle w:val="21"/>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sz w:val="24"/>
                <w:szCs w:val="24"/>
                <w:u w:val="none"/>
              </w:rPr>
              <w:t>四川省人民医院供应商考核</w:t>
            </w:r>
            <w:r>
              <w:rPr>
                <w:rFonts w:hint="eastAsia" w:ascii="仿宋" w:hAnsi="仿宋" w:eastAsia="仿宋" w:cs="仿宋"/>
                <w:sz w:val="24"/>
                <w:szCs w:val="24"/>
                <w:u w:val="none"/>
              </w:rPr>
              <w:t>指标</w:t>
            </w:r>
            <w:r>
              <w:rPr>
                <w:rFonts w:hint="eastAsia" w:ascii="仿宋" w:hAnsi="仿宋" w:eastAsia="仿宋" w:cs="仿宋"/>
                <w:sz w:val="24"/>
                <w:szCs w:val="24"/>
              </w:rPr>
              <w:t>对供应商</w:t>
            </w:r>
            <w:r>
              <w:rPr>
                <w:rFonts w:hint="eastAsia" w:ascii="仿宋" w:hAnsi="仿宋" w:eastAsia="仿宋" w:cs="仿宋"/>
                <w:color w:val="auto"/>
                <w:sz w:val="24"/>
                <w:szCs w:val="24"/>
              </w:rPr>
              <w:t>行为进行评价考核，考核结果关联最终付款金额和履约保证金</w:t>
            </w:r>
            <w:r>
              <w:rPr>
                <w:rFonts w:hint="eastAsia" w:ascii="仿宋" w:hAnsi="仿宋" w:eastAsia="仿宋" w:cs="仿宋"/>
                <w:color w:val="auto"/>
                <w:sz w:val="24"/>
                <w:szCs w:val="24"/>
                <w:shd w:val="clear"/>
              </w:rPr>
              <w:t>（如有履约保证金）</w:t>
            </w:r>
            <w:r>
              <w:rPr>
                <w:rFonts w:hint="eastAsia" w:ascii="仿宋" w:hAnsi="仿宋" w:eastAsia="仿宋" w:cs="仿宋"/>
                <w:color w:val="auto"/>
                <w:sz w:val="24"/>
                <w:szCs w:val="24"/>
              </w:rPr>
              <w:t>。</w:t>
            </w:r>
          </w:p>
          <w:p w14:paraId="6702ABC2">
            <w:pPr>
              <w:pStyle w:val="14"/>
              <w:keepNext w:val="0"/>
              <w:keepLines w:val="0"/>
              <w:pageBreakBefore w:val="0"/>
              <w:widowControl/>
              <w:suppressLineNumbers w:val="0"/>
              <w:shd w:val="clear"/>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供应商应当与本项目相关的第三方保持有痕</w:t>
            </w:r>
            <w:r>
              <w:rPr>
                <w:rFonts w:hint="eastAsia" w:ascii="仿宋" w:hAnsi="仿宋" w:eastAsia="仿宋" w:cs="仿宋"/>
                <w:sz w:val="24"/>
                <w:szCs w:val="24"/>
              </w:rPr>
              <w:t>的沟通，明确项目的具体要求和功能等方面的细节。采购人负责组织、监督和验收，以确保项目的顺利完成。</w:t>
            </w:r>
          </w:p>
          <w:p w14:paraId="1AC75AE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sz w:val="24"/>
                <w:szCs w:val="24"/>
              </w:rPr>
            </w:pPr>
            <w:r>
              <w:rPr>
                <w:rFonts w:hint="eastAsia" w:ascii="仿宋" w:hAnsi="仿宋" w:eastAsia="仿宋" w:cs="仿宋"/>
                <w:sz w:val="24"/>
                <w:szCs w:val="24"/>
              </w:rPr>
              <w:t>3）如涉及因本项目开发的系统原因造成采购人的经济损失，由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p>
        </w:tc>
        <w:tc>
          <w:tcPr>
            <w:tcW w:w="1437" w:type="dxa"/>
            <w:shd w:val="clear" w:color="auto" w:fill="auto"/>
            <w:tcMar>
              <w:top w:w="0" w:type="dxa"/>
              <w:left w:w="105" w:type="dxa"/>
              <w:bottom w:w="0" w:type="dxa"/>
              <w:right w:w="105" w:type="dxa"/>
            </w:tcMar>
            <w:vAlign w:val="center"/>
          </w:tcPr>
          <w:p w14:paraId="4ADD559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合</w:t>
            </w:r>
            <w:r>
              <w:rPr>
                <w:rFonts w:hint="eastAsia" w:ascii="仿宋" w:hAnsi="仿宋" w:eastAsia="仿宋" w:cs="仿宋"/>
                <w:color w:val="auto"/>
                <w:sz w:val="24"/>
                <w:szCs w:val="24"/>
                <w:u w:val="none"/>
              </w:rPr>
              <w:t>同签订之日起1</w:t>
            </w:r>
            <w:r>
              <w:rPr>
                <w:rFonts w:hint="eastAsia" w:ascii="仿宋" w:hAnsi="仿宋" w:eastAsia="仿宋" w:cs="仿宋"/>
                <w:sz w:val="24"/>
                <w:szCs w:val="24"/>
              </w:rPr>
              <w:t>年</w:t>
            </w:r>
          </w:p>
        </w:tc>
      </w:tr>
    </w:tbl>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79" w:leftChars="228" w:firstLine="0" w:firstLine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1.</w:t>
      </w:r>
      <w:r>
        <w:rPr>
          <w:rFonts w:hint="eastAsia" w:ascii="仿宋" w:hAnsi="仿宋" w:eastAsia="仿宋" w:cs="仿宋"/>
          <w:sz w:val="24"/>
          <w:szCs w:val="24"/>
        </w:rPr>
        <w:t>服务地点：</w:t>
      </w:r>
      <w:r>
        <w:rPr>
          <w:rFonts w:hint="eastAsia" w:ascii="仿宋" w:hAnsi="仿宋" w:eastAsia="仿宋" w:cs="仿宋"/>
          <w:sz w:val="24"/>
          <w:szCs w:val="24"/>
          <w:lang w:val="en-US" w:eastAsia="zh-CN"/>
        </w:rPr>
        <w:t>本项目涉及的四川省人民医院所有院区</w:t>
      </w:r>
      <w:r>
        <w:rPr>
          <w:rFonts w:hint="eastAsia" w:ascii="仿宋" w:hAnsi="仿宋" w:eastAsia="仿宋" w:cs="仿宋"/>
          <w:sz w:val="24"/>
          <w:szCs w:val="24"/>
        </w:rPr>
        <w:t>。</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总价包干。一次性付款，服务期结束且项目验收合格后，供应商于5日内向采购人提供合法有效票据及其他相关请款资料，采购人于接到上述票据及资料以后的55日内，向供应商支付合同总价100%的金额（如有因考核等原因产生的扣款，应在支付前予以扣除）</w:t>
      </w:r>
      <w:r>
        <w:rPr>
          <w:rFonts w:hint="eastAsia" w:ascii="仿宋" w:hAnsi="仿宋" w:eastAsia="仿宋" w:cs="仿宋"/>
          <w:sz w:val="24"/>
          <w:szCs w:val="24"/>
        </w:rPr>
        <w:t>。</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（6）履约验收时间：服务期满且供应商完成所有服务内容后5日内通知采购人验收，采购人接到供应商通知后10日内组织验收。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014D63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4D57222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bookmarkStart w:id="103" w:name="_GoBack"/>
      <w:bookmarkEnd w:id="103"/>
      <w:r>
        <w:rPr>
          <w:rFonts w:hint="eastAsia" w:ascii="仿宋" w:hAnsi="仿宋" w:eastAsia="仿宋" w:cs="仿宋"/>
          <w:sz w:val="24"/>
          <w:szCs w:val="24"/>
          <w:lang w:val="en-US" w:eastAsia="zh-CN"/>
        </w:rPr>
        <w:t>.知识产权归属：由采购人、供应商双方共同开发的项目：采购人、供应商双方共同研发的该系统软件产品，知识产权归采购人、供应商双方共同拥有，软件所有数据归采购人所有。</w:t>
      </w:r>
    </w:p>
    <w:p w14:paraId="4D7D959B">
      <w:pPr>
        <w:rPr>
          <w:rFonts w:hint="eastAsia" w:ascii="仿宋" w:hAnsi="仿宋" w:eastAsia="仿宋" w:cs="仿宋"/>
          <w:sz w:val="24"/>
          <w:szCs w:val="24"/>
        </w:rPr>
      </w:pPr>
      <w:r>
        <w:rPr>
          <w:rFonts w:hint="eastAsia" w:ascii="仿宋" w:hAnsi="仿宋" w:eastAsia="仿宋" w:cs="仿宋"/>
          <w:sz w:val="24"/>
          <w:szCs w:val="24"/>
        </w:rPr>
        <w:br w:type="page"/>
      </w:r>
    </w:p>
    <w:p w14:paraId="5202DC95">
      <w:pPr>
        <w:pStyle w:val="3"/>
        <w:keepNext w:val="0"/>
        <w:keepLines w:val="0"/>
        <w:pageBreakBefore w:val="0"/>
        <w:widowControl/>
        <w:numPr>
          <w:ilvl w:val="0"/>
          <w:numId w:val="0"/>
        </w:numPr>
        <w:suppressLineNumbers w:val="0"/>
        <w:kinsoku/>
        <w:wordWrap/>
        <w:overflowPunct/>
        <w:topLinePunct w:val="0"/>
        <w:autoSpaceDN/>
        <w:bidi w:val="0"/>
        <w:adjustRightInd w:val="0"/>
        <w:snapToGrid w:val="0"/>
        <w:spacing w:before="0" w:beforeAutospacing="0" w:afterAutospacing="0" w:line="360" w:lineRule="auto"/>
        <w:ind w:left="0" w:leftChars="0"/>
        <w:jc w:val="both"/>
        <w:textAlignment w:val="auto"/>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6F26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DBE3F4"/>
            <w:tcMar>
              <w:top w:w="0" w:type="dxa"/>
              <w:left w:w="105" w:type="dxa"/>
              <w:bottom w:w="0" w:type="dxa"/>
              <w:right w:w="105" w:type="dxa"/>
            </w:tcMar>
            <w:vAlign w:val="top"/>
          </w:tcPr>
          <w:p w14:paraId="7DBFA0E7">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22E9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484898D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DBE3F4"/>
            <w:tcMar>
              <w:top w:w="0" w:type="dxa"/>
              <w:left w:w="105" w:type="dxa"/>
              <w:bottom w:w="0" w:type="dxa"/>
              <w:right w:w="105" w:type="dxa"/>
            </w:tcMar>
            <w:vAlign w:val="center"/>
          </w:tcPr>
          <w:p w14:paraId="5B90219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c>
          <w:tcPr>
            <w:tcW w:w="1185" w:type="dxa"/>
            <w:shd w:val="clear" w:color="auto" w:fill="DBE3F4"/>
            <w:tcMar>
              <w:top w:w="0" w:type="dxa"/>
              <w:left w:w="105" w:type="dxa"/>
              <w:bottom w:w="0" w:type="dxa"/>
              <w:right w:w="105" w:type="dxa"/>
            </w:tcMar>
            <w:vAlign w:val="center"/>
          </w:tcPr>
          <w:p w14:paraId="093B3946">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DBE3F4"/>
            <w:tcMar>
              <w:top w:w="0" w:type="dxa"/>
              <w:left w:w="105" w:type="dxa"/>
              <w:bottom w:w="0" w:type="dxa"/>
              <w:right w:w="105" w:type="dxa"/>
            </w:tcMar>
            <w:vAlign w:val="top"/>
          </w:tcPr>
          <w:p w14:paraId="4871F54C">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73F0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78AFB17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DBE3F4"/>
            <w:tcMar>
              <w:top w:w="0" w:type="dxa"/>
              <w:left w:w="105" w:type="dxa"/>
              <w:bottom w:w="0" w:type="dxa"/>
              <w:right w:w="105" w:type="dxa"/>
            </w:tcMar>
            <w:vAlign w:val="center"/>
          </w:tcPr>
          <w:p w14:paraId="36F11AB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DBE3F4"/>
            <w:tcMar>
              <w:top w:w="0" w:type="dxa"/>
              <w:left w:w="105" w:type="dxa"/>
              <w:bottom w:w="0" w:type="dxa"/>
              <w:right w:w="105" w:type="dxa"/>
            </w:tcMar>
            <w:vAlign w:val="center"/>
          </w:tcPr>
          <w:p w14:paraId="5E492F6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DBE3F4"/>
            <w:tcMar>
              <w:top w:w="0" w:type="dxa"/>
              <w:left w:w="105" w:type="dxa"/>
              <w:bottom w:w="0" w:type="dxa"/>
              <w:right w:w="105" w:type="dxa"/>
            </w:tcMar>
            <w:vAlign w:val="center"/>
          </w:tcPr>
          <w:p w14:paraId="00F5B00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w:t>
            </w:r>
          </w:p>
        </w:tc>
      </w:tr>
      <w:tr w14:paraId="3B9B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3E89AA7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性能质</w:t>
            </w:r>
          </w:p>
          <w:p w14:paraId="71B89D4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量评价</w:t>
            </w:r>
          </w:p>
          <w:p w14:paraId="5E9E60B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 </w:t>
            </w:r>
          </w:p>
        </w:tc>
        <w:tc>
          <w:tcPr>
            <w:tcW w:w="1350" w:type="dxa"/>
            <w:shd w:val="clear" w:color="auto" w:fill="auto"/>
            <w:tcMar>
              <w:top w:w="0" w:type="dxa"/>
              <w:left w:w="105" w:type="dxa"/>
              <w:bottom w:w="0" w:type="dxa"/>
              <w:right w:w="105" w:type="dxa"/>
            </w:tcMar>
            <w:vAlign w:val="center"/>
          </w:tcPr>
          <w:p w14:paraId="760207A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6A6A2BB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4671054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35E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5971948">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C61C52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6607263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C1BA24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DBC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18DE2D2">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8DD70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06AEF50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3B723F4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F72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4BB7E8A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使用支</w:t>
            </w:r>
          </w:p>
          <w:p w14:paraId="52D5548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06D6786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4902B30C">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6828D0B">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2546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98D43C5">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430DA3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671B8CE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24ECD3E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6267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05B7CBE">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53793E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备件供应</w:t>
            </w:r>
          </w:p>
          <w:p w14:paraId="7FA0E52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(本项仅涉</w:t>
            </w:r>
          </w:p>
          <w:p w14:paraId="711A049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及提供硬件</w:t>
            </w:r>
          </w:p>
          <w:p w14:paraId="6FF60AB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2C54E39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25D2E2E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794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BFECE3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2BD54D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3D3E3758">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2DF59D5">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BB7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3978D16">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7D383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04DBC5C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3E7461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64D8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DB2719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D24B48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0456E80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0FE45D8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67F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2FF2418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违规违</w:t>
            </w:r>
          </w:p>
          <w:p w14:paraId="5335E8E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48AADF2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609EB5E0">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4FFDFB8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44EC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FD3483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8755CD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25A65FE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71057571">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7F47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EC03193">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90E9D5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368D0109">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61D063CF">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27778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B7DC43B">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259DAC74">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0B8AC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AD846F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42CD7B9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p>
          <w:p w14:paraId="69FF4F3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                                                               年    月    日</w:t>
            </w:r>
          </w:p>
        </w:tc>
      </w:tr>
    </w:tbl>
    <w:p w14:paraId="0049225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Style w:val="21"/>
          <w:rFonts w:hint="eastAsia" w:ascii="仿宋" w:hAnsi="仿宋" w:eastAsia="仿宋" w:cs="仿宋"/>
          <w:kern w:val="2"/>
          <w:sz w:val="24"/>
          <w:szCs w:val="24"/>
        </w:rPr>
        <w:t>备注：</w:t>
      </w:r>
    </w:p>
    <w:p w14:paraId="1B03583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rPr>
        <w:t>1.服务期内，采购人可按照本项目采购需求内容对应的考核指标对供应商进行考核，具体指标以采购人要求为准；</w:t>
      </w:r>
    </w:p>
    <w:p w14:paraId="389831B8">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rPr>
        <w:t>2.考核关联最终付款金额，具体计算规则如下：</w:t>
      </w:r>
    </w:p>
    <w:p w14:paraId="38AA447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kern w:val="2"/>
          <w:sz w:val="24"/>
          <w:szCs w:val="24"/>
          <w:lang w:val="en-US" w:eastAsia="zh-CN"/>
        </w:rPr>
        <w:t>1）</w:t>
      </w:r>
      <w:r>
        <w:rPr>
          <w:rStyle w:val="21"/>
          <w:rFonts w:hint="eastAsia" w:ascii="仿宋" w:hAnsi="仿宋" w:eastAsia="仿宋" w:cs="仿宋"/>
          <w:kern w:val="2"/>
          <w:sz w:val="24"/>
          <w:szCs w:val="24"/>
        </w:rPr>
        <w:t>平均扣分</w:t>
      </w:r>
      <w:r>
        <w:rPr>
          <w:rFonts w:hint="eastAsia" w:ascii="仿宋" w:hAnsi="仿宋" w:eastAsia="仿宋" w:cs="仿宋"/>
          <w:kern w:val="2"/>
          <w:sz w:val="24"/>
          <w:szCs w:val="24"/>
        </w:rPr>
        <w:t>=服务期汇总考核扣</w:t>
      </w:r>
      <w:r>
        <w:rPr>
          <w:rFonts w:hint="eastAsia" w:ascii="仿宋" w:hAnsi="仿宋" w:eastAsia="仿宋" w:cs="仿宋"/>
          <w:kern w:val="2"/>
          <w:sz w:val="24"/>
          <w:szCs w:val="24"/>
          <w:u w:val="none"/>
        </w:rPr>
        <w:t>分之和÷服务期内考核次数</w:t>
      </w:r>
      <w:r>
        <w:rPr>
          <w:rFonts w:hint="eastAsia" w:ascii="仿宋" w:hAnsi="仿宋" w:eastAsia="仿宋" w:cs="仿宋"/>
          <w:kern w:val="2"/>
          <w:sz w:val="24"/>
          <w:szCs w:val="24"/>
          <w:u w:val="none"/>
          <w:lang w:eastAsia="zh-CN"/>
        </w:rPr>
        <w:t>；</w:t>
      </w:r>
    </w:p>
    <w:p w14:paraId="41B1C2C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2）0分&lt;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≤3分，将对供应商进行诫勉谈话；</w:t>
      </w:r>
    </w:p>
    <w:p w14:paraId="7C32251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3）3分&lt;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≤5分，对供应商提出警告，从合同待支付金额中扣除合同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金额5%费用，扣完为止；</w:t>
      </w:r>
    </w:p>
    <w:p w14:paraId="27AC73E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4）5分&lt;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≤10分，对供应商提出严重警告，从合同待支付金额中扣除合同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金额10%费用，扣完为止；</w:t>
      </w:r>
    </w:p>
    <w:p w14:paraId="49A6A3FB">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lang w:val="en-US" w:eastAsia="zh-CN"/>
        </w:rPr>
        <w:t>5</w:t>
      </w:r>
      <w:r>
        <w:rPr>
          <w:rFonts w:hint="eastAsia" w:ascii="仿宋" w:hAnsi="仿宋" w:eastAsia="仿宋" w:cs="仿宋"/>
          <w:kern w:val="2"/>
          <w:sz w:val="24"/>
          <w:szCs w:val="24"/>
          <w:u w:val="none"/>
        </w:rPr>
        <w:t>）10分&lt;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，视为</w:t>
      </w:r>
      <w:r>
        <w:rPr>
          <w:rStyle w:val="21"/>
          <w:rFonts w:hint="eastAsia" w:ascii="仿宋" w:hAnsi="仿宋" w:eastAsia="仿宋" w:cs="仿宋"/>
          <w:kern w:val="2"/>
          <w:sz w:val="24"/>
          <w:szCs w:val="24"/>
          <w:u w:val="none"/>
        </w:rPr>
        <w:t>不合格</w:t>
      </w:r>
      <w:r>
        <w:rPr>
          <w:rFonts w:hint="eastAsia" w:ascii="仿宋" w:hAnsi="仿宋" w:eastAsia="仿宋" w:cs="仿宋"/>
          <w:kern w:val="2"/>
          <w:sz w:val="24"/>
          <w:szCs w:val="24"/>
          <w:u w:val="none"/>
        </w:rPr>
        <w:t>，终止合同，合同待支付金额</w:t>
      </w:r>
      <w:r>
        <w:rPr>
          <w:rFonts w:hint="eastAsia" w:ascii="仿宋" w:hAnsi="仿宋" w:eastAsia="仿宋" w:cs="仿宋"/>
          <w:kern w:val="2"/>
          <w:sz w:val="24"/>
          <w:szCs w:val="24"/>
          <w:u w:val="none"/>
          <w:lang w:val="en-US" w:eastAsia="zh-CN"/>
        </w:rPr>
        <w:t>不予支付，</w:t>
      </w:r>
      <w:r>
        <w:rPr>
          <w:rFonts w:hint="eastAsia" w:ascii="仿宋" w:hAnsi="仿宋" w:eastAsia="仿宋" w:cs="仿宋"/>
          <w:kern w:val="2"/>
          <w:sz w:val="24"/>
          <w:szCs w:val="24"/>
          <w:u w:val="none"/>
        </w:rPr>
        <w:t>履约保证金（如有履约保证金）不予退还；</w:t>
      </w:r>
    </w:p>
    <w:p w14:paraId="0D63D63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u w:val="none"/>
        </w:rPr>
        <w:t>3.供应商出现一票否决时，将对其违法违纪的相关情况汇</w:t>
      </w:r>
      <w:r>
        <w:rPr>
          <w:rFonts w:hint="eastAsia" w:ascii="仿宋" w:hAnsi="仿宋" w:eastAsia="仿宋" w:cs="仿宋"/>
          <w:kern w:val="2"/>
          <w:sz w:val="24"/>
          <w:szCs w:val="24"/>
        </w:rPr>
        <w:t>报院纪委，同时按供应商违约情况取消本次合作，扣除所有剩余款项，履约保证金不予退还（如本项目要求缴纳履约保证金），并保留后续追究供应商责任的权利。</w:t>
      </w:r>
    </w:p>
    <w:p w14:paraId="21BBD0B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lang w:eastAsia="zh-CN"/>
        </w:rPr>
      </w:pPr>
      <w:r>
        <w:rPr>
          <w:rFonts w:hint="eastAsia" w:ascii="仿宋" w:hAnsi="仿宋" w:eastAsia="仿宋" w:cs="仿宋"/>
          <w:kern w:val="2"/>
          <w:sz w:val="24"/>
          <w:szCs w:val="24"/>
        </w:rPr>
        <w:t>4.如合同待支付金额无款可扣且考核后出现扣款情况，乙方承诺在得到甲方考核结果后的10日内向甲方缴纳对应的扣款金额。</w:t>
      </w:r>
      <w:r>
        <w:rPr>
          <w:rFonts w:hint="eastAsia" w:ascii="仿宋" w:hAnsi="仿宋" w:eastAsia="仿宋" w:cs="仿宋"/>
          <w:b/>
          <w:bCs/>
          <w:kern w:val="2"/>
          <w:sz w:val="24"/>
          <w:szCs w:val="24"/>
          <w:lang w:eastAsia="zh-CN"/>
        </w:rPr>
        <w:t>（</w:t>
      </w:r>
      <w:r>
        <w:rPr>
          <w:rFonts w:hint="eastAsia" w:ascii="仿宋" w:hAnsi="仿宋" w:eastAsia="仿宋" w:cs="仿宋"/>
          <w:b/>
          <w:bCs/>
          <w:kern w:val="2"/>
          <w:sz w:val="24"/>
          <w:szCs w:val="24"/>
          <w:lang w:val="en-US" w:eastAsia="zh-CN"/>
        </w:rPr>
        <w:t>提供承诺函</w:t>
      </w:r>
      <w:r>
        <w:rPr>
          <w:rFonts w:hint="eastAsia" w:ascii="仿宋" w:hAnsi="仿宋" w:eastAsia="仿宋" w:cs="仿宋"/>
          <w:b/>
          <w:bCs/>
          <w:kern w:val="2"/>
          <w:sz w:val="24"/>
          <w:szCs w:val="24"/>
          <w:lang w:eastAsia="zh-CN"/>
        </w:rPr>
        <w:t>）</w:t>
      </w:r>
    </w:p>
    <w:p w14:paraId="62B43623">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rPr>
        <w:t>5.本考核指标最终解释权归四川省医学科学院·四川省人民医院。</w:t>
      </w:r>
    </w:p>
    <w:p w14:paraId="5D7FB459">
      <w:pPr>
        <w:rPr>
          <w:rFonts w:hint="eastAsia" w:ascii="仿宋" w:hAnsi="仿宋" w:eastAsia="仿宋" w:cs="仿宋"/>
          <w:kern w:val="2"/>
          <w:sz w:val="24"/>
          <w:szCs w:val="24"/>
        </w:rPr>
      </w:pPr>
      <w:r>
        <w:rPr>
          <w:rFonts w:hint="eastAsia" w:ascii="仿宋" w:hAnsi="仿宋" w:eastAsia="仿宋" w:cs="仿宋"/>
          <w:kern w:val="2"/>
          <w:sz w:val="24"/>
          <w:szCs w:val="24"/>
        </w:rPr>
        <w:br w:type="page"/>
      </w:r>
    </w:p>
    <w:p w14:paraId="56D867CA">
      <w:pPr>
        <w:pStyle w:val="7"/>
      </w:pPr>
    </w:p>
    <w:p w14:paraId="58682A99">
      <w:pPr>
        <w:pStyle w:val="3"/>
        <w:rPr>
          <w:rFonts w:ascii="Times New Roman" w:hAnsi="Times New Roman" w:cs="Times New Roman"/>
        </w:rPr>
      </w:pPr>
      <w:bookmarkStart w:id="17" w:name="_Toc22827"/>
      <w:bookmarkStart w:id="18" w:name="_Toc3094"/>
      <w:bookmarkStart w:id="19" w:name="_Toc192583770"/>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29819"/>
      <w:bookmarkStart w:id="21" w:name="_Toc4960"/>
      <w:bookmarkStart w:id="22" w:name="_Toc5913"/>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30609"/>
      <w:bookmarkStart w:id="24" w:name="_Toc19851"/>
      <w:bookmarkStart w:id="25" w:name="_Toc9428"/>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9041"/>
      <w:bookmarkStart w:id="27" w:name="_Toc32352"/>
      <w:bookmarkStart w:id="28" w:name="_Toc1544"/>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4097"/>
      <w:bookmarkStart w:id="30" w:name="_Toc21472"/>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24859"/>
      <w:bookmarkStart w:id="32" w:name="_Toc1690"/>
      <w:bookmarkStart w:id="33" w:name="_Toc17163"/>
      <w:bookmarkStart w:id="34" w:name="_Toc3274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24123"/>
      <w:bookmarkStart w:id="36" w:name="_Toc17905"/>
      <w:bookmarkStart w:id="37" w:name="_Toc3558"/>
      <w:bookmarkStart w:id="38" w:name="_Toc6803"/>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7526"/>
      <w:bookmarkStart w:id="40" w:name="_Toc2989"/>
      <w:bookmarkStart w:id="41" w:name="_Toc5996"/>
      <w:bookmarkStart w:id="42" w:name="_Toc27135"/>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7233"/>
      <w:bookmarkStart w:id="44" w:name="_Toc5056"/>
      <w:bookmarkStart w:id="45" w:name="_Toc2031"/>
      <w:bookmarkStart w:id="46" w:name="_Toc19987"/>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21519"/>
      <w:bookmarkStart w:id="48" w:name="_Toc11352"/>
      <w:bookmarkStart w:id="49" w:name="_Toc16029"/>
      <w:bookmarkStart w:id="50" w:name="_Toc6482"/>
      <w:bookmarkStart w:id="51" w:name="_Toc3023"/>
      <w:bookmarkStart w:id="52" w:name="_Toc1482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2"/>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22676"/>
      <w:bookmarkStart w:id="54" w:name="_Toc4305"/>
      <w:bookmarkStart w:id="55" w:name="_Toc17857"/>
      <w:bookmarkStart w:id="56" w:name="_Toc31838"/>
      <w:bookmarkStart w:id="57" w:name="_Toc30971"/>
      <w:r>
        <w:rPr>
          <w:rFonts w:ascii="Times New Roman" w:hAnsi="Times New Roman" w:cs="Times New Roman"/>
        </w:rPr>
        <w:br w:type="page"/>
      </w:r>
    </w:p>
    <w:p w14:paraId="23ED41BF">
      <w:pPr>
        <w:pStyle w:val="2"/>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2"/>
        <w:ind w:firstLine="0"/>
        <w:rPr>
          <w:rStyle w:val="33"/>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13706"/>
      <w:bookmarkStart w:id="63" w:name="_Toc25357"/>
    </w:p>
    <w:p w14:paraId="6BE6D0D2">
      <w:pPr>
        <w:pStyle w:val="2"/>
        <w:ind w:firstLine="0"/>
        <w:rPr>
          <w:szCs w:val="32"/>
        </w:rPr>
      </w:pPr>
      <w:bookmarkStart w:id="64" w:name="_Toc23146"/>
      <w:bookmarkStart w:id="65" w:name="_Toc15508"/>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2"/>
        <w:ind w:firstLine="0"/>
        <w:rPr>
          <w:szCs w:val="32"/>
        </w:rPr>
      </w:pPr>
      <w:r>
        <w:rPr>
          <w:szCs w:val="32"/>
        </w:rPr>
        <w:br w:type="page"/>
      </w:r>
      <w:bookmarkStart w:id="66" w:name="_Toc12015"/>
      <w:bookmarkStart w:id="67" w:name="_Toc11351"/>
      <w:bookmarkStart w:id="68" w:name="_Toc27661"/>
      <w:bookmarkStart w:id="69" w:name="_Toc20589"/>
      <w:bookmarkStart w:id="70" w:name="_Toc25638"/>
      <w:bookmarkStart w:id="71" w:name="_Toc15526"/>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2"/>
        <w:ind w:firstLine="0"/>
        <w:rPr>
          <w:szCs w:val="32"/>
        </w:rPr>
      </w:pPr>
      <w:r>
        <w:rPr>
          <w:szCs w:val="32"/>
        </w:rPr>
        <w:br w:type="page"/>
      </w:r>
      <w:bookmarkStart w:id="72" w:name="_Toc23967"/>
      <w:bookmarkStart w:id="73" w:name="_Toc16435"/>
      <w:bookmarkStart w:id="74" w:name="_Toc1074"/>
      <w:bookmarkStart w:id="75" w:name="_Toc26969"/>
      <w:bookmarkStart w:id="76" w:name="_Toc12967"/>
      <w:bookmarkStart w:id="77" w:name="_Toc2041"/>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2"/>
        <w:ind w:firstLine="0"/>
        <w:rPr>
          <w:bCs/>
          <w:szCs w:val="32"/>
        </w:rPr>
      </w:pPr>
      <w:r>
        <w:rPr>
          <w:szCs w:val="32"/>
        </w:rPr>
        <w:br w:type="page"/>
      </w:r>
      <w:bookmarkStart w:id="78" w:name="_Toc31686"/>
      <w:bookmarkStart w:id="79" w:name="_Toc1369"/>
      <w:bookmarkStart w:id="80" w:name="_Toc26839"/>
      <w:bookmarkStart w:id="81" w:name="_Toc28634"/>
      <w:bookmarkStart w:id="82" w:name="_Toc24806"/>
      <w:bookmarkStart w:id="83" w:name="_Toc21082"/>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2605"/>
      <w:bookmarkStart w:id="85" w:name="_Toc24494"/>
      <w:bookmarkStart w:id="86" w:name="_Toc3871"/>
    </w:p>
    <w:p w14:paraId="05758452">
      <w:pPr>
        <w:pStyle w:val="2"/>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2825"/>
        <w:gridCol w:w="890"/>
        <w:gridCol w:w="2990"/>
        <w:gridCol w:w="2609"/>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258" w:type="pct"/>
            <w:vAlign w:val="center"/>
          </w:tcPr>
          <w:p w14:paraId="2CF60CA8">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1891" w:type="pct"/>
            <w:gridSpan w:val="2"/>
            <w:vAlign w:val="center"/>
          </w:tcPr>
          <w:p w14:paraId="5B2E56EB">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en-US" w:eastAsia="zh-CN"/>
              </w:rPr>
              <w:t>标的名称</w:t>
            </w:r>
          </w:p>
        </w:tc>
        <w:tc>
          <w:tcPr>
            <w:tcW w:w="1522" w:type="pct"/>
            <w:vAlign w:val="center"/>
          </w:tcPr>
          <w:p w14:paraId="1BC95E2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报价（元）</w:t>
            </w:r>
          </w:p>
        </w:tc>
        <w:tc>
          <w:tcPr>
            <w:tcW w:w="1327" w:type="pct"/>
            <w:vAlign w:val="center"/>
          </w:tcPr>
          <w:p w14:paraId="29D764D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备注</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258" w:type="pct"/>
            <w:vAlign w:val="center"/>
          </w:tcPr>
          <w:p w14:paraId="33FA3AA9">
            <w:pPr>
              <w:pStyle w:val="7"/>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891" w:type="pct"/>
            <w:gridSpan w:val="2"/>
            <w:vAlign w:val="center"/>
          </w:tcPr>
          <w:p w14:paraId="4A44268C">
            <w:pPr>
              <w:pStyle w:val="16"/>
              <w:numPr>
                <w:ilvl w:val="0"/>
                <w:numId w:val="0"/>
              </w:numPr>
              <w:ind w:left="480" w:leftChars="0" w:hanging="480" w:hangingChars="20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医疗设备全过程管理系统维护服务</w:t>
            </w:r>
          </w:p>
        </w:tc>
        <w:tc>
          <w:tcPr>
            <w:tcW w:w="1522" w:type="pct"/>
            <w:vAlign w:val="center"/>
          </w:tcPr>
          <w:p w14:paraId="338798A9">
            <w:pPr>
              <w:pStyle w:val="16"/>
              <w:numPr>
                <w:ilvl w:val="0"/>
                <w:numId w:val="0"/>
              </w:numPr>
              <w:ind w:left="480" w:leftChars="0" w:hanging="480" w:hangingChars="200"/>
              <w:jc w:val="center"/>
              <w:rPr>
                <w:rFonts w:hint="eastAsia" w:ascii="仿宋" w:hAnsi="仿宋" w:eastAsia="仿宋" w:cs="仿宋"/>
                <w:sz w:val="24"/>
                <w:szCs w:val="24"/>
              </w:rPr>
            </w:pPr>
          </w:p>
        </w:tc>
        <w:tc>
          <w:tcPr>
            <w:tcW w:w="1327" w:type="pct"/>
            <w:vAlign w:val="center"/>
          </w:tcPr>
          <w:p w14:paraId="18230512">
            <w:pPr>
              <w:pStyle w:val="7"/>
              <w:spacing w:line="240" w:lineRule="auto"/>
              <w:jc w:val="center"/>
              <w:rPr>
                <w:rFonts w:hint="eastAsia" w:ascii="仿宋" w:hAnsi="仿宋" w:eastAsia="仿宋" w:cs="仿宋"/>
                <w:sz w:val="24"/>
                <w:szCs w:val="24"/>
              </w:rPr>
            </w:pPr>
          </w:p>
        </w:tc>
      </w:tr>
      <w:tr w14:paraId="7F37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1696" w:type="pct"/>
            <w:gridSpan w:val="2"/>
            <w:vAlign w:val="center"/>
          </w:tcPr>
          <w:p w14:paraId="526C308F">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3303" w:type="pct"/>
            <w:gridSpan w:val="3"/>
            <w:vAlign w:val="center"/>
          </w:tcPr>
          <w:p w14:paraId="0241EA93">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3AC9EC5C">
      <w:pPr>
        <w:widowControl/>
        <w:jc w:val="left"/>
        <w:rPr>
          <w:rFonts w:ascii="Times New Roman" w:hAnsi="Times New Roman" w:eastAsia="仿宋" w:cs="Times New Roman"/>
          <w:szCs w:val="21"/>
          <w:lang w:val="zh-TW"/>
        </w:rPr>
      </w:pPr>
    </w:p>
    <w:p w14:paraId="108C256F">
      <w:pPr>
        <w:pStyle w:val="7"/>
        <w:rPr>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29032"/>
      <w:bookmarkStart w:id="89" w:name="_Toc14685"/>
      <w:bookmarkStart w:id="90" w:name="_Toc3000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2"/>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rPr>
      </w:pPr>
    </w:p>
    <w:p w14:paraId="2C3D4B01">
      <w:pPr>
        <w:pStyle w:val="42"/>
        <w:rPr>
          <w:sz w:val="48"/>
          <w:szCs w:val="48"/>
        </w:rPr>
      </w:pPr>
      <w:r>
        <w:rPr>
          <w:rFonts w:hint="eastAsia"/>
          <w:sz w:val="48"/>
          <w:szCs w:val="48"/>
        </w:rPr>
        <w:t>计算机软件</w:t>
      </w:r>
    </w:p>
    <w:p w14:paraId="4F8C4CE2">
      <w:pPr>
        <w:pStyle w:val="42"/>
        <w:rPr>
          <w:sz w:val="48"/>
          <w:szCs w:val="48"/>
        </w:rPr>
      </w:pPr>
      <w:r>
        <w:rPr>
          <w:sz w:val="48"/>
          <w:szCs w:val="48"/>
        </w:rPr>
        <w:t>维保服务合同</w:t>
      </w:r>
    </w:p>
    <w:p w14:paraId="0DD8EBEC">
      <w:pPr>
        <w:rPr>
          <w:sz w:val="24"/>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16E25E88">
      <w:pPr>
        <w:pStyle w:val="2"/>
        <w:numPr>
          <w:ilvl w:val="0"/>
          <w:numId w:val="0"/>
        </w:numPr>
        <w:spacing w:line="240" w:lineRule="auto"/>
        <w:ind w:left="420" w:leftChars="0"/>
        <w:jc w:val="both"/>
        <w:rPr>
          <w:rFonts w:ascii="Times New Roman" w:hAnsi="Times New Roman" w:eastAsia="宋体"/>
          <w:sz w:val="21"/>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contextualSpacing/>
              <w:rPr>
                <w:color w:val="000000"/>
                <w:szCs w:val="21"/>
              </w:rPr>
            </w:pPr>
            <w:r>
              <w:rPr>
                <w:b/>
                <w:bCs/>
                <w:color w:val="000000"/>
                <w:szCs w:val="21"/>
              </w:rPr>
              <w:t>合同编号</w:t>
            </w:r>
            <w:r>
              <w:rPr>
                <w:color w:val="000000"/>
                <w:szCs w:val="21"/>
              </w:rPr>
              <w:t>：CGZX-***</w:t>
            </w:r>
          </w:p>
          <w:p w14:paraId="3B344091">
            <w:pPr>
              <w:contextualSpacing/>
              <w:rPr>
                <w:color w:val="000000"/>
                <w:szCs w:val="21"/>
              </w:rPr>
            </w:pPr>
            <w:r>
              <w:rPr>
                <w:b/>
                <w:bCs/>
                <w:color w:val="000000"/>
                <w:szCs w:val="21"/>
              </w:rPr>
              <w:t>签订地点</w:t>
            </w:r>
            <w:r>
              <w:rPr>
                <w:color w:val="000000"/>
                <w:szCs w:val="21"/>
              </w:rPr>
              <w:t>：四川省人民医院</w:t>
            </w:r>
          </w:p>
        </w:tc>
      </w:tr>
      <w:tr w14:paraId="27A90D16">
        <w:tblPrEx>
          <w:tblCellMar>
            <w:top w:w="0" w:type="dxa"/>
            <w:left w:w="0" w:type="dxa"/>
            <w:bottom w:w="0" w:type="dxa"/>
            <w:right w:w="0" w:type="dxa"/>
          </w:tblCellMar>
        </w:tblPrEx>
        <w:trPr>
          <w:jc w:val="center"/>
        </w:trPr>
        <w:tc>
          <w:tcPr>
            <w:tcW w:w="4962" w:type="dxa"/>
          </w:tcPr>
          <w:p w14:paraId="657919F2">
            <w:pPr>
              <w:rPr>
                <w:szCs w:val="21"/>
              </w:rPr>
            </w:pPr>
            <w:r>
              <w:rPr>
                <w:b/>
                <w:bCs/>
                <w:szCs w:val="21"/>
              </w:rPr>
              <w:t>采购人（以下简称甲方）</w:t>
            </w:r>
            <w:r>
              <w:rPr>
                <w:szCs w:val="21"/>
              </w:rPr>
              <w:t>：四川省人民医院</w:t>
            </w:r>
          </w:p>
          <w:p w14:paraId="71E54675">
            <w:pPr>
              <w:rPr>
                <w:szCs w:val="21"/>
              </w:rPr>
            </w:pPr>
            <w:r>
              <w:rPr>
                <w:b/>
                <w:bCs/>
                <w:szCs w:val="21"/>
              </w:rPr>
              <w:t>地址</w:t>
            </w:r>
            <w:r>
              <w:rPr>
                <w:szCs w:val="21"/>
              </w:rPr>
              <w:t>：四川省成都市一环路西二段32号</w:t>
            </w:r>
          </w:p>
          <w:p w14:paraId="03CCE5C7">
            <w:pPr>
              <w:rPr>
                <w:szCs w:val="21"/>
              </w:rPr>
            </w:pPr>
            <w:r>
              <w:rPr>
                <w:b/>
                <w:bCs/>
                <w:szCs w:val="21"/>
              </w:rPr>
              <w:t>项目联系人</w:t>
            </w:r>
            <w:r>
              <w:rPr>
                <w:szCs w:val="21"/>
              </w:rPr>
              <w:t xml:space="preserve">：*** </w:t>
            </w:r>
            <w:r>
              <w:rPr>
                <w:b/>
                <w:bCs/>
                <w:szCs w:val="21"/>
              </w:rPr>
              <w:t>电话</w:t>
            </w:r>
            <w:r>
              <w:rPr>
                <w:szCs w:val="21"/>
              </w:rPr>
              <w:t>：***</w:t>
            </w:r>
          </w:p>
        </w:tc>
        <w:tc>
          <w:tcPr>
            <w:tcW w:w="5242" w:type="dxa"/>
          </w:tcPr>
          <w:p w14:paraId="6697ACBA">
            <w:pPr>
              <w:rPr>
                <w:szCs w:val="21"/>
              </w:rPr>
            </w:pPr>
            <w:r>
              <w:rPr>
                <w:b/>
                <w:bCs/>
                <w:szCs w:val="21"/>
              </w:rPr>
              <w:t>供应商（以下简称乙方）</w:t>
            </w:r>
            <w:r>
              <w:rPr>
                <w:szCs w:val="21"/>
              </w:rPr>
              <w:t>：***</w:t>
            </w:r>
          </w:p>
          <w:p w14:paraId="63CA4691">
            <w:pPr>
              <w:rPr>
                <w:szCs w:val="21"/>
              </w:rPr>
            </w:pPr>
            <w:r>
              <w:rPr>
                <w:b/>
                <w:bCs/>
                <w:szCs w:val="21"/>
              </w:rPr>
              <w:t>地址</w:t>
            </w:r>
            <w:r>
              <w:rPr>
                <w:szCs w:val="21"/>
              </w:rPr>
              <w:t>：***</w:t>
            </w:r>
          </w:p>
          <w:p w14:paraId="62021133">
            <w:pPr>
              <w:rPr>
                <w:szCs w:val="21"/>
              </w:rPr>
            </w:pPr>
            <w:r>
              <w:rPr>
                <w:b/>
                <w:bCs/>
                <w:szCs w:val="21"/>
              </w:rPr>
              <w:t>移动电话</w:t>
            </w:r>
            <w:r>
              <w:rPr>
                <w:szCs w:val="21"/>
              </w:rPr>
              <w:t>：***</w:t>
            </w:r>
          </w:p>
          <w:p w14:paraId="045ABA48">
            <w:pPr>
              <w:contextualSpacing/>
              <w:rPr>
                <w:szCs w:val="21"/>
              </w:rPr>
            </w:pPr>
            <w:r>
              <w:rPr>
                <w:b/>
                <w:bCs/>
                <w:szCs w:val="21"/>
              </w:rPr>
              <w:t>联系人</w:t>
            </w:r>
            <w:r>
              <w:rPr>
                <w:szCs w:val="21"/>
              </w:rPr>
              <w:t>：***</w:t>
            </w:r>
          </w:p>
        </w:tc>
      </w:tr>
    </w:tbl>
    <w:p w14:paraId="40FB5E49">
      <w:pPr>
        <w:ind w:firstLine="420" w:firstLineChars="200"/>
        <w:contextualSpacing/>
        <w:jc w:val="left"/>
        <w:rPr>
          <w:color w:val="000000"/>
          <w:szCs w:val="21"/>
        </w:rPr>
      </w:pPr>
    </w:p>
    <w:p w14:paraId="587E9AF1">
      <w:pPr>
        <w:adjustRightInd w:val="0"/>
        <w:ind w:firstLine="420" w:firstLineChars="200"/>
        <w:contextualSpacing/>
        <w:jc w:val="left"/>
        <w:rPr>
          <w:b/>
          <w:szCs w:val="21"/>
          <w:highlight w:val="none"/>
        </w:rPr>
      </w:pPr>
      <w:r>
        <w:rPr>
          <w:rFonts w:hint="eastAsia"/>
          <w:color w:val="000000"/>
          <w:szCs w:val="21"/>
        </w:rPr>
        <w:t>根</w:t>
      </w:r>
      <w:r>
        <w:rPr>
          <w:color w:val="000000"/>
          <w:szCs w:val="21"/>
        </w:rPr>
        <w:t>据《中华人民共和国民法典</w:t>
      </w:r>
      <w:r>
        <w:rPr>
          <w:color w:val="000000"/>
          <w:szCs w:val="21"/>
          <w:highlight w:val="none"/>
        </w:rPr>
        <w:t>》及甲方发布的***项目（项目编号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38E3EB7D">
      <w:pPr>
        <w:contextualSpacing/>
        <w:jc w:val="left"/>
        <w:rPr>
          <w:b/>
          <w:szCs w:val="21"/>
          <w:highlight w:val="none"/>
        </w:rPr>
      </w:pPr>
    </w:p>
    <w:p w14:paraId="1ACDEF75">
      <w:pPr>
        <w:pStyle w:val="30"/>
        <w:numPr>
          <w:ilvl w:val="0"/>
          <w:numId w:val="12"/>
        </w:numPr>
        <w:ind w:left="0" w:firstLine="0" w:firstLineChars="0"/>
        <w:contextualSpacing/>
        <w:jc w:val="left"/>
        <w:rPr>
          <w:b/>
          <w:szCs w:val="21"/>
          <w:highlight w:val="none"/>
        </w:rPr>
      </w:pPr>
      <w:r>
        <w:rPr>
          <w:b/>
          <w:szCs w:val="21"/>
          <w:highlight w:val="none"/>
        </w:rPr>
        <w:t>合同标的</w:t>
      </w:r>
    </w:p>
    <w:p w14:paraId="69681532">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0B0F3E0">
      <w:pPr>
        <w:pStyle w:val="9"/>
        <w:numPr>
          <w:ilvl w:val="0"/>
          <w:numId w:val="13"/>
        </w:numPr>
        <w:spacing w:after="0" w:line="240" w:lineRule="auto"/>
        <w:ind w:left="210" w:leftChars="0" w:hanging="210" w:hangingChars="100"/>
        <w:contextualSpacing/>
        <w:jc w:val="left"/>
        <w:rPr>
          <w:sz w:val="18"/>
          <w:szCs w:val="18"/>
          <w:highlight w:val="none"/>
        </w:rPr>
      </w:pPr>
      <w:r>
        <w:rPr>
          <w:szCs w:val="21"/>
          <w:highlight w:val="none"/>
        </w:rPr>
        <w:t>维保服务涉及的</w:t>
      </w:r>
      <w:r>
        <w:rPr>
          <w:rFonts w:hint="eastAsia"/>
          <w:szCs w:val="21"/>
          <w:highlight w:val="none"/>
        </w:rPr>
        <w:t>分项明细</w:t>
      </w:r>
      <w:r>
        <w:rPr>
          <w:szCs w:val="21"/>
          <w:highlight w:val="none"/>
        </w:rPr>
        <w:t>（如计算机软件为医疗器械，则以下表格中填写的相关内容均须与医疗器械注册证或备案证信息保持一致）。</w:t>
      </w:r>
      <w:r>
        <w:rPr>
          <w:rFonts w:hint="eastAsia"/>
          <w:i/>
          <w:iCs/>
          <w:color w:val="000000"/>
          <w:szCs w:val="21"/>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19"/>
        <w:gridCol w:w="2027"/>
        <w:gridCol w:w="1850"/>
        <w:gridCol w:w="1339"/>
        <w:gridCol w:w="1339"/>
        <w:gridCol w:w="1124"/>
        <w:gridCol w:w="1555"/>
      </w:tblGrid>
      <w:tr w14:paraId="05817981">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F889F55">
            <w:pPr>
              <w:autoSpaceDE w:val="0"/>
              <w:autoSpaceDN w:val="0"/>
              <w:adjustRightInd w:val="0"/>
              <w:contextualSpacing/>
              <w:jc w:val="center"/>
              <w:rPr>
                <w:b/>
                <w:bCs/>
                <w:sz w:val="18"/>
                <w:szCs w:val="18"/>
                <w:highlight w:val="none"/>
              </w:rPr>
            </w:pPr>
            <w:permStart w:id="2" w:edGrp="everyone"/>
            <w:r>
              <w:rPr>
                <w:b/>
                <w:bCs/>
                <w:sz w:val="18"/>
                <w:szCs w:val="18"/>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17555A3F">
            <w:pPr>
              <w:autoSpaceDE w:val="0"/>
              <w:autoSpaceDN w:val="0"/>
              <w:adjustRightInd w:val="0"/>
              <w:contextualSpacing/>
              <w:jc w:val="center"/>
              <w:rPr>
                <w:b/>
                <w:bCs/>
                <w:sz w:val="18"/>
                <w:szCs w:val="18"/>
                <w:highlight w:val="none"/>
              </w:rPr>
            </w:pPr>
            <w:r>
              <w:rPr>
                <w:b/>
                <w:bCs/>
                <w:sz w:val="18"/>
                <w:szCs w:val="18"/>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4073D89C">
            <w:pPr>
              <w:autoSpaceDE w:val="0"/>
              <w:autoSpaceDN w:val="0"/>
              <w:adjustRightInd w:val="0"/>
              <w:contextualSpacing/>
              <w:jc w:val="center"/>
              <w:rPr>
                <w:b/>
                <w:bCs/>
                <w:sz w:val="18"/>
                <w:szCs w:val="18"/>
                <w:highlight w:val="none"/>
              </w:rPr>
            </w:pPr>
            <w:r>
              <w:rPr>
                <w:rFonts w:hint="eastAsia"/>
                <w:b/>
                <w:bCs/>
                <w:sz w:val="18"/>
                <w:szCs w:val="18"/>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3749BB94">
            <w:pPr>
              <w:autoSpaceDE w:val="0"/>
              <w:autoSpaceDN w:val="0"/>
              <w:adjustRightInd w:val="0"/>
              <w:contextualSpacing/>
              <w:jc w:val="center"/>
              <w:rPr>
                <w:b/>
                <w:bCs/>
                <w:sz w:val="18"/>
                <w:szCs w:val="18"/>
                <w:highlight w:val="none"/>
              </w:rPr>
            </w:pPr>
            <w:r>
              <w:rPr>
                <w:rFonts w:hint="eastAsia"/>
                <w:b/>
                <w:bCs/>
                <w:sz w:val="18"/>
                <w:szCs w:val="18"/>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22ADED9E">
            <w:pPr>
              <w:autoSpaceDE w:val="0"/>
              <w:autoSpaceDN w:val="0"/>
              <w:adjustRightInd w:val="0"/>
              <w:contextualSpacing/>
              <w:jc w:val="center"/>
              <w:rPr>
                <w:b/>
                <w:bCs/>
                <w:sz w:val="18"/>
                <w:szCs w:val="18"/>
                <w:highlight w:val="none"/>
              </w:rPr>
            </w:pPr>
            <w:r>
              <w:rPr>
                <w:rFonts w:hint="eastAsia"/>
                <w:b/>
                <w:bCs/>
                <w:sz w:val="18"/>
                <w:szCs w:val="18"/>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0614F258">
            <w:pPr>
              <w:autoSpaceDE w:val="0"/>
              <w:autoSpaceDN w:val="0"/>
              <w:adjustRightInd w:val="0"/>
              <w:contextualSpacing/>
              <w:jc w:val="center"/>
              <w:rPr>
                <w:b/>
                <w:bCs/>
                <w:sz w:val="18"/>
                <w:szCs w:val="18"/>
                <w:highlight w:val="none"/>
              </w:rPr>
            </w:pPr>
            <w:r>
              <w:rPr>
                <w:rFonts w:hint="eastAsia"/>
                <w:b/>
                <w:bCs/>
                <w:sz w:val="18"/>
                <w:szCs w:val="18"/>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39A45CEA">
            <w:pPr>
              <w:autoSpaceDE w:val="0"/>
              <w:autoSpaceDN w:val="0"/>
              <w:adjustRightInd w:val="0"/>
              <w:contextualSpacing/>
              <w:jc w:val="center"/>
              <w:rPr>
                <w:b/>
                <w:bCs/>
                <w:sz w:val="18"/>
                <w:szCs w:val="18"/>
                <w:highlight w:val="none"/>
              </w:rPr>
            </w:pPr>
            <w:r>
              <w:rPr>
                <w:rFonts w:hint="eastAsia"/>
                <w:b/>
                <w:bCs/>
                <w:sz w:val="18"/>
                <w:szCs w:val="18"/>
                <w:highlight w:val="none"/>
              </w:rPr>
              <w:t>备注</w:t>
            </w:r>
          </w:p>
        </w:tc>
      </w:tr>
      <w:tr w14:paraId="527BEE17">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31EF8B1">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66378C4B">
            <w:pPr>
              <w:autoSpaceDE w:val="0"/>
              <w:autoSpaceDN w:val="0"/>
              <w:adjustRightInd w:val="0"/>
              <w:contextualSpacing/>
              <w:rPr>
                <w:rFonts w:eastAsiaTheme="minorEastAsia"/>
                <w:sz w:val="18"/>
                <w:szCs w:val="18"/>
                <w:highlight w:val="none"/>
              </w:rPr>
            </w:pPr>
            <w:r>
              <w:rPr>
                <w:rFonts w:eastAsiaTheme="minorEastAsia"/>
                <w:sz w:val="18"/>
                <w:szCs w:val="18"/>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7C0E0BF5">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41EDB9BA">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57FAFAFF">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14F1CFFF">
            <w:pPr>
              <w:autoSpaceDE w:val="0"/>
              <w:autoSpaceDN w:val="0"/>
              <w:adjustRightInd w:val="0"/>
              <w:contextualSpacing/>
              <w:jc w:val="center"/>
              <w:rPr>
                <w:rFonts w:eastAsiaTheme="minorEastAsia"/>
                <w:sz w:val="18"/>
                <w:szCs w:val="18"/>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54190DB9">
            <w:pPr>
              <w:autoSpaceDE w:val="0"/>
              <w:autoSpaceDN w:val="0"/>
              <w:adjustRightInd w:val="0"/>
              <w:contextualSpacing/>
              <w:rPr>
                <w:rFonts w:eastAsiaTheme="minorEastAsia"/>
                <w:sz w:val="18"/>
                <w:szCs w:val="18"/>
                <w:highlight w:val="none"/>
              </w:rPr>
            </w:pPr>
          </w:p>
        </w:tc>
      </w:tr>
      <w:permEnd w:id="2"/>
    </w:tbl>
    <w:p w14:paraId="6C072A90">
      <w:pPr>
        <w:pStyle w:val="30"/>
        <w:numPr>
          <w:ilvl w:val="0"/>
          <w:numId w:val="12"/>
        </w:numPr>
        <w:ind w:firstLineChars="0"/>
        <w:jc w:val="left"/>
        <w:rPr>
          <w:b/>
          <w:szCs w:val="21"/>
          <w:highlight w:val="none"/>
        </w:rPr>
      </w:pPr>
      <w:r>
        <w:rPr>
          <w:b/>
          <w:szCs w:val="21"/>
          <w:highlight w:val="none"/>
        </w:rPr>
        <w:t>合同总价</w:t>
      </w:r>
    </w:p>
    <w:p w14:paraId="737985B4">
      <w:pPr>
        <w:ind w:firstLine="480"/>
        <w:contextualSpacing/>
        <w:jc w:val="left"/>
        <w:rPr>
          <w:szCs w:val="21"/>
          <w:highlight w:val="none"/>
        </w:rPr>
      </w:pPr>
      <w:bookmarkStart w:id="94" w:name="OLE_LINK2"/>
      <w:bookmarkStart w:id="95" w:name="OLE_LINK1"/>
      <w:r>
        <w:rPr>
          <w:color w:val="000000"/>
          <w:szCs w:val="21"/>
          <w:highlight w:val="none"/>
        </w:rPr>
        <w:sym w:font="Wingdings 2" w:char="F052"/>
      </w:r>
      <w:r>
        <w:rPr>
          <w:rFonts w:hint="eastAsia"/>
          <w:szCs w:val="21"/>
          <w:highlight w:val="none"/>
        </w:rPr>
        <w:t>全包服务</w:t>
      </w:r>
    </w:p>
    <w:p w14:paraId="180B3F48">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02876E6C">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20A3E0BB">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6" w:name="OLE_LINK28"/>
      <w:r>
        <w:rPr>
          <w:szCs w:val="21"/>
          <w:highlight w:val="none"/>
        </w:rPr>
        <w:t>人民币大写：*** 圆整，即RMB *** 元</w:t>
      </w:r>
      <w:bookmarkEnd w:id="96"/>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49F121F4">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w:t>
      </w:r>
      <w:r>
        <w:rPr>
          <w:rFonts w:hint="eastAsia"/>
          <w:szCs w:val="21"/>
          <w:highlight w:val="none"/>
          <w:u w:val="single"/>
        </w:rPr>
        <w:t>附件1《结算单价清单》</w:t>
      </w:r>
      <w:r>
        <w:rPr>
          <w:rFonts w:hint="eastAsia"/>
          <w:szCs w:val="21"/>
          <w:highlight w:val="none"/>
        </w:rPr>
        <w:t>。</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42B06B14">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0508A527">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w:t>
      </w:r>
      <w:r>
        <w:rPr>
          <w:rFonts w:hint="eastAsia"/>
          <w:szCs w:val="21"/>
          <w:highlight w:val="none"/>
          <w:u w:val="single"/>
        </w:rPr>
        <w:t>附件1《结算单价清单》</w:t>
      </w:r>
      <w:r>
        <w:rPr>
          <w:rFonts w:hint="eastAsia"/>
          <w:szCs w:val="21"/>
          <w:highlight w:val="none"/>
        </w:rPr>
        <w:t>。</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bookmarkEnd w:id="94"/>
    <w:bookmarkEnd w:id="95"/>
    <w:p w14:paraId="4F39B07E">
      <w:pPr>
        <w:pStyle w:val="30"/>
        <w:numPr>
          <w:ilvl w:val="0"/>
          <w:numId w:val="12"/>
        </w:numPr>
        <w:ind w:left="0" w:firstLine="0" w:firstLineChars="0"/>
        <w:jc w:val="left"/>
        <w:rPr>
          <w:b/>
          <w:szCs w:val="21"/>
          <w:highlight w:val="none"/>
        </w:rPr>
      </w:pPr>
      <w:r>
        <w:rPr>
          <w:b/>
          <w:szCs w:val="21"/>
          <w:highlight w:val="none"/>
        </w:rPr>
        <w:t>计算机软件维保服务期限</w:t>
      </w:r>
      <w:r>
        <w:rPr>
          <w:i/>
          <w:iCs/>
          <w:szCs w:val="21"/>
          <w:highlight w:val="none"/>
        </w:rPr>
        <w:t>&lt;根据项目实际情况选择&gt;</w:t>
      </w:r>
    </w:p>
    <w:p w14:paraId="79DF24BD">
      <w:pPr>
        <w:pStyle w:val="30"/>
        <w:jc w:val="left"/>
        <w:rPr>
          <w:bCs/>
          <w:szCs w:val="21"/>
          <w:highlight w:val="none"/>
        </w:rPr>
      </w:pPr>
      <w:r>
        <w:rPr>
          <w:bCs/>
          <w:szCs w:val="21"/>
          <w:highlight w:val="none"/>
        </w:rPr>
        <w:t>本合同</w:t>
      </w:r>
      <w:r>
        <w:rPr>
          <w:rFonts w:hint="eastAsia"/>
          <w:bCs/>
          <w:szCs w:val="21"/>
          <w:highlight w:val="none"/>
        </w:rPr>
        <w:t>维保</w:t>
      </w:r>
      <w:r>
        <w:rPr>
          <w:bCs/>
          <w:szCs w:val="21"/>
          <w:highlight w:val="none"/>
        </w:rPr>
        <w:t>服务期限为 *** 年，自 202* 年 *** 月 *** 日起至 202* 年 *** 月 *** 日。</w:t>
      </w:r>
    </w:p>
    <w:p w14:paraId="0091509D">
      <w:pPr>
        <w:pStyle w:val="30"/>
        <w:jc w:val="left"/>
        <w:rPr>
          <w:bCs/>
          <w:szCs w:val="21"/>
          <w:highlight w:val="none"/>
        </w:rPr>
      </w:pPr>
    </w:p>
    <w:p w14:paraId="61CE4484">
      <w:pPr>
        <w:pStyle w:val="30"/>
        <w:ind w:left="105" w:leftChars="50" w:firstLine="315" w:firstLineChars="150"/>
        <w:jc w:val="left"/>
        <w:rPr>
          <w:b/>
          <w:szCs w:val="21"/>
          <w:highlight w:val="none"/>
        </w:rPr>
      </w:pP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7" w:name="OLE_LINK29"/>
      <w:r>
        <w:rPr>
          <w:rFonts w:hint="eastAsia"/>
          <w:bCs/>
          <w:szCs w:val="21"/>
          <w:highlight w:val="none"/>
        </w:rPr>
        <w:t>，考核标准详见</w:t>
      </w:r>
      <w:r>
        <w:rPr>
          <w:rFonts w:hint="eastAsia"/>
          <w:bCs/>
          <w:szCs w:val="21"/>
          <w:highlight w:val="none"/>
          <w:u w:val="single"/>
        </w:rPr>
        <w:t>附件2《考核标准》</w:t>
      </w:r>
      <w:bookmarkEnd w:id="97"/>
      <w:r>
        <w:rPr>
          <w:bCs/>
          <w:szCs w:val="21"/>
          <w:highlight w:val="none"/>
        </w:rPr>
        <w:t>。</w:t>
      </w:r>
    </w:p>
    <w:p w14:paraId="127B1A7F">
      <w:pPr>
        <w:pStyle w:val="30"/>
        <w:numPr>
          <w:ilvl w:val="0"/>
          <w:numId w:val="12"/>
        </w:numPr>
        <w:ind w:left="0" w:firstLine="0" w:firstLineChars="0"/>
        <w:contextualSpacing/>
        <w:jc w:val="left"/>
        <w:rPr>
          <w:b/>
          <w:szCs w:val="21"/>
          <w:highlight w:val="none"/>
        </w:rPr>
      </w:pPr>
      <w:r>
        <w:rPr>
          <w:b/>
          <w:szCs w:val="21"/>
          <w:highlight w:val="none"/>
        </w:rPr>
        <w:t>维保服务内容</w:t>
      </w:r>
    </w:p>
    <w:p w14:paraId="71D9BF34">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5765E622">
      <w:pPr>
        <w:pStyle w:val="30"/>
        <w:numPr>
          <w:ilvl w:val="0"/>
          <w:numId w:val="12"/>
        </w:numPr>
        <w:ind w:left="0" w:firstLine="0" w:firstLineChars="0"/>
        <w:contextualSpacing/>
        <w:jc w:val="left"/>
        <w:rPr>
          <w:b/>
          <w:szCs w:val="21"/>
          <w:highlight w:val="none"/>
        </w:rPr>
      </w:pPr>
      <w:r>
        <w:rPr>
          <w:b/>
          <w:szCs w:val="21"/>
          <w:highlight w:val="none"/>
        </w:rPr>
        <w:t>验收</w:t>
      </w:r>
    </w:p>
    <w:p w14:paraId="1AC98650">
      <w:pPr>
        <w:pStyle w:val="30"/>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4032638F">
      <w:pPr>
        <w:pStyle w:val="30"/>
        <w:numPr>
          <w:ilvl w:val="0"/>
          <w:numId w:val="14"/>
        </w:numPr>
        <w:ind w:left="0" w:firstLine="0" w:firstLineChars="0"/>
        <w:contextualSpacing/>
        <w:rPr>
          <w:szCs w:val="21"/>
          <w:highlight w:val="none"/>
        </w:rPr>
      </w:pPr>
      <w:r>
        <w:rPr>
          <w:szCs w:val="21"/>
          <w:highlight w:val="none"/>
        </w:rPr>
        <w:t>验收方案：</w:t>
      </w:r>
    </w:p>
    <w:p w14:paraId="464CA3BF">
      <w:pPr>
        <w:pStyle w:val="30"/>
        <w:numPr>
          <w:ilvl w:val="0"/>
          <w:numId w:val="15"/>
        </w:numPr>
        <w:ind w:firstLineChars="0"/>
        <w:contextualSpacing/>
        <w:rPr>
          <w:color w:val="000000"/>
          <w:szCs w:val="21"/>
          <w:highlight w:val="none"/>
        </w:rPr>
      </w:pPr>
      <w:r>
        <w:rPr>
          <w:rFonts w:hint="eastAsia"/>
          <w:color w:val="000000"/>
          <w:szCs w:val="21"/>
          <w:highlight w:val="none"/>
        </w:rPr>
        <w:t>验收主体：甲方</w:t>
      </w:r>
    </w:p>
    <w:p w14:paraId="0532B39A">
      <w:pPr>
        <w:pStyle w:val="30"/>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0520CCED">
      <w:pPr>
        <w:pStyle w:val="30"/>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5662597E">
      <w:pPr>
        <w:pStyle w:val="30"/>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161015DC">
      <w:pPr>
        <w:pStyle w:val="30"/>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02235FA9">
      <w:pPr>
        <w:pStyle w:val="30"/>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219757E">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5BD24DD">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043C04B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0D8D661A">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492BED4">
      <w:pPr>
        <w:pStyle w:val="30"/>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0CAF7428">
      <w:pPr>
        <w:pStyle w:val="30"/>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207CB4B">
      <w:pPr>
        <w:pStyle w:val="30"/>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00ECEE4">
      <w:pPr>
        <w:pStyle w:val="30"/>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1323E815">
      <w:pPr>
        <w:pStyle w:val="30"/>
        <w:numPr>
          <w:ilvl w:val="0"/>
          <w:numId w:val="15"/>
        </w:numPr>
        <w:ind w:firstLineChars="0"/>
        <w:contextualSpacing/>
        <w:rPr>
          <w:szCs w:val="21"/>
          <w:highlight w:val="none"/>
        </w:rPr>
      </w:pPr>
      <w:r>
        <w:rPr>
          <w:szCs w:val="21"/>
          <w:highlight w:val="none"/>
        </w:rPr>
        <w:t>验收标准：</w:t>
      </w:r>
    </w:p>
    <w:p w14:paraId="638B2CA4">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6D3C8690">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甲方的采购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6032D3C">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02EB386F">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E0A171">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089E187D">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341E32E0">
      <w:pPr>
        <w:pStyle w:val="30"/>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B02AFC4">
      <w:pPr>
        <w:pStyle w:val="30"/>
        <w:numPr>
          <w:ilvl w:val="0"/>
          <w:numId w:val="14"/>
        </w:numPr>
        <w:ind w:left="0" w:firstLine="0" w:firstLineChars="0"/>
        <w:rPr>
          <w:szCs w:val="21"/>
          <w:highlight w:val="none"/>
        </w:rPr>
      </w:pPr>
      <w:r>
        <w:rPr>
          <w:szCs w:val="21"/>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u w:val="single"/>
        </w:rPr>
        <w:t>10</w:t>
      </w:r>
      <w:r>
        <w:rPr>
          <w:szCs w:val="21"/>
          <w:highlight w:val="none"/>
        </w:rPr>
        <w:t>%的违约金给甲方，违约金不能弥补甲方损失的，乙方应全额赔偿。</w:t>
      </w:r>
    </w:p>
    <w:p w14:paraId="4F49C2C1">
      <w:pPr>
        <w:pStyle w:val="30"/>
        <w:numPr>
          <w:ilvl w:val="0"/>
          <w:numId w:val="12"/>
        </w:numPr>
        <w:ind w:left="0" w:firstLine="0" w:firstLineChars="0"/>
        <w:contextualSpacing/>
        <w:jc w:val="left"/>
        <w:rPr>
          <w:b/>
          <w:szCs w:val="21"/>
          <w:highlight w:val="none"/>
        </w:rPr>
      </w:pPr>
      <w:r>
        <w:rPr>
          <w:b/>
          <w:szCs w:val="21"/>
          <w:highlight w:val="none"/>
        </w:rPr>
        <w:t>付款方式</w:t>
      </w:r>
    </w:p>
    <w:p w14:paraId="42EA8089">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3951D65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w:t>
      </w:r>
      <w:r>
        <w:rPr>
          <w:rFonts w:hint="eastAsia" w:ascii="Times New Roman" w:hAnsi="Times New Roman"/>
          <w:color w:val="000000"/>
          <w:szCs w:val="21"/>
          <w:highlight w:val="none"/>
        </w:rPr>
        <w:t>的</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%支付履约保证金；本合同维保服务</w:t>
      </w:r>
      <w:r>
        <w:rPr>
          <w:rFonts w:hint="eastAsia" w:ascii="Times New Roman" w:hAnsi="Times New Roman"/>
          <w:color w:val="000000"/>
          <w:szCs w:val="21"/>
          <w:highlight w:val="none"/>
        </w:rPr>
        <w:t>结束且验收合格</w:t>
      </w:r>
      <w:r>
        <w:rPr>
          <w:rFonts w:ascii="Times New Roman" w:hAnsi="Times New Roman"/>
          <w:color w:val="000000"/>
          <w:szCs w:val="21"/>
          <w:highlight w:val="none"/>
        </w:rPr>
        <w:t>后，甲方接到乙方付款申请后30个工作日内，甲方一次性无息退还乙方的履约保证金；经验收后乙方履约不合格的，履约保证金不予退还。</w:t>
      </w:r>
    </w:p>
    <w:p w14:paraId="1399C2B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CD0D0C3">
      <w:pPr>
        <w:pStyle w:val="9"/>
        <w:numPr>
          <w:ilvl w:val="0"/>
          <w:numId w:val="17"/>
        </w:numPr>
        <w:spacing w:after="0" w:line="240" w:lineRule="auto"/>
        <w:ind w:left="227" w:leftChars="0" w:hanging="227"/>
        <w:contextualSpacing/>
        <w:jc w:val="left"/>
        <w:rPr>
          <w:szCs w:val="21"/>
          <w:highlight w:val="none"/>
        </w:rPr>
      </w:pPr>
      <w:r>
        <w:rPr>
          <w:szCs w:val="21"/>
          <w:highlight w:val="none"/>
        </w:rPr>
        <w:t>本项目价款采用以下方式支付，以人民币结算：</w:t>
      </w:r>
    </w:p>
    <w:p w14:paraId="41E5853B">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1D3511B6">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维保服务期满且经甲方验收合格</w:t>
      </w:r>
      <w:r>
        <w:rPr>
          <w:rFonts w:ascii="Times New Roman" w:hAnsi="Times New Roman"/>
          <w:szCs w:val="21"/>
          <w:highlight w:val="none"/>
        </w:rPr>
        <w:t>后5日内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17F52E77">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分阶段支付，支付期限及额度如下：</w:t>
      </w:r>
    </w:p>
    <w:p w14:paraId="34043950">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（1）预付款：本合同生效后***个工作日内，甲方预付本合同总价的***%，即人民币（大写） *** 圆整（RMB *** 元）。</w:t>
      </w:r>
    </w:p>
    <w:p w14:paraId="211780BD">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（2）进度款，甲方应当按照下列方式支付进度款：</w:t>
      </w:r>
    </w:p>
    <w:p w14:paraId="1DB2A1DD">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乙方按照本合同约定完成阶段性工作后，甲方应于每一阶段性工作成果验收合格之日起***个工作日内，向乙方支付相应的费用。</w:t>
      </w:r>
    </w:p>
    <w:p w14:paraId="68F84E89">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乙方完成***，甲方支付项目费用总额的***%，即 人民币（大写）*** 圆整（RMB *** 元）。</w:t>
      </w:r>
    </w:p>
    <w:p w14:paraId="18E9C0E7">
      <w:pPr>
        <w:pStyle w:val="16"/>
        <w:spacing w:after="0"/>
        <w:ind w:left="945" w:leftChars="400" w:hanging="105" w:hangingChars="50"/>
        <w:contextualSpacing/>
        <w:jc w:val="left"/>
        <w:rPr>
          <w:rFonts w:ascii="Times New Roman" w:hAnsi="Times New Roman"/>
          <w:color w:val="000000"/>
          <w:szCs w:val="21"/>
          <w:highlight w:val="none"/>
        </w:rPr>
      </w:pPr>
      <w:r>
        <w:rPr>
          <w:rFonts w:ascii="Times New Roman" w:hAnsi="Times New Roman"/>
          <w:color w:val="000000"/>
          <w:szCs w:val="21"/>
          <w:highlight w:val="none"/>
        </w:rPr>
        <w:t>（3）结算款：本合同维保服务结束后，甲方向乙方支付剩余价款人民币（大写）*** 圆整（RMB *** 元）。</w:t>
      </w:r>
    </w:p>
    <w:p w14:paraId="1E07D32D">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w:t>
      </w:r>
      <w:r>
        <w:rPr>
          <w:rFonts w:hint="eastAsia"/>
          <w:color w:val="000000"/>
          <w:szCs w:val="21"/>
          <w:highlight w:val="none"/>
        </w:rPr>
        <w:t>提供合法有效票据及其他相关请款资料</w:t>
      </w:r>
      <w:r>
        <w:rPr>
          <w:szCs w:val="21"/>
          <w:highlight w:val="none"/>
        </w:rPr>
        <w:t>，否则甲方有权拒绝支付且不承担任何违约责任，且乙方不得因此停止工作。</w:t>
      </w:r>
    </w:p>
    <w:p w14:paraId="1F9E191B">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0F35DCD4">
      <w:pPr>
        <w:pStyle w:val="30"/>
        <w:numPr>
          <w:ilvl w:val="0"/>
          <w:numId w:val="12"/>
        </w:numPr>
        <w:ind w:left="0" w:firstLine="0" w:firstLineChars="0"/>
        <w:contextualSpacing/>
        <w:jc w:val="left"/>
        <w:rPr>
          <w:b/>
          <w:szCs w:val="21"/>
          <w:highlight w:val="none"/>
        </w:rPr>
      </w:pPr>
      <w:r>
        <w:rPr>
          <w:b/>
          <w:szCs w:val="21"/>
          <w:highlight w:val="none"/>
        </w:rPr>
        <w:t>双方权利与义务</w:t>
      </w:r>
    </w:p>
    <w:p w14:paraId="20657773">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6FA446B9">
      <w:pPr>
        <w:pStyle w:val="30"/>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0C3A2025">
      <w:pPr>
        <w:pStyle w:val="30"/>
        <w:numPr>
          <w:ilvl w:val="0"/>
          <w:numId w:val="19"/>
        </w:numPr>
        <w:adjustRightInd w:val="0"/>
        <w:ind w:left="525" w:hanging="525" w:hangingChars="250"/>
        <w:contextualSpacing/>
        <w:jc w:val="left"/>
        <w:rPr>
          <w:szCs w:val="21"/>
          <w:highlight w:val="none"/>
        </w:rPr>
      </w:pPr>
      <w:r>
        <w:rPr>
          <w:szCs w:val="21"/>
          <w:highlight w:val="none"/>
        </w:rPr>
        <w:t>保证乙方实施维保服务所必须的外部条件如电源、水源的正常供应及开启、关闭等。</w:t>
      </w:r>
    </w:p>
    <w:p w14:paraId="2CEFE583">
      <w:pPr>
        <w:pStyle w:val="30"/>
        <w:numPr>
          <w:ilvl w:val="0"/>
          <w:numId w:val="19"/>
        </w:numPr>
        <w:adjustRightInd w:val="0"/>
        <w:ind w:left="525" w:hanging="525" w:hangingChars="250"/>
        <w:contextualSpacing/>
        <w:jc w:val="left"/>
        <w:rPr>
          <w:szCs w:val="21"/>
          <w:highlight w:val="none"/>
        </w:rPr>
      </w:pPr>
      <w:r>
        <w:rPr>
          <w:szCs w:val="21"/>
          <w:highlight w:val="none"/>
        </w:rPr>
        <w:t>对于乙方在提供保修保养期间所提供的信息，甲方应予保密，未经乙方书面同意，甲方不得擅自使用或透露给第三方。</w:t>
      </w:r>
    </w:p>
    <w:p w14:paraId="2124AD1D">
      <w:pPr>
        <w:pStyle w:val="30"/>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0A44A3AA">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064778C5">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按本合同约定向甲方提供维保服务。</w:t>
      </w:r>
    </w:p>
    <w:p w14:paraId="6B655A8D">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7EF0C00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乙方应保证</w:t>
      </w:r>
      <w:r>
        <w:rPr>
          <w:rFonts w:hint="eastAsia"/>
          <w:szCs w:val="21"/>
          <w:highlight w:val="none"/>
        </w:rPr>
        <w:t>计算机软件达到</w:t>
      </w:r>
      <w:bookmarkStart w:id="98" w:name="OLE_LINK19"/>
      <w:r>
        <w:rPr>
          <w:rFonts w:hint="eastAsia"/>
          <w:szCs w:val="21"/>
          <w:highlight w:val="none"/>
        </w:rPr>
        <w:t>本项目采购文件中的功能要求和质量标准</w:t>
      </w:r>
      <w:bookmarkEnd w:id="98"/>
      <w:r>
        <w:rPr>
          <w:szCs w:val="21"/>
          <w:highlight w:val="none"/>
        </w:rPr>
        <w:t>，</w:t>
      </w:r>
      <w:r>
        <w:rPr>
          <w:rFonts w:hint="eastAsia"/>
          <w:szCs w:val="21"/>
          <w:highlight w:val="none"/>
        </w:rPr>
        <w:t>且</w:t>
      </w:r>
      <w:r>
        <w:rPr>
          <w:szCs w:val="21"/>
          <w:highlight w:val="none"/>
        </w:rPr>
        <w:t>符合或优于国家（行业）标准。</w:t>
      </w:r>
    </w:p>
    <w:p w14:paraId="7503E206">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如维保服务涉及</w:t>
      </w:r>
      <w:r>
        <w:rPr>
          <w:rFonts w:hint="eastAsia"/>
          <w:szCs w:val="21"/>
          <w:highlight w:val="none"/>
        </w:rPr>
        <w:t>使用其它计</w:t>
      </w:r>
      <w:r>
        <w:rPr>
          <w:szCs w:val="21"/>
          <w:highlight w:val="none"/>
        </w:rPr>
        <w:t>算机软件产品的，乙方须承诺</w:t>
      </w:r>
      <w:r>
        <w:rPr>
          <w:rFonts w:hint="eastAsia"/>
          <w:szCs w:val="21"/>
          <w:highlight w:val="none"/>
        </w:rPr>
        <w:t>所使用</w:t>
      </w:r>
      <w:r>
        <w:rPr>
          <w:szCs w:val="21"/>
          <w:highlight w:val="none"/>
        </w:rPr>
        <w:t>的软件已获得软件厂商的正规授权。</w:t>
      </w:r>
    </w:p>
    <w:p w14:paraId="3102E86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乙方在提供维保服务的过程中，发现</w:t>
      </w:r>
      <w:r>
        <w:rPr>
          <w:rFonts w:hint="eastAsia"/>
          <w:szCs w:val="21"/>
          <w:highlight w:val="none"/>
        </w:rPr>
        <w:t>计算机软件</w:t>
      </w:r>
      <w:r>
        <w:rPr>
          <w:szCs w:val="21"/>
          <w:highlight w:val="none"/>
        </w:rPr>
        <w:t>已经无法通过本合同第</w:t>
      </w:r>
      <w:r>
        <w:rPr>
          <w:rFonts w:hint="eastAsia"/>
          <w:szCs w:val="21"/>
          <w:highlight w:val="none"/>
        </w:rPr>
        <w:t>四</w:t>
      </w:r>
      <w:r>
        <w:rPr>
          <w:szCs w:val="21"/>
          <w:highlight w:val="none"/>
        </w:rPr>
        <w:t>条中说明的维保服务内容达到</w:t>
      </w:r>
      <w:r>
        <w:rPr>
          <w:rFonts w:hint="eastAsia"/>
          <w:szCs w:val="21"/>
          <w:highlight w:val="none"/>
        </w:rPr>
        <w:t>本合同约定的功能要求和质量标准</w:t>
      </w:r>
      <w:r>
        <w:rPr>
          <w:szCs w:val="21"/>
          <w:highlight w:val="none"/>
        </w:rPr>
        <w:t>的情况，乙方须以书面形式告知甲方。</w:t>
      </w:r>
    </w:p>
    <w:p w14:paraId="73696737">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0BFDA794">
      <w:pPr>
        <w:pStyle w:val="30"/>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&lt;本条款中违约金比例可根据项目实际情况确定&gt;</w:t>
      </w:r>
    </w:p>
    <w:p w14:paraId="44FBD3EB">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2318BCBB">
      <w:pPr>
        <w:pStyle w:val="30"/>
        <w:numPr>
          <w:ilvl w:val="0"/>
          <w:numId w:val="21"/>
        </w:numPr>
        <w:ind w:left="0" w:firstLine="0" w:firstLineChars="0"/>
        <w:rPr>
          <w:szCs w:val="21"/>
          <w:highlight w:val="none"/>
        </w:rPr>
      </w:pPr>
      <w:r>
        <w:rPr>
          <w:szCs w:val="21"/>
          <w:highlight w:val="none"/>
        </w:rPr>
        <w:t>乙方违约责任：</w:t>
      </w:r>
    </w:p>
    <w:p w14:paraId="43F1FFB8">
      <w:pPr>
        <w:pStyle w:val="9"/>
        <w:numPr>
          <w:ilvl w:val="0"/>
          <w:numId w:val="22"/>
        </w:numPr>
        <w:spacing w:after="0" w:line="240" w:lineRule="auto"/>
        <w:ind w:left="525" w:leftChars="0" w:hanging="525" w:hangingChars="250"/>
        <w:contextualSpacing/>
        <w:jc w:val="left"/>
        <w:rPr>
          <w:szCs w:val="21"/>
          <w:highlight w:val="none"/>
        </w:rPr>
      </w:pPr>
      <w:bookmarkStart w:id="99" w:name="OLE_LINK18"/>
      <w:bookmarkStart w:id="100" w:name="OLE_LINK17"/>
      <w:r>
        <w:rPr>
          <w:szCs w:val="21"/>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3B7EA59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w:t>
      </w:r>
      <w:r>
        <w:rPr>
          <w:rFonts w:hint="eastAsia"/>
          <w:szCs w:val="21"/>
          <w:highlight w:val="none"/>
        </w:rPr>
        <w:t>提供</w:t>
      </w:r>
      <w:r>
        <w:rPr>
          <w:szCs w:val="21"/>
          <w:highlight w:val="none"/>
        </w:rPr>
        <w:t>维保服务</w:t>
      </w:r>
      <w:r>
        <w:rPr>
          <w:rFonts w:hint="eastAsia"/>
          <w:szCs w:val="21"/>
          <w:highlight w:val="none"/>
        </w:rPr>
        <w:t>后计算机软件</w:t>
      </w:r>
      <w:r>
        <w:rPr>
          <w:szCs w:val="21"/>
          <w:highlight w:val="none"/>
        </w:rPr>
        <w:t>在正常使用情况下出现质量原因导致甲方或第三方财产或人身损害的，由乙方承担赔偿责任。</w:t>
      </w:r>
    </w:p>
    <w:p w14:paraId="04A47C83">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392919B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在本合同履行中，计算机软件出现故障时，如乙方在接到甲方或使用单位通知后，在本合同第三条中写明的响应时间内，没有作出响应措施，每发生一次，乙方应按</w:t>
      </w:r>
      <w:r>
        <w:rPr>
          <w:rFonts w:hint="eastAsia"/>
          <w:szCs w:val="21"/>
          <w:highlight w:val="none"/>
        </w:rPr>
        <w:t>合同总金额</w:t>
      </w:r>
      <w:r>
        <w:rPr>
          <w:szCs w:val="21"/>
          <w:highlight w:val="none"/>
        </w:rPr>
        <w:t>的</w:t>
      </w:r>
      <w:r>
        <w:rPr>
          <w:szCs w:val="21"/>
          <w:highlight w:val="none"/>
          <w:u w:val="single"/>
        </w:rPr>
        <w:t>***</w:t>
      </w:r>
      <w:r>
        <w:rPr>
          <w:rFonts w:hint="eastAsia"/>
          <w:szCs w:val="21"/>
          <w:highlight w:val="none"/>
          <w:u w:val="none"/>
        </w:rPr>
        <w:t>‰</w:t>
      </w:r>
      <w:r>
        <w:rPr>
          <w:szCs w:val="21"/>
          <w:highlight w:val="none"/>
        </w:rPr>
        <w:t>向甲方支付违约金。甲方可采取必要的补救措施，但由此而产生的风险责任和费用将由乙方负担，甲方根据合同规定对乙方行使的其他权利不受影响。</w:t>
      </w:r>
    </w:p>
    <w:p w14:paraId="6E1BD5E6">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bookmarkStart w:id="101" w:name="OLE_LINK20"/>
      <w:r>
        <w:rPr>
          <w:rFonts w:hint="eastAsia"/>
          <w:szCs w:val="21"/>
          <w:highlight w:val="none"/>
        </w:rPr>
        <w:t>提供维保服务</w:t>
      </w:r>
      <w:bookmarkEnd w:id="101"/>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侵犯他人知识产权，甲方有权单方解除合同，并要求乙方赔偿所造成的损失，同时甲方有权要求对方按照合同总金额的</w:t>
      </w:r>
      <w:r>
        <w:rPr>
          <w:rFonts w:hint="eastAsia"/>
          <w:szCs w:val="21"/>
          <w:highlight w:val="none"/>
          <w:u w:val="single"/>
        </w:rPr>
        <w:t>10</w:t>
      </w:r>
      <w:r>
        <w:rPr>
          <w:szCs w:val="21"/>
          <w:highlight w:val="none"/>
        </w:rPr>
        <w:t>%</w:t>
      </w:r>
      <w:r>
        <w:rPr>
          <w:rFonts w:hint="eastAsia"/>
          <w:szCs w:val="21"/>
          <w:highlight w:val="none"/>
        </w:rPr>
        <w:t>支付</w:t>
      </w:r>
      <w:r>
        <w:rPr>
          <w:szCs w:val="21"/>
          <w:highlight w:val="none"/>
        </w:rPr>
        <w:t>违约金。</w:t>
      </w:r>
    </w:p>
    <w:p w14:paraId="3CE9D77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rPr>
        <w:t>合同总金额的</w:t>
      </w:r>
      <w:r>
        <w:rPr>
          <w:rFonts w:hint="eastAsia"/>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99"/>
    <w:bookmarkEnd w:id="100"/>
    <w:p w14:paraId="71FC7E7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1C7787E0">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18EBB87E">
      <w:pPr>
        <w:pStyle w:val="9"/>
        <w:numPr>
          <w:ilvl w:val="0"/>
          <w:numId w:val="22"/>
        </w:numPr>
        <w:snapToGrid w:val="0"/>
        <w:spacing w:after="0" w:line="240" w:lineRule="auto"/>
        <w:ind w:left="525" w:leftChars="0" w:hanging="525" w:hangingChars="250"/>
        <w:contextualSpacing/>
        <w:jc w:val="left"/>
        <w:rPr>
          <w:rFonts w:hint="eastAsia"/>
          <w:szCs w:val="21"/>
          <w:highlight w:val="none"/>
        </w:rPr>
      </w:pPr>
      <w:r>
        <w:rPr>
          <w:rFonts w:hint="eastAsia"/>
          <w:szCs w:val="21"/>
          <w:highlight w:val="none"/>
        </w:rPr>
        <w:t>如本</w:t>
      </w:r>
      <w:r>
        <w:rPr>
          <w:rFonts w:ascii="宋体" w:hAnsi="宋体" w:cs="微软雅黑"/>
          <w:szCs w:val="21"/>
          <w:highlight w:val="none"/>
        </w:rPr>
        <w:t>合同</w:t>
      </w:r>
      <w:r>
        <w:rPr>
          <w:rFonts w:hint="eastAsia" w:ascii="宋体" w:hAnsi="宋体"/>
          <w:szCs w:val="21"/>
          <w:highlight w:val="none"/>
        </w:rPr>
        <w:t>要</w:t>
      </w:r>
      <w:r>
        <w:rPr>
          <w:rFonts w:hint="eastAsia"/>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33C15B0">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E11DDF7">
      <w:pPr>
        <w:pStyle w:val="30"/>
        <w:numPr>
          <w:ilvl w:val="0"/>
          <w:numId w:val="12"/>
        </w:numPr>
        <w:ind w:left="0" w:firstLine="0" w:firstLineChars="0"/>
        <w:contextualSpacing/>
        <w:jc w:val="left"/>
        <w:rPr>
          <w:b/>
          <w:szCs w:val="21"/>
          <w:highlight w:val="none"/>
        </w:rPr>
      </w:pPr>
      <w:r>
        <w:rPr>
          <w:b/>
          <w:szCs w:val="21"/>
          <w:highlight w:val="none"/>
        </w:rPr>
        <w:t>不可抗力</w:t>
      </w:r>
    </w:p>
    <w:p w14:paraId="0E7D5840">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lang w:val="en-US" w:eastAsia="zh-CN"/>
        </w:rPr>
        <w:t>日</w:t>
      </w:r>
      <w:r>
        <w:rPr>
          <w:bCs/>
          <w:szCs w:val="21"/>
          <w:highlight w:val="none"/>
        </w:rPr>
        <w:t>，甲方有权解除合同，双方互不承担违约责任。</w:t>
      </w:r>
    </w:p>
    <w:p w14:paraId="79AF4B1D">
      <w:pPr>
        <w:pStyle w:val="30"/>
        <w:numPr>
          <w:ilvl w:val="0"/>
          <w:numId w:val="12"/>
        </w:numPr>
        <w:ind w:left="0" w:firstLine="0" w:firstLineChars="0"/>
        <w:contextualSpacing/>
        <w:jc w:val="left"/>
        <w:rPr>
          <w:b/>
          <w:szCs w:val="21"/>
          <w:highlight w:val="none"/>
        </w:rPr>
      </w:pPr>
      <w:r>
        <w:rPr>
          <w:b/>
          <w:szCs w:val="21"/>
          <w:highlight w:val="none"/>
        </w:rPr>
        <w:t>合同终止及解除</w:t>
      </w:r>
    </w:p>
    <w:p w14:paraId="54E19CC2">
      <w:pPr>
        <w:pStyle w:val="30"/>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30"/>
        <w:numPr>
          <w:ilvl w:val="0"/>
          <w:numId w:val="23"/>
        </w:numPr>
        <w:ind w:left="0" w:firstLine="0" w:firstLineChars="0"/>
        <w:rPr>
          <w:szCs w:val="21"/>
          <w:highlight w:val="none"/>
        </w:rPr>
      </w:pPr>
      <w:r>
        <w:rPr>
          <w:szCs w:val="21"/>
          <w:highlight w:val="none"/>
        </w:rPr>
        <w:t>在甲、乙任何一方有严重违约行为时，另一方有权单方解除合同。</w:t>
      </w:r>
    </w:p>
    <w:p w14:paraId="4B71AFAF">
      <w:pPr>
        <w:pStyle w:val="30"/>
        <w:numPr>
          <w:ilvl w:val="0"/>
          <w:numId w:val="12"/>
        </w:numPr>
        <w:ind w:left="0" w:firstLine="0" w:firstLineChars="0"/>
        <w:contextualSpacing/>
        <w:jc w:val="left"/>
        <w:rPr>
          <w:b/>
          <w:szCs w:val="21"/>
          <w:highlight w:val="none"/>
        </w:rPr>
      </w:pPr>
      <w:r>
        <w:rPr>
          <w:b/>
          <w:szCs w:val="21"/>
          <w:highlight w:val="none"/>
        </w:rPr>
        <w:t>争议解决办法</w:t>
      </w:r>
    </w:p>
    <w:p w14:paraId="636DABCE">
      <w:pPr>
        <w:pStyle w:val="30"/>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0164F8DF">
      <w:pPr>
        <w:pStyle w:val="30"/>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19AC403B">
      <w:pPr>
        <w:pStyle w:val="30"/>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0028DA46">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3A4A6F4F">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549CEA8D">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30"/>
        <w:numPr>
          <w:ilvl w:val="0"/>
          <w:numId w:val="12"/>
        </w:numPr>
        <w:ind w:left="0" w:firstLine="0" w:firstLineChars="0"/>
        <w:contextualSpacing/>
        <w:jc w:val="left"/>
        <w:rPr>
          <w:b/>
          <w:szCs w:val="21"/>
          <w:highlight w:val="none"/>
        </w:rPr>
      </w:pPr>
      <w:r>
        <w:rPr>
          <w:b/>
          <w:szCs w:val="21"/>
          <w:highlight w:val="none"/>
        </w:rPr>
        <w:t>其他</w:t>
      </w:r>
    </w:p>
    <w:p w14:paraId="601ABAEC">
      <w:pPr>
        <w:pStyle w:val="30"/>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7C81D7BB">
      <w:pPr>
        <w:pStyle w:val="30"/>
        <w:numPr>
          <w:ilvl w:val="0"/>
          <w:numId w:val="26"/>
        </w:numPr>
        <w:ind w:left="0" w:firstLine="0" w:firstLineChars="0"/>
        <w:rPr>
          <w:szCs w:val="21"/>
          <w:highlight w:val="none"/>
        </w:rPr>
      </w:pPr>
      <w:r>
        <w:rPr>
          <w:szCs w:val="21"/>
          <w:highlight w:val="none"/>
        </w:rPr>
        <w:t>本合同一式四份，自双方</w:t>
      </w:r>
      <w:r>
        <w:rPr>
          <w:rFonts w:hint="eastAsia" w:ascii="Times New Roman" w:hAnsi="Times New Roman"/>
          <w:szCs w:val="21"/>
          <w:highlight w:val="none"/>
          <w:lang w:val="en-US" w:eastAsia="zh-CN"/>
        </w:rPr>
        <w:t>签字且盖章</w:t>
      </w:r>
      <w:r>
        <w:rPr>
          <w:szCs w:val="21"/>
          <w:highlight w:val="none"/>
        </w:rPr>
        <w:t>之日起生效。甲方三份，乙方一份。</w:t>
      </w:r>
    </w:p>
    <w:p w14:paraId="1C3E25A2">
      <w:pPr>
        <w:pStyle w:val="30"/>
        <w:numPr>
          <w:ilvl w:val="0"/>
          <w:numId w:val="12"/>
        </w:numPr>
        <w:ind w:left="0" w:firstLine="0" w:firstLineChars="0"/>
        <w:contextualSpacing/>
        <w:jc w:val="left"/>
        <w:rPr>
          <w:b/>
          <w:szCs w:val="21"/>
          <w:highlight w:val="none"/>
        </w:rPr>
      </w:pPr>
      <w:r>
        <w:rPr>
          <w:b/>
          <w:szCs w:val="21"/>
          <w:highlight w:val="none"/>
        </w:rPr>
        <w:t>合同附件</w:t>
      </w:r>
    </w:p>
    <w:p w14:paraId="1DBAAE15">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1DB519AC">
      <w:pPr>
        <w:jc w:val="left"/>
        <w:outlineLvl w:val="0"/>
        <w:rPr>
          <w:szCs w:val="21"/>
          <w:highlight w:val="none"/>
        </w:rPr>
      </w:pPr>
      <w:r>
        <w:rPr>
          <w:rFonts w:hint="eastAsia"/>
          <w:szCs w:val="21"/>
          <w:highlight w:val="none"/>
        </w:rPr>
        <w:t>附件1《</w:t>
      </w:r>
      <w:bookmarkStart w:id="102" w:name="OLE_LINK32"/>
      <w:r>
        <w:rPr>
          <w:rFonts w:hint="eastAsia"/>
          <w:szCs w:val="21"/>
          <w:highlight w:val="none"/>
        </w:rPr>
        <w:t>结算单价清单</w:t>
      </w:r>
      <w:bookmarkEnd w:id="102"/>
      <w:r>
        <w:rPr>
          <w:rFonts w:hint="eastAsia"/>
          <w:szCs w:val="21"/>
          <w:highlight w:val="none"/>
        </w:rPr>
        <w:t>》</w:t>
      </w:r>
    </w:p>
    <w:p w14:paraId="47A69E3F">
      <w:pPr>
        <w:jc w:val="left"/>
        <w:outlineLvl w:val="0"/>
        <w:rPr>
          <w:szCs w:val="21"/>
          <w:highlight w:val="none"/>
        </w:rPr>
      </w:pPr>
      <w:r>
        <w:rPr>
          <w:rFonts w:hint="eastAsia"/>
          <w:szCs w:val="21"/>
          <w:highlight w:val="none"/>
        </w:rPr>
        <w:t>附件2《考核标准》</w:t>
      </w:r>
    </w:p>
    <w:p w14:paraId="5E11AAA8">
      <w:pPr>
        <w:jc w:val="left"/>
        <w:outlineLvl w:val="0"/>
        <w:rPr>
          <w:szCs w:val="21"/>
        </w:rPr>
      </w:pPr>
      <w:r>
        <w:rPr>
          <w:szCs w:val="21"/>
        </w:rPr>
        <w:t>附件3《服务</w:t>
      </w:r>
      <w:r>
        <w:rPr>
          <w:rFonts w:hint="eastAsia"/>
          <w:szCs w:val="21"/>
        </w:rPr>
        <w:t>方案</w:t>
      </w:r>
      <w:r>
        <w:rPr>
          <w:szCs w:val="21"/>
        </w:rPr>
        <w:t>》</w:t>
      </w:r>
    </w:p>
    <w:p w14:paraId="15C4B529">
      <w:pPr>
        <w:jc w:val="left"/>
        <w:outlineLvl w:val="0"/>
        <w:rPr>
          <w:szCs w:val="21"/>
        </w:rPr>
      </w:pPr>
    </w:p>
    <w:p w14:paraId="3666B086">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rPr>
                <w:szCs w:val="21"/>
              </w:rPr>
            </w:pPr>
            <w:r>
              <w:rPr>
                <w:szCs w:val="21"/>
              </w:rPr>
              <w:t>签订时间：</w:t>
            </w:r>
            <w:r>
              <w:t>202</w:t>
            </w:r>
            <w:r>
              <w:rPr>
                <w:rFonts w:hint="eastAsia"/>
              </w:rPr>
              <w:t>*</w:t>
            </w:r>
            <w:r>
              <w:rPr>
                <w:szCs w:val="21"/>
              </w:rPr>
              <w:t>年***月***日</w:t>
            </w:r>
          </w:p>
        </w:tc>
      </w:tr>
      <w:tr w14:paraId="7BC71E8E">
        <w:tblPrEx>
          <w:tblCellMar>
            <w:top w:w="0" w:type="dxa"/>
            <w:left w:w="0" w:type="dxa"/>
            <w:bottom w:w="0" w:type="dxa"/>
            <w:right w:w="0" w:type="dxa"/>
          </w:tblCellMar>
        </w:tblPrEx>
        <w:trPr>
          <w:jc w:val="center"/>
        </w:trPr>
        <w:tc>
          <w:tcPr>
            <w:tcW w:w="4967" w:type="dxa"/>
          </w:tcPr>
          <w:p w14:paraId="73AF9764">
            <w:pPr>
              <w:rPr>
                <w:szCs w:val="21"/>
              </w:rPr>
            </w:pPr>
            <w:r>
              <w:rPr>
                <w:szCs w:val="21"/>
              </w:rPr>
              <w:t>甲方：四川省人民医院（盖章）</w:t>
            </w:r>
          </w:p>
          <w:p w14:paraId="324FD79B">
            <w:pPr>
              <w:rPr>
                <w:szCs w:val="21"/>
              </w:rPr>
            </w:pPr>
            <w:r>
              <w:rPr>
                <w:szCs w:val="21"/>
              </w:rPr>
              <w:t>法定代表人（授权代表签字）：</w:t>
            </w:r>
          </w:p>
          <w:p w14:paraId="3C0F2DF3">
            <w:pPr>
              <w:rPr>
                <w:szCs w:val="21"/>
              </w:rPr>
            </w:pPr>
            <w:r>
              <w:rPr>
                <w:szCs w:val="21"/>
              </w:rPr>
              <w:t>地    址：四川省成都市一环路西二段32号</w:t>
            </w:r>
          </w:p>
          <w:p w14:paraId="2D62988C">
            <w:pPr>
              <w:rPr>
                <w:szCs w:val="21"/>
              </w:rPr>
            </w:pPr>
            <w:r>
              <w:rPr>
                <w:szCs w:val="21"/>
              </w:rPr>
              <w:t>开户银行：建设银行成都青羊支行</w:t>
            </w:r>
          </w:p>
          <w:p w14:paraId="3A830176">
            <w:pPr>
              <w:rPr>
                <w:szCs w:val="21"/>
              </w:rPr>
            </w:pPr>
            <w:r>
              <w:rPr>
                <w:szCs w:val="21"/>
              </w:rPr>
              <w:t>账号：5100 1446 4360 5037 4282</w:t>
            </w:r>
          </w:p>
        </w:tc>
        <w:tc>
          <w:tcPr>
            <w:tcW w:w="5247" w:type="dxa"/>
          </w:tcPr>
          <w:p w14:paraId="4EDBD419">
            <w:pPr>
              <w:rPr>
                <w:szCs w:val="21"/>
              </w:rPr>
            </w:pPr>
            <w:r>
              <w:rPr>
                <w:szCs w:val="21"/>
              </w:rPr>
              <w:t>乙方：</w:t>
            </w:r>
            <w:permStart w:id="3" w:edGrp="everyone"/>
            <w:r>
              <w:rPr>
                <w:szCs w:val="21"/>
              </w:rPr>
              <w:t>***</w:t>
            </w:r>
            <w:permEnd w:id="3"/>
            <w:r>
              <w:rPr>
                <w:szCs w:val="21"/>
              </w:rPr>
              <w:t>（盖章）</w:t>
            </w:r>
          </w:p>
          <w:p w14:paraId="6264A0D1">
            <w:pPr>
              <w:rPr>
                <w:szCs w:val="21"/>
              </w:rPr>
            </w:pPr>
            <w:r>
              <w:rPr>
                <w:szCs w:val="21"/>
              </w:rPr>
              <w:t>法定代表人（授权代表签字）：</w:t>
            </w:r>
          </w:p>
          <w:p w14:paraId="497A54AE">
            <w:pPr>
              <w:rPr>
                <w:szCs w:val="21"/>
              </w:rPr>
            </w:pPr>
            <w:r>
              <w:rPr>
                <w:szCs w:val="21"/>
              </w:rPr>
              <w:t>地址：</w:t>
            </w:r>
            <w:permStart w:id="4" w:edGrp="everyone"/>
            <w:r>
              <w:rPr>
                <w:szCs w:val="21"/>
              </w:rPr>
              <w:t>***</w:t>
            </w:r>
            <w:permEnd w:id="4"/>
          </w:p>
          <w:p w14:paraId="750F807B">
            <w:pPr>
              <w:rPr>
                <w:szCs w:val="21"/>
              </w:rPr>
            </w:pPr>
            <w:r>
              <w:rPr>
                <w:szCs w:val="21"/>
              </w:rPr>
              <w:t>开户银行：</w:t>
            </w:r>
            <w:permStart w:id="5" w:edGrp="everyone"/>
            <w:r>
              <w:rPr>
                <w:szCs w:val="21"/>
              </w:rPr>
              <w:t>***</w:t>
            </w:r>
          </w:p>
          <w:permEnd w:id="5"/>
          <w:p w14:paraId="6EC0F6C0">
            <w:pPr>
              <w:widowControl/>
              <w:jc w:val="left"/>
            </w:pPr>
            <w:r>
              <w:rPr>
                <w:szCs w:val="21"/>
              </w:rPr>
              <w:t>账号：</w:t>
            </w:r>
            <w:permStart w:id="6" w:edGrp="everyone"/>
            <w:r>
              <w:rPr>
                <w:szCs w:val="21"/>
              </w:rPr>
              <w:t>***</w:t>
            </w:r>
            <w:permEnd w:id="6"/>
          </w:p>
        </w:tc>
      </w:tr>
    </w:tbl>
    <w:p w14:paraId="7D531678">
      <w:pPr>
        <w:jc w:val="left"/>
        <w:outlineLvl w:val="0"/>
        <w:rPr>
          <w:b/>
          <w:bCs/>
          <w:szCs w:val="21"/>
        </w:rPr>
        <w:sectPr>
          <w:footerReference r:id="rId8" w:type="default"/>
          <w:type w:val="continuous"/>
          <w:pgSz w:w="11906" w:h="16838"/>
          <w:pgMar w:top="851" w:right="1134" w:bottom="851" w:left="1134" w:header="0" w:footer="567" w:gutter="0"/>
          <w:pgNumType w:fmt="decimal"/>
          <w:cols w:space="425" w:num="1"/>
          <w:docGrid w:linePitch="312" w:charSpace="0"/>
        </w:sectPr>
      </w:pPr>
    </w:p>
    <w:p w14:paraId="5AA342DA">
      <w:pPr>
        <w:widowControl/>
        <w:jc w:val="left"/>
        <w:rPr>
          <w:b/>
          <w:bCs/>
          <w:szCs w:val="21"/>
          <w:highlight w:val="none"/>
        </w:rPr>
      </w:pPr>
      <w:r>
        <w:rPr>
          <w:b/>
          <w:bCs/>
          <w:szCs w:val="21"/>
        </w:rPr>
        <w:t>附件</w:t>
      </w:r>
      <w:r>
        <w:rPr>
          <w:rFonts w:hint="eastAsia"/>
          <w:b/>
          <w:bCs/>
          <w:szCs w:val="21"/>
        </w:rPr>
        <w:t>1</w:t>
      </w:r>
      <w:r>
        <w:rPr>
          <w:b/>
          <w:bCs/>
          <w:szCs w:val="21"/>
        </w:rPr>
        <w:t>：</w:t>
      </w:r>
      <w:r>
        <w:rPr>
          <w:rFonts w:hint="eastAsia"/>
          <w:b/>
          <w:bCs/>
          <w:szCs w:val="21"/>
        </w:rPr>
        <w:t>结算单价清</w:t>
      </w:r>
      <w:r>
        <w:rPr>
          <w:rFonts w:hint="eastAsia"/>
          <w:b/>
          <w:bCs/>
          <w:szCs w:val="21"/>
          <w:highlight w:val="none"/>
        </w:rPr>
        <w:t>单（人民币：元）</w:t>
      </w:r>
      <w:r>
        <w:rPr>
          <w:rFonts w:hint="eastAsia"/>
          <w:b/>
          <w:bCs/>
          <w:i/>
          <w:iCs/>
          <w:szCs w:val="21"/>
          <w:highlight w:val="none"/>
        </w:rPr>
        <w:t>&lt;根据项目实际情况编制</w:t>
      </w:r>
      <w:r>
        <w:rPr>
          <w:b/>
          <w:bCs/>
          <w:i/>
          <w:iCs/>
          <w:szCs w:val="21"/>
          <w:highlight w:val="none"/>
        </w:rPr>
        <w:t>&gt;</w:t>
      </w:r>
    </w:p>
    <w:p w14:paraId="44487AEA">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7856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BA0350E">
            <w:pPr>
              <w:widowControl/>
              <w:jc w:val="center"/>
              <w:rPr>
                <w:b/>
                <w:bCs/>
                <w:szCs w:val="21"/>
                <w:highlight w:val="none"/>
              </w:rPr>
            </w:pPr>
            <w:r>
              <w:rPr>
                <w:rFonts w:hint="eastAsia"/>
                <w:b/>
                <w:bCs/>
                <w:szCs w:val="21"/>
                <w:highlight w:val="none"/>
              </w:rPr>
              <w:t>序号</w:t>
            </w:r>
          </w:p>
        </w:tc>
        <w:tc>
          <w:tcPr>
            <w:tcW w:w="3686" w:type="dxa"/>
            <w:vAlign w:val="center"/>
          </w:tcPr>
          <w:p w14:paraId="3C202FF4">
            <w:pPr>
              <w:widowControl/>
              <w:jc w:val="center"/>
              <w:rPr>
                <w:b/>
                <w:bCs/>
                <w:szCs w:val="21"/>
                <w:highlight w:val="none"/>
              </w:rPr>
            </w:pPr>
            <w:r>
              <w:rPr>
                <w:rFonts w:hint="eastAsia"/>
                <w:b/>
                <w:bCs/>
                <w:szCs w:val="21"/>
                <w:highlight w:val="none"/>
              </w:rPr>
              <w:t>结算项目名称</w:t>
            </w:r>
          </w:p>
        </w:tc>
        <w:tc>
          <w:tcPr>
            <w:tcW w:w="3402" w:type="dxa"/>
            <w:vAlign w:val="center"/>
          </w:tcPr>
          <w:p w14:paraId="39DC83A0">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5BB25EC0">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64E9CC7B">
            <w:pPr>
              <w:widowControl/>
              <w:jc w:val="center"/>
              <w:rPr>
                <w:b/>
                <w:bCs/>
                <w:szCs w:val="21"/>
                <w:highlight w:val="none"/>
              </w:rPr>
            </w:pPr>
            <w:r>
              <w:rPr>
                <w:rFonts w:hint="eastAsia"/>
                <w:b/>
                <w:bCs/>
                <w:szCs w:val="21"/>
                <w:highlight w:val="none"/>
              </w:rPr>
              <w:t>结算单价</w:t>
            </w:r>
          </w:p>
        </w:tc>
      </w:tr>
      <w:tr w14:paraId="3FD9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383960">
            <w:pPr>
              <w:widowControl/>
              <w:jc w:val="center"/>
              <w:rPr>
                <w:szCs w:val="21"/>
                <w:highlight w:val="none"/>
              </w:rPr>
            </w:pPr>
            <w:r>
              <w:rPr>
                <w:rFonts w:hint="eastAsia"/>
                <w:szCs w:val="21"/>
                <w:highlight w:val="none"/>
              </w:rPr>
              <w:t>1</w:t>
            </w:r>
          </w:p>
        </w:tc>
        <w:tc>
          <w:tcPr>
            <w:tcW w:w="3686" w:type="dxa"/>
            <w:vAlign w:val="center"/>
          </w:tcPr>
          <w:p w14:paraId="0FFDE248">
            <w:pPr>
              <w:widowControl/>
              <w:jc w:val="left"/>
              <w:rPr>
                <w:szCs w:val="21"/>
                <w:highlight w:val="none"/>
              </w:rPr>
            </w:pPr>
          </w:p>
        </w:tc>
        <w:tc>
          <w:tcPr>
            <w:tcW w:w="3402" w:type="dxa"/>
            <w:vAlign w:val="center"/>
          </w:tcPr>
          <w:p w14:paraId="19DEA5CC">
            <w:pPr>
              <w:widowControl/>
              <w:jc w:val="left"/>
              <w:rPr>
                <w:szCs w:val="21"/>
                <w:highlight w:val="none"/>
              </w:rPr>
            </w:pPr>
          </w:p>
        </w:tc>
        <w:tc>
          <w:tcPr>
            <w:tcW w:w="992" w:type="dxa"/>
            <w:vAlign w:val="center"/>
          </w:tcPr>
          <w:p w14:paraId="0D8B3B16">
            <w:pPr>
              <w:widowControl/>
              <w:jc w:val="center"/>
              <w:rPr>
                <w:szCs w:val="21"/>
                <w:highlight w:val="none"/>
              </w:rPr>
            </w:pPr>
          </w:p>
        </w:tc>
        <w:tc>
          <w:tcPr>
            <w:tcW w:w="986" w:type="dxa"/>
            <w:vAlign w:val="center"/>
          </w:tcPr>
          <w:p w14:paraId="31666268">
            <w:pPr>
              <w:widowControl/>
              <w:jc w:val="center"/>
              <w:rPr>
                <w:szCs w:val="21"/>
                <w:highlight w:val="none"/>
              </w:rPr>
            </w:pPr>
          </w:p>
        </w:tc>
      </w:tr>
      <w:tr w14:paraId="1F1F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0F48B3">
            <w:pPr>
              <w:widowControl/>
              <w:jc w:val="center"/>
              <w:rPr>
                <w:szCs w:val="21"/>
                <w:highlight w:val="none"/>
              </w:rPr>
            </w:pPr>
            <w:r>
              <w:rPr>
                <w:rFonts w:hint="eastAsia"/>
                <w:szCs w:val="21"/>
                <w:highlight w:val="none"/>
              </w:rPr>
              <w:t>2</w:t>
            </w:r>
          </w:p>
        </w:tc>
        <w:tc>
          <w:tcPr>
            <w:tcW w:w="3686" w:type="dxa"/>
            <w:vAlign w:val="center"/>
          </w:tcPr>
          <w:p w14:paraId="6D64B34C">
            <w:pPr>
              <w:widowControl/>
              <w:jc w:val="left"/>
              <w:rPr>
                <w:szCs w:val="21"/>
                <w:highlight w:val="none"/>
              </w:rPr>
            </w:pPr>
          </w:p>
        </w:tc>
        <w:tc>
          <w:tcPr>
            <w:tcW w:w="3402" w:type="dxa"/>
            <w:vAlign w:val="center"/>
          </w:tcPr>
          <w:p w14:paraId="4B3F5442">
            <w:pPr>
              <w:widowControl/>
              <w:jc w:val="left"/>
              <w:rPr>
                <w:szCs w:val="21"/>
                <w:highlight w:val="none"/>
              </w:rPr>
            </w:pPr>
          </w:p>
        </w:tc>
        <w:tc>
          <w:tcPr>
            <w:tcW w:w="992" w:type="dxa"/>
            <w:vAlign w:val="center"/>
          </w:tcPr>
          <w:p w14:paraId="5790464F">
            <w:pPr>
              <w:widowControl/>
              <w:jc w:val="center"/>
              <w:rPr>
                <w:szCs w:val="21"/>
                <w:highlight w:val="none"/>
              </w:rPr>
            </w:pPr>
          </w:p>
        </w:tc>
        <w:tc>
          <w:tcPr>
            <w:tcW w:w="986" w:type="dxa"/>
            <w:vAlign w:val="center"/>
          </w:tcPr>
          <w:p w14:paraId="54E638D6">
            <w:pPr>
              <w:widowControl/>
              <w:jc w:val="center"/>
              <w:rPr>
                <w:szCs w:val="21"/>
                <w:highlight w:val="none"/>
              </w:rPr>
            </w:pPr>
          </w:p>
        </w:tc>
      </w:tr>
      <w:tr w14:paraId="7A48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08F98DA">
            <w:pPr>
              <w:widowControl/>
              <w:jc w:val="center"/>
              <w:rPr>
                <w:szCs w:val="21"/>
                <w:highlight w:val="none"/>
              </w:rPr>
            </w:pPr>
            <w:r>
              <w:rPr>
                <w:szCs w:val="21"/>
                <w:highlight w:val="none"/>
              </w:rPr>
              <w:t>…</w:t>
            </w:r>
          </w:p>
        </w:tc>
        <w:tc>
          <w:tcPr>
            <w:tcW w:w="3686" w:type="dxa"/>
            <w:vAlign w:val="center"/>
          </w:tcPr>
          <w:p w14:paraId="6FE79B77">
            <w:pPr>
              <w:widowControl/>
              <w:jc w:val="left"/>
              <w:rPr>
                <w:szCs w:val="21"/>
                <w:highlight w:val="none"/>
              </w:rPr>
            </w:pPr>
          </w:p>
        </w:tc>
        <w:tc>
          <w:tcPr>
            <w:tcW w:w="3402" w:type="dxa"/>
            <w:vAlign w:val="center"/>
          </w:tcPr>
          <w:p w14:paraId="23440DE2">
            <w:pPr>
              <w:widowControl/>
              <w:jc w:val="left"/>
              <w:rPr>
                <w:szCs w:val="21"/>
                <w:highlight w:val="none"/>
              </w:rPr>
            </w:pPr>
          </w:p>
        </w:tc>
        <w:tc>
          <w:tcPr>
            <w:tcW w:w="992" w:type="dxa"/>
            <w:vAlign w:val="center"/>
          </w:tcPr>
          <w:p w14:paraId="04D54F14">
            <w:pPr>
              <w:widowControl/>
              <w:jc w:val="center"/>
              <w:rPr>
                <w:szCs w:val="21"/>
                <w:highlight w:val="none"/>
              </w:rPr>
            </w:pPr>
          </w:p>
        </w:tc>
        <w:tc>
          <w:tcPr>
            <w:tcW w:w="986" w:type="dxa"/>
            <w:vAlign w:val="center"/>
          </w:tcPr>
          <w:p w14:paraId="064759AF">
            <w:pPr>
              <w:widowControl/>
              <w:jc w:val="center"/>
              <w:rPr>
                <w:szCs w:val="21"/>
                <w:highlight w:val="none"/>
              </w:rPr>
            </w:pPr>
          </w:p>
        </w:tc>
      </w:tr>
    </w:tbl>
    <w:p w14:paraId="44FF0B10">
      <w:pPr>
        <w:widowControl/>
        <w:jc w:val="left"/>
        <w:rPr>
          <w:szCs w:val="21"/>
          <w:highlight w:val="none"/>
        </w:rPr>
        <w:sectPr>
          <w:pgSz w:w="11906" w:h="16838"/>
          <w:pgMar w:top="851" w:right="1134" w:bottom="851" w:left="1134" w:header="0" w:footer="567" w:gutter="0"/>
          <w:pgNumType w:fmt="decimal"/>
          <w:cols w:space="425" w:num="1"/>
          <w:docGrid w:linePitch="312" w:charSpace="0"/>
        </w:sectPr>
      </w:pPr>
    </w:p>
    <w:p w14:paraId="6DAA37AA">
      <w:pPr>
        <w:widowControl/>
        <w:jc w:val="left"/>
        <w:rPr>
          <w:rFonts w:ascii="宋体" w:hAnsi="宋体"/>
          <w:b/>
          <w:bCs/>
          <w:szCs w:val="21"/>
          <w:highlight w:val="none"/>
        </w:rPr>
      </w:pPr>
      <w:r>
        <w:rPr>
          <w:rFonts w:hint="eastAsia" w:ascii="宋体" w:hAnsi="宋体"/>
          <w:b/>
          <w:bCs/>
          <w:szCs w:val="21"/>
          <w:highlight w:val="none"/>
        </w:rPr>
        <w:t>附件2：考核标准</w:t>
      </w:r>
    </w:p>
    <w:p w14:paraId="4423D322">
      <w:pPr>
        <w:rPr>
          <w:highlight w:val="none"/>
        </w:rPr>
      </w:pPr>
    </w:p>
    <w:p w14:paraId="1AF1CAB2">
      <w:pPr>
        <w:widowControl/>
        <w:jc w:val="left"/>
        <w:rPr>
          <w:szCs w:val="21"/>
          <w:highlight w:val="none"/>
        </w:rPr>
        <w:sectPr>
          <w:pgSz w:w="11906" w:h="16838"/>
          <w:pgMar w:top="851" w:right="1134" w:bottom="851" w:left="1134" w:header="0" w:footer="567" w:gutter="0"/>
          <w:pgNumType w:fmt="decimal"/>
          <w:cols w:space="425" w:num="1"/>
          <w:docGrid w:linePitch="312" w:charSpace="0"/>
        </w:sectPr>
      </w:pPr>
      <w:r>
        <w:rPr>
          <w:rFonts w:hint="eastAsia"/>
          <w:szCs w:val="21"/>
          <w:highlight w:val="none"/>
        </w:rPr>
        <w:t>*</w:t>
      </w:r>
      <w:r>
        <w:rPr>
          <w:szCs w:val="21"/>
          <w:highlight w:val="none"/>
        </w:rPr>
        <w:t>**</w:t>
      </w:r>
    </w:p>
    <w:p w14:paraId="27253EAD">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5AE23B4D">
      <w:pPr>
        <w:rPr>
          <w:highlight w:val="none"/>
        </w:rPr>
      </w:pPr>
    </w:p>
    <w:p w14:paraId="3409EB9D">
      <w:pPr>
        <w:rPr>
          <w:highlight w:val="none"/>
        </w:rPr>
      </w:pPr>
      <w:r>
        <w:rPr>
          <w:rFonts w:hint="eastAsia"/>
          <w:highlight w:val="none"/>
        </w:rPr>
        <w:t>*</w:t>
      </w:r>
      <w:r>
        <w:rPr>
          <w:highlight w:val="none"/>
        </w:rPr>
        <w:t>**</w:t>
      </w:r>
    </w:p>
    <w:p w14:paraId="608F479E">
      <w:pPr>
        <w:widowControl/>
        <w:jc w:val="left"/>
        <w:rPr>
          <w:szCs w:val="21"/>
          <w:highlight w:val="none"/>
        </w:rPr>
      </w:pPr>
    </w:p>
    <w:p w14:paraId="4296B0EC">
      <w:pPr>
        <w:rPr>
          <w:rFonts w:ascii="Times New Roman" w:hAnsi="Times New Roman" w:cs="Times New Roman"/>
          <w:b/>
          <w:bCs/>
          <w:sz w:val="44"/>
          <w:szCs w:val="52"/>
          <w:highlight w:val="none"/>
        </w:rPr>
      </w:pPr>
    </w:p>
    <w:p w14:paraId="3650DF39">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highlight w:val="none"/>
        </w:rPr>
        <w:t>廉洁购销</w:t>
      </w:r>
      <w:r>
        <w:rPr>
          <w:rFonts w:ascii="Times New Roman" w:hAnsi="Times New Roman" w:cs="Times New Roman"/>
          <w:b/>
          <w:bCs/>
          <w:sz w:val="44"/>
          <w:szCs w:val="52"/>
        </w:rPr>
        <w:t>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A34DA58-8BF0-444B-9483-9402B306A51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7425275-4B86-4D28-8219-BE272F3DBE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AEC2803-3993-4D59-9A71-92F94E1FE9A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B36F83F3-7E1E-4CB0-B51D-0DF492280CE5}"/>
  </w:font>
  <w:font w:name="微软雅黑">
    <w:panose1 w:val="020B0503020204020204"/>
    <w:charset w:val="86"/>
    <w:family w:val="auto"/>
    <w:pitch w:val="default"/>
    <w:sig w:usb0="80000287" w:usb1="2ACF3C50" w:usb2="00000016" w:usb3="00000000" w:csb0="0004001F" w:csb1="00000000"/>
    <w:embedRegular r:id="rId5" w:fontKey="{371DA360-80E2-4CDC-8D85-797078D4EC36}"/>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E436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4E436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7D71915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0BC6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6FCD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36FCD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5603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45603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F08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1F65"/>
    <w:rsid w:val="00B77110"/>
    <w:rsid w:val="00BC1C51"/>
    <w:rsid w:val="00BD4E2C"/>
    <w:rsid w:val="00BE12C0"/>
    <w:rsid w:val="00BE7797"/>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1027CE"/>
    <w:rsid w:val="01192C1F"/>
    <w:rsid w:val="016F6868"/>
    <w:rsid w:val="01A63B13"/>
    <w:rsid w:val="01BA61B0"/>
    <w:rsid w:val="01FF3BC3"/>
    <w:rsid w:val="021653B1"/>
    <w:rsid w:val="027125E7"/>
    <w:rsid w:val="02AE6A6F"/>
    <w:rsid w:val="02DB6B5E"/>
    <w:rsid w:val="034F2928"/>
    <w:rsid w:val="03547F3F"/>
    <w:rsid w:val="039B3DC0"/>
    <w:rsid w:val="03AE3AF3"/>
    <w:rsid w:val="03FD4BD5"/>
    <w:rsid w:val="04B54A0D"/>
    <w:rsid w:val="04F35535"/>
    <w:rsid w:val="050F05C1"/>
    <w:rsid w:val="052027CE"/>
    <w:rsid w:val="0526590B"/>
    <w:rsid w:val="054162A1"/>
    <w:rsid w:val="058C78B0"/>
    <w:rsid w:val="05D61923"/>
    <w:rsid w:val="05D830A9"/>
    <w:rsid w:val="05E13064"/>
    <w:rsid w:val="066F12AC"/>
    <w:rsid w:val="07100621"/>
    <w:rsid w:val="078A573C"/>
    <w:rsid w:val="07CB4548"/>
    <w:rsid w:val="0874698D"/>
    <w:rsid w:val="08A74FB5"/>
    <w:rsid w:val="08AC4379"/>
    <w:rsid w:val="08B1198F"/>
    <w:rsid w:val="0932487E"/>
    <w:rsid w:val="093A3733"/>
    <w:rsid w:val="09410F65"/>
    <w:rsid w:val="0967021B"/>
    <w:rsid w:val="09722ECD"/>
    <w:rsid w:val="09A03EDE"/>
    <w:rsid w:val="0A4C5174"/>
    <w:rsid w:val="0AEC6CAF"/>
    <w:rsid w:val="0B4508AE"/>
    <w:rsid w:val="0B5E2A33"/>
    <w:rsid w:val="0B7F3FC7"/>
    <w:rsid w:val="0BCF2858"/>
    <w:rsid w:val="0BEF4CA9"/>
    <w:rsid w:val="0C087B18"/>
    <w:rsid w:val="0C115CE5"/>
    <w:rsid w:val="0CF161C9"/>
    <w:rsid w:val="0CFD51A3"/>
    <w:rsid w:val="0D1F336B"/>
    <w:rsid w:val="0D3D7C96"/>
    <w:rsid w:val="0D5C5262"/>
    <w:rsid w:val="0DA67E5A"/>
    <w:rsid w:val="0DD621C2"/>
    <w:rsid w:val="0E0B7FF0"/>
    <w:rsid w:val="0E303356"/>
    <w:rsid w:val="0E545297"/>
    <w:rsid w:val="0ECD6DF7"/>
    <w:rsid w:val="0ECE5049"/>
    <w:rsid w:val="0F7729A5"/>
    <w:rsid w:val="0FD06B9F"/>
    <w:rsid w:val="104135F9"/>
    <w:rsid w:val="10463305"/>
    <w:rsid w:val="10DB42D7"/>
    <w:rsid w:val="11380EA0"/>
    <w:rsid w:val="117A5014"/>
    <w:rsid w:val="1185411D"/>
    <w:rsid w:val="1191235E"/>
    <w:rsid w:val="11CF74C4"/>
    <w:rsid w:val="11D230A2"/>
    <w:rsid w:val="11F34DC7"/>
    <w:rsid w:val="127759F8"/>
    <w:rsid w:val="127F05A0"/>
    <w:rsid w:val="12CF1390"/>
    <w:rsid w:val="130001DF"/>
    <w:rsid w:val="132E255A"/>
    <w:rsid w:val="136D78F8"/>
    <w:rsid w:val="137B5074"/>
    <w:rsid w:val="1384217A"/>
    <w:rsid w:val="139525D9"/>
    <w:rsid w:val="13955E87"/>
    <w:rsid w:val="139B3968"/>
    <w:rsid w:val="13B41C63"/>
    <w:rsid w:val="13B80076"/>
    <w:rsid w:val="145D29CB"/>
    <w:rsid w:val="14706BA3"/>
    <w:rsid w:val="1490034C"/>
    <w:rsid w:val="14C02376"/>
    <w:rsid w:val="14C111AC"/>
    <w:rsid w:val="14F72E20"/>
    <w:rsid w:val="158B7082"/>
    <w:rsid w:val="159863B1"/>
    <w:rsid w:val="15C90318"/>
    <w:rsid w:val="15C95ACB"/>
    <w:rsid w:val="15CC4977"/>
    <w:rsid w:val="162419F3"/>
    <w:rsid w:val="162A4F7D"/>
    <w:rsid w:val="164D0F49"/>
    <w:rsid w:val="16A82A66"/>
    <w:rsid w:val="16B94A2F"/>
    <w:rsid w:val="174D6D27"/>
    <w:rsid w:val="175E2CE2"/>
    <w:rsid w:val="18253800"/>
    <w:rsid w:val="183B3024"/>
    <w:rsid w:val="19620BB5"/>
    <w:rsid w:val="19844AFA"/>
    <w:rsid w:val="198E0A13"/>
    <w:rsid w:val="1994787E"/>
    <w:rsid w:val="19D57177"/>
    <w:rsid w:val="19D57F34"/>
    <w:rsid w:val="19FD2C86"/>
    <w:rsid w:val="1A807414"/>
    <w:rsid w:val="1B3426D8"/>
    <w:rsid w:val="1B811C42"/>
    <w:rsid w:val="1BB2184F"/>
    <w:rsid w:val="1BB51CB4"/>
    <w:rsid w:val="1BC03F6C"/>
    <w:rsid w:val="1C004BCF"/>
    <w:rsid w:val="1C27223D"/>
    <w:rsid w:val="1C4D0200"/>
    <w:rsid w:val="1C897E65"/>
    <w:rsid w:val="1CEE0CE4"/>
    <w:rsid w:val="1D246553"/>
    <w:rsid w:val="1DD000AF"/>
    <w:rsid w:val="1E09745A"/>
    <w:rsid w:val="1F6410B2"/>
    <w:rsid w:val="1FA912D2"/>
    <w:rsid w:val="1FE14F47"/>
    <w:rsid w:val="1FF00B97"/>
    <w:rsid w:val="202D5948"/>
    <w:rsid w:val="20B816B5"/>
    <w:rsid w:val="20BE3578"/>
    <w:rsid w:val="20F578A7"/>
    <w:rsid w:val="215907B0"/>
    <w:rsid w:val="21863561"/>
    <w:rsid w:val="218E0668"/>
    <w:rsid w:val="219537A4"/>
    <w:rsid w:val="2197751D"/>
    <w:rsid w:val="219E6AFD"/>
    <w:rsid w:val="21B26DD5"/>
    <w:rsid w:val="223F04E2"/>
    <w:rsid w:val="233A2855"/>
    <w:rsid w:val="23B87C1E"/>
    <w:rsid w:val="23D06D16"/>
    <w:rsid w:val="23D4489F"/>
    <w:rsid w:val="240F3CE2"/>
    <w:rsid w:val="24264B88"/>
    <w:rsid w:val="24FB4266"/>
    <w:rsid w:val="254E083A"/>
    <w:rsid w:val="262001B9"/>
    <w:rsid w:val="26270419"/>
    <w:rsid w:val="27196C26"/>
    <w:rsid w:val="272A6FE5"/>
    <w:rsid w:val="275D2FB6"/>
    <w:rsid w:val="27B87AF9"/>
    <w:rsid w:val="27E80EA9"/>
    <w:rsid w:val="280414A1"/>
    <w:rsid w:val="281F026C"/>
    <w:rsid w:val="28570368"/>
    <w:rsid w:val="28905912"/>
    <w:rsid w:val="28BC1F5F"/>
    <w:rsid w:val="295201CD"/>
    <w:rsid w:val="29772E93"/>
    <w:rsid w:val="29915199"/>
    <w:rsid w:val="29C5318E"/>
    <w:rsid w:val="29E50ADA"/>
    <w:rsid w:val="29F36631"/>
    <w:rsid w:val="2B502F98"/>
    <w:rsid w:val="2BD07B70"/>
    <w:rsid w:val="2C0C6D59"/>
    <w:rsid w:val="2C120A44"/>
    <w:rsid w:val="2C9A0A9E"/>
    <w:rsid w:val="2D142369"/>
    <w:rsid w:val="2D546C0A"/>
    <w:rsid w:val="2D9214E0"/>
    <w:rsid w:val="2DA70D65"/>
    <w:rsid w:val="2E2D764F"/>
    <w:rsid w:val="2EB2615E"/>
    <w:rsid w:val="2FEE3A99"/>
    <w:rsid w:val="2FFB336C"/>
    <w:rsid w:val="304C5976"/>
    <w:rsid w:val="309644F8"/>
    <w:rsid w:val="312B7C81"/>
    <w:rsid w:val="317167A5"/>
    <w:rsid w:val="323631B3"/>
    <w:rsid w:val="32456B21"/>
    <w:rsid w:val="328A09D8"/>
    <w:rsid w:val="331F3816"/>
    <w:rsid w:val="33387117"/>
    <w:rsid w:val="3344502A"/>
    <w:rsid w:val="338E1AC9"/>
    <w:rsid w:val="33C06DA7"/>
    <w:rsid w:val="3427766B"/>
    <w:rsid w:val="343706EB"/>
    <w:rsid w:val="34586FDF"/>
    <w:rsid w:val="34CE2DFE"/>
    <w:rsid w:val="351A08D0"/>
    <w:rsid w:val="35676663"/>
    <w:rsid w:val="35C44201"/>
    <w:rsid w:val="35DC779C"/>
    <w:rsid w:val="361E7DB5"/>
    <w:rsid w:val="36334CE5"/>
    <w:rsid w:val="36B6623F"/>
    <w:rsid w:val="36BD312A"/>
    <w:rsid w:val="38DE5455"/>
    <w:rsid w:val="393A4F06"/>
    <w:rsid w:val="39EB2259"/>
    <w:rsid w:val="3A361B71"/>
    <w:rsid w:val="3A4678DA"/>
    <w:rsid w:val="3A551407"/>
    <w:rsid w:val="3AFA36DF"/>
    <w:rsid w:val="3AFC5296"/>
    <w:rsid w:val="3B031181"/>
    <w:rsid w:val="3B033C36"/>
    <w:rsid w:val="3B5051DE"/>
    <w:rsid w:val="3B84690C"/>
    <w:rsid w:val="3BC90495"/>
    <w:rsid w:val="3C1A7270"/>
    <w:rsid w:val="3C772122"/>
    <w:rsid w:val="3D9077EA"/>
    <w:rsid w:val="3E1D0952"/>
    <w:rsid w:val="3E2E615A"/>
    <w:rsid w:val="3E5D4E8E"/>
    <w:rsid w:val="3F340649"/>
    <w:rsid w:val="3F4D5267"/>
    <w:rsid w:val="3F6525B0"/>
    <w:rsid w:val="3F6F78D3"/>
    <w:rsid w:val="3F7D7BDF"/>
    <w:rsid w:val="3FB5178A"/>
    <w:rsid w:val="3FE25336"/>
    <w:rsid w:val="400B001F"/>
    <w:rsid w:val="40537C33"/>
    <w:rsid w:val="4070745F"/>
    <w:rsid w:val="40B01F51"/>
    <w:rsid w:val="412255E9"/>
    <w:rsid w:val="416A0352"/>
    <w:rsid w:val="41913B31"/>
    <w:rsid w:val="41BD4926"/>
    <w:rsid w:val="41C71300"/>
    <w:rsid w:val="42075FF8"/>
    <w:rsid w:val="420933DF"/>
    <w:rsid w:val="421F2EEA"/>
    <w:rsid w:val="426E09AF"/>
    <w:rsid w:val="42842020"/>
    <w:rsid w:val="42B9091A"/>
    <w:rsid w:val="43544E16"/>
    <w:rsid w:val="439A5D2A"/>
    <w:rsid w:val="445B0426"/>
    <w:rsid w:val="44663053"/>
    <w:rsid w:val="44937BC0"/>
    <w:rsid w:val="44A75419"/>
    <w:rsid w:val="44C14DFA"/>
    <w:rsid w:val="45C51FFB"/>
    <w:rsid w:val="46470C62"/>
    <w:rsid w:val="468567BB"/>
    <w:rsid w:val="46C027C2"/>
    <w:rsid w:val="46C329DE"/>
    <w:rsid w:val="46D63D94"/>
    <w:rsid w:val="4746716B"/>
    <w:rsid w:val="4770243A"/>
    <w:rsid w:val="4782487D"/>
    <w:rsid w:val="48152FCE"/>
    <w:rsid w:val="48693111"/>
    <w:rsid w:val="48A4239B"/>
    <w:rsid w:val="49247038"/>
    <w:rsid w:val="493A685C"/>
    <w:rsid w:val="49F42EAF"/>
    <w:rsid w:val="4A2512BA"/>
    <w:rsid w:val="4A280DAA"/>
    <w:rsid w:val="4A34774F"/>
    <w:rsid w:val="4A6A4F1F"/>
    <w:rsid w:val="4AE10089"/>
    <w:rsid w:val="4B09298A"/>
    <w:rsid w:val="4B1B28D8"/>
    <w:rsid w:val="4B31068E"/>
    <w:rsid w:val="4BA55220"/>
    <w:rsid w:val="4BAD0151"/>
    <w:rsid w:val="4C147838"/>
    <w:rsid w:val="4C26537C"/>
    <w:rsid w:val="4C8F75A2"/>
    <w:rsid w:val="4C9232D6"/>
    <w:rsid w:val="4CE444B6"/>
    <w:rsid w:val="4CE70AA9"/>
    <w:rsid w:val="4D066C0A"/>
    <w:rsid w:val="4D2717ED"/>
    <w:rsid w:val="4D752558"/>
    <w:rsid w:val="4DAD4403"/>
    <w:rsid w:val="4DC25072"/>
    <w:rsid w:val="4E151645"/>
    <w:rsid w:val="4E8C008E"/>
    <w:rsid w:val="4EA03826"/>
    <w:rsid w:val="4EB15812"/>
    <w:rsid w:val="4EBC7D13"/>
    <w:rsid w:val="4ECE0172"/>
    <w:rsid w:val="4EE80B08"/>
    <w:rsid w:val="4F3514BA"/>
    <w:rsid w:val="4F674123"/>
    <w:rsid w:val="4FEF758C"/>
    <w:rsid w:val="50081462"/>
    <w:rsid w:val="50607952"/>
    <w:rsid w:val="50771A9C"/>
    <w:rsid w:val="50834F8C"/>
    <w:rsid w:val="50B12E19"/>
    <w:rsid w:val="50D43A3A"/>
    <w:rsid w:val="51220301"/>
    <w:rsid w:val="51402E7D"/>
    <w:rsid w:val="519B00B4"/>
    <w:rsid w:val="51A927D1"/>
    <w:rsid w:val="51C47F6D"/>
    <w:rsid w:val="528172AA"/>
    <w:rsid w:val="52853E19"/>
    <w:rsid w:val="52896F71"/>
    <w:rsid w:val="52BB6C5F"/>
    <w:rsid w:val="53195734"/>
    <w:rsid w:val="53422EDD"/>
    <w:rsid w:val="53574AE5"/>
    <w:rsid w:val="537312E8"/>
    <w:rsid w:val="53A9514E"/>
    <w:rsid w:val="53F71F19"/>
    <w:rsid w:val="5455382C"/>
    <w:rsid w:val="54FC355F"/>
    <w:rsid w:val="550E7114"/>
    <w:rsid w:val="55805F3E"/>
    <w:rsid w:val="56301712"/>
    <w:rsid w:val="56494582"/>
    <w:rsid w:val="57361164"/>
    <w:rsid w:val="57392849"/>
    <w:rsid w:val="573E1C0D"/>
    <w:rsid w:val="5765719A"/>
    <w:rsid w:val="57F80C60"/>
    <w:rsid w:val="57FB7AFE"/>
    <w:rsid w:val="583067EF"/>
    <w:rsid w:val="58906498"/>
    <w:rsid w:val="58A14202"/>
    <w:rsid w:val="58DF4D2A"/>
    <w:rsid w:val="59170968"/>
    <w:rsid w:val="5A2E41BB"/>
    <w:rsid w:val="5A875679"/>
    <w:rsid w:val="5AA91A93"/>
    <w:rsid w:val="5ACB1A0A"/>
    <w:rsid w:val="5ADF54B5"/>
    <w:rsid w:val="5B24111A"/>
    <w:rsid w:val="5B4A5024"/>
    <w:rsid w:val="5B692B86"/>
    <w:rsid w:val="5B7B51DE"/>
    <w:rsid w:val="5B8F2A37"/>
    <w:rsid w:val="5BA65FD3"/>
    <w:rsid w:val="5BA67D81"/>
    <w:rsid w:val="5BBA55DA"/>
    <w:rsid w:val="5C366A56"/>
    <w:rsid w:val="5CE768A3"/>
    <w:rsid w:val="5CF35378"/>
    <w:rsid w:val="5D0A3490"/>
    <w:rsid w:val="5D3F4364"/>
    <w:rsid w:val="5D7E0D39"/>
    <w:rsid w:val="5DAF5613"/>
    <w:rsid w:val="5E1E62F4"/>
    <w:rsid w:val="5E48511F"/>
    <w:rsid w:val="5E785D0C"/>
    <w:rsid w:val="5E956AB2"/>
    <w:rsid w:val="5E9D3F29"/>
    <w:rsid w:val="5EB3309D"/>
    <w:rsid w:val="5EEB267A"/>
    <w:rsid w:val="5F02451D"/>
    <w:rsid w:val="5F0D01F1"/>
    <w:rsid w:val="5F447FDD"/>
    <w:rsid w:val="5FA56CCD"/>
    <w:rsid w:val="60384CD1"/>
    <w:rsid w:val="604105AB"/>
    <w:rsid w:val="60655808"/>
    <w:rsid w:val="60CE0B25"/>
    <w:rsid w:val="60EA0710"/>
    <w:rsid w:val="61135EB8"/>
    <w:rsid w:val="6143643E"/>
    <w:rsid w:val="61882403"/>
    <w:rsid w:val="61BA27D8"/>
    <w:rsid w:val="62175534"/>
    <w:rsid w:val="62CA25A7"/>
    <w:rsid w:val="62F85366"/>
    <w:rsid w:val="6324615B"/>
    <w:rsid w:val="63797C01"/>
    <w:rsid w:val="63A9427A"/>
    <w:rsid w:val="63B1399A"/>
    <w:rsid w:val="63D462B1"/>
    <w:rsid w:val="6418358F"/>
    <w:rsid w:val="641A3596"/>
    <w:rsid w:val="643B5D39"/>
    <w:rsid w:val="64D96647"/>
    <w:rsid w:val="655B51E5"/>
    <w:rsid w:val="65D11E9E"/>
    <w:rsid w:val="65DB5EAC"/>
    <w:rsid w:val="65E40ADA"/>
    <w:rsid w:val="66094DDC"/>
    <w:rsid w:val="660A5ADC"/>
    <w:rsid w:val="66330B86"/>
    <w:rsid w:val="66DC6D4D"/>
    <w:rsid w:val="66E22203"/>
    <w:rsid w:val="66F916AD"/>
    <w:rsid w:val="67696832"/>
    <w:rsid w:val="67955879"/>
    <w:rsid w:val="679B67A0"/>
    <w:rsid w:val="67A466F1"/>
    <w:rsid w:val="681C38A5"/>
    <w:rsid w:val="688B74BA"/>
    <w:rsid w:val="68B200BE"/>
    <w:rsid w:val="68B47F81"/>
    <w:rsid w:val="68B812C9"/>
    <w:rsid w:val="68CF4DBB"/>
    <w:rsid w:val="691B0EFE"/>
    <w:rsid w:val="699F7288"/>
    <w:rsid w:val="69C935B8"/>
    <w:rsid w:val="69D50CF4"/>
    <w:rsid w:val="69E71C90"/>
    <w:rsid w:val="6A941E18"/>
    <w:rsid w:val="6A9D5B77"/>
    <w:rsid w:val="6AF40B09"/>
    <w:rsid w:val="6B0074AE"/>
    <w:rsid w:val="6B13286C"/>
    <w:rsid w:val="6B482C03"/>
    <w:rsid w:val="6B4A0729"/>
    <w:rsid w:val="6C0F0E65"/>
    <w:rsid w:val="6C117498"/>
    <w:rsid w:val="6C1F5711"/>
    <w:rsid w:val="6C487AFD"/>
    <w:rsid w:val="6CB24363"/>
    <w:rsid w:val="6CD24E7A"/>
    <w:rsid w:val="6D0D7C60"/>
    <w:rsid w:val="6D1C60F5"/>
    <w:rsid w:val="6D614100"/>
    <w:rsid w:val="6D617FAC"/>
    <w:rsid w:val="6D6D4BA2"/>
    <w:rsid w:val="6E004F03"/>
    <w:rsid w:val="6E115D95"/>
    <w:rsid w:val="6E2F3C06"/>
    <w:rsid w:val="6E7D7067"/>
    <w:rsid w:val="6E891568"/>
    <w:rsid w:val="6EA93466"/>
    <w:rsid w:val="6F7B35A7"/>
    <w:rsid w:val="6FB2689C"/>
    <w:rsid w:val="6FCF0795"/>
    <w:rsid w:val="6FEA072C"/>
    <w:rsid w:val="704E24AD"/>
    <w:rsid w:val="70CB230C"/>
    <w:rsid w:val="71031AA6"/>
    <w:rsid w:val="7120072C"/>
    <w:rsid w:val="71381023"/>
    <w:rsid w:val="71597917"/>
    <w:rsid w:val="71816E6E"/>
    <w:rsid w:val="719533EC"/>
    <w:rsid w:val="71CF3736"/>
    <w:rsid w:val="71D76A8E"/>
    <w:rsid w:val="720B6FBF"/>
    <w:rsid w:val="72451C4A"/>
    <w:rsid w:val="72DA63FB"/>
    <w:rsid w:val="72F15750"/>
    <w:rsid w:val="72F83160"/>
    <w:rsid w:val="73326672"/>
    <w:rsid w:val="73465C7A"/>
    <w:rsid w:val="73702CF6"/>
    <w:rsid w:val="73714961"/>
    <w:rsid w:val="74471A90"/>
    <w:rsid w:val="746E7F64"/>
    <w:rsid w:val="74B310ED"/>
    <w:rsid w:val="750E08F8"/>
    <w:rsid w:val="75410DEE"/>
    <w:rsid w:val="754D1D92"/>
    <w:rsid w:val="7581743D"/>
    <w:rsid w:val="758350A9"/>
    <w:rsid w:val="75866801"/>
    <w:rsid w:val="768F7938"/>
    <w:rsid w:val="76DB0DCF"/>
    <w:rsid w:val="76E301FF"/>
    <w:rsid w:val="77071BC4"/>
    <w:rsid w:val="77336515"/>
    <w:rsid w:val="77674410"/>
    <w:rsid w:val="779A47E6"/>
    <w:rsid w:val="77CB0E43"/>
    <w:rsid w:val="78034139"/>
    <w:rsid w:val="78841DF1"/>
    <w:rsid w:val="78911745"/>
    <w:rsid w:val="78AC47D1"/>
    <w:rsid w:val="78FC4D3C"/>
    <w:rsid w:val="790068CB"/>
    <w:rsid w:val="79136581"/>
    <w:rsid w:val="79406AC7"/>
    <w:rsid w:val="79F503F9"/>
    <w:rsid w:val="7A016D9E"/>
    <w:rsid w:val="7B2261F3"/>
    <w:rsid w:val="7B560FD7"/>
    <w:rsid w:val="7B5F74F8"/>
    <w:rsid w:val="7B690630"/>
    <w:rsid w:val="7BD55DED"/>
    <w:rsid w:val="7C3F3BAE"/>
    <w:rsid w:val="7C5123F4"/>
    <w:rsid w:val="7C8617DD"/>
    <w:rsid w:val="7C8B0BA1"/>
    <w:rsid w:val="7C945CA8"/>
    <w:rsid w:val="7CCC5441"/>
    <w:rsid w:val="7D040AB6"/>
    <w:rsid w:val="7D3B790F"/>
    <w:rsid w:val="7D4119E6"/>
    <w:rsid w:val="7D46198B"/>
    <w:rsid w:val="7DAF162B"/>
    <w:rsid w:val="7DC42B41"/>
    <w:rsid w:val="7E0B01EB"/>
    <w:rsid w:val="7EE2719E"/>
    <w:rsid w:val="7F4E65E2"/>
    <w:rsid w:val="7FB16B71"/>
    <w:rsid w:val="7FFE2E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2"/>
    <w:qFormat/>
    <w:uiPriority w:val="0"/>
    <w:rPr>
      <w:rFonts w:ascii="Times New Roman" w:hAnsi="Times New Roman" w:eastAsia="仿宋" w:cs="Times New Roman"/>
      <w:b/>
      <w:sz w:val="32"/>
    </w:rPr>
  </w:style>
  <w:style w:type="paragraph" w:customStyle="1" w:styleId="42">
    <w:name w:val="sht标题1"/>
    <w:basedOn w:val="1"/>
    <w:next w:val="3"/>
    <w:qFormat/>
    <w:uiPriority w:val="0"/>
    <w:pPr>
      <w:jc w:val="center"/>
    </w:pPr>
    <w:rPr>
      <w:rFonts w:eastAsia="黑体"/>
      <w:b/>
      <w:sz w:val="52"/>
      <w:szCs w:val="24"/>
    </w:rPr>
  </w:style>
  <w:style w:type="paragraph" w:customStyle="1" w:styleId="43">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1002</Words>
  <Characters>1088</Characters>
  <Lines>68</Lines>
  <Paragraphs>19</Paragraphs>
  <TotalTime>12</TotalTime>
  <ScaleCrop>false</ScaleCrop>
  <LinksUpToDate>false</LinksUpToDate>
  <CharactersWithSpaces>1164</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2026-05-11T08:10:39Z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1886A38FB8864387B44B965478B670F9_13</vt:lpwstr>
  </property>
  <property fmtid="{D5CDD505-2E9C-101B-9397-08002B2CF9AE}" pid="4" name="KSOTemplateDocerSaveRecord">
    <vt:lpwstr>eyJoZGlkIjoiNDc0MTk5M2JkMmE1NDI4NDczMTFjZTZjODJmMzdhNjkiLCJ1c2VySWQiOiIyMTIzMTcyNzYifQ==</vt:lpwstr>
  </property>
</Properties>
</file>