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88D93F">
      <w:pPr>
        <w:pStyle w:val="2"/>
        <w:keepNext/>
        <w:keepLines/>
        <w:pageBreakBefore w:val="0"/>
        <w:widowControl/>
        <w:kinsoku w:val="0"/>
        <w:wordWrap/>
        <w:overflowPunct/>
        <w:topLinePunct w:val="0"/>
        <w:autoSpaceDE w:val="0"/>
        <w:autoSpaceDN w:val="0"/>
        <w:bidi w:val="0"/>
        <w:adjustRightInd w:val="0"/>
        <w:snapToGrid w:val="0"/>
        <w:spacing w:before="0" w:beforeLines="0" w:after="0" w:afterLines="0" w:line="240" w:lineRule="auto"/>
        <w:ind w:leftChars="0"/>
        <w:jc w:val="center"/>
        <w:textAlignment w:val="baseline"/>
        <w:rPr>
          <w:rFonts w:hint="eastAsia" w:ascii="方正公文小标宋" w:hAnsi="方正公文小标宋" w:eastAsia="方正公文小标宋" w:cs="方正公文小标宋"/>
          <w:b w:val="0"/>
          <w:bCs/>
          <w:sz w:val="44"/>
          <w:szCs w:val="44"/>
          <w:lang w:val="en-US" w:eastAsia="zh-CN"/>
        </w:rPr>
      </w:pPr>
      <w:r>
        <w:rPr>
          <w:rFonts w:hint="eastAsia" w:ascii="方正公文小标宋" w:hAnsi="方正公文小标宋" w:eastAsia="方正公文小标宋" w:cs="方正公文小标宋"/>
          <w:b w:val="0"/>
          <w:bCs/>
          <w:sz w:val="44"/>
          <w:szCs w:val="44"/>
          <w:lang w:val="en-US" w:eastAsia="zh-CN"/>
        </w:rPr>
        <w:t>四川省人民医院温江院区</w:t>
      </w:r>
    </w:p>
    <w:p w14:paraId="1A05E50F">
      <w:pPr>
        <w:pStyle w:val="2"/>
        <w:keepNext/>
        <w:keepLines/>
        <w:pageBreakBefore w:val="0"/>
        <w:widowControl/>
        <w:kinsoku w:val="0"/>
        <w:wordWrap/>
        <w:overflowPunct/>
        <w:topLinePunct w:val="0"/>
        <w:autoSpaceDE w:val="0"/>
        <w:autoSpaceDN w:val="0"/>
        <w:bidi w:val="0"/>
        <w:adjustRightInd w:val="0"/>
        <w:snapToGrid w:val="0"/>
        <w:spacing w:before="0" w:beforeLines="0" w:after="0" w:afterLines="0" w:line="240" w:lineRule="auto"/>
        <w:ind w:leftChars="0"/>
        <w:jc w:val="center"/>
        <w:textAlignment w:val="baseline"/>
        <w:rPr>
          <w:rFonts w:hint="eastAsia" w:ascii="方正公文小标宋" w:hAnsi="方正公文小标宋" w:eastAsia="方正公文小标宋" w:cs="方正公文小标宋"/>
          <w:b w:val="0"/>
          <w:bCs/>
          <w:sz w:val="44"/>
          <w:szCs w:val="44"/>
          <w:lang w:val="en-US" w:eastAsia="zh-CN"/>
        </w:rPr>
      </w:pPr>
      <w:r>
        <w:rPr>
          <w:rFonts w:hint="eastAsia" w:ascii="方正公文小标宋" w:hAnsi="方正公文小标宋" w:eastAsia="方正公文小标宋" w:cs="方正公文小标宋"/>
          <w:b w:val="0"/>
          <w:bCs/>
          <w:sz w:val="44"/>
          <w:szCs w:val="44"/>
          <w:lang w:val="en-US" w:eastAsia="zh-CN"/>
        </w:rPr>
        <w:t>屋顶护栏及附属设施维保服务项目调研公告</w:t>
      </w:r>
    </w:p>
    <w:p w14:paraId="4CD67D76">
      <w:pPr>
        <w:rPr>
          <w:rFonts w:hint="eastAsia"/>
          <w:lang w:val="en-US" w:eastAsia="zh-CN"/>
        </w:rPr>
      </w:pPr>
    </w:p>
    <w:p w14:paraId="7EF06BBE">
      <w:pPr>
        <w:rPr>
          <w:rFonts w:hint="eastAsia"/>
          <w:lang w:val="en-US" w:eastAsia="zh-CN"/>
        </w:rPr>
      </w:pPr>
    </w:p>
    <w:p w14:paraId="3E864FC0">
      <w:pPr>
        <w:pStyle w:val="2"/>
        <w:pageBreakBefore w:val="0"/>
        <w:widowControl/>
        <w:numPr>
          <w:ilvl w:val="0"/>
          <w:numId w:val="0"/>
        </w:numPr>
        <w:kinsoku w:val="0"/>
        <w:wordWrap/>
        <w:overflowPunct/>
        <w:topLinePunct w:val="0"/>
        <w:autoSpaceDE w:val="0"/>
        <w:autoSpaceDN w:val="0"/>
        <w:bidi w:val="0"/>
        <w:adjustRightInd w:val="0"/>
        <w:snapToGrid w:val="0"/>
        <w:spacing w:before="0" w:beforeLines="0" w:after="0" w:afterLines="0" w:line="360" w:lineRule="auto"/>
        <w:ind w:left="0" w:leftChars="0" w:firstLine="560" w:firstLineChars="200"/>
        <w:jc w:val="left"/>
        <w:textAlignment w:val="baseline"/>
        <w:rPr>
          <w:rFonts w:hint="eastAsia" w:ascii="黑体" w:hAnsi="黑体" w:eastAsia="黑体" w:cs="黑体"/>
          <w:b w:val="0"/>
          <w:bCs/>
          <w:sz w:val="28"/>
          <w:szCs w:val="28"/>
          <w:lang w:val="en-US" w:eastAsia="zh-CN"/>
        </w:rPr>
      </w:pPr>
      <w:r>
        <w:rPr>
          <w:rFonts w:hint="eastAsia" w:ascii="黑体" w:hAnsi="黑体" w:eastAsia="黑体" w:cs="黑体"/>
          <w:b w:val="0"/>
          <w:bCs/>
          <w:snapToGrid w:val="0"/>
          <w:color w:val="000000"/>
          <w:kern w:val="0"/>
          <w:sz w:val="28"/>
          <w:szCs w:val="28"/>
          <w:lang w:val="en-US" w:eastAsia="zh-CN" w:bidi="ar-SA"/>
        </w:rPr>
        <w:t>一、</w:t>
      </w:r>
      <w:r>
        <w:rPr>
          <w:rFonts w:hint="eastAsia" w:ascii="黑体" w:hAnsi="黑体" w:eastAsia="黑体" w:cs="黑体"/>
          <w:b w:val="0"/>
          <w:bCs/>
          <w:sz w:val="28"/>
          <w:szCs w:val="28"/>
          <w:lang w:val="en-US" w:eastAsia="zh-CN"/>
        </w:rPr>
        <w:t>调研</w:t>
      </w:r>
      <w:r>
        <w:rPr>
          <w:rFonts w:hint="eastAsia" w:ascii="黑体" w:hAnsi="黑体" w:cs="黑体"/>
          <w:b w:val="0"/>
          <w:bCs/>
          <w:sz w:val="28"/>
          <w:szCs w:val="28"/>
          <w:lang w:val="en-US" w:eastAsia="zh-CN"/>
        </w:rPr>
        <w:t>背景</w:t>
      </w:r>
    </w:p>
    <w:p w14:paraId="196B19F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firstLine="560" w:firstLineChars="200"/>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四川省人民医院现需要对温江院区屋顶护栏及附属设施进行维保服务，本次屋顶护栏及附属设施维保服务内容详见附件1《服务内容要求》。</w:t>
      </w:r>
    </w:p>
    <w:p w14:paraId="78586689">
      <w:pPr>
        <w:pStyle w:val="2"/>
        <w:pageBreakBefore w:val="0"/>
        <w:widowControl/>
        <w:numPr>
          <w:ilvl w:val="0"/>
          <w:numId w:val="0"/>
        </w:numPr>
        <w:kinsoku w:val="0"/>
        <w:wordWrap/>
        <w:overflowPunct/>
        <w:topLinePunct w:val="0"/>
        <w:autoSpaceDE w:val="0"/>
        <w:autoSpaceDN w:val="0"/>
        <w:bidi w:val="0"/>
        <w:adjustRightInd w:val="0"/>
        <w:snapToGrid w:val="0"/>
        <w:spacing w:before="0" w:beforeLines="0" w:after="0" w:afterLines="0" w:line="360" w:lineRule="auto"/>
        <w:ind w:left="0" w:leftChars="0" w:firstLine="560" w:firstLineChars="200"/>
        <w:jc w:val="left"/>
        <w:textAlignment w:val="baseline"/>
        <w:rPr>
          <w:rFonts w:hint="eastAsia" w:ascii="黑体" w:hAnsi="黑体" w:eastAsia="黑体" w:cs="黑体"/>
          <w:b w:val="0"/>
          <w:bCs/>
          <w:sz w:val="28"/>
          <w:szCs w:val="28"/>
          <w:lang w:val="en-US" w:eastAsia="zh-CN"/>
        </w:rPr>
      </w:pPr>
      <w:r>
        <w:rPr>
          <w:rFonts w:hint="eastAsia" w:ascii="黑体" w:hAnsi="黑体" w:cs="黑体"/>
          <w:b w:val="0"/>
          <w:bCs/>
          <w:snapToGrid w:val="0"/>
          <w:color w:val="000000"/>
          <w:kern w:val="0"/>
          <w:sz w:val="28"/>
          <w:szCs w:val="28"/>
          <w:lang w:val="en-US" w:eastAsia="zh-CN" w:bidi="ar-SA"/>
        </w:rPr>
        <w:t>二</w:t>
      </w:r>
      <w:r>
        <w:rPr>
          <w:rFonts w:hint="eastAsia" w:ascii="黑体" w:hAnsi="黑体" w:eastAsia="黑体" w:cs="黑体"/>
          <w:b w:val="0"/>
          <w:bCs/>
          <w:snapToGrid w:val="0"/>
          <w:color w:val="000000"/>
          <w:kern w:val="0"/>
          <w:sz w:val="28"/>
          <w:szCs w:val="28"/>
          <w:lang w:val="en-US" w:eastAsia="zh-CN" w:bidi="ar-SA"/>
        </w:rPr>
        <w:t>、</w:t>
      </w:r>
      <w:r>
        <w:rPr>
          <w:rFonts w:hint="eastAsia" w:ascii="黑体" w:hAnsi="黑体" w:eastAsia="黑体" w:cs="黑体"/>
          <w:b w:val="0"/>
          <w:bCs/>
          <w:sz w:val="28"/>
          <w:szCs w:val="28"/>
          <w:lang w:val="en-US" w:eastAsia="zh-CN"/>
        </w:rPr>
        <w:t>调研需求</w:t>
      </w:r>
    </w:p>
    <w:p w14:paraId="6D4C23C1">
      <w:pPr>
        <w:pStyle w:val="2"/>
        <w:pageBreakBefore w:val="0"/>
        <w:widowControl/>
        <w:numPr>
          <w:ilvl w:val="0"/>
          <w:numId w:val="0"/>
        </w:numPr>
        <w:kinsoku w:val="0"/>
        <w:wordWrap/>
        <w:overflowPunct/>
        <w:topLinePunct w:val="0"/>
        <w:autoSpaceDE w:val="0"/>
        <w:autoSpaceDN w:val="0"/>
        <w:bidi w:val="0"/>
        <w:adjustRightInd w:val="0"/>
        <w:snapToGrid w:val="0"/>
        <w:spacing w:before="0" w:beforeLines="0" w:after="0" w:afterLines="0" w:line="360" w:lineRule="auto"/>
        <w:ind w:left="0" w:leftChars="0" w:firstLine="560" w:firstLineChars="200"/>
        <w:jc w:val="left"/>
        <w:textAlignment w:val="baseline"/>
        <w:rPr>
          <w:rFonts w:hint="eastAsia" w:ascii="黑体" w:hAnsi="黑体" w:eastAsia="黑体" w:cs="黑体"/>
          <w:b w:val="0"/>
          <w:bCs/>
          <w:sz w:val="28"/>
          <w:szCs w:val="28"/>
          <w:lang w:val="en-US" w:eastAsia="zh-CN"/>
        </w:rPr>
      </w:pPr>
      <w:r>
        <w:rPr>
          <w:rFonts w:hint="eastAsia" w:ascii="黑体" w:hAnsi="黑体" w:cs="黑体"/>
          <w:b w:val="0"/>
          <w:bCs/>
          <w:sz w:val="28"/>
          <w:szCs w:val="28"/>
          <w:lang w:val="en-US" w:eastAsia="zh-CN"/>
        </w:rPr>
        <w:t>调研需求</w:t>
      </w:r>
      <w:r>
        <w:rPr>
          <w:rFonts w:hint="eastAsia" w:ascii="黑体" w:hAnsi="黑体" w:eastAsia="黑体" w:cs="黑体"/>
          <w:b w:val="0"/>
          <w:bCs/>
          <w:sz w:val="28"/>
          <w:szCs w:val="28"/>
          <w:lang w:val="en-US" w:eastAsia="zh-CN"/>
        </w:rPr>
        <w:t>主要包括以下</w:t>
      </w:r>
      <w:r>
        <w:rPr>
          <w:rFonts w:hint="eastAsia" w:ascii="黑体" w:hAnsi="黑体" w:cs="黑体"/>
          <w:b w:val="0"/>
          <w:bCs/>
          <w:sz w:val="28"/>
          <w:szCs w:val="28"/>
          <w:lang w:val="en-US" w:eastAsia="zh-CN"/>
        </w:rPr>
        <w:t>五</w:t>
      </w:r>
      <w:r>
        <w:rPr>
          <w:rFonts w:hint="eastAsia" w:ascii="黑体" w:hAnsi="黑体" w:eastAsia="黑体" w:cs="黑体"/>
          <w:b w:val="0"/>
          <w:bCs/>
          <w:sz w:val="28"/>
          <w:szCs w:val="28"/>
          <w:lang w:val="en-US" w:eastAsia="zh-CN"/>
        </w:rPr>
        <w:t>点，请各潜在供应商尽可能按照下述要求提供相关资料，便于我单位详细了解潜在供应商。</w:t>
      </w:r>
    </w:p>
    <w:p w14:paraId="455909D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firstLine="560" w:firstLineChars="200"/>
        <w:textAlignment w:val="baseline"/>
        <w:rPr>
          <w:rFonts w:hint="eastAsia" w:ascii="仿宋" w:hAnsi="仿宋" w:eastAsia="仿宋" w:cs="仿宋"/>
          <w:sz w:val="28"/>
          <w:szCs w:val="28"/>
          <w:lang w:eastAsia="zh-CN"/>
        </w:rPr>
      </w:pPr>
      <w:r>
        <w:rPr>
          <w:rFonts w:hint="eastAsia" w:ascii="仿宋" w:hAnsi="仿宋" w:eastAsia="仿宋" w:cs="仿宋"/>
          <w:sz w:val="28"/>
          <w:szCs w:val="28"/>
          <w:lang w:val="en-US" w:eastAsia="zh-CN"/>
        </w:rPr>
        <w:t>1.供应商近三年类似项目服务业绩</w:t>
      </w:r>
      <w:r>
        <w:rPr>
          <w:rFonts w:hint="eastAsia" w:ascii="仿宋" w:hAnsi="仿宋" w:eastAsia="仿宋" w:cs="仿宋"/>
          <w:sz w:val="28"/>
          <w:szCs w:val="28"/>
          <w:lang w:eastAsia="zh-CN"/>
        </w:rPr>
        <w:t>；</w:t>
      </w:r>
    </w:p>
    <w:p w14:paraId="311D111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firstLine="560" w:firstLineChars="200"/>
        <w:textAlignment w:val="baseline"/>
        <w:rPr>
          <w:rFonts w:hint="eastAsia" w:ascii="仿宋" w:hAnsi="仿宋" w:eastAsia="仿宋" w:cs="仿宋"/>
          <w:sz w:val="28"/>
          <w:szCs w:val="28"/>
          <w:lang w:eastAsia="zh-CN"/>
        </w:rPr>
      </w:pPr>
      <w:r>
        <w:rPr>
          <w:rFonts w:hint="eastAsia" w:ascii="仿宋" w:hAnsi="仿宋" w:eastAsia="仿宋" w:cs="仿宋"/>
          <w:sz w:val="28"/>
          <w:szCs w:val="28"/>
          <w:lang w:val="en-US" w:eastAsia="zh-CN"/>
        </w:rPr>
        <w:t>2.供应商营业执照</w:t>
      </w:r>
      <w:r>
        <w:rPr>
          <w:rFonts w:hint="eastAsia" w:ascii="仿宋" w:hAnsi="仿宋" w:eastAsia="仿宋" w:cs="仿宋"/>
          <w:sz w:val="28"/>
          <w:szCs w:val="28"/>
          <w:lang w:eastAsia="zh-CN"/>
        </w:rPr>
        <w:t>;</w:t>
      </w:r>
    </w:p>
    <w:p w14:paraId="4DC1C92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firstLine="560" w:firstLineChars="200"/>
        <w:textAlignment w:val="baseline"/>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3.供应商团队人员及专业能力；</w:t>
      </w:r>
    </w:p>
    <w:p w14:paraId="1EBC28E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firstLine="560" w:firstLineChars="200"/>
        <w:textAlignment w:val="baseline"/>
        <w:rPr>
          <w:rFonts w:hint="eastAsia" w:ascii="仿宋" w:hAnsi="仿宋" w:eastAsia="仿宋" w:cs="仿宋"/>
          <w:sz w:val="28"/>
          <w:szCs w:val="28"/>
          <w:lang w:eastAsia="zh-CN"/>
        </w:rPr>
      </w:pPr>
      <w:r>
        <w:rPr>
          <w:rFonts w:hint="eastAsia" w:ascii="仿宋" w:hAnsi="仿宋" w:eastAsia="仿宋" w:cs="仿宋"/>
          <w:sz w:val="28"/>
          <w:szCs w:val="28"/>
          <w:lang w:val="en-US" w:eastAsia="zh-CN"/>
        </w:rPr>
        <w:t>4.维保服务方案（包括维保实施方案、维保设备及备件储备、服务响应时效等）</w:t>
      </w:r>
      <w:r>
        <w:rPr>
          <w:rFonts w:hint="eastAsia" w:ascii="仿宋" w:hAnsi="仿宋" w:eastAsia="仿宋" w:cs="仿宋"/>
          <w:sz w:val="28"/>
          <w:szCs w:val="28"/>
          <w:lang w:eastAsia="zh-CN"/>
        </w:rPr>
        <w:t>;</w:t>
      </w:r>
    </w:p>
    <w:p w14:paraId="2A907B0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firstLine="560" w:firstLineChars="200"/>
        <w:textAlignment w:val="baseline"/>
        <w:rPr>
          <w:rFonts w:hint="eastAsia" w:ascii="仿宋" w:hAnsi="仿宋" w:eastAsia="仿宋" w:cs="仿宋"/>
          <w:sz w:val="28"/>
          <w:szCs w:val="28"/>
          <w:lang w:eastAsia="zh-CN"/>
        </w:rPr>
      </w:pPr>
      <w:r>
        <w:rPr>
          <w:rFonts w:hint="eastAsia" w:ascii="仿宋" w:hAnsi="仿宋" w:eastAsia="仿宋" w:cs="仿宋"/>
          <w:sz w:val="28"/>
          <w:szCs w:val="28"/>
          <w:lang w:val="en-US" w:eastAsia="zh-CN"/>
        </w:rPr>
        <w:t>5.</w:t>
      </w:r>
      <w:r>
        <w:rPr>
          <w:rFonts w:hint="eastAsia" w:ascii="仿宋" w:hAnsi="仿宋" w:eastAsia="仿宋" w:cs="仿宋"/>
          <w:sz w:val="28"/>
          <w:szCs w:val="28"/>
          <w:lang w:eastAsia="zh-CN"/>
        </w:rPr>
        <w:t>供应商应急响应</w:t>
      </w:r>
      <w:r>
        <w:rPr>
          <w:rFonts w:hint="eastAsia" w:ascii="仿宋" w:hAnsi="仿宋" w:eastAsia="仿宋" w:cs="仿宋"/>
          <w:sz w:val="28"/>
          <w:szCs w:val="28"/>
          <w:lang w:val="en-US" w:eastAsia="zh-CN"/>
        </w:rPr>
        <w:t>机制。</w:t>
      </w:r>
    </w:p>
    <w:p w14:paraId="7F2FC8F1">
      <w:pPr>
        <w:pStyle w:val="2"/>
        <w:pageBreakBefore w:val="0"/>
        <w:widowControl/>
        <w:numPr>
          <w:ilvl w:val="0"/>
          <w:numId w:val="0"/>
        </w:numPr>
        <w:kinsoku w:val="0"/>
        <w:wordWrap/>
        <w:overflowPunct/>
        <w:topLinePunct w:val="0"/>
        <w:autoSpaceDE w:val="0"/>
        <w:autoSpaceDN w:val="0"/>
        <w:bidi w:val="0"/>
        <w:adjustRightInd w:val="0"/>
        <w:snapToGrid w:val="0"/>
        <w:spacing w:before="0" w:beforeLines="0" w:after="0" w:afterLines="0" w:line="360" w:lineRule="auto"/>
        <w:ind w:leftChars="0" w:firstLine="560" w:firstLineChars="200"/>
        <w:jc w:val="left"/>
        <w:textAlignment w:val="baseline"/>
        <w:rPr>
          <w:rFonts w:hint="eastAsia" w:ascii="黑体" w:hAnsi="黑体" w:eastAsia="黑体" w:cs="黑体"/>
          <w:b w:val="0"/>
          <w:bCs/>
          <w:sz w:val="28"/>
          <w:szCs w:val="28"/>
          <w:lang w:val="en-US" w:eastAsia="zh-CN"/>
        </w:rPr>
      </w:pPr>
      <w:r>
        <w:rPr>
          <w:rFonts w:hint="eastAsia" w:ascii="黑体" w:hAnsi="黑体" w:cs="黑体"/>
          <w:b w:val="0"/>
          <w:bCs/>
          <w:sz w:val="28"/>
          <w:szCs w:val="28"/>
          <w:lang w:val="en-US" w:eastAsia="zh-CN"/>
        </w:rPr>
        <w:t>三、</w:t>
      </w:r>
      <w:r>
        <w:rPr>
          <w:rFonts w:hint="eastAsia" w:ascii="黑体" w:hAnsi="黑体" w:eastAsia="黑体" w:cs="黑体"/>
          <w:b w:val="0"/>
          <w:bCs/>
          <w:sz w:val="28"/>
          <w:szCs w:val="28"/>
          <w:lang w:val="en-US" w:eastAsia="zh-CN"/>
        </w:rPr>
        <w:t>要求供应商提供的信息</w:t>
      </w:r>
    </w:p>
    <w:p w14:paraId="708ED179">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请报名参加的供应商于</w:t>
      </w:r>
      <w:r>
        <w:rPr>
          <w:rFonts w:hint="eastAsia" w:ascii="仿宋" w:hAnsi="仿宋" w:eastAsia="仿宋" w:cs="仿宋"/>
          <w:b/>
          <w:bCs/>
          <w:color w:val="FF0000"/>
          <w:sz w:val="28"/>
          <w:szCs w:val="28"/>
          <w:lang w:val="en-US" w:eastAsia="zh-CN"/>
        </w:rPr>
        <w:t>2026</w:t>
      </w:r>
      <w:r>
        <w:rPr>
          <w:rFonts w:hint="eastAsia" w:ascii="仿宋" w:hAnsi="仿宋" w:eastAsia="仿宋" w:cs="仿宋"/>
          <w:b/>
          <w:bCs/>
          <w:color w:val="FF0000"/>
          <w:sz w:val="28"/>
          <w:szCs w:val="28"/>
          <w:highlight w:val="none"/>
          <w:lang w:val="en-US" w:eastAsia="zh-CN"/>
        </w:rPr>
        <w:t>年9月15日18:00</w:t>
      </w:r>
      <w:r>
        <w:rPr>
          <w:rFonts w:hint="eastAsia" w:ascii="仿宋" w:hAnsi="仿宋" w:eastAsia="仿宋" w:cs="仿宋"/>
          <w:sz w:val="28"/>
          <w:szCs w:val="28"/>
          <w:lang w:val="en-US" w:eastAsia="zh-CN"/>
        </w:rPr>
        <w:t>前，填写信息采集内容，请各供应商准确填写相关信息，并对所填信息的真实有效性负责,信息采集表含以下内容：</w:t>
      </w:r>
    </w:p>
    <w:p w14:paraId="6BD25036">
      <w:pPr>
        <w:pStyle w:val="11"/>
        <w:keepNext w:val="0"/>
        <w:keepLines w:val="0"/>
        <w:pageBreakBefore w:val="0"/>
        <w:widowControl w:val="0"/>
        <w:kinsoku/>
        <w:wordWrap/>
        <w:overflowPunct/>
        <w:topLinePunct w:val="0"/>
        <w:autoSpaceDE/>
        <w:autoSpaceDN/>
        <w:bidi w:val="0"/>
        <w:adjustRightInd w:val="0"/>
        <w:snapToGrid w:val="0"/>
        <w:spacing w:line="360" w:lineRule="auto"/>
        <w:ind w:left="0" w:firstLine="562" w:firstLineChars="200"/>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rPr>
        <w:t>（1）</w:t>
      </w:r>
      <w:r>
        <w:rPr>
          <w:rFonts w:hint="eastAsia" w:ascii="仿宋" w:hAnsi="仿宋" w:eastAsia="仿宋" w:cs="仿宋"/>
          <w:b/>
          <w:bCs/>
          <w:sz w:val="28"/>
          <w:szCs w:val="28"/>
          <w:lang w:val="en-US" w:eastAsia="zh-CN"/>
        </w:rPr>
        <w:t>供应商</w:t>
      </w:r>
      <w:r>
        <w:rPr>
          <w:rFonts w:hint="eastAsia" w:ascii="仿宋" w:hAnsi="仿宋" w:eastAsia="仿宋" w:cs="仿宋"/>
          <w:b/>
          <w:bCs/>
          <w:sz w:val="28"/>
          <w:szCs w:val="28"/>
        </w:rPr>
        <w:t>名称</w:t>
      </w:r>
      <w:r>
        <w:rPr>
          <w:rFonts w:hint="eastAsia" w:ascii="仿宋" w:hAnsi="仿宋" w:eastAsia="仿宋" w:cs="仿宋"/>
          <w:b/>
          <w:bCs/>
          <w:sz w:val="28"/>
          <w:szCs w:val="28"/>
          <w:lang w:eastAsia="zh-CN"/>
        </w:rPr>
        <w:t>；</w:t>
      </w:r>
    </w:p>
    <w:p w14:paraId="78C44ECA">
      <w:pPr>
        <w:pStyle w:val="11"/>
        <w:keepNext w:val="0"/>
        <w:keepLines w:val="0"/>
        <w:pageBreakBefore w:val="0"/>
        <w:widowControl w:val="0"/>
        <w:kinsoku/>
        <w:wordWrap/>
        <w:overflowPunct/>
        <w:topLinePunct w:val="0"/>
        <w:autoSpaceDE/>
        <w:autoSpaceDN/>
        <w:bidi w:val="0"/>
        <w:adjustRightInd w:val="0"/>
        <w:snapToGrid w:val="0"/>
        <w:spacing w:line="360" w:lineRule="auto"/>
        <w:ind w:left="0" w:firstLine="562" w:firstLineChars="200"/>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2</w:t>
      </w:r>
      <w:r>
        <w:rPr>
          <w:rFonts w:hint="eastAsia" w:ascii="仿宋" w:hAnsi="仿宋" w:eastAsia="仿宋" w:cs="仿宋"/>
          <w:b/>
          <w:bCs/>
          <w:sz w:val="28"/>
          <w:szCs w:val="28"/>
          <w:lang w:eastAsia="zh-CN"/>
        </w:rPr>
        <w:t>）</w:t>
      </w:r>
      <w:r>
        <w:rPr>
          <w:rFonts w:hint="eastAsia" w:ascii="仿宋" w:hAnsi="仿宋" w:eastAsia="仿宋" w:cs="仿宋"/>
          <w:b/>
          <w:bCs/>
          <w:sz w:val="28"/>
          <w:szCs w:val="28"/>
        </w:rPr>
        <w:t>2名联系人姓名，联系方式（手机号），电子邮箱</w:t>
      </w:r>
      <w:r>
        <w:rPr>
          <w:rFonts w:hint="eastAsia" w:ascii="仿宋" w:hAnsi="仿宋" w:eastAsia="仿宋" w:cs="仿宋"/>
          <w:b/>
          <w:bCs/>
          <w:sz w:val="28"/>
          <w:szCs w:val="28"/>
          <w:lang w:eastAsia="zh-CN"/>
        </w:rPr>
        <w:t>；</w:t>
      </w:r>
    </w:p>
    <w:p w14:paraId="6D80678C">
      <w:pPr>
        <w:pStyle w:val="11"/>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提供类似业绩的清单及证明材料（合同、中标通知书等）</w:t>
      </w:r>
      <w:r>
        <w:rPr>
          <w:rFonts w:hint="eastAsia" w:ascii="仿宋" w:hAnsi="仿宋" w:eastAsia="仿宋" w:cs="仿宋"/>
          <w:b/>
          <w:bCs/>
          <w:sz w:val="28"/>
          <w:szCs w:val="28"/>
          <w:lang w:val="en-US" w:eastAsia="zh-CN"/>
        </w:rPr>
        <w:t>；</w:t>
      </w:r>
    </w:p>
    <w:p w14:paraId="692023C2">
      <w:pPr>
        <w:pStyle w:val="11"/>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上述“二、调研需求”中涉及的相关资料；</w:t>
      </w:r>
    </w:p>
    <w:p w14:paraId="2B994C56">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firstLine="562" w:firstLineChars="200"/>
        <w:textAlignment w:val="auto"/>
        <w:rPr>
          <w:rFonts w:hint="default" w:ascii="仿宋" w:hAnsi="仿宋" w:eastAsia="仿宋" w:cs="仿宋"/>
          <w:b/>
          <w:bCs/>
          <w:color w:val="FF0000"/>
          <w:sz w:val="28"/>
          <w:szCs w:val="28"/>
          <w:lang w:val="en-US" w:eastAsia="zh-CN"/>
        </w:rPr>
      </w:pPr>
      <w:r>
        <w:rPr>
          <w:rFonts w:hint="eastAsia" w:ascii="仿宋" w:hAnsi="仿宋" w:eastAsia="仿宋" w:cs="仿宋"/>
          <w:b/>
          <w:bCs/>
          <w:sz w:val="28"/>
          <w:szCs w:val="28"/>
          <w:lang w:val="en-US" w:eastAsia="zh-CN"/>
        </w:rPr>
        <w:t>（5）对本次屋顶护栏及附属设施维保服务和常规维修材料进行报价（屋顶护栏及附属设施维保服务为总价，常规维修材料清单详见附件1）；</w:t>
      </w:r>
    </w:p>
    <w:p w14:paraId="5545D8BD">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firstLine="562" w:firstLineChars="200"/>
        <w:textAlignment w:val="auto"/>
        <w:rPr>
          <w:rFonts w:hint="default"/>
          <w:sz w:val="32"/>
          <w:szCs w:val="32"/>
          <w:lang w:val="en-US" w:eastAsia="zh-CN"/>
        </w:rPr>
      </w:pPr>
      <w:r>
        <w:rPr>
          <w:rFonts w:hint="eastAsia" w:ascii="仿宋" w:hAnsi="仿宋" w:eastAsia="仿宋" w:cs="仿宋"/>
          <w:b/>
          <w:bCs/>
          <w:color w:val="FF0000"/>
          <w:sz w:val="28"/>
          <w:szCs w:val="28"/>
          <w:lang w:val="en-US" w:eastAsia="zh-CN"/>
        </w:rPr>
        <w:t>（6）本附件涉及的信息采集所有相关内容加盖公章后请制作为一个PDF，文件命名：“供应商名称+四川省人民医院XXXX采购项目”，并上传。</w:t>
      </w:r>
    </w:p>
    <w:p w14:paraId="51A2B59E">
      <w:pPr>
        <w:pStyle w:val="2"/>
        <w:pageBreakBefore w:val="0"/>
        <w:widowControl/>
        <w:numPr>
          <w:ilvl w:val="0"/>
          <w:numId w:val="0"/>
        </w:numPr>
        <w:kinsoku w:val="0"/>
        <w:wordWrap/>
        <w:overflowPunct/>
        <w:topLinePunct w:val="0"/>
        <w:autoSpaceDE w:val="0"/>
        <w:autoSpaceDN w:val="0"/>
        <w:bidi w:val="0"/>
        <w:adjustRightInd w:val="0"/>
        <w:snapToGrid w:val="0"/>
        <w:spacing w:before="0" w:beforeLines="0" w:after="0" w:afterLines="0" w:line="360" w:lineRule="auto"/>
        <w:ind w:leftChars="0" w:firstLine="560" w:firstLineChars="200"/>
        <w:jc w:val="left"/>
        <w:textAlignment w:val="baseline"/>
        <w:rPr>
          <w:rFonts w:hint="eastAsia" w:ascii="黑体" w:hAnsi="黑体" w:eastAsia="黑体" w:cs="黑体"/>
          <w:b w:val="0"/>
          <w:bCs/>
          <w:sz w:val="28"/>
          <w:szCs w:val="28"/>
          <w:lang w:val="en-US" w:eastAsia="zh-CN"/>
        </w:rPr>
      </w:pPr>
      <w:r>
        <w:rPr>
          <w:rFonts w:hint="eastAsia" w:ascii="黑体" w:hAnsi="黑体" w:cs="黑体"/>
          <w:b w:val="0"/>
          <w:bCs/>
          <w:sz w:val="28"/>
          <w:szCs w:val="28"/>
          <w:lang w:val="en-US" w:eastAsia="zh-CN"/>
        </w:rPr>
        <w:t>四</w:t>
      </w:r>
      <w:r>
        <w:rPr>
          <w:rFonts w:hint="default" w:ascii="黑体" w:hAnsi="黑体" w:eastAsia="黑体" w:cs="黑体"/>
          <w:b w:val="0"/>
          <w:bCs/>
          <w:sz w:val="28"/>
          <w:szCs w:val="28"/>
          <w:lang w:val="en-US" w:eastAsia="zh-CN"/>
        </w:rPr>
        <w:t>、</w:t>
      </w:r>
      <w:r>
        <w:rPr>
          <w:rFonts w:hint="eastAsia" w:ascii="黑体" w:hAnsi="黑体" w:eastAsia="黑体" w:cs="黑体"/>
          <w:b w:val="0"/>
          <w:bCs/>
          <w:sz w:val="28"/>
          <w:szCs w:val="28"/>
          <w:lang w:val="en-US" w:eastAsia="zh-CN"/>
        </w:rPr>
        <w:t>调研开展时间</w:t>
      </w:r>
    </w:p>
    <w:p w14:paraId="5EF068EE">
      <w:pPr>
        <w:keepNext w:val="0"/>
        <w:keepLines w:val="0"/>
        <w:pageBreakBefore w:val="0"/>
        <w:widowControl/>
        <w:kinsoku w:val="0"/>
        <w:wordWrap/>
        <w:overflowPunct/>
        <w:topLinePunct w:val="0"/>
        <w:autoSpaceDE w:val="0"/>
        <w:autoSpaceDN w:val="0"/>
        <w:bidi w:val="0"/>
        <w:adjustRightInd w:val="0"/>
        <w:snapToGrid w:val="0"/>
        <w:spacing w:line="360" w:lineRule="auto"/>
        <w:ind w:leftChars="0"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挂网时间：202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日</w:t>
      </w:r>
    </w:p>
    <w:p w14:paraId="2166D71E">
      <w:pPr>
        <w:keepNext w:val="0"/>
        <w:keepLines w:val="0"/>
        <w:pageBreakBefore w:val="0"/>
        <w:widowControl/>
        <w:kinsoku w:val="0"/>
        <w:wordWrap/>
        <w:overflowPunct/>
        <w:topLinePunct w:val="0"/>
        <w:autoSpaceDE w:val="0"/>
        <w:autoSpaceDN w:val="0"/>
        <w:bidi w:val="0"/>
        <w:adjustRightInd w:val="0"/>
        <w:snapToGrid w:val="0"/>
        <w:spacing w:line="360" w:lineRule="auto"/>
        <w:ind w:leftChars="0" w:firstLine="560" w:firstLineChars="200"/>
        <w:textAlignment w:val="baseline"/>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调研时间：</w:t>
      </w:r>
      <w:r>
        <w:rPr>
          <w:rFonts w:hint="eastAsia" w:ascii="仿宋" w:hAnsi="仿宋" w:eastAsia="仿宋" w:cs="仿宋"/>
          <w:color w:val="auto"/>
          <w:sz w:val="28"/>
          <w:szCs w:val="28"/>
          <w:highlight w:val="none"/>
          <w:lang w:val="en-US" w:eastAsia="zh-CN"/>
        </w:rPr>
        <w:t>2026年9月15日18:00结束</w:t>
      </w:r>
    </w:p>
    <w:p w14:paraId="409D47BE">
      <w:pPr>
        <w:keepNext w:val="0"/>
        <w:keepLines w:val="0"/>
        <w:pageBreakBefore w:val="0"/>
        <w:widowControl/>
        <w:kinsoku w:val="0"/>
        <w:wordWrap/>
        <w:overflowPunct/>
        <w:topLinePunct w:val="0"/>
        <w:autoSpaceDE w:val="0"/>
        <w:autoSpaceDN w:val="0"/>
        <w:bidi w:val="0"/>
        <w:adjustRightInd w:val="0"/>
        <w:snapToGrid w:val="0"/>
        <w:spacing w:line="360" w:lineRule="auto"/>
        <w:ind w:leftChars="0" w:firstLine="560" w:firstLineChars="20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调研方式：线</w:t>
      </w:r>
      <w:r>
        <w:rPr>
          <w:rFonts w:hint="eastAsia" w:ascii="仿宋" w:hAnsi="仿宋" w:eastAsia="仿宋" w:cs="仿宋"/>
          <w:color w:val="auto"/>
          <w:sz w:val="28"/>
          <w:szCs w:val="28"/>
          <w:highlight w:val="none"/>
          <w:lang w:val="en-US" w:eastAsia="zh-CN"/>
        </w:rPr>
        <w:t>下</w:t>
      </w:r>
      <w:r>
        <w:rPr>
          <w:rFonts w:hint="eastAsia" w:ascii="仿宋" w:hAnsi="仿宋" w:eastAsia="仿宋" w:cs="仿宋"/>
          <w:color w:val="auto"/>
          <w:sz w:val="28"/>
          <w:szCs w:val="28"/>
          <w:highlight w:val="none"/>
        </w:rPr>
        <w:t>调研</w:t>
      </w:r>
      <w:r>
        <w:rPr>
          <w:rFonts w:hint="eastAsia" w:ascii="仿宋" w:hAnsi="仿宋" w:eastAsia="仿宋" w:cs="仿宋"/>
          <w:color w:val="auto"/>
          <w:sz w:val="28"/>
          <w:szCs w:val="28"/>
          <w:highlight w:val="none"/>
          <w:lang w:eastAsia="zh-CN"/>
        </w:rPr>
        <w:t>（</w:t>
      </w:r>
      <w:r>
        <w:rPr>
          <w:rFonts w:hint="eastAsia" w:ascii="仿宋" w:hAnsi="仿宋" w:eastAsia="仿宋" w:cs="仿宋"/>
          <w:b/>
          <w:bCs/>
          <w:color w:val="FF0000"/>
          <w:sz w:val="28"/>
          <w:szCs w:val="28"/>
          <w:highlight w:val="none"/>
          <w:lang w:val="en-US" w:eastAsia="zh-CN"/>
        </w:rPr>
        <w:t>调研时间及地点另行通知</w:t>
      </w:r>
      <w:r>
        <w:rPr>
          <w:rFonts w:hint="eastAsia" w:ascii="仿宋" w:hAnsi="仿宋" w:eastAsia="仿宋" w:cs="仿宋"/>
          <w:color w:val="auto"/>
          <w:sz w:val="28"/>
          <w:szCs w:val="28"/>
          <w:highlight w:val="none"/>
          <w:lang w:eastAsia="zh-CN"/>
        </w:rPr>
        <w:t>）</w:t>
      </w:r>
    </w:p>
    <w:p w14:paraId="22F5C8C7">
      <w:pPr>
        <w:keepNext w:val="0"/>
        <w:keepLines w:val="0"/>
        <w:pageBreakBefore w:val="0"/>
        <w:widowControl/>
        <w:kinsoku w:val="0"/>
        <w:wordWrap/>
        <w:overflowPunct/>
        <w:topLinePunct w:val="0"/>
        <w:autoSpaceDE w:val="0"/>
        <w:autoSpaceDN w:val="0"/>
        <w:bidi w:val="0"/>
        <w:adjustRightInd w:val="0"/>
        <w:snapToGrid w:val="0"/>
        <w:spacing w:line="360" w:lineRule="auto"/>
        <w:ind w:leftChars="0" w:firstLine="560" w:firstLineChars="20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调研联系人：</w:t>
      </w:r>
      <w:r>
        <w:rPr>
          <w:rFonts w:hint="eastAsia" w:ascii="仿宋" w:hAnsi="仿宋" w:eastAsia="仿宋" w:cs="仿宋"/>
          <w:color w:val="auto"/>
          <w:sz w:val="28"/>
          <w:szCs w:val="28"/>
          <w:highlight w:val="none"/>
          <w:lang w:val="en-US" w:eastAsia="zh-CN"/>
        </w:rPr>
        <w:t>何老师</w:t>
      </w:r>
    </w:p>
    <w:p w14:paraId="06FDE4D9">
      <w:pPr>
        <w:keepNext w:val="0"/>
        <w:keepLines w:val="0"/>
        <w:pageBreakBefore w:val="0"/>
        <w:widowControl/>
        <w:kinsoku w:val="0"/>
        <w:wordWrap/>
        <w:overflowPunct/>
        <w:topLinePunct w:val="0"/>
        <w:autoSpaceDE w:val="0"/>
        <w:autoSpaceDN w:val="0"/>
        <w:bidi w:val="0"/>
        <w:adjustRightInd w:val="0"/>
        <w:snapToGrid w:val="0"/>
        <w:spacing w:line="360" w:lineRule="auto"/>
        <w:ind w:leftChars="0" w:firstLine="560" w:firstLineChars="20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val="en-US" w:eastAsia="zh-CN"/>
        </w:rPr>
        <w:t>028-87394783</w:t>
      </w:r>
    </w:p>
    <w:p w14:paraId="03598B45">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br w:type="page"/>
      </w:r>
    </w:p>
    <w:p w14:paraId="6BD89149">
      <w:pPr>
        <w:pStyle w:val="6"/>
        <w:keepNext w:val="0"/>
        <w:keepLines w:val="0"/>
        <w:pageBreakBefore w:val="0"/>
        <w:widowControl/>
        <w:kinsoku w:val="0"/>
        <w:wordWrap/>
        <w:overflowPunct/>
        <w:topLinePunct w:val="0"/>
        <w:autoSpaceDE w:val="0"/>
        <w:autoSpaceDN w:val="0"/>
        <w:bidi w:val="0"/>
        <w:adjustRightInd w:val="0"/>
        <w:snapToGrid w:val="0"/>
        <w:spacing w:after="0" w:line="480" w:lineRule="exact"/>
        <w:textAlignment w:val="baseline"/>
        <w:rPr>
          <w:rFonts w:hint="eastAsia" w:ascii="仿宋" w:hAnsi="仿宋" w:eastAsia="仿宋" w:cs="仿宋"/>
          <w:sz w:val="28"/>
          <w:szCs w:val="28"/>
          <w:lang w:val="en-US" w:eastAsia="zh-CN"/>
        </w:rPr>
      </w:pPr>
      <w:r>
        <w:rPr>
          <w:rFonts w:hint="eastAsia" w:ascii="仿宋" w:hAnsi="仿宋" w:eastAsia="仿宋" w:cs="仿宋"/>
          <w:sz w:val="28"/>
          <w:szCs w:val="28"/>
        </w:rPr>
        <w:t>附件</w:t>
      </w:r>
      <w:r>
        <w:rPr>
          <w:rFonts w:hint="eastAsia" w:ascii="仿宋" w:hAnsi="仿宋" w:eastAsia="仿宋" w:cs="仿宋"/>
          <w:sz w:val="28"/>
          <w:szCs w:val="28"/>
          <w:lang w:val="en-US" w:eastAsia="zh-CN"/>
        </w:rPr>
        <w:t>1</w:t>
      </w:r>
    </w:p>
    <w:p w14:paraId="7F291C38">
      <w:pPr>
        <w:pStyle w:val="6"/>
        <w:keepNext w:val="0"/>
        <w:keepLines w:val="0"/>
        <w:pageBreakBefore w:val="0"/>
        <w:widowControl/>
        <w:kinsoku w:val="0"/>
        <w:wordWrap/>
        <w:overflowPunct/>
        <w:topLinePunct w:val="0"/>
        <w:autoSpaceDE w:val="0"/>
        <w:autoSpaceDN w:val="0"/>
        <w:bidi w:val="0"/>
        <w:adjustRightInd w:val="0"/>
        <w:snapToGrid w:val="0"/>
        <w:spacing w:after="0" w:line="480" w:lineRule="exact"/>
        <w:jc w:val="center"/>
        <w:textAlignment w:val="baseline"/>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服务内容要求</w:t>
      </w:r>
    </w:p>
    <w:p w14:paraId="29B07E93">
      <w:pPr>
        <w:pStyle w:val="6"/>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00" w:lineRule="exact"/>
        <w:ind w:firstLine="480" w:firstLineChars="200"/>
        <w:textAlignment w:val="baseline"/>
        <w:rPr>
          <w:rFonts w:hint="default" w:ascii="仿宋_GB2312" w:hAnsi="仿宋_GB2312" w:eastAsia="仿宋_GB2312" w:cs="仿宋_GB2312"/>
          <w:sz w:val="24"/>
          <w:lang w:val="en-US" w:eastAsia="zh-CN"/>
        </w:rPr>
      </w:pPr>
      <w:r>
        <w:rPr>
          <w:rFonts w:hint="default" w:ascii="仿宋_GB2312" w:hAnsi="仿宋_GB2312" w:eastAsia="仿宋_GB2312" w:cs="仿宋_GB2312"/>
          <w:sz w:val="24"/>
          <w:lang w:val="en-US" w:eastAsia="zh-CN"/>
        </w:rPr>
        <w:t>一、服务内容</w:t>
      </w:r>
    </w:p>
    <w:p w14:paraId="6EA5B6AE">
      <w:pPr>
        <w:pStyle w:val="6"/>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00" w:lineRule="exact"/>
        <w:ind w:firstLine="480" w:firstLineChars="200"/>
        <w:textAlignment w:val="baseline"/>
        <w:rPr>
          <w:rFonts w:hint="default" w:ascii="仿宋_GB2312" w:hAnsi="仿宋_GB2312" w:eastAsia="仿宋_GB2312" w:cs="仿宋_GB2312"/>
          <w:sz w:val="24"/>
          <w:lang w:val="en-US" w:eastAsia="zh-CN"/>
        </w:rPr>
      </w:pPr>
      <w:r>
        <w:rPr>
          <w:rFonts w:hint="default" w:ascii="仿宋_GB2312" w:hAnsi="仿宋_GB2312" w:eastAsia="仿宋_GB2312" w:cs="仿宋_GB2312"/>
          <w:sz w:val="24"/>
          <w:lang w:val="en-US" w:eastAsia="zh-CN"/>
        </w:rPr>
        <w:t>1、检查所有顶护栏及附属设施钢架及焊点，对损坏的部位进行加固、焊接等处理，如果有锈、做除锈防锈处理；</w:t>
      </w:r>
    </w:p>
    <w:p w14:paraId="310E9ECA">
      <w:pPr>
        <w:pStyle w:val="6"/>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00" w:lineRule="exact"/>
        <w:ind w:firstLine="480" w:firstLineChars="200"/>
        <w:textAlignment w:val="baseline"/>
        <w:rPr>
          <w:rFonts w:hint="default" w:ascii="仿宋_GB2312" w:hAnsi="仿宋_GB2312" w:eastAsia="仿宋_GB2312" w:cs="仿宋_GB2312"/>
          <w:sz w:val="24"/>
          <w:lang w:val="en-US" w:eastAsia="zh-CN"/>
        </w:rPr>
      </w:pPr>
      <w:r>
        <w:rPr>
          <w:rFonts w:hint="default" w:ascii="仿宋_GB2312" w:hAnsi="仿宋_GB2312" w:eastAsia="仿宋_GB2312" w:cs="仿宋_GB2312"/>
          <w:sz w:val="24"/>
          <w:lang w:val="en-US" w:eastAsia="zh-CN"/>
        </w:rPr>
        <w:t>2、检查所有屋顶护栏、附属设施、logo等，如果有锈、做除锈防锈处理；如果有损坏的、进行加固等安全处理。</w:t>
      </w:r>
    </w:p>
    <w:p w14:paraId="1B3E8974">
      <w:pPr>
        <w:pStyle w:val="6"/>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00" w:lineRule="exact"/>
        <w:ind w:firstLine="480" w:firstLineChars="200"/>
        <w:textAlignment w:val="baseline"/>
        <w:rPr>
          <w:rFonts w:hint="default" w:ascii="仿宋_GB2312" w:hAnsi="仿宋_GB2312" w:eastAsia="仿宋_GB2312" w:cs="仿宋_GB2312"/>
          <w:sz w:val="24"/>
          <w:lang w:val="en-US" w:eastAsia="zh-CN"/>
        </w:rPr>
      </w:pPr>
      <w:r>
        <w:rPr>
          <w:rFonts w:hint="default" w:ascii="仿宋_GB2312" w:hAnsi="仿宋_GB2312" w:eastAsia="仿宋_GB2312" w:cs="仿宋_GB2312"/>
          <w:sz w:val="24"/>
          <w:lang w:val="en-US" w:eastAsia="zh-CN"/>
        </w:rPr>
        <w:t>3、以上工作内容，每月巡查一次，若发现问题立即处理，做好巡查维修处理记录。</w:t>
      </w:r>
    </w:p>
    <w:p w14:paraId="25C27C63">
      <w:pPr>
        <w:pStyle w:val="6"/>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00" w:lineRule="exact"/>
        <w:ind w:firstLine="480" w:firstLineChars="200"/>
        <w:textAlignment w:val="baseline"/>
        <w:rPr>
          <w:rFonts w:hint="default" w:ascii="仿宋_GB2312" w:hAnsi="仿宋_GB2312" w:eastAsia="仿宋_GB2312" w:cs="仿宋_GB2312"/>
          <w:sz w:val="24"/>
          <w:lang w:val="en-US" w:eastAsia="zh-CN"/>
        </w:rPr>
      </w:pPr>
      <w:r>
        <w:rPr>
          <w:rFonts w:hint="default" w:ascii="仿宋_GB2312" w:hAnsi="仿宋_GB2312" w:eastAsia="仿宋_GB2312" w:cs="仿宋_GB2312"/>
          <w:sz w:val="24"/>
          <w:lang w:val="en-US" w:eastAsia="zh-CN"/>
        </w:rPr>
        <w:t>4、供应商需进行</w:t>
      </w:r>
      <w:r>
        <w:rPr>
          <w:rFonts w:hint="eastAsia" w:ascii="仿宋_GB2312" w:hAnsi="仿宋_GB2312" w:eastAsia="仿宋_GB2312" w:cs="仿宋_GB2312"/>
          <w:sz w:val="24"/>
          <w:lang w:val="en-US" w:eastAsia="zh-CN"/>
        </w:rPr>
        <w:t>一次</w:t>
      </w:r>
      <w:r>
        <w:rPr>
          <w:rFonts w:hint="default" w:ascii="仿宋_GB2312" w:hAnsi="仿宋_GB2312" w:eastAsia="仿宋_GB2312" w:cs="仿宋_GB2312"/>
          <w:sz w:val="24"/>
          <w:lang w:val="en-US" w:eastAsia="zh-CN"/>
        </w:rPr>
        <w:t>全面的除锈防腐（刷漆）作业</w:t>
      </w:r>
    </w:p>
    <w:p w14:paraId="4A44D837">
      <w:pPr>
        <w:pStyle w:val="6"/>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00" w:lineRule="exact"/>
        <w:ind w:firstLine="480" w:firstLineChars="200"/>
        <w:textAlignment w:val="baseline"/>
        <w:rPr>
          <w:rFonts w:hint="default" w:ascii="仿宋_GB2312" w:hAnsi="仿宋_GB2312" w:eastAsia="仿宋_GB2312" w:cs="仿宋_GB2312"/>
          <w:sz w:val="24"/>
          <w:lang w:val="en-US" w:eastAsia="zh-CN"/>
        </w:rPr>
      </w:pPr>
      <w:r>
        <w:rPr>
          <w:rFonts w:hint="default" w:ascii="仿宋_GB2312" w:hAnsi="仿宋_GB2312" w:eastAsia="仿宋_GB2312" w:cs="仿宋_GB2312"/>
          <w:sz w:val="24"/>
          <w:lang w:val="en-US" w:eastAsia="zh-CN"/>
        </w:rPr>
        <w:t>5、如遇大风的特殊极端天气，第二天对屋顶护栏及附属设施进行巡查，若发现问题立即处理，做好巡查维修处理记录</w:t>
      </w:r>
    </w:p>
    <w:p w14:paraId="378E1823">
      <w:pPr>
        <w:pStyle w:val="6"/>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00" w:lineRule="exact"/>
        <w:ind w:firstLine="480" w:firstLineChars="200"/>
        <w:textAlignment w:val="baseline"/>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6</w:t>
      </w:r>
      <w:r>
        <w:rPr>
          <w:rFonts w:hint="default" w:ascii="仿宋_GB2312" w:hAnsi="仿宋_GB2312" w:eastAsia="仿宋_GB2312" w:cs="仿宋_GB2312"/>
          <w:sz w:val="24"/>
          <w:lang w:val="en-US" w:eastAsia="zh-CN"/>
        </w:rPr>
        <w:t>、维修，若发现楼顶护栏和附属设施等故障、损坏或缺失，负责维修更换。如需更换配件，须取得</w:t>
      </w:r>
      <w:r>
        <w:rPr>
          <w:rFonts w:hint="eastAsia" w:ascii="仿宋_GB2312" w:hAnsi="仿宋_GB2312" w:eastAsia="仿宋_GB2312" w:cs="仿宋_GB2312"/>
          <w:sz w:val="24"/>
          <w:lang w:val="en-US" w:eastAsia="zh-CN"/>
        </w:rPr>
        <w:t>采购人</w:t>
      </w:r>
      <w:r>
        <w:rPr>
          <w:rFonts w:hint="default" w:ascii="仿宋_GB2312" w:hAnsi="仿宋_GB2312" w:eastAsia="仿宋_GB2312" w:cs="仿宋_GB2312"/>
          <w:sz w:val="24"/>
          <w:lang w:val="en-US" w:eastAsia="zh-CN"/>
        </w:rPr>
        <w:t>同意后，依据常规维修材料价格收取费用</w:t>
      </w:r>
      <w:r>
        <w:rPr>
          <w:rFonts w:hint="eastAsia" w:ascii="仿宋_GB2312" w:hAnsi="仿宋_GB2312" w:eastAsia="仿宋_GB2312" w:cs="仿宋_GB2312"/>
          <w:sz w:val="24"/>
          <w:lang w:val="en-US" w:eastAsia="zh-CN"/>
        </w:rPr>
        <w:t>（按实结算）。</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405"/>
        <w:gridCol w:w="4773"/>
        <w:gridCol w:w="1406"/>
        <w:gridCol w:w="2372"/>
      </w:tblGrid>
      <w:tr w14:paraId="2DCAB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30" w:hRule="atLeast"/>
        </w:trPr>
        <w:tc>
          <w:tcPr>
            <w:tcW w:w="5000" w:type="pct"/>
            <w:gridSpan w:val="4"/>
            <w:shd w:val="clear" w:color="auto" w:fill="auto"/>
            <w:noWrap/>
            <w:tcMar>
              <w:top w:w="0" w:type="dxa"/>
              <w:left w:w="105" w:type="dxa"/>
              <w:bottom w:w="0" w:type="dxa"/>
              <w:right w:w="105" w:type="dxa"/>
            </w:tcMar>
            <w:vAlign w:val="center"/>
          </w:tcPr>
          <w:p w14:paraId="673B6906">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b/>
                <w:bCs/>
                <w:snapToGrid w:val="0"/>
                <w:color w:val="000000"/>
                <w:kern w:val="0"/>
                <w:sz w:val="24"/>
                <w:szCs w:val="21"/>
                <w:lang w:val="en-US" w:eastAsia="zh-CN" w:bidi="ar-SA"/>
              </w:rPr>
              <w:t>常规维修材料单价</w:t>
            </w:r>
          </w:p>
        </w:tc>
      </w:tr>
      <w:tr w14:paraId="39990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wAfter w:w="0" w:type="auto"/>
          <w:trHeight w:val="330" w:hRule="atLeast"/>
        </w:trPr>
        <w:tc>
          <w:tcPr>
            <w:tcW w:w="706" w:type="pct"/>
            <w:shd w:val="clear" w:color="auto" w:fill="auto"/>
            <w:tcMar>
              <w:top w:w="0" w:type="dxa"/>
              <w:left w:w="105" w:type="dxa"/>
              <w:bottom w:w="0" w:type="dxa"/>
              <w:right w:w="105" w:type="dxa"/>
            </w:tcMar>
            <w:vAlign w:val="center"/>
          </w:tcPr>
          <w:p w14:paraId="0B22FC86">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序号</w:t>
            </w:r>
          </w:p>
        </w:tc>
        <w:tc>
          <w:tcPr>
            <w:tcW w:w="2397" w:type="pct"/>
            <w:shd w:val="clear" w:color="auto" w:fill="auto"/>
            <w:tcMar>
              <w:top w:w="0" w:type="dxa"/>
              <w:left w:w="105" w:type="dxa"/>
              <w:bottom w:w="0" w:type="dxa"/>
              <w:right w:w="105" w:type="dxa"/>
            </w:tcMar>
            <w:vAlign w:val="center"/>
          </w:tcPr>
          <w:p w14:paraId="31372B10">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产品名称</w:t>
            </w:r>
          </w:p>
        </w:tc>
        <w:tc>
          <w:tcPr>
            <w:tcW w:w="706" w:type="pct"/>
            <w:shd w:val="clear" w:color="auto" w:fill="auto"/>
            <w:tcMar>
              <w:top w:w="0" w:type="dxa"/>
              <w:left w:w="105" w:type="dxa"/>
              <w:bottom w:w="0" w:type="dxa"/>
              <w:right w:w="105" w:type="dxa"/>
            </w:tcMar>
            <w:vAlign w:val="center"/>
          </w:tcPr>
          <w:p w14:paraId="6FB480EB">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单位</w:t>
            </w:r>
          </w:p>
        </w:tc>
        <w:tc>
          <w:tcPr>
            <w:tcW w:w="1189" w:type="pct"/>
            <w:shd w:val="clear" w:color="auto" w:fill="auto"/>
            <w:tcMar>
              <w:top w:w="0" w:type="dxa"/>
              <w:left w:w="105" w:type="dxa"/>
              <w:bottom w:w="0" w:type="dxa"/>
              <w:right w:w="105" w:type="dxa"/>
            </w:tcMar>
            <w:vAlign w:val="center"/>
          </w:tcPr>
          <w:p w14:paraId="734F35E2">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报价（元）</w:t>
            </w:r>
          </w:p>
        </w:tc>
      </w:tr>
      <w:tr w14:paraId="51E5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330" w:hRule="atLeast"/>
        </w:trPr>
        <w:tc>
          <w:tcPr>
            <w:tcW w:w="706" w:type="pct"/>
            <w:shd w:val="clear" w:color="auto" w:fill="auto"/>
            <w:noWrap/>
            <w:tcMar>
              <w:top w:w="0" w:type="dxa"/>
              <w:left w:w="105" w:type="dxa"/>
              <w:bottom w:w="0" w:type="dxa"/>
              <w:right w:w="105" w:type="dxa"/>
            </w:tcMar>
            <w:vAlign w:val="center"/>
          </w:tcPr>
          <w:p w14:paraId="6BAAAE83">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1</w:t>
            </w:r>
          </w:p>
        </w:tc>
        <w:tc>
          <w:tcPr>
            <w:tcW w:w="2397" w:type="pct"/>
            <w:shd w:val="clear" w:color="auto" w:fill="auto"/>
            <w:tcMar>
              <w:top w:w="0" w:type="dxa"/>
              <w:left w:w="105" w:type="dxa"/>
              <w:bottom w:w="0" w:type="dxa"/>
              <w:right w:w="105" w:type="dxa"/>
            </w:tcMar>
            <w:vAlign w:val="center"/>
          </w:tcPr>
          <w:p w14:paraId="3476C9BD">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户外电源</w:t>
            </w:r>
          </w:p>
        </w:tc>
        <w:tc>
          <w:tcPr>
            <w:tcW w:w="706" w:type="pct"/>
            <w:shd w:val="clear" w:color="auto" w:fill="auto"/>
            <w:tcMar>
              <w:top w:w="0" w:type="dxa"/>
              <w:left w:w="105" w:type="dxa"/>
              <w:bottom w:w="0" w:type="dxa"/>
              <w:right w:w="105" w:type="dxa"/>
            </w:tcMar>
            <w:vAlign w:val="center"/>
          </w:tcPr>
          <w:p w14:paraId="443BE3AF">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个</w:t>
            </w:r>
          </w:p>
        </w:tc>
        <w:tc>
          <w:tcPr>
            <w:tcW w:w="1189" w:type="pct"/>
            <w:shd w:val="clear" w:color="auto" w:fill="auto"/>
            <w:tcMar>
              <w:top w:w="0" w:type="dxa"/>
              <w:left w:w="105" w:type="dxa"/>
              <w:bottom w:w="0" w:type="dxa"/>
              <w:right w:w="105" w:type="dxa"/>
            </w:tcMar>
            <w:vAlign w:val="center"/>
          </w:tcPr>
          <w:p w14:paraId="30E5E916">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p>
        </w:tc>
      </w:tr>
      <w:tr w14:paraId="2218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wAfter w:w="0" w:type="auto"/>
          <w:trHeight w:val="330" w:hRule="atLeast"/>
        </w:trPr>
        <w:tc>
          <w:tcPr>
            <w:tcW w:w="706" w:type="pct"/>
            <w:shd w:val="clear" w:color="auto" w:fill="auto"/>
            <w:noWrap/>
            <w:tcMar>
              <w:top w:w="0" w:type="dxa"/>
              <w:left w:w="105" w:type="dxa"/>
              <w:bottom w:w="0" w:type="dxa"/>
              <w:right w:w="105" w:type="dxa"/>
            </w:tcMar>
            <w:vAlign w:val="center"/>
          </w:tcPr>
          <w:p w14:paraId="0440861E">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3</w:t>
            </w:r>
          </w:p>
        </w:tc>
        <w:tc>
          <w:tcPr>
            <w:tcW w:w="2397" w:type="pct"/>
            <w:shd w:val="clear" w:color="auto" w:fill="auto"/>
            <w:tcMar>
              <w:top w:w="0" w:type="dxa"/>
              <w:left w:w="105" w:type="dxa"/>
              <w:bottom w:w="0" w:type="dxa"/>
              <w:right w:w="105" w:type="dxa"/>
            </w:tcMar>
            <w:vAlign w:val="center"/>
          </w:tcPr>
          <w:p w14:paraId="3D0F6F75">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发光字</w:t>
            </w:r>
          </w:p>
        </w:tc>
        <w:tc>
          <w:tcPr>
            <w:tcW w:w="706" w:type="pct"/>
            <w:shd w:val="clear" w:color="auto" w:fill="auto"/>
            <w:tcMar>
              <w:top w:w="0" w:type="dxa"/>
              <w:left w:w="105" w:type="dxa"/>
              <w:bottom w:w="0" w:type="dxa"/>
              <w:right w:w="105" w:type="dxa"/>
            </w:tcMar>
            <w:vAlign w:val="center"/>
          </w:tcPr>
          <w:p w14:paraId="60B07D42">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w:t>
            </w:r>
          </w:p>
        </w:tc>
        <w:tc>
          <w:tcPr>
            <w:tcW w:w="1189" w:type="pct"/>
            <w:shd w:val="clear" w:color="auto" w:fill="auto"/>
            <w:tcMar>
              <w:top w:w="0" w:type="dxa"/>
              <w:left w:w="105" w:type="dxa"/>
              <w:bottom w:w="0" w:type="dxa"/>
              <w:right w:w="105" w:type="dxa"/>
            </w:tcMar>
            <w:vAlign w:val="center"/>
          </w:tcPr>
          <w:p w14:paraId="05142A3A">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p>
        </w:tc>
      </w:tr>
      <w:tr w14:paraId="5593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330" w:hRule="atLeast"/>
        </w:trPr>
        <w:tc>
          <w:tcPr>
            <w:tcW w:w="706" w:type="pct"/>
            <w:shd w:val="clear" w:color="auto" w:fill="auto"/>
            <w:noWrap/>
            <w:tcMar>
              <w:top w:w="0" w:type="dxa"/>
              <w:left w:w="105" w:type="dxa"/>
              <w:bottom w:w="0" w:type="dxa"/>
              <w:right w:w="105" w:type="dxa"/>
            </w:tcMar>
            <w:vAlign w:val="center"/>
          </w:tcPr>
          <w:p w14:paraId="57B10E0D">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4</w:t>
            </w:r>
          </w:p>
        </w:tc>
        <w:tc>
          <w:tcPr>
            <w:tcW w:w="2397" w:type="pct"/>
            <w:shd w:val="clear" w:color="auto" w:fill="auto"/>
            <w:tcMar>
              <w:top w:w="0" w:type="dxa"/>
              <w:left w:w="105" w:type="dxa"/>
              <w:bottom w:w="0" w:type="dxa"/>
              <w:right w:w="105" w:type="dxa"/>
            </w:tcMar>
            <w:vAlign w:val="center"/>
          </w:tcPr>
          <w:p w14:paraId="4001A71E">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电源线路</w:t>
            </w:r>
          </w:p>
        </w:tc>
        <w:tc>
          <w:tcPr>
            <w:tcW w:w="706" w:type="pct"/>
            <w:shd w:val="clear" w:color="auto" w:fill="auto"/>
            <w:tcMar>
              <w:top w:w="0" w:type="dxa"/>
              <w:left w:w="105" w:type="dxa"/>
              <w:bottom w:w="0" w:type="dxa"/>
              <w:right w:w="105" w:type="dxa"/>
            </w:tcMar>
            <w:vAlign w:val="center"/>
          </w:tcPr>
          <w:p w14:paraId="098BF17D">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米</w:t>
            </w:r>
          </w:p>
        </w:tc>
        <w:tc>
          <w:tcPr>
            <w:tcW w:w="1189" w:type="pct"/>
            <w:shd w:val="clear" w:color="auto" w:fill="auto"/>
            <w:tcMar>
              <w:top w:w="0" w:type="dxa"/>
              <w:left w:w="105" w:type="dxa"/>
              <w:bottom w:w="0" w:type="dxa"/>
              <w:right w:w="105" w:type="dxa"/>
            </w:tcMar>
            <w:vAlign w:val="center"/>
          </w:tcPr>
          <w:p w14:paraId="44E423FB">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p>
        </w:tc>
      </w:tr>
      <w:tr w14:paraId="4BAAA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After w:w="0" w:type="auto"/>
          <w:trHeight w:val="330" w:hRule="atLeast"/>
        </w:trPr>
        <w:tc>
          <w:tcPr>
            <w:tcW w:w="706" w:type="pct"/>
            <w:shd w:val="clear" w:color="auto" w:fill="auto"/>
            <w:noWrap/>
            <w:tcMar>
              <w:top w:w="0" w:type="dxa"/>
              <w:left w:w="105" w:type="dxa"/>
              <w:bottom w:w="0" w:type="dxa"/>
              <w:right w:w="105" w:type="dxa"/>
            </w:tcMar>
            <w:vAlign w:val="center"/>
          </w:tcPr>
          <w:p w14:paraId="09C72979">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5</w:t>
            </w:r>
          </w:p>
        </w:tc>
        <w:tc>
          <w:tcPr>
            <w:tcW w:w="2397" w:type="pct"/>
            <w:shd w:val="clear" w:color="auto" w:fill="auto"/>
            <w:tcMar>
              <w:top w:w="0" w:type="dxa"/>
              <w:left w:w="105" w:type="dxa"/>
              <w:bottom w:w="0" w:type="dxa"/>
              <w:right w:w="105" w:type="dxa"/>
            </w:tcMar>
            <w:vAlign w:val="center"/>
          </w:tcPr>
          <w:p w14:paraId="1DAF3D8A">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定时器</w:t>
            </w:r>
          </w:p>
        </w:tc>
        <w:tc>
          <w:tcPr>
            <w:tcW w:w="706" w:type="pct"/>
            <w:shd w:val="clear" w:color="auto" w:fill="auto"/>
            <w:tcMar>
              <w:top w:w="0" w:type="dxa"/>
              <w:left w:w="105" w:type="dxa"/>
              <w:bottom w:w="0" w:type="dxa"/>
              <w:right w:w="105" w:type="dxa"/>
            </w:tcMar>
            <w:vAlign w:val="center"/>
          </w:tcPr>
          <w:p w14:paraId="03E3EA78">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个</w:t>
            </w:r>
          </w:p>
        </w:tc>
        <w:tc>
          <w:tcPr>
            <w:tcW w:w="1189" w:type="pct"/>
            <w:shd w:val="clear" w:color="auto" w:fill="auto"/>
            <w:tcMar>
              <w:top w:w="0" w:type="dxa"/>
              <w:left w:w="105" w:type="dxa"/>
              <w:bottom w:w="0" w:type="dxa"/>
              <w:right w:w="105" w:type="dxa"/>
            </w:tcMar>
            <w:vAlign w:val="center"/>
          </w:tcPr>
          <w:p w14:paraId="47461D76">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p>
        </w:tc>
      </w:tr>
      <w:tr w14:paraId="0075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wAfter w:w="0" w:type="auto"/>
          <w:trHeight w:val="330" w:hRule="atLeast"/>
        </w:trPr>
        <w:tc>
          <w:tcPr>
            <w:tcW w:w="706" w:type="pct"/>
            <w:shd w:val="clear" w:color="auto" w:fill="auto"/>
            <w:noWrap/>
            <w:tcMar>
              <w:top w:w="0" w:type="dxa"/>
              <w:left w:w="105" w:type="dxa"/>
              <w:bottom w:w="0" w:type="dxa"/>
              <w:right w:w="105" w:type="dxa"/>
            </w:tcMar>
            <w:vAlign w:val="center"/>
          </w:tcPr>
          <w:p w14:paraId="3106F78D">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6</w:t>
            </w:r>
          </w:p>
        </w:tc>
        <w:tc>
          <w:tcPr>
            <w:tcW w:w="2397" w:type="pct"/>
            <w:shd w:val="clear" w:color="auto" w:fill="auto"/>
            <w:noWrap/>
            <w:tcMar>
              <w:top w:w="0" w:type="dxa"/>
              <w:left w:w="105" w:type="dxa"/>
              <w:bottom w:w="0" w:type="dxa"/>
              <w:right w:w="105" w:type="dxa"/>
            </w:tcMar>
            <w:vAlign w:val="center"/>
          </w:tcPr>
          <w:p w14:paraId="2C0A5AE5">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户外装饰条高空维修</w:t>
            </w:r>
          </w:p>
        </w:tc>
        <w:tc>
          <w:tcPr>
            <w:tcW w:w="706" w:type="pct"/>
            <w:shd w:val="clear" w:color="auto" w:fill="auto"/>
            <w:noWrap/>
            <w:tcMar>
              <w:top w:w="0" w:type="dxa"/>
              <w:left w:w="105" w:type="dxa"/>
              <w:bottom w:w="0" w:type="dxa"/>
              <w:right w:w="105" w:type="dxa"/>
            </w:tcMar>
            <w:vAlign w:val="center"/>
          </w:tcPr>
          <w:p w14:paraId="42FB8931">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人/次</w:t>
            </w:r>
          </w:p>
        </w:tc>
        <w:tc>
          <w:tcPr>
            <w:tcW w:w="1189" w:type="pct"/>
            <w:shd w:val="clear" w:color="auto" w:fill="auto"/>
            <w:noWrap/>
            <w:tcMar>
              <w:top w:w="0" w:type="dxa"/>
              <w:left w:w="105" w:type="dxa"/>
              <w:bottom w:w="0" w:type="dxa"/>
              <w:right w:w="105" w:type="dxa"/>
            </w:tcMar>
            <w:vAlign w:val="center"/>
          </w:tcPr>
          <w:p w14:paraId="53E2F367">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p>
        </w:tc>
      </w:tr>
      <w:tr w14:paraId="744BC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wAfter w:w="0" w:type="auto"/>
          <w:trHeight w:val="330" w:hRule="atLeast"/>
        </w:trPr>
        <w:tc>
          <w:tcPr>
            <w:tcW w:w="706" w:type="pct"/>
            <w:shd w:val="clear" w:color="auto" w:fill="auto"/>
            <w:noWrap/>
            <w:tcMar>
              <w:top w:w="0" w:type="dxa"/>
              <w:left w:w="105" w:type="dxa"/>
              <w:bottom w:w="0" w:type="dxa"/>
              <w:right w:w="105" w:type="dxa"/>
            </w:tcMar>
            <w:vAlign w:val="center"/>
          </w:tcPr>
          <w:p w14:paraId="7A9B918E">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7</w:t>
            </w:r>
          </w:p>
        </w:tc>
        <w:tc>
          <w:tcPr>
            <w:tcW w:w="2397" w:type="pct"/>
            <w:shd w:val="clear" w:color="auto" w:fill="auto"/>
            <w:noWrap/>
            <w:tcMar>
              <w:top w:w="0" w:type="dxa"/>
              <w:left w:w="105" w:type="dxa"/>
              <w:bottom w:w="0" w:type="dxa"/>
              <w:right w:w="105" w:type="dxa"/>
            </w:tcMar>
            <w:vAlign w:val="center"/>
          </w:tcPr>
          <w:p w14:paraId="06E508B0">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户外装饰条维修高空车</w:t>
            </w:r>
          </w:p>
        </w:tc>
        <w:tc>
          <w:tcPr>
            <w:tcW w:w="706" w:type="pct"/>
            <w:shd w:val="clear" w:color="auto" w:fill="auto"/>
            <w:noWrap/>
            <w:tcMar>
              <w:top w:w="0" w:type="dxa"/>
              <w:left w:w="105" w:type="dxa"/>
              <w:bottom w:w="0" w:type="dxa"/>
              <w:right w:w="105" w:type="dxa"/>
            </w:tcMar>
            <w:vAlign w:val="center"/>
          </w:tcPr>
          <w:p w14:paraId="029E3F1B">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车/天</w:t>
            </w:r>
          </w:p>
        </w:tc>
        <w:tc>
          <w:tcPr>
            <w:tcW w:w="1189" w:type="pct"/>
            <w:shd w:val="clear" w:color="auto" w:fill="auto"/>
            <w:noWrap/>
            <w:tcMar>
              <w:top w:w="0" w:type="dxa"/>
              <w:left w:w="105" w:type="dxa"/>
              <w:bottom w:w="0" w:type="dxa"/>
              <w:right w:w="105" w:type="dxa"/>
            </w:tcMar>
            <w:vAlign w:val="center"/>
          </w:tcPr>
          <w:p w14:paraId="72CB5544">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p>
        </w:tc>
      </w:tr>
      <w:tr w14:paraId="52931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wAfter w:w="0" w:type="auto"/>
          <w:trHeight w:val="330" w:hRule="atLeast"/>
        </w:trPr>
        <w:tc>
          <w:tcPr>
            <w:tcW w:w="706" w:type="pct"/>
            <w:shd w:val="clear" w:color="auto" w:fill="auto"/>
            <w:noWrap/>
            <w:tcMar>
              <w:top w:w="0" w:type="dxa"/>
              <w:left w:w="105" w:type="dxa"/>
              <w:bottom w:w="0" w:type="dxa"/>
              <w:right w:w="105" w:type="dxa"/>
            </w:tcMar>
            <w:vAlign w:val="center"/>
          </w:tcPr>
          <w:p w14:paraId="79322E17">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8</w:t>
            </w:r>
          </w:p>
        </w:tc>
        <w:tc>
          <w:tcPr>
            <w:tcW w:w="2397" w:type="pct"/>
            <w:shd w:val="clear" w:color="auto" w:fill="auto"/>
            <w:noWrap/>
            <w:tcMar>
              <w:top w:w="0" w:type="dxa"/>
              <w:left w:w="105" w:type="dxa"/>
              <w:bottom w:w="0" w:type="dxa"/>
              <w:right w:w="105" w:type="dxa"/>
            </w:tcMar>
            <w:vAlign w:val="center"/>
          </w:tcPr>
          <w:p w14:paraId="751860F9">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楼顶装饰油漆翻新</w:t>
            </w:r>
          </w:p>
        </w:tc>
        <w:tc>
          <w:tcPr>
            <w:tcW w:w="706" w:type="pct"/>
            <w:shd w:val="clear" w:color="auto" w:fill="auto"/>
            <w:tcMar>
              <w:top w:w="0" w:type="dxa"/>
              <w:left w:w="105" w:type="dxa"/>
              <w:bottom w:w="0" w:type="dxa"/>
              <w:right w:w="105" w:type="dxa"/>
            </w:tcMar>
            <w:vAlign w:val="center"/>
          </w:tcPr>
          <w:p w14:paraId="39329D91">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r>
              <w:rPr>
                <w:rFonts w:hint="eastAsia" w:ascii="仿宋_GB2312" w:hAnsi="仿宋_GB2312" w:eastAsia="仿宋_GB2312" w:cs="仿宋_GB2312"/>
                <w:snapToGrid w:val="0"/>
                <w:color w:val="000000"/>
                <w:kern w:val="0"/>
                <w:sz w:val="24"/>
                <w:szCs w:val="21"/>
                <w:lang w:val="en-US" w:eastAsia="zh-CN" w:bidi="ar-SA"/>
              </w:rPr>
              <w:t>/㎡</w:t>
            </w:r>
          </w:p>
        </w:tc>
        <w:tc>
          <w:tcPr>
            <w:tcW w:w="1189" w:type="pct"/>
            <w:shd w:val="clear" w:color="auto" w:fill="auto"/>
            <w:noWrap/>
            <w:tcMar>
              <w:top w:w="0" w:type="dxa"/>
              <w:left w:w="105" w:type="dxa"/>
              <w:bottom w:w="0" w:type="dxa"/>
              <w:right w:w="105" w:type="dxa"/>
            </w:tcMar>
            <w:vAlign w:val="center"/>
          </w:tcPr>
          <w:p w14:paraId="7A773BC4">
            <w:pPr>
              <w:pStyle w:val="7"/>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400" w:lineRule="exact"/>
              <w:jc w:val="center"/>
              <w:textAlignment w:val="baseline"/>
              <w:rPr>
                <w:rFonts w:hint="default" w:ascii="仿宋_GB2312" w:hAnsi="仿宋_GB2312" w:eastAsia="仿宋_GB2312" w:cs="仿宋_GB2312"/>
                <w:snapToGrid w:val="0"/>
                <w:color w:val="000000"/>
                <w:kern w:val="0"/>
                <w:sz w:val="24"/>
                <w:szCs w:val="21"/>
                <w:lang w:val="en-US" w:eastAsia="zh-CN" w:bidi="ar-SA"/>
              </w:rPr>
            </w:pPr>
          </w:p>
        </w:tc>
      </w:tr>
    </w:tbl>
    <w:p w14:paraId="09496920">
      <w:pPr>
        <w:pStyle w:val="6"/>
        <w:keepNext w:val="0"/>
        <w:keepLines w:val="0"/>
        <w:pageBreakBefore w:val="0"/>
        <w:widowControl/>
        <w:kinsoku w:val="0"/>
        <w:wordWrap/>
        <w:overflowPunct/>
        <w:topLinePunct w:val="0"/>
        <w:autoSpaceDE w:val="0"/>
        <w:autoSpaceDN w:val="0"/>
        <w:bidi w:val="0"/>
        <w:adjustRightInd w:val="0"/>
        <w:snapToGrid w:val="0"/>
        <w:spacing w:line="340" w:lineRule="exact"/>
        <w:textAlignment w:val="baseline"/>
        <w:rPr>
          <w:rFonts w:hint="default" w:ascii="仿宋_GB2312" w:hAnsi="仿宋_GB2312" w:eastAsia="仿宋_GB2312" w:cs="仿宋_GB2312"/>
          <w:sz w:val="24"/>
          <w:lang w:val="en-US" w:eastAsia="zh-CN"/>
        </w:rPr>
      </w:pPr>
      <w:bookmarkStart w:id="0" w:name="_GoBack"/>
      <w:bookmarkEnd w:id="0"/>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B5D7017-8D99-47C1-B21C-02038B68D7D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2" w:fontKey="{4CFFD43B-C116-4B63-B0B8-FCBEF2C76B0B}"/>
  </w:font>
  <w:font w:name="仿宋">
    <w:panose1 w:val="02010609060101010101"/>
    <w:charset w:val="86"/>
    <w:family w:val="auto"/>
    <w:pitch w:val="default"/>
    <w:sig w:usb0="800002BF" w:usb1="38CF7CFA" w:usb2="00000016" w:usb3="00000000" w:csb0="00040001" w:csb1="00000000"/>
    <w:embedRegular r:id="rId3" w:fontKey="{5477FC8B-FD66-42FA-B5FD-515FB492DFD5}"/>
  </w:font>
  <w:font w:name="仿宋_GB2312">
    <w:altName w:val="仿宋"/>
    <w:panose1 w:val="00000000000000000000"/>
    <w:charset w:val="00"/>
    <w:family w:val="auto"/>
    <w:pitch w:val="default"/>
    <w:sig w:usb0="00000000" w:usb1="00000000" w:usb2="00000000" w:usb3="00000000" w:csb0="00000000" w:csb1="00000000"/>
    <w:embedRegular r:id="rId4" w:fontKey="{8A18F0DF-CFA5-42B7-9906-C4012E1786E3}"/>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390E7F"/>
    <w:multiLevelType w:val="singleLevel"/>
    <w:tmpl w:val="C7390E7F"/>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JhNjE1YmFiZDA5OWEzM2Q1NzcyMmFkMDI0MDNmMzYifQ=="/>
  </w:docVars>
  <w:rsids>
    <w:rsidRoot w:val="5FF64A29"/>
    <w:rsid w:val="06B70A90"/>
    <w:rsid w:val="0C3152C1"/>
    <w:rsid w:val="0C661EF6"/>
    <w:rsid w:val="0F4C0EE3"/>
    <w:rsid w:val="14782D83"/>
    <w:rsid w:val="17604CAC"/>
    <w:rsid w:val="17983C1E"/>
    <w:rsid w:val="1BC95E1A"/>
    <w:rsid w:val="1F327B7E"/>
    <w:rsid w:val="20DD2CBF"/>
    <w:rsid w:val="216A7223"/>
    <w:rsid w:val="21B225A8"/>
    <w:rsid w:val="22132EC9"/>
    <w:rsid w:val="264256AC"/>
    <w:rsid w:val="2B1A4974"/>
    <w:rsid w:val="2FD117C3"/>
    <w:rsid w:val="36212C16"/>
    <w:rsid w:val="384301CD"/>
    <w:rsid w:val="3AF2319E"/>
    <w:rsid w:val="3C9F4C4E"/>
    <w:rsid w:val="46D71FE6"/>
    <w:rsid w:val="483228DE"/>
    <w:rsid w:val="49061F5C"/>
    <w:rsid w:val="4B5A73D5"/>
    <w:rsid w:val="58F90A08"/>
    <w:rsid w:val="5CD036BE"/>
    <w:rsid w:val="5FF64A29"/>
    <w:rsid w:val="62775FD3"/>
    <w:rsid w:val="6A263076"/>
    <w:rsid w:val="6A470981"/>
    <w:rsid w:val="6E315CC9"/>
    <w:rsid w:val="744046B8"/>
    <w:rsid w:val="7548139F"/>
    <w:rsid w:val="75F51C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unhideWhenUsed/>
    <w:qFormat/>
    <w:uiPriority w:val="99"/>
    <w:pPr>
      <w:spacing w:after="120"/>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styleId="11">
    <w:name w:val="List Paragraph"/>
    <w:basedOn w:val="1"/>
    <w:qFormat/>
    <w:uiPriority w:val="99"/>
    <w:pPr>
      <w:ind w:firstLine="420" w:firstLineChars="200"/>
    </w:pPr>
  </w:style>
  <w:style w:type="paragraph" w:customStyle="1" w:styleId="1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1312</Words>
  <Characters>1437</Characters>
  <Lines>0</Lines>
  <Paragraphs>0</Paragraphs>
  <TotalTime>4</TotalTime>
  <ScaleCrop>false</ScaleCrop>
  <LinksUpToDate>false</LinksUpToDate>
  <CharactersWithSpaces>1441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2025-03-03T07:02:00Z</dcterms:created>
  <dc:creator>甘露</dc:creator>
  <cp:lastModifiedBy>DENG</cp:lastModifiedBy>
  <dcterms:modified xsi:type="dcterms:W3CDTF">2026-09-10T04:11:12Z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B5744396521B49E1AF3F0BE8CE3A5894_13</vt:lpwstr>
  </property>
  <property fmtid="{D5CDD505-2E9C-101B-9397-08002B2CF9AE}" pid="4" name="KSOTemplateDocerSaveRecord">
    <vt:lpwstr>eyJoZGlkIjoiYzBmNjVkODg4YTI3YTdkZTY0YmRiY2Y4YmFkMWQ1OTIiLCJ1c2VySWQiOiI2NDE5ODgzNDAifQ==</vt:lpwstr>
  </property>
</Properties>
</file>