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糖化血红蛋白分析仪</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3240"/>
      <w:bookmarkStart w:id="1" w:name="_Toc471310326"/>
      <w:bookmarkStart w:id="2" w:name="_Toc62832406"/>
      <w:bookmarkStart w:id="3" w:name="_Toc1907"/>
      <w:bookmarkStart w:id="4" w:name="_Toc20358"/>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糖化血红蛋白分析仪采购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YXZ20261550</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1000.00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，试剂耗材报价要求详见第四章。</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en-US" w:eastAsia="zh-CN"/>
              </w:rPr>
              <w:t>/</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en-US" w:eastAsia="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履约保证金不予退还情形：</w:t>
            </w:r>
            <w:r>
              <w:rPr>
                <w:rFonts w:hint="eastAsia" w:ascii="Times New Roman" w:hAnsi="Times New Roman" w:eastAsia="仿宋" w:cs="Times New Roman"/>
                <w:sz w:val="22"/>
                <w:szCs w:val="22"/>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本项目拟采用谈判采购的方式采购糖化血红蛋白分析仪</w:t>
      </w:r>
      <w:r>
        <w:rPr>
          <w:rFonts w:hint="eastAsia" w:ascii="Times New Roman" w:hAnsi="Times New Roman" w:eastAsia="仿宋" w:cs="Times New Roman"/>
          <w:sz w:val="24"/>
          <w:szCs w:val="24"/>
          <w:lang w:eastAsia="zh-CN"/>
        </w:rPr>
        <w: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vertAlign w:val="baseline"/>
                <w:lang w:val="en-US" w:eastAsia="zh-CN"/>
              </w:rPr>
              <w:t>糖化血红蛋白分析仪（流水线）</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6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vertAlign w:val="baseline"/>
                <w:lang w:val="en-US" w:eastAsia="zh-CN"/>
              </w:rPr>
              <w:t>套</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c>
          <w:tcPr>
            <w:tcW w:w="893"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▲1.单台糖化血红蛋白分析仪常规模式分析速度≥100样本/小时。</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2.单台糖化血红蛋白分析仪变异体模式下分析速度≥50样本/小时。</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3.每更换一次层析柱后支持测量≥5000样本。</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▲4.糖化血红蛋白分析仪支持使用同一套试剂进行常规模式和变异体模式检测。</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5.糖化血红蛋白分析仪线性范围满足3%～20%，重复性CV≤1%。</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6.通过IFCC和NGSP认证，可溯源至IFCC参考物质。</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▲7.糖化血红蛋白分析仪具备样本自动混匀功能，可在检测前自动混匀样本，无需手动操作。</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8.样本处理模块样本处理速度≥300样本/小时，样本存储量≥500管。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9.样本处理模块可冷藏储存质控品，具备自动质控功能。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▲10.糖化血红蛋白分析仪、样本处理模块及配套样本传送轨道采用同一套软件统一控制（非多套独立的软件控制），可实现样本的全自动签收、分拣、调度、复检和归档。</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rPr>
        <w:t>★11.配置：糖化血红蛋白分析仪4台、样本处理模块及配套样本传送轨道2套。</w:t>
      </w:r>
    </w:p>
    <w:p>
      <w:pPr>
        <w:pStyle w:val="14"/>
        <w:keepNext w:val="0"/>
        <w:keepLines w:val="0"/>
        <w:widowControl/>
        <w:suppressLineNumbers w:val="0"/>
        <w:spacing w:beforeAutospacing="0" w:afterAutospacing="0" w:line="288" w:lineRule="auto"/>
        <w:ind w:firstLine="480" w:firstLineChars="200"/>
        <w:rPr>
          <w:rFonts w:hint="eastAsia" w:ascii="仿宋" w:hAnsi="仿宋" w:eastAsia="仿宋" w:cs="仿宋"/>
          <w:szCs w:val="24"/>
        </w:rPr>
      </w:pPr>
      <w:r>
        <w:rPr>
          <w:rFonts w:hint="eastAsia" w:ascii="仿宋" w:hAnsi="仿宋" w:eastAsia="仿宋" w:cs="仿宋"/>
          <w:kern w:val="2"/>
          <w:sz w:val="24"/>
          <w:szCs w:val="24"/>
        </w:rPr>
        <w:t>★</w:t>
      </w:r>
      <w:r>
        <w:rPr>
          <w:rFonts w:hint="eastAsia" w:ascii="仿宋" w:hAnsi="仿宋" w:eastAsia="仿宋" w:cs="仿宋"/>
          <w:kern w:val="2"/>
          <w:sz w:val="24"/>
          <w:szCs w:val="24"/>
          <w:lang w:val="en-US" w:eastAsia="zh-CN"/>
        </w:rPr>
        <w:t>12.</w:t>
      </w:r>
      <w:r>
        <w:rPr>
          <w:rFonts w:hint="eastAsia" w:ascii="仿宋" w:hAnsi="仿宋" w:eastAsia="仿宋" w:cs="仿宋"/>
          <w:kern w:val="2"/>
          <w:sz w:val="24"/>
          <w:szCs w:val="24"/>
        </w:rPr>
        <w:t>试剂耗材要求</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Cs w:val="24"/>
        </w:rPr>
      </w:pPr>
      <w:r>
        <w:rPr>
          <w:rFonts w:hint="eastAsia" w:ascii="仿宋" w:hAnsi="仿宋" w:eastAsia="仿宋" w:cs="仿宋"/>
          <w:kern w:val="2"/>
          <w:sz w:val="24"/>
          <w:szCs w:val="24"/>
          <w:lang w:val="en-US" w:eastAsia="zh-CN"/>
        </w:rPr>
        <w:t>12.</w:t>
      </w:r>
      <w:r>
        <w:rPr>
          <w:rFonts w:hint="eastAsia" w:ascii="仿宋" w:hAnsi="仿宋" w:eastAsia="仿宋" w:cs="仿宋"/>
          <w:kern w:val="2"/>
          <w:sz w:val="24"/>
          <w:szCs w:val="24"/>
        </w:rPr>
        <w:t>1.配套试剂（包含质控品、校准品）具备国家药品监督管理局注册证或备案凭证，且注册或备案资料或产品说明书中明确注明：适用于参与投标的设备（设备品牌、型号需一致）。</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ascii="仿宋" w:hAnsi="仿宋" w:eastAsia="仿宋" w:cs="仿宋"/>
          <w:kern w:val="2"/>
          <w:sz w:val="24"/>
          <w:szCs w:val="24"/>
          <w:lang w:val="en-US" w:eastAsia="zh-CN"/>
        </w:rPr>
        <w:t>12.</w:t>
      </w:r>
      <w:r>
        <w:rPr>
          <w:rFonts w:hint="eastAsia" w:ascii="仿宋" w:hAnsi="仿宋" w:eastAsia="仿宋" w:cs="仿宋"/>
          <w:kern w:val="2"/>
          <w:sz w:val="24"/>
          <w:szCs w:val="24"/>
        </w:rPr>
        <w:t>2.配套试剂（包含质控品、校准品）拟开展项目名称、预估检测量、试剂限高价如下：</w:t>
      </w:r>
    </w:p>
    <w:tbl>
      <w:tblPr>
        <w:tblStyle w:val="18"/>
        <w:tblW w:w="47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176"/>
        <w:gridCol w:w="3211"/>
        <w:gridCol w:w="2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702"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rPr>
            </w:pPr>
            <w:r>
              <w:rPr>
                <w:rFonts w:hint="eastAsia" w:ascii="仿宋" w:hAnsi="仿宋" w:eastAsia="仿宋" w:cs="仿宋"/>
                <w:b/>
                <w:bCs/>
                <w:sz w:val="24"/>
                <w:szCs w:val="24"/>
              </w:rPr>
              <w:t>拟开展项目名称</w:t>
            </w:r>
          </w:p>
        </w:tc>
        <w:tc>
          <w:tcPr>
            <w:tcW w:w="1720"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rPr>
            </w:pPr>
            <w:r>
              <w:rPr>
                <w:rFonts w:hint="eastAsia" w:ascii="仿宋" w:hAnsi="仿宋" w:eastAsia="仿宋" w:cs="仿宋"/>
                <w:b/>
                <w:bCs/>
                <w:sz w:val="24"/>
                <w:szCs w:val="24"/>
              </w:rPr>
              <w:t>预估年检测量（人次）</w:t>
            </w:r>
          </w:p>
        </w:tc>
        <w:tc>
          <w:tcPr>
            <w:tcW w:w="157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rPr>
            </w:pPr>
            <w:r>
              <w:rPr>
                <w:rFonts w:hint="eastAsia" w:ascii="仿宋" w:hAnsi="仿宋" w:eastAsia="仿宋" w:cs="仿宋"/>
                <w:b/>
                <w:bCs/>
                <w:sz w:val="24"/>
                <w:szCs w:val="24"/>
              </w:rPr>
              <w:t>限高价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702"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糖化血红蛋白测定</w:t>
            </w:r>
          </w:p>
        </w:tc>
        <w:tc>
          <w:tcPr>
            <w:tcW w:w="1720"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200000</w:t>
            </w:r>
          </w:p>
        </w:tc>
        <w:tc>
          <w:tcPr>
            <w:tcW w:w="157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9元/人次</w:t>
            </w:r>
          </w:p>
        </w:tc>
      </w:tr>
    </w:tbl>
    <w:p>
      <w:pPr>
        <w:pStyle w:val="14"/>
        <w:widowControl/>
        <w:numPr>
          <w:ilvl w:val="0"/>
          <w:numId w:val="0"/>
        </w:numPr>
        <w:spacing w:before="0" w:beforeAutospacing="0" w:after="0" w:afterAutospacing="0"/>
        <w:ind w:firstLine="480" w:firstLineChars="20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60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2.交付地点：四川省人民医院（院本部、东院、草堂老年医学中心）</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3.质保期：验收合格后不低于7年。响应的质保期不得超过响应产品的官方技术文件中写明的最长使用寿命（不包括易损附件的使用寿命），否则，视为虚假响应，供应商须承担相应后果。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default" w:ascii="仿宋" w:hAnsi="仿宋" w:eastAsia="仿宋" w:cs="仿宋"/>
          <w:color w:val="000000" w:themeColor="text1"/>
          <w:sz w:val="24"/>
          <w:szCs w:val="24"/>
          <w:lang w:val="en-US" w:eastAsia="zh-CN"/>
          <w14:textFill>
            <w14:solidFill>
              <w14:schemeClr w14:val="tx1"/>
            </w14:solidFill>
          </w14:textFill>
        </w:rPr>
        <w:t>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val="en-US" w:eastAsia="zh-CN"/>
          <w14:textFill>
            <w14:solidFill>
              <w14:schemeClr w14:val="tx1"/>
            </w14:solidFill>
          </w14:textFill>
        </w:rPr>
        <w:t>供应商须指派专人负责与采购人联系售后服务事宜。</w:t>
      </w:r>
    </w:p>
    <w:p>
      <w:pPr>
        <w:pStyle w:val="14"/>
        <w:widowControl/>
        <w:spacing w:beforeAutospacing="0" w:afterAutospacing="0" w:line="288" w:lineRule="auto"/>
        <w:ind w:firstLine="480" w:firstLineChars="200"/>
        <w:rPr>
          <w:rFonts w:hint="eastAsia" w:ascii="仿宋" w:hAnsi="仿宋" w:eastAsia="仿宋" w:cs="仿宋"/>
          <w:b w:val="0"/>
          <w:kern w:val="2"/>
          <w:sz w:val="24"/>
          <w:szCs w:val="24"/>
          <w:highlight w:val="none"/>
          <w:vertAlign w:val="baseline"/>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b w:val="0"/>
          <w:kern w:val="2"/>
          <w:sz w:val="24"/>
          <w:szCs w:val="24"/>
          <w:vertAlign w:val="baseline"/>
          <w:lang w:val="en-US" w:eastAsia="zh-CN"/>
        </w:rPr>
        <w:t>供应商须在响应文件中单独提供配置清单（不同产品分别提供，格式详见响应文件格式），采购人将以此为依据进行验收。 技术参数中采购人的实质性配置要求包含的内容须在分项报价明细表中分别报价（技术参数第11条：配置：糖化血红蛋白分析仪4台、样本处理模块及配套样本传送轨道2套），除此之外，若涉及设备正常运行所需的其他配置内容，供应商应在配置清单中分别列明其涉及的产品名称、型号（若有）、数量即可，并根据响应产品的</w:t>
      </w:r>
      <w:r>
        <w:rPr>
          <w:rFonts w:hint="eastAsia" w:ascii="仿宋" w:hAnsi="仿宋" w:eastAsia="仿宋" w:cs="仿宋"/>
          <w:b w:val="0"/>
          <w:kern w:val="2"/>
          <w:sz w:val="24"/>
          <w:szCs w:val="24"/>
          <w:highlight w:val="none"/>
          <w:vertAlign w:val="baseline"/>
          <w:lang w:val="en-US" w:eastAsia="zh-CN"/>
        </w:rPr>
        <w:t>实际情况确定是否单独报价。</w:t>
      </w:r>
    </w:p>
    <w:p>
      <w:pPr>
        <w:pStyle w:val="14"/>
        <w:widowControl/>
        <w:spacing w:beforeAutospacing="0" w:afterAutospacing="0" w:line="288" w:lineRule="auto"/>
        <w:ind w:firstLine="480" w:firstLineChars="200"/>
        <w:rPr>
          <w:rFonts w:hint="eastAsia" w:ascii="仿宋" w:hAnsi="仿宋" w:eastAsia="仿宋" w:cs="仿宋"/>
          <w:b w:val="0"/>
          <w:kern w:val="2"/>
          <w:sz w:val="24"/>
          <w:szCs w:val="24"/>
          <w:highlight w:val="none"/>
          <w:vertAlign w:val="baseline"/>
          <w:lang w:val="en-US" w:eastAsia="zh-CN"/>
        </w:rPr>
      </w:pPr>
      <w:r>
        <w:rPr>
          <w:rFonts w:hint="eastAsia" w:ascii="仿宋" w:hAnsi="仿宋" w:eastAsia="仿宋" w:cs="仿宋"/>
          <w:b w:val="0"/>
          <w:kern w:val="2"/>
          <w:sz w:val="24"/>
          <w:szCs w:val="24"/>
          <w:highlight w:val="none"/>
          <w:vertAlign w:val="baseline"/>
          <w:lang w:val="en-US" w:eastAsia="zh-CN"/>
        </w:rPr>
        <w:t>9.供应商提供的产品的生产日期与到货日期时间间隔不超过6个月，供应商提供承诺函，格式自拟。</w:t>
      </w:r>
    </w:p>
    <w:p>
      <w:pPr>
        <w:pStyle w:val="14"/>
        <w:widowControl/>
        <w:spacing w:beforeAutospacing="0" w:afterAutospacing="0" w:line="288"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b w:val="0"/>
          <w:kern w:val="2"/>
          <w:sz w:val="24"/>
          <w:szCs w:val="24"/>
          <w:highlight w:val="none"/>
          <w:vertAlign w:val="baseline"/>
          <w:lang w:val="en-US" w:eastAsia="zh-CN"/>
        </w:rPr>
        <w:t>10.</w:t>
      </w:r>
      <w:r>
        <w:rPr>
          <w:rFonts w:hint="eastAsia" w:ascii="仿宋" w:hAnsi="仿宋" w:eastAsia="仿宋" w:cs="仿宋"/>
          <w:color w:val="auto"/>
          <w:kern w:val="2"/>
          <w:sz w:val="24"/>
          <w:szCs w:val="24"/>
          <w:highlight w:val="none"/>
          <w:lang w:val="en-US" w:eastAsia="zh-CN" w:bidi="ar-SA"/>
        </w:rPr>
        <w:t>本次设备与试剂分别签订合同，</w:t>
      </w:r>
      <w:r>
        <w:rPr>
          <w:rFonts w:hint="eastAsia" w:ascii="仿宋" w:hAnsi="仿宋" w:eastAsia="仿宋" w:cs="仿宋"/>
          <w:color w:val="000000" w:themeColor="text1"/>
          <w:sz w:val="24"/>
          <w:szCs w:val="24"/>
          <w:highlight w:val="none"/>
          <w14:textFill>
            <w14:solidFill>
              <w14:schemeClr w14:val="tx1"/>
            </w14:solidFill>
          </w14:textFill>
        </w:rPr>
        <w:t>签订合同须使用本谈判</w:t>
      </w:r>
      <w:r>
        <w:rPr>
          <w:rFonts w:hint="eastAsia" w:ascii="仿宋" w:hAnsi="仿宋" w:eastAsia="仿宋" w:cs="仿宋"/>
          <w:sz w:val="24"/>
          <w:szCs w:val="24"/>
          <w:highlight w:val="none"/>
        </w:rPr>
        <w:t>文件中提供的模板（详见第七章），具体条款以谈判文件、响应文件及双方另行约定为准</w:t>
      </w:r>
      <w:r>
        <w:rPr>
          <w:rFonts w:hint="eastAsia" w:ascii="仿宋" w:hAnsi="仿宋" w:eastAsia="仿宋" w:cs="仿宋"/>
          <w:sz w:val="24"/>
          <w:szCs w:val="24"/>
          <w:highlight w:val="none"/>
          <w:lang w:eastAsia="zh-CN"/>
        </w:rPr>
        <w:t>。</w:t>
      </w:r>
    </w:p>
    <w:p>
      <w:pPr>
        <w:pStyle w:val="14"/>
        <w:widowControl/>
        <w:spacing w:beforeAutospacing="0" w:afterAutospacing="0" w:line="288" w:lineRule="auto"/>
        <w:ind w:firstLine="480" w:firstLineChars="200"/>
        <w:rPr>
          <w:rFonts w:hint="eastAsia"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sz w:val="24"/>
          <w:szCs w:val="24"/>
          <w:highlight w:val="none"/>
          <w:lang w:val="en-US" w:eastAsia="zh-CN"/>
        </w:rPr>
        <w:t>11.</w:t>
      </w:r>
      <w:r>
        <w:rPr>
          <w:rFonts w:hint="eastAsia" w:ascii="仿宋" w:hAnsi="仿宋" w:eastAsia="仿宋" w:cs="仿宋"/>
          <w:bCs w:val="0"/>
          <w:color w:val="auto"/>
          <w:spacing w:val="0"/>
          <w:kern w:val="2"/>
          <w:sz w:val="24"/>
          <w:szCs w:val="24"/>
          <w:highlight w:val="none"/>
          <w:lang w:val="en-US" w:eastAsia="zh-CN" w:bidi="ar-SA"/>
        </w:rPr>
        <w:t>耗材、试剂服务要求：</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.1.后续供货试剂应与本项目性能验证时提供的试剂保持质量一致。</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.2.按采购人的要求，按时按量完成产品配送工作；如响应产品需要冷链运输，供应商应具备完善的冷链运输条件。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.3.安排服务人员配送产品至服务地点内采购人指定位置，并配合采购人进行验收等相关工作。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.4.配送服务地点：四川省人民医院（含所有院区）。</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.5.交付耗材、试剂时产品剩余有效期不少于半年；服务期内，供应商应对效期临近的产品进行调换或退货，相关费用包含在本项目报价内。</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.6.如响应产品属于四川省医械集中采购及医药价格监管平台挂网产品，应满足以下要求：</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（1）若响应产品已纳入价格联动采购范围的，本次响应时在四川省医械集中采购及医药价格监管平台须已完成挂网销售相关工作。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（2）若响应产品未纳入价格联动采购范围的，其生产企业应提供书面承诺，供货前，以不高于本次响应最终报价的价格，在四川省医械集中采购及医药价格监管平台完成备案采购相关事宜。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（3）供应商须配合采购人完成产品挂网采购相关工作。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.7.供货服务期：合同签订生效之日起3年</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.8.耗材、试剂付款条件：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（1）本项目每月按照成交单价进行结算，如服务期内价格下调，经供应商与采购人确认后，以下调后的价格进行结算。</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每月结算前，供应商应与采购人确认实际验收数量及支付金额，并在每月最后3日内向采购人提交合法有效票据及其它相关请款资料（如采购人因实际工作需要，需在其它时间提交，以采购人另行通知为准），采购人接到供应商上述票据及资料后30日内支付相应货款。</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12</w:t>
      </w:r>
      <w:bookmarkStart w:id="108" w:name="_GoBack"/>
      <w:bookmarkEnd w:id="108"/>
      <w:r>
        <w:rPr>
          <w:rFonts w:hint="default" w:ascii="仿宋" w:hAnsi="仿宋" w:eastAsia="仿宋" w:cs="仿宋"/>
          <w:bCs w:val="0"/>
          <w:color w:val="auto"/>
          <w:spacing w:val="0"/>
          <w:kern w:val="2"/>
          <w:sz w:val="24"/>
          <w:szCs w:val="24"/>
          <w:highlight w:val="none"/>
          <w:lang w:val="en-US" w:eastAsia="zh-CN" w:bidi="ar-SA"/>
        </w:rPr>
        <w:t>.耗材试剂验收要求：</w:t>
      </w:r>
    </w:p>
    <w:tbl>
      <w:tblPr>
        <w:tblStyle w:val="19"/>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6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履约验收时间</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收货时即时验收。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验收主体</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验收组织方式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自行验收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验收方式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现场整体验收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验收程序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分批验收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验收内容</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按照基于本项目采购需求编制的采购文件要求及供应商响应文件情况，由供应商向采购人交付的全部内容。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验收标准</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1.国家相关法律法规、行业标准、技术规范。</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5.参照《财政部关于进一步加强政府采购需求和履约验收管理的指导意见》（财库〔2016〕205号）的要求进行验收。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6.其他标准：无。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是否邀请本项目的其他供应商</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是否邀请专家</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是否邀请服务对象</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是否邀请第三方检测机构</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bl>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val="en-US" w:eastAsia="zh-CN"/>
        </w:rPr>
        <w:t>五、其他要求</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highlight w:val="none"/>
        </w:rPr>
      </w:pPr>
      <w:r>
        <w:rPr>
          <w:rFonts w:hint="default" w:ascii="仿宋" w:hAnsi="仿宋" w:eastAsia="仿宋" w:cs="仿宋"/>
          <w:kern w:val="2"/>
          <w:sz w:val="24"/>
          <w:szCs w:val="24"/>
          <w:highlight w:val="none"/>
        </w:rPr>
        <w:t>1、</w:t>
      </w:r>
      <w:r>
        <w:rPr>
          <w:rFonts w:hint="default" w:ascii="仿宋" w:hAnsi="仿宋" w:eastAsia="仿宋" w:cs="仿宋"/>
          <w:kern w:val="2"/>
          <w:sz w:val="24"/>
          <w:szCs w:val="24"/>
          <w:highlight w:val="none"/>
          <w:lang w:val="en-US"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default" w:ascii="仿宋" w:hAnsi="仿宋" w:eastAsia="仿宋" w:cs="仿宋"/>
          <w:kern w:val="2"/>
          <w:sz w:val="24"/>
          <w:szCs w:val="24"/>
          <w:highlight w:val="none"/>
        </w:rPr>
        <w:t>。</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highlight w:val="none"/>
        </w:rPr>
      </w:pPr>
      <w:r>
        <w:rPr>
          <w:rFonts w:hint="default" w:ascii="仿宋" w:hAnsi="仿宋" w:eastAsia="仿宋" w:cs="仿宋"/>
          <w:kern w:val="2"/>
          <w:sz w:val="24"/>
          <w:szCs w:val="24"/>
          <w:highlight w:val="none"/>
        </w:rPr>
        <w:t>2、</w:t>
      </w:r>
      <w:r>
        <w:rPr>
          <w:rFonts w:hint="default" w:ascii="仿宋" w:hAnsi="仿宋" w:eastAsia="仿宋" w:cs="仿宋"/>
          <w:kern w:val="2"/>
          <w:sz w:val="24"/>
          <w:szCs w:val="24"/>
          <w:highlight w:val="none"/>
          <w:lang w:val="en-US" w:eastAsia="zh-CN"/>
        </w:rPr>
        <w:t>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r>
        <w:rPr>
          <w:rFonts w:hint="default" w:ascii="仿宋" w:hAnsi="仿宋" w:eastAsia="仿宋" w:cs="仿宋"/>
          <w:kern w:val="2"/>
          <w:sz w:val="24"/>
          <w:szCs w:val="24"/>
          <w:highlight w:val="none"/>
        </w:rPr>
        <w:t>。</w:t>
      </w:r>
    </w:p>
    <w:p>
      <w:pPr>
        <w:pStyle w:val="16"/>
        <w:ind w:firstLine="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注：本章中带“</w:t>
      </w:r>
      <w:r>
        <w:rPr>
          <w:rFonts w:ascii="Segoe UI Symbol" w:hAnsi="Segoe UI Symbol" w:eastAsia="仿宋" w:cs="Segoe UI Symbol"/>
          <w:b/>
          <w:bCs/>
          <w:sz w:val="24"/>
          <w:szCs w:val="22"/>
          <w:highlight w:val="none"/>
        </w:rPr>
        <w:t>★</w:t>
      </w:r>
      <w:r>
        <w:rPr>
          <w:rFonts w:ascii="Times New Roman" w:hAnsi="Times New Roman" w:eastAsia="仿宋" w:cs="Times New Roman"/>
          <w:sz w:val="24"/>
          <w:szCs w:val="24"/>
          <w:highlight w:val="none"/>
        </w:rPr>
        <w:t>”的条款为实质性要求，不满足将被作为无效响应处理。</w:t>
      </w:r>
    </w:p>
    <w:p>
      <w:pPr>
        <w:spacing w:line="360" w:lineRule="auto"/>
        <w:jc w:val="left"/>
        <w:rPr>
          <w:rFonts w:ascii="Times New Roman" w:hAnsi="Times New Roman" w:eastAsia="宋体" w:cs="Times New Roman"/>
          <w:sz w:val="24"/>
          <w:szCs w:val="24"/>
          <w:highlight w:val="none"/>
        </w:rPr>
      </w:pPr>
    </w:p>
    <w:p>
      <w:pPr>
        <w:rPr>
          <w:rFonts w:ascii="Times New Roman" w:hAnsi="Times New Roman" w:cs="Times New Roman"/>
          <w:highlight w:val="none"/>
        </w:rPr>
      </w:pPr>
      <w:r>
        <w:rPr>
          <w:rFonts w:ascii="Times New Roman" w:hAnsi="Times New Roman" w:cs="Times New Roman"/>
          <w:highlight w:val="none"/>
        </w:rPr>
        <w:br w:type="page"/>
      </w:r>
    </w:p>
    <w:p>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pPr>
        <w:rPr>
          <w:lang w:val="zh-CN"/>
        </w:rPr>
      </w:pPr>
    </w:p>
    <w:tbl>
      <w:tblPr>
        <w:tblStyle w:val="18"/>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6"/>
        <w:gridCol w:w="4022"/>
        <w:gridCol w:w="2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ind w:firstLine="0"/>
              <w:jc w:val="left"/>
              <w:rPr>
                <w:rFonts w:ascii="仿宋" w:hAnsi="仿宋" w:eastAsia="仿宋" w:cs="仿宋"/>
                <w:sz w:val="24"/>
              </w:rPr>
            </w:pPr>
            <w:r>
              <w:rPr>
                <w:rFonts w:ascii="Times New Roman" w:hAnsi="Times New Roman" w:cs="Times New Roman"/>
              </w:rPr>
              <w:br w:type="page"/>
            </w: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79"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7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79"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70" w:type="pct"/>
            <w:vAlign w:val="center"/>
          </w:tcPr>
          <w:p>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1.设备报价分（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报价为设备评标基准价，其价格分为本项满分；</w:t>
            </w:r>
          </w:p>
          <w:p>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设备报价分得分=(设备</w:t>
            </w:r>
            <w:r>
              <w:rPr>
                <w:rFonts w:hint="eastAsia" w:ascii="仿宋" w:hAnsi="仿宋" w:eastAsia="仿宋" w:cs="仿宋"/>
                <w:b w:val="0"/>
                <w:bCs/>
                <w:color w:val="auto"/>
                <w:sz w:val="24"/>
                <w:szCs w:val="24"/>
                <w:highlight w:val="none"/>
                <w:lang w:val="en-US" w:eastAsia="zh-CN"/>
              </w:rPr>
              <w:t>谈判基准价</w:t>
            </w:r>
            <w:r>
              <w:rPr>
                <w:rFonts w:hint="eastAsia" w:ascii="仿宋" w:hAnsi="仿宋" w:eastAsia="仿宋" w:cs="仿宋"/>
                <w:color w:val="auto"/>
                <w:sz w:val="24"/>
                <w:highlight w:val="none"/>
              </w:rPr>
              <w:t>／设备报价)×</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p>
          <w:p>
            <w:pPr>
              <w:wordWrap w:val="0"/>
              <w:rPr>
                <w:rFonts w:ascii="仿宋" w:hAnsi="仿宋" w:eastAsia="仿宋" w:cs="仿宋"/>
                <w:kern w:val="2"/>
                <w:sz w:val="24"/>
                <w:szCs w:val="22"/>
                <w:lang w:val="en-US" w:eastAsia="zh-CN" w:bidi="ar-SA"/>
              </w:rPr>
            </w:pPr>
            <w:r>
              <w:rPr>
                <w:rFonts w:hint="eastAsia" w:ascii="仿宋" w:hAnsi="仿宋" w:eastAsia="仿宋" w:cs="仿宋"/>
                <w:color w:val="auto"/>
                <w:sz w:val="24"/>
                <w:highlight w:val="none"/>
              </w:rPr>
              <w:t>2. 试剂</w:t>
            </w:r>
            <w:r>
              <w:rPr>
                <w:rFonts w:hint="eastAsia" w:ascii="仿宋" w:hAnsi="仿宋" w:eastAsia="仿宋" w:cs="仿宋"/>
                <w:color w:val="auto"/>
                <w:sz w:val="24"/>
                <w:highlight w:val="none"/>
                <w:lang w:val="en-US" w:eastAsia="zh-CN"/>
              </w:rPr>
              <w:t>报价分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27</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val="en-US" w:eastAsia="zh-CN"/>
              </w:rPr>
              <w:t>满</w:t>
            </w:r>
            <w:r>
              <w:rPr>
                <w:rFonts w:hint="eastAsia" w:ascii="仿宋" w:hAnsi="仿宋" w:eastAsia="仿宋" w:cs="仿宋"/>
                <w:b w:val="0"/>
                <w:bCs/>
                <w:color w:val="auto"/>
                <w:sz w:val="24"/>
                <w:szCs w:val="24"/>
                <w:highlight w:val="none"/>
                <w:lang w:val="en-US" w:eastAsia="zh-CN"/>
              </w:rPr>
              <w:t>足谈判文件要求，且价格按检测项目报价最低的试剂评审价为谈判基准价，其价格分为满分。其他供应商的价格分统一按照下列公式计算：试剂报价分得分=(谈判基准价／试剂评审价)×27。</w:t>
            </w:r>
          </w:p>
        </w:tc>
        <w:tc>
          <w:tcPr>
            <w:tcW w:w="1120" w:type="pct"/>
            <w:vAlign w:val="center"/>
          </w:tcPr>
          <w:p>
            <w:pPr>
              <w:wordWrap w:val="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以供应商提供的响应报价为准。</w:t>
            </w:r>
          </w:p>
          <w:p>
            <w:pPr>
              <w:pStyle w:val="7"/>
              <w:rPr>
                <w:rFonts w:hint="default" w:eastAsia="仿宋"/>
                <w:lang w:val="en-US" w:eastAsia="zh-CN"/>
              </w:rPr>
            </w:pPr>
            <w:r>
              <w:rPr>
                <w:rFonts w:hint="eastAsia" w:ascii="仿宋" w:hAnsi="仿宋" w:eastAsia="仿宋" w:cs="仿宋"/>
                <w:sz w:val="24"/>
                <w:lang w:val="en-US" w:eastAsia="zh-CN"/>
              </w:rPr>
              <w:t>2.</w:t>
            </w:r>
            <w:r>
              <w:rPr>
                <w:rFonts w:hint="eastAsia" w:ascii="仿宋" w:hAnsi="仿宋" w:eastAsia="仿宋" w:cs="仿宋"/>
                <w:b w:val="0"/>
                <w:bCs/>
                <w:color w:val="auto"/>
                <w:sz w:val="24"/>
                <w:szCs w:val="24"/>
                <w:highlight w:val="none"/>
                <w:lang w:val="en-US" w:eastAsia="zh-CN"/>
              </w:rPr>
              <w:t>按检测项目报价</w:t>
            </w:r>
            <w:r>
              <w:rPr>
                <w:rFonts w:hint="eastAsia" w:ascii="仿宋" w:hAnsi="仿宋" w:eastAsia="仿宋" w:cs="仿宋"/>
                <w:color w:val="auto"/>
                <w:sz w:val="24"/>
                <w:highlight w:val="none"/>
                <w:lang w:val="en-US" w:eastAsia="zh-CN"/>
              </w:rPr>
              <w:t>试剂评审价=</w:t>
            </w:r>
            <w:r>
              <w:rPr>
                <w:rFonts w:hint="eastAsia" w:ascii="仿宋" w:hAnsi="仿宋" w:eastAsia="仿宋" w:cs="仿宋"/>
                <w:sz w:val="24"/>
                <w:szCs w:val="24"/>
              </w:rPr>
              <w:t>糖化血红蛋白测定</w:t>
            </w:r>
            <w:r>
              <w:rPr>
                <w:rFonts w:hint="eastAsia" w:ascii="仿宋" w:hAnsi="仿宋" w:eastAsia="仿宋" w:cs="仿宋"/>
                <w:b w:val="0"/>
                <w:bCs/>
                <w:color w:val="auto"/>
                <w:sz w:val="24"/>
                <w:szCs w:val="24"/>
                <w:highlight w:val="none"/>
                <w:lang w:val="en-US" w:eastAsia="zh-CN"/>
              </w:rPr>
              <w:t>报价*预估年检测量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79"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70"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79"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70"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79"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70"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79"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70"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8171"/>
      <w:bookmarkStart w:id="20" w:name="_Toc22827"/>
      <w:bookmarkStart w:id="21" w:name="_Toc3094"/>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5913"/>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9428"/>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32352"/>
      <w:bookmarkStart w:id="29" w:name="_Toc9041"/>
      <w:bookmarkStart w:id="30" w:name="_Toc1544"/>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32749"/>
      <w:bookmarkStart w:id="35" w:name="_Toc24859"/>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6803"/>
      <w:bookmarkStart w:id="38" w:name="_Toc17905"/>
      <w:bookmarkStart w:id="39" w:name="_Toc24123"/>
      <w:bookmarkStart w:id="40" w:name="_Toc3558"/>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7135"/>
      <w:bookmarkStart w:id="42" w:name="_Toc27526"/>
      <w:bookmarkStart w:id="43" w:name="_Toc5996"/>
      <w:bookmarkStart w:id="44" w:name="_Toc2989"/>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7233"/>
      <w:bookmarkStart w:id="46" w:name="_Toc2031"/>
      <w:bookmarkStart w:id="47" w:name="_Toc5056"/>
      <w:bookmarkStart w:id="48" w:name="_Toc19987"/>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21519"/>
      <w:bookmarkStart w:id="51" w:name="_Toc14829"/>
      <w:bookmarkStart w:id="52" w:name="_Toc11352"/>
      <w:bookmarkStart w:id="53" w:name="_Toc6482"/>
      <w:bookmarkStart w:id="54" w:name="_Toc160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22676"/>
      <w:bookmarkStart w:id="56" w:name="_Toc17857"/>
      <w:bookmarkStart w:id="57" w:name="_Toc30971"/>
      <w:bookmarkStart w:id="58" w:name="_Toc31838"/>
      <w:bookmarkStart w:id="59" w:name="_Toc4305"/>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15526"/>
      <w:bookmarkStart w:id="69" w:name="_Toc27661"/>
      <w:bookmarkStart w:id="70" w:name="_Toc12015"/>
      <w:bookmarkStart w:id="71" w:name="_Toc25638"/>
      <w:bookmarkStart w:id="72" w:name="_Toc20589"/>
      <w:bookmarkStart w:id="73" w:name="_Toc11351"/>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041"/>
      <w:bookmarkStart w:id="75" w:name="_Toc26969"/>
      <w:bookmarkStart w:id="76" w:name="_Toc1074"/>
      <w:bookmarkStart w:id="77" w:name="_Toc16435"/>
      <w:bookmarkStart w:id="78" w:name="_Toc12967"/>
      <w:bookmarkStart w:id="79" w:name="_Toc23967"/>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8634"/>
      <w:bookmarkStart w:id="81" w:name="_Toc26839"/>
      <w:bookmarkStart w:id="82" w:name="_Toc31686"/>
      <w:bookmarkStart w:id="83" w:name="_Toc24806"/>
      <w:bookmarkStart w:id="84" w:name="_Toc1369"/>
      <w:bookmarkStart w:id="85" w:name="_Toc21082"/>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24494"/>
      <w:bookmarkStart w:id="87" w:name="_Toc32605"/>
      <w:bookmarkStart w:id="88" w:name="_Toc3871"/>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0"/>
        </w:numPr>
        <w:ind w:firstLine="0"/>
        <w:jc w:val="left"/>
        <w:rPr>
          <w:rFonts w:hint="eastAsia" w:ascii="宋体" w:hAnsi="宋体" w:eastAsia="宋体"/>
          <w:b/>
          <w:bCs/>
          <w:color w:val="auto"/>
          <w:szCs w:val="21"/>
          <w:highlight w:val="none"/>
          <w:lang w:val="en-US" w:eastAsia="zh-CN"/>
        </w:rPr>
      </w:pPr>
      <w:r>
        <w:rPr>
          <w:rFonts w:hint="eastAsia" w:ascii="宋体" w:hAnsi="宋体" w:eastAsia="宋体" w:cstheme="minorBidi"/>
          <w:b/>
          <w:bCs/>
          <w:color w:val="auto"/>
          <w:kern w:val="2"/>
          <w:sz w:val="21"/>
          <w:szCs w:val="21"/>
          <w:lang w:val="en-US" w:eastAsia="zh-CN" w:bidi="ar-SA"/>
        </w:rPr>
        <w:t>3.</w:t>
      </w: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hint="eastAsia"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.耗材试剂按检测项目报价</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54"/>
        <w:gridCol w:w="2076"/>
        <w:gridCol w:w="1905"/>
        <w:gridCol w:w="1905"/>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43"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rPr>
            </w:pPr>
            <w:r>
              <w:rPr>
                <w:rFonts w:hint="eastAsia" w:ascii="仿宋" w:hAnsi="仿宋" w:eastAsia="仿宋" w:cs="仿宋"/>
                <w:b/>
                <w:bCs/>
                <w:sz w:val="24"/>
                <w:szCs w:val="24"/>
              </w:rPr>
              <w:t>拟开展项目名称</w:t>
            </w:r>
          </w:p>
        </w:tc>
        <w:tc>
          <w:tcPr>
            <w:tcW w:w="1054"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rPr>
            </w:pPr>
            <w:r>
              <w:rPr>
                <w:rFonts w:hint="eastAsia" w:ascii="仿宋" w:hAnsi="仿宋" w:eastAsia="仿宋" w:cs="仿宋"/>
                <w:b/>
                <w:bCs/>
                <w:sz w:val="24"/>
                <w:szCs w:val="24"/>
              </w:rPr>
              <w:t>预估年检测量（人次）</w:t>
            </w: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Cs w:val="24"/>
                <w:lang w:eastAsia="zh-CN"/>
              </w:rPr>
            </w:pPr>
            <w:r>
              <w:rPr>
                <w:rFonts w:hint="eastAsia" w:ascii="仿宋" w:hAnsi="仿宋" w:eastAsia="仿宋" w:cs="仿宋"/>
                <w:b/>
                <w:bCs/>
                <w:sz w:val="24"/>
                <w:szCs w:val="24"/>
              </w:rPr>
              <w:t>限高价</w:t>
            </w:r>
            <w:r>
              <w:rPr>
                <w:rFonts w:hint="eastAsia" w:ascii="仿宋" w:hAnsi="仿宋" w:eastAsia="仿宋" w:cs="仿宋"/>
                <w:b/>
                <w:bCs/>
                <w:sz w:val="24"/>
                <w:szCs w:val="24"/>
                <w:lang w:eastAsia="zh-CN"/>
              </w:rPr>
              <w:t>（</w:t>
            </w:r>
            <w:r>
              <w:rPr>
                <w:rFonts w:hint="eastAsia" w:ascii="仿宋" w:hAnsi="仿宋" w:eastAsia="仿宋" w:cs="仿宋"/>
                <w:b/>
                <w:bCs/>
                <w:sz w:val="24"/>
                <w:szCs w:val="24"/>
              </w:rPr>
              <w:t>元/人次</w:t>
            </w:r>
            <w:r>
              <w:rPr>
                <w:rFonts w:hint="eastAsia" w:ascii="仿宋" w:hAnsi="仿宋" w:eastAsia="仿宋" w:cs="仿宋"/>
                <w:b/>
                <w:bCs/>
                <w:sz w:val="24"/>
                <w:szCs w:val="24"/>
                <w:lang w:eastAsia="zh-CN"/>
              </w:rPr>
              <w:t>）</w:t>
            </w: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w:t>
            </w:r>
            <w:r>
              <w:rPr>
                <w:rFonts w:hint="eastAsia" w:ascii="仿宋" w:hAnsi="仿宋" w:eastAsia="仿宋" w:cs="仿宋"/>
                <w:b/>
                <w:bCs/>
                <w:sz w:val="24"/>
                <w:szCs w:val="24"/>
                <w:lang w:eastAsia="zh-CN"/>
              </w:rPr>
              <w:t>（</w:t>
            </w:r>
            <w:r>
              <w:rPr>
                <w:rFonts w:hint="eastAsia" w:ascii="仿宋" w:hAnsi="仿宋" w:eastAsia="仿宋" w:cs="仿宋"/>
                <w:b/>
                <w:bCs/>
                <w:sz w:val="24"/>
                <w:szCs w:val="24"/>
              </w:rPr>
              <w:t>元/人次</w:t>
            </w:r>
            <w:r>
              <w:rPr>
                <w:rFonts w:hint="eastAsia" w:ascii="仿宋" w:hAnsi="仿宋" w:eastAsia="仿宋" w:cs="仿宋"/>
                <w:b/>
                <w:bCs/>
                <w:sz w:val="24"/>
                <w:szCs w:val="24"/>
                <w:lang w:eastAsia="zh-CN"/>
              </w:rPr>
              <w:t>）</w:t>
            </w: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43"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糖化血红蛋白测定</w:t>
            </w:r>
          </w:p>
        </w:tc>
        <w:tc>
          <w:tcPr>
            <w:tcW w:w="1054"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200000</w:t>
            </w: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Cs w:val="24"/>
              </w:rPr>
            </w:pPr>
            <w:r>
              <w:rPr>
                <w:rFonts w:hint="eastAsia" w:ascii="仿宋" w:hAnsi="仿宋" w:eastAsia="仿宋" w:cs="仿宋"/>
                <w:sz w:val="24"/>
                <w:szCs w:val="24"/>
              </w:rPr>
              <w:t>9</w:t>
            </w: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 w:val="24"/>
                <w:szCs w:val="24"/>
              </w:rPr>
            </w:pPr>
          </w:p>
        </w:tc>
        <w:tc>
          <w:tcPr>
            <w:tcW w:w="967" w:type="pct"/>
            <w:shd w:val="clear" w:color="auto" w:fill="auto"/>
            <w:tcMar>
              <w:top w:w="0" w:type="dxa"/>
              <w:left w:w="105" w:type="dxa"/>
              <w:bottom w:w="0" w:type="dxa"/>
              <w:right w:w="105" w:type="dxa"/>
            </w:tcMar>
            <w:vAlign w:val="center"/>
          </w:tcPr>
          <w:p>
            <w:pPr>
              <w:pStyle w:val="14"/>
              <w:keepNext w:val="0"/>
              <w:keepLines w:val="0"/>
              <w:widowControl/>
              <w:suppressLineNumbers w:val="0"/>
              <w:jc w:val="center"/>
              <w:rPr>
                <w:rFonts w:hint="eastAsia" w:ascii="仿宋" w:hAnsi="仿宋" w:eastAsia="仿宋" w:cs="仿宋"/>
                <w:sz w:val="24"/>
                <w:szCs w:val="24"/>
              </w:rPr>
            </w:pPr>
          </w:p>
        </w:tc>
      </w:tr>
    </w:tbl>
    <w:p>
      <w:pPr>
        <w:pStyle w:val="16"/>
        <w:ind w:firstLine="0"/>
        <w:jc w:val="left"/>
        <w:rPr>
          <w:rFonts w:hint="eastAsia" w:ascii="宋体" w:hAnsi="宋体" w:eastAsia="宋体"/>
          <w:b/>
          <w:bCs/>
          <w:szCs w:val="21"/>
          <w:lang w:val="en-US" w:eastAsia="zh-CN"/>
        </w:rPr>
      </w:pPr>
    </w:p>
    <w:p>
      <w:pPr>
        <w:pStyle w:val="16"/>
        <w:numPr>
          <w:ilvl w:val="0"/>
          <w:numId w:val="0"/>
        </w:numPr>
        <w:ind w:firstLine="0"/>
        <w:jc w:val="left"/>
        <w:rPr>
          <w:rFonts w:hint="eastAsia" w:ascii="宋体" w:hAnsi="宋体" w:eastAsia="宋体"/>
          <w:b/>
          <w:bCs/>
          <w:szCs w:val="21"/>
        </w:rPr>
      </w:pPr>
      <w:r>
        <w:rPr>
          <w:rFonts w:hint="eastAsia" w:ascii="宋体" w:hAnsi="宋体" w:eastAsia="宋体" w:cstheme="minorBidi"/>
          <w:b/>
          <w:bCs/>
          <w:kern w:val="2"/>
          <w:sz w:val="21"/>
          <w:szCs w:val="21"/>
          <w:lang w:val="en-US" w:eastAsia="zh-CN" w:bidi="ar-SA"/>
        </w:rPr>
        <w:t>5.</w:t>
      </w:r>
      <w:r>
        <w:rPr>
          <w:rFonts w:hint="eastAsia" w:ascii="宋体" w:hAnsi="宋体" w:eastAsia="宋体"/>
          <w:b/>
          <w:bCs/>
          <w:szCs w:val="21"/>
        </w:rPr>
        <w:t>耗材明细表（若有，请填写，作为后期采购人采购耗材参考依据）</w:t>
      </w:r>
    </w:p>
    <w:p>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b/>
          <w:bCs/>
          <w:color w:val="auto"/>
          <w:szCs w:val="21"/>
          <w:highlight w:val="none"/>
          <w:lang w:val="en-US" w:eastAsia="zh-CN"/>
        </w:rPr>
        <w:t>检测项目1：糖化血红蛋白测定</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lang w:val="en-US" w:eastAsia="zh-CN"/>
              </w:rPr>
              <w:t>报价</w:t>
            </w: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6</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0" w:name="_Toc8502"/>
            <w:r>
              <w:rPr>
                <w:rFonts w:hint="eastAsia"/>
                <w:b/>
                <w:kern w:val="0"/>
                <w:szCs w:val="21"/>
              </w:rPr>
              <w:t>序号</w:t>
            </w:r>
            <w:bookmarkEnd w:id="90"/>
          </w:p>
        </w:tc>
        <w:tc>
          <w:tcPr>
            <w:tcW w:w="850" w:type="pct"/>
            <w:vAlign w:val="center"/>
          </w:tcPr>
          <w:p>
            <w:pPr>
              <w:spacing w:line="460" w:lineRule="exact"/>
              <w:jc w:val="center"/>
              <w:outlineLvl w:val="0"/>
              <w:rPr>
                <w:b/>
                <w:kern w:val="0"/>
                <w:szCs w:val="21"/>
              </w:rPr>
            </w:pPr>
            <w:bookmarkStart w:id="91" w:name="_Toc27328"/>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4118"/>
            <w:r>
              <w:rPr>
                <w:rFonts w:hint="eastAsia"/>
                <w:b/>
                <w:kern w:val="0"/>
                <w:szCs w:val="21"/>
              </w:rPr>
              <w:t>规格型号</w:t>
            </w:r>
            <w:bookmarkEnd w:id="92"/>
          </w:p>
        </w:tc>
        <w:tc>
          <w:tcPr>
            <w:tcW w:w="907" w:type="pct"/>
            <w:vAlign w:val="center"/>
          </w:tcPr>
          <w:p>
            <w:pPr>
              <w:spacing w:line="460" w:lineRule="exact"/>
              <w:jc w:val="center"/>
              <w:outlineLvl w:val="0"/>
              <w:rPr>
                <w:b/>
                <w:kern w:val="0"/>
                <w:szCs w:val="21"/>
              </w:rPr>
            </w:pPr>
            <w:bookmarkStart w:id="93" w:name="_Toc21162"/>
            <w:r>
              <w:rPr>
                <w:rFonts w:hint="eastAsia"/>
                <w:b/>
                <w:kern w:val="0"/>
                <w:szCs w:val="21"/>
              </w:rPr>
              <w:t>制造商</w:t>
            </w:r>
            <w:bookmarkEnd w:id="93"/>
          </w:p>
        </w:tc>
        <w:tc>
          <w:tcPr>
            <w:tcW w:w="516" w:type="pct"/>
            <w:vAlign w:val="center"/>
          </w:tcPr>
          <w:p>
            <w:pPr>
              <w:spacing w:line="460" w:lineRule="exact"/>
              <w:jc w:val="center"/>
              <w:outlineLvl w:val="0"/>
              <w:rPr>
                <w:b/>
                <w:kern w:val="0"/>
                <w:szCs w:val="21"/>
              </w:rPr>
            </w:pPr>
            <w:bookmarkStart w:id="94" w:name="_Toc2524"/>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25451"/>
            <w:r>
              <w:rPr>
                <w:rFonts w:hint="eastAsia"/>
                <w:b/>
                <w:kern w:val="0"/>
                <w:szCs w:val="21"/>
              </w:rPr>
              <w:t>单价（元）</w:t>
            </w:r>
            <w:bookmarkEnd w:id="95"/>
          </w:p>
        </w:tc>
        <w:tc>
          <w:tcPr>
            <w:tcW w:w="747" w:type="pct"/>
            <w:vAlign w:val="center"/>
          </w:tcPr>
          <w:p>
            <w:pPr>
              <w:spacing w:line="460" w:lineRule="exact"/>
              <w:jc w:val="center"/>
              <w:outlineLvl w:val="0"/>
              <w:rPr>
                <w:b/>
                <w:kern w:val="0"/>
                <w:szCs w:val="21"/>
              </w:rPr>
            </w:pPr>
            <w:bookmarkStart w:id="96" w:name="_Toc9598"/>
            <w:r>
              <w:rPr>
                <w:rFonts w:hint="eastAsia"/>
                <w:b/>
                <w:kern w:val="0"/>
                <w:szCs w:val="21"/>
              </w:rPr>
              <w:t>备注</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97" w:name="_Toc20085"/>
            <w:r>
              <w:rPr>
                <w:rFonts w:hint="eastAsia"/>
                <w:kern w:val="0"/>
                <w:szCs w:val="21"/>
              </w:rPr>
              <w:t>1</w:t>
            </w:r>
            <w:bookmarkEnd w:id="97"/>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98" w:name="_Toc13232"/>
            <w:r>
              <w:rPr>
                <w:rFonts w:hint="eastAsia"/>
                <w:kern w:val="0"/>
                <w:sz w:val="20"/>
                <w:szCs w:val="21"/>
              </w:rPr>
              <w:t>2</w:t>
            </w:r>
            <w:bookmarkEnd w:id="9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99" w:name="_Toc6795"/>
            <w:r>
              <w:rPr>
                <w:kern w:val="0"/>
                <w:sz w:val="20"/>
                <w:szCs w:val="21"/>
              </w:rPr>
              <w:t>…</w:t>
            </w:r>
            <w:bookmarkEnd w:id="99"/>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100" w:name="_Toc29032"/>
      <w:bookmarkStart w:id="101" w:name="_Toc30002"/>
      <w:bookmarkStart w:id="102"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0"/>
      <w:bookmarkEnd w:id="101"/>
      <w:bookmarkEnd w:id="102"/>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03" w:name="_Toc5447"/>
      <w:bookmarkStart w:id="104"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05" w:name="_Toc10625"/>
      <w:r>
        <w:rPr>
          <w:rFonts w:ascii="Times New Roman" w:hAnsi="Times New Roman" w:cs="Times New Roman"/>
        </w:rPr>
        <w:t>合同条款（仅成交后使用）</w:t>
      </w:r>
      <w:bookmarkEnd w:id="103"/>
      <w:bookmarkEnd w:id="104"/>
      <w:bookmarkEnd w:id="105"/>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outlineLvl w:val="1"/>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8"/>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bookmarkStart w:id="106" w:name="OLE_LINK18"/>
      <w:bookmarkStart w:id="10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06"/>
    <w:bookmarkEnd w:id="107"/>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0"/>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1"/>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pStyle w:val="14"/>
        <w:widowControl/>
        <w:adjustRightInd w:val="0"/>
        <w:snapToGrid w:val="0"/>
        <w:spacing w:beforeAutospacing="0" w:afterAutospacing="0"/>
        <w:jc w:val="center"/>
        <w:outlineLvl w:val="1"/>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r>
        <w:rPr>
          <w:rFonts w:ascii="黑体" w:hAnsi="黑体" w:eastAsia="黑体"/>
          <w:b/>
          <w:bCs/>
          <w:color w:val="auto"/>
          <w:sz w:val="44"/>
          <w:szCs w:val="44"/>
          <w:lang w:bidi="ar"/>
        </w:rPr>
        <w:t>购销三方协议</w:t>
      </w:r>
    </w:p>
    <w:p>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b/>
          <w:bCs/>
          <w:color w:val="auto"/>
          <w:sz w:val="21"/>
          <w:szCs w:val="21"/>
          <w:lang w:val="en-US" w:eastAsia="zh-CN" w:bidi="ar"/>
        </w:rPr>
        <w:t xml:space="preserve">         </w:t>
      </w:r>
      <w:permEnd w:id="0"/>
    </w:p>
    <w:p>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3484</w:t>
            </w:r>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hint="eastAsia" w:ascii="Times New Roman" w:hAnsi="Times New Roman" w:eastAsia="宋体"/>
                <w:color w:val="auto"/>
                <w:sz w:val="21"/>
                <w:szCs w:val="21"/>
                <w:lang w:val="en-US" w:eastAsia="zh-CN" w:bidi="ar"/>
              </w:rPr>
              <w:t xml:space="preserve"> </w:t>
            </w:r>
            <w:permEnd w:id="1"/>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b/>
                <w:bCs/>
                <w:color w:val="auto"/>
                <w:sz w:val="21"/>
                <w:szCs w:val="21"/>
                <w:lang w:val="en-US" w:eastAsia="zh-CN" w:bidi="ar"/>
              </w:rPr>
              <w:t xml:space="preserve"> </w:t>
            </w:r>
            <w:permEnd w:id="2"/>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ermEnd w:id="3"/>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hint="eastAsia" w:ascii="Times New Roman" w:hAnsi="Times New Roman" w:eastAsia="宋体"/>
                <w:b/>
                <w:bCs/>
                <w:color w:val="auto"/>
                <w:sz w:val="21"/>
                <w:szCs w:val="21"/>
                <w:lang w:val="en-US" w:eastAsia="zh-CN" w:bidi="ar"/>
              </w:rPr>
              <w:t xml:space="preserve"> </w:t>
            </w:r>
            <w:permEnd w:id="4"/>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hint="eastAsia" w:ascii="Times New Roman" w:hAnsi="Times New Roman" w:eastAsia="宋体"/>
                <w:color w:val="auto"/>
                <w:sz w:val="21"/>
                <w:szCs w:val="21"/>
                <w:lang w:val="en-US" w:eastAsia="zh-CN" w:bidi="ar"/>
              </w:rPr>
              <w:t xml:space="preserve"> </w:t>
            </w:r>
            <w:permEnd w:id="5"/>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hint="eastAsia" w:eastAsia="宋体"/>
                <w:color w:val="auto"/>
                <w:sz w:val="20"/>
                <w:szCs w:val="20"/>
                <w:lang w:val="en-US" w:eastAsia="zh-CN"/>
              </w:rPr>
              <w:t xml:space="preserve"> </w:t>
            </w:r>
            <w:permEnd w:id="6"/>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hint="eastAsia"/>
                <w:color w:val="auto"/>
                <w:sz w:val="20"/>
                <w:szCs w:val="20"/>
                <w:lang w:val="en-US" w:eastAsia="zh-CN"/>
              </w:rPr>
              <w:t xml:space="preserve"> </w:t>
            </w:r>
            <w:permEnd w:id="7"/>
          </w:p>
        </w:tc>
        <w:tc>
          <w:tcPr>
            <w:tcW w:w="4814" w:type="dxa"/>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hint="eastAsia" w:ascii="Times New Roman" w:hAnsi="Times New Roman" w:eastAsia="宋体"/>
                <w:color w:val="auto"/>
                <w:sz w:val="21"/>
                <w:szCs w:val="21"/>
                <w:lang w:val="en-US" w:eastAsia="zh-CN" w:bidi="ar"/>
              </w:rPr>
              <w:t xml:space="preserve"> </w:t>
            </w:r>
            <w:permEnd w:id="8"/>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hint="eastAsia" w:ascii="Times New Roman" w:hAnsi="Times New Roman" w:eastAsia="宋体"/>
                <w:color w:val="auto"/>
                <w:sz w:val="21"/>
                <w:szCs w:val="21"/>
                <w:lang w:val="en-US" w:eastAsia="zh-CN" w:bidi="ar"/>
              </w:rPr>
              <w:t xml:space="preserve"> </w:t>
            </w:r>
            <w:permEnd w:id="9"/>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hint="eastAsia" w:ascii="Times New Roman" w:hAnsi="Times New Roman" w:eastAsia="宋体"/>
                <w:b/>
                <w:bCs/>
                <w:color w:val="auto"/>
                <w:sz w:val="21"/>
                <w:szCs w:val="21"/>
                <w:lang w:val="en-US" w:eastAsia="zh-CN" w:bidi="ar"/>
              </w:rPr>
              <w:t xml:space="preserve"> </w:t>
            </w:r>
            <w:permEnd w:id="10"/>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hint="eastAsia" w:ascii="Times New Roman" w:hAnsi="Times New Roman" w:eastAsia="宋体"/>
                <w:b w:val="0"/>
                <w:bCs w:val="0"/>
                <w:color w:val="auto"/>
                <w:sz w:val="21"/>
                <w:szCs w:val="21"/>
                <w:lang w:val="en-US" w:eastAsia="zh-CN" w:bidi="ar"/>
              </w:rPr>
              <w:t xml:space="preserve"> </w:t>
            </w:r>
            <w:permEnd w:id="11"/>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hint="eastAsia" w:ascii="Times New Roman" w:hAnsi="Times New Roman" w:eastAsia="宋体"/>
                <w:color w:val="auto"/>
                <w:sz w:val="21"/>
                <w:szCs w:val="21"/>
                <w:lang w:val="en-US" w:eastAsia="zh-CN" w:bidi="ar"/>
              </w:rPr>
              <w:t xml:space="preserve"> </w:t>
            </w:r>
            <w:permEnd w:id="12"/>
          </w:p>
          <w:p>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4"/>
        <w:widowControl/>
        <w:adjustRightInd w:val="0"/>
        <w:snapToGrid w:val="0"/>
        <w:spacing w:beforeAutospacing="0" w:afterAutospacing="0" w:line="400" w:lineRule="exact"/>
        <w:rPr>
          <w:rFonts w:ascii="Times New Roman" w:hAnsi="Times New Roman" w:eastAsia="宋体"/>
          <w:color w:val="auto"/>
          <w:sz w:val="21"/>
          <w:szCs w:val="21"/>
        </w:rPr>
      </w:pP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w:t>
      </w:r>
      <w:permStart w:id="13" w:edGrp="everyone"/>
      <w:r>
        <w:rPr>
          <w:rFonts w:ascii="Times New Roman" w:hAnsi="Times New Roman" w:eastAsia="宋体"/>
          <w:color w:val="auto"/>
          <w:sz w:val="21"/>
          <w:szCs w:val="21"/>
        </w:rPr>
        <w:t>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permEnd w:id="13"/>
      <w:r>
        <w:rPr>
          <w:rFonts w:ascii="Times New Roman" w:hAnsi="Times New Roman" w:eastAsia="宋体"/>
          <w:color w:val="auto"/>
          <w:sz w:val="21"/>
          <w:szCs w:val="21"/>
        </w:rPr>
        <w:t>）确定的供货耗材。</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w:t>
      </w:r>
      <w:permStart w:id="14" w:edGrp="everyone"/>
      <w:r>
        <w:rPr>
          <w:rFonts w:ascii="Times New Roman" w:hAnsi="Times New Roman" w:eastAsia="宋体"/>
          <w:color w:val="auto"/>
          <w:sz w:val="21"/>
          <w:szCs w:val="21"/>
        </w:rPr>
        <w:t>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ermEnd w:id="14"/>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3"/>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5" w:edGrp="everyone"/>
      <w:r>
        <w:rPr>
          <w:rFonts w:ascii="Times New Roman" w:hAnsi="Times New Roman" w:eastAsia="宋体"/>
          <w:color w:val="auto"/>
          <w:sz w:val="21"/>
          <w:szCs w:val="21"/>
        </w:rPr>
        <w:t>：供货清单。</w:t>
      </w:r>
      <w:permEnd w:id="15"/>
    </w:p>
    <w:p>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6" w:edGrp="everyone"/>
      <w:r>
        <w:rPr>
          <w:rFonts w:hint="eastAsia" w:ascii="Times New Roman" w:hAnsi="Times New Roman" w:eastAsia="宋体"/>
          <w:color w:val="auto"/>
          <w:sz w:val="21"/>
          <w:szCs w:val="21"/>
        </w:rPr>
        <w:t>无。</w:t>
      </w:r>
    </w:p>
    <w:permEnd w:id="16"/>
    <w:p>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permStart w:id="17" w:edGrp="everyone"/>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permEnd w:id="17"/>
      <w:r>
        <w:rPr>
          <w:rFonts w:ascii="Times New Roman" w:hAnsi="Times New Roman" w:eastAsia="宋体"/>
          <w:b/>
          <w:bCs/>
          <w:color w:val="auto"/>
          <w:sz w:val="21"/>
          <w:szCs w:val="21"/>
        </w:rPr>
        <w:t>。</w:t>
      </w:r>
    </w:p>
    <w:p>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pPr>
        <w:pStyle w:val="14"/>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permStart w:id="18" w:edGrp="everyone"/>
      <w:r>
        <w:rPr>
          <w:rFonts w:hint="eastAsia" w:ascii="Times New Roman" w:hAnsi="Times New Roman" w:eastAsia="宋体" w:cs="Times New Roman"/>
          <w:color w:val="auto"/>
          <w:lang w:val="en-US" w:eastAsia="zh-CN"/>
        </w:rPr>
        <w:t>6</w:t>
      </w:r>
      <w:permEnd w:id="18"/>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hint="eastAsia" w:ascii="Times New Roman" w:hAnsi="Times New Roman" w:eastAsia="宋体"/>
                <w:color w:val="auto"/>
                <w:sz w:val="21"/>
                <w:szCs w:val="21"/>
                <w:lang w:val="en-US" w:eastAsia="zh-CN" w:bidi="ar"/>
              </w:rPr>
              <w:t xml:space="preserve"> </w:t>
            </w:r>
            <w:permEnd w:id="21"/>
            <w:r>
              <w:rPr>
                <w:rFonts w:ascii="Times New Roman" w:hAnsi="Times New Roman" w:eastAsia="宋体"/>
                <w:color w:val="auto"/>
                <w:sz w:val="21"/>
                <w:szCs w:val="21"/>
                <w:lang w:bidi="ar"/>
              </w:rPr>
              <w:t>（盖章）</w:t>
            </w:r>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hint="eastAsia" w:ascii="Times New Roman" w:hAnsi="Times New Roman" w:eastAsia="宋体"/>
                <w:color w:val="auto"/>
                <w:sz w:val="21"/>
                <w:szCs w:val="21"/>
                <w:lang w:val="en-US" w:eastAsia="zh-CN" w:bidi="ar"/>
              </w:rPr>
              <w:t xml:space="preserve"> </w:t>
            </w:r>
            <w:permEnd w:id="22"/>
            <w:r>
              <w:rPr>
                <w:rFonts w:ascii="Times New Roman" w:hAnsi="Times New Roman" w:eastAsia="宋体"/>
                <w:color w:val="auto"/>
                <w:sz w:val="21"/>
                <w:szCs w:val="21"/>
                <w:lang w:bidi="ar"/>
              </w:rPr>
              <w:t>（盖章）</w:t>
            </w:r>
          </w:p>
          <w:p>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ermStart w:id="23" w:edGrp="everyone"/>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100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14"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ermEnd w:id="23"/>
    <w:p>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permStart w:id="24" w:edGrp="everyone"/>
            <w:r>
              <w:rPr>
                <w:rFonts w:hint="eastAsia" w:ascii="Times New Roman" w:hAnsi="Times New Roman" w:eastAsia="宋体"/>
                <w:color w:val="auto"/>
                <w:sz w:val="21"/>
                <w:szCs w:val="21"/>
                <w:lang w:val="en-US" w:eastAsia="zh-CN" w:bidi="ar"/>
              </w:rPr>
              <w:t xml:space="preserve"> </w:t>
            </w:r>
            <w:permEnd w:id="24"/>
          </w:p>
        </w:tc>
        <w:tc>
          <w:tcPr>
            <w:tcW w:w="2393" w:type="pct"/>
          </w:tcPr>
          <w:p>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permStart w:id="25" w:edGrp="everyone"/>
            <w:r>
              <w:rPr>
                <w:rFonts w:hint="eastAsia" w:ascii="Times New Roman" w:hAnsi="Times New Roman" w:eastAsia="宋体"/>
                <w:color w:val="auto"/>
                <w:sz w:val="21"/>
                <w:szCs w:val="21"/>
                <w:lang w:val="en-US" w:eastAsia="zh-CN" w:bidi="ar"/>
              </w:rPr>
              <w:t xml:space="preserve"> </w:t>
            </w:r>
            <w:permEnd w:id="25"/>
          </w:p>
        </w:tc>
      </w:tr>
    </w:tbl>
    <w:p>
      <w:pPr>
        <w:ind w:firstLine="420" w:firstLineChars="200"/>
        <w:rPr>
          <w:rFonts w:ascii="Times New Roman" w:hAnsi="Times New Roman" w:eastAsia="宋体" w:cs="Times New Roman"/>
          <w:color w:val="auto"/>
        </w:rPr>
      </w:pPr>
    </w:p>
    <w:p>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permStart w:id="26" w:edGrp="everyone"/>
            <w:r>
              <w:rPr>
                <w:rFonts w:hint="eastAsia" w:ascii="Times New Roman" w:hAnsi="Times New Roman" w:eastAsia="宋体"/>
                <w:color w:val="auto"/>
                <w:sz w:val="21"/>
                <w:szCs w:val="21"/>
                <w:lang w:val="en-US" w:eastAsia="zh-CN" w:bidi="ar"/>
              </w:rPr>
              <w:t xml:space="preserve"> </w:t>
            </w:r>
            <w:permEnd w:id="26"/>
          </w:p>
          <w:p>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permStart w:id="27" w:edGrp="everyone"/>
            <w:r>
              <w:rPr>
                <w:rFonts w:hint="eastAsia" w:ascii="Times New Roman" w:hAnsi="Times New Roman" w:eastAsia="宋体" w:cs="Times New Roman"/>
                <w:b/>
                <w:color w:val="auto"/>
                <w:lang w:val="en-US" w:eastAsia="zh-CN"/>
              </w:rPr>
              <w:t xml:space="preserve"> </w:t>
            </w:r>
            <w:permEnd w:id="27"/>
          </w:p>
          <w:p>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pPr>
              <w:tabs>
                <w:tab w:val="left" w:pos="1250"/>
              </w:tabs>
              <w:spacing w:line="480" w:lineRule="auto"/>
              <w:rPr>
                <w:rFonts w:ascii="Times New Roman" w:hAnsi="Times New Roman" w:eastAsia="宋体" w:cs="Times New Roman"/>
                <w:b/>
                <w:color w:val="auto"/>
                <w:lang w:eastAsia="zh-CN"/>
              </w:rPr>
            </w:pPr>
          </w:p>
        </w:tc>
      </w:tr>
    </w:tbl>
    <w:p>
      <w:pPr>
        <w:rPr>
          <w:rFonts w:ascii="Times New Roman" w:hAnsi="Times New Roman" w:eastAsia="宋体" w:cs="Times New Roman"/>
          <w:color w:val="auto"/>
          <w:lang w:eastAsia="zh-CN"/>
        </w:rPr>
      </w:pPr>
    </w:p>
    <w:p>
      <w:pPr>
        <w:rPr>
          <w:rFonts w:ascii="Times New Roman" w:hAnsi="Times New Roman" w:eastAsia="宋体" w:cs="Times New Roman"/>
          <w:color w:val="auto"/>
          <w:lang w:eastAsia="zh-CN"/>
        </w:rPr>
      </w:pPr>
    </w:p>
    <w:p>
      <w:pPr>
        <w:rPr>
          <w:rFonts w:ascii="Times New Roman" w:hAnsi="Times New Roman" w:eastAsia="宋体" w:cs="Times New Roman"/>
          <w:color w:val="auto"/>
          <w:lang w:eastAsia="zh-CN"/>
        </w:rPr>
      </w:pPr>
    </w:p>
    <w:p>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permStart w:id="28" w:edGrp="everyone"/>
      <w:r>
        <w:rPr>
          <w:rFonts w:hint="eastAsia" w:ascii="Times New Roman" w:hAnsi="Times New Roman" w:eastAsia="宋体" w:cs="Times New Roman"/>
          <w:color w:val="auto"/>
          <w:szCs w:val="21"/>
          <w:lang w:val="en-US" w:eastAsia="zh-CN"/>
        </w:rPr>
        <w:t>6</w:t>
      </w:r>
      <w:permEnd w:id="28"/>
      <w:r>
        <w:rPr>
          <w:rFonts w:ascii="Times New Roman" w:hAnsi="Times New Roman" w:eastAsia="宋体" w:cs="Times New Roman"/>
          <w:color w:val="auto"/>
          <w:szCs w:val="21"/>
        </w:rPr>
        <w:t>年</w:t>
      </w:r>
      <w:permStart w:id="29" w:edGrp="everyone"/>
      <w:r>
        <w:rPr>
          <w:rFonts w:ascii="Times New Roman" w:hAnsi="Times New Roman" w:eastAsia="宋体" w:cs="Times New Roman"/>
          <w:color w:val="auto"/>
          <w:szCs w:val="21"/>
        </w:rPr>
        <w:t xml:space="preserve"> </w:t>
      </w:r>
      <w:r>
        <w:rPr>
          <w:rFonts w:hint="eastAsia" w:ascii="Times New Roman" w:hAnsi="Times New Roman" w:eastAsia="宋体" w:cs="Times New Roman"/>
          <w:color w:val="auto"/>
          <w:szCs w:val="21"/>
          <w:lang w:val="en-US" w:eastAsia="zh-CN"/>
        </w:rPr>
        <w:t xml:space="preserve">  </w:t>
      </w:r>
      <w:permEnd w:id="29"/>
      <w:r>
        <w:rPr>
          <w:rFonts w:ascii="Times New Roman" w:hAnsi="Times New Roman" w:eastAsia="宋体" w:cs="Times New Roman"/>
          <w:color w:val="auto"/>
          <w:szCs w:val="21"/>
        </w:rPr>
        <w:t>月</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日</w:t>
      </w:r>
    </w:p>
    <w:p>
      <w:pPr>
        <w:ind w:firstLine="3150" w:firstLineChars="1500"/>
        <w:jc w:val="right"/>
        <w:rPr>
          <w:rFonts w:ascii="Times New Roman" w:hAnsi="Times New Roman" w:eastAsia="宋体" w:cs="Times New Roman"/>
          <w:color w:val="auto"/>
        </w:rPr>
      </w:pPr>
    </w:p>
    <w:p/>
    <w:p>
      <w:pPr>
        <w:jc w:val="both"/>
        <w:rPr>
          <w:rFonts w:ascii="Times New Roman" w:hAnsi="Times New Roman" w:eastAsia="宋体" w:cs="Times New Roman"/>
          <w:color w:val="auto"/>
          <w:szCs w:val="21"/>
        </w:rPr>
      </w:pPr>
    </w:p>
    <w:p>
      <w:pPr>
        <w:pStyle w:val="26"/>
        <w:rPr>
          <w:rFonts w:ascii="Times New Roman" w:hAnsi="Times New Roman"/>
        </w:rPr>
      </w:pPr>
    </w:p>
    <w:sectPr>
      <w:headerReference r:id="rId15" w:type="default"/>
      <w:footerReference r:id="rId16"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8D3418-A757-48FF-85FE-3999B21F34C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AAF5FCE-8324-4511-8B62-43B0E0F45B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C9D8F09-EC03-43BE-BF3A-75B2ADC2230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56449257-6586-4758-91EA-E650C116E7BF}"/>
  </w:font>
  <w:font w:name="Wingdings 2">
    <w:altName w:val="Wingdings"/>
    <w:panose1 w:val="05020102010507070707"/>
    <w:charset w:val="4D"/>
    <w:family w:val="decorative"/>
    <w:pitch w:val="default"/>
    <w:sig w:usb0="00000000" w:usb1="00000000" w:usb2="00000000" w:usb3="00000000" w:csb0="80000000" w:csb1="00000000"/>
    <w:embedRegular r:id="rId5" w:fontKey="{6108CA4A-930F-4D20-A066-CAEDD0B04649}"/>
  </w:font>
  <w:font w:name="Songti SC">
    <w:altName w:val="宋体"/>
    <w:panose1 w:val="02010600040101010101"/>
    <w:charset w:val="86"/>
    <w:family w:val="auto"/>
    <w:pitch w:val="default"/>
    <w:sig w:usb0="00000000" w:usb1="00000000" w:usb2="00000010" w:usb3="00000000" w:csb0="0004009F" w:csb1="00000000"/>
    <w:embedRegular r:id="rId6" w:fontKey="{6E3ED55B-9C22-43F8-8845-226C24ACA84B}"/>
  </w:font>
  <w:font w:name="微软雅黑">
    <w:panose1 w:val="020B0503020204020204"/>
    <w:charset w:val="86"/>
    <w:family w:val="auto"/>
    <w:pitch w:val="default"/>
    <w:sig w:usb0="80000287" w:usb1="2ACF3C50" w:usb2="00000016" w:usb3="00000000" w:csb0="0004001F" w:csb1="00000000"/>
    <w:embedRegular r:id="rId7" w:fontKey="{CB1AD29E-452D-45DE-B20B-F40235D697F7}"/>
  </w:font>
  <w:font w:name="Cambria Math">
    <w:panose1 w:val="02040503050406030204"/>
    <w:charset w:val="00"/>
    <w:family w:val="roman"/>
    <w:pitch w:val="default"/>
    <w:sig w:usb0="E00006FF" w:usb1="420024FF" w:usb2="02000000" w:usb3="00000000" w:csb0="2000019F" w:csb1="00000000"/>
    <w:embedRegular r:id="rId8" w:fontKey="{CECD3107-CAD6-4CF2-958A-6F0B9272EF05}"/>
  </w:font>
  <w:font w:name="方正小标宋_GBK">
    <w:panose1 w:val="02000000000000000000"/>
    <w:charset w:val="86"/>
    <w:family w:val="script"/>
    <w:pitch w:val="default"/>
    <w:sig w:usb0="A00002BF" w:usb1="38CF7CFA" w:usb2="00082016" w:usb3="00000000" w:csb0="00040001" w:csb1="00000000"/>
    <w:embedRegular r:id="rId9" w:fontKey="{28BB869E-D1EE-4A47-BAE8-FE8131030E5D}"/>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1"/>
  </w:num>
  <w:num w:numId="14">
    <w:abstractNumId w:val="17"/>
  </w:num>
  <w:num w:numId="15">
    <w:abstractNumId w:val="7"/>
  </w:num>
  <w:num w:numId="16">
    <w:abstractNumId w:val="31"/>
  </w:num>
  <w:num w:numId="17">
    <w:abstractNumId w:val="29"/>
  </w:num>
  <w:num w:numId="18">
    <w:abstractNumId w:val="23"/>
  </w:num>
  <w:num w:numId="19">
    <w:abstractNumId w:val="9"/>
  </w:num>
  <w:num w:numId="20">
    <w:abstractNumId w:val="14"/>
  </w:num>
  <w:num w:numId="21">
    <w:abstractNumId w:val="8"/>
  </w:num>
  <w:num w:numId="22">
    <w:abstractNumId w:val="15"/>
  </w:num>
  <w:num w:numId="23">
    <w:abstractNumId w:val="27"/>
  </w:num>
  <w:num w:numId="24">
    <w:abstractNumId w:val="26"/>
  </w:num>
  <w:num w:numId="25">
    <w:abstractNumId w:val="21"/>
  </w:num>
  <w:num w:numId="26">
    <w:abstractNumId w:val="18"/>
  </w:num>
  <w:num w:numId="27">
    <w:abstractNumId w:val="10"/>
  </w:num>
  <w:num w:numId="28">
    <w:abstractNumId w:val="6"/>
  </w:num>
  <w:num w:numId="29">
    <w:abstractNumId w:val="12"/>
  </w:num>
  <w:num w:numId="30">
    <w:abstractNumId w:val="24"/>
  </w:num>
  <w:num w:numId="31">
    <w:abstractNumId w:val="28"/>
  </w:num>
  <w:num w:numId="32">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162286"/>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63C66B5"/>
    <w:rsid w:val="078A573C"/>
    <w:rsid w:val="07B36757"/>
    <w:rsid w:val="093A3733"/>
    <w:rsid w:val="0B4508AE"/>
    <w:rsid w:val="0CF161C9"/>
    <w:rsid w:val="0E0B7FF0"/>
    <w:rsid w:val="0F904004"/>
    <w:rsid w:val="117A5014"/>
    <w:rsid w:val="127F05A0"/>
    <w:rsid w:val="136D78F8"/>
    <w:rsid w:val="15CC4977"/>
    <w:rsid w:val="162A4F7D"/>
    <w:rsid w:val="16A82A66"/>
    <w:rsid w:val="171E2686"/>
    <w:rsid w:val="1994787E"/>
    <w:rsid w:val="1ADC0421"/>
    <w:rsid w:val="1BCC54CD"/>
    <w:rsid w:val="1DD000AF"/>
    <w:rsid w:val="1E09745A"/>
    <w:rsid w:val="1E176351"/>
    <w:rsid w:val="1EE46B96"/>
    <w:rsid w:val="22935D1D"/>
    <w:rsid w:val="23D4489F"/>
    <w:rsid w:val="24F547BA"/>
    <w:rsid w:val="262001B9"/>
    <w:rsid w:val="27B87AF9"/>
    <w:rsid w:val="27E80EA9"/>
    <w:rsid w:val="280414A1"/>
    <w:rsid w:val="28570368"/>
    <w:rsid w:val="29C5318E"/>
    <w:rsid w:val="2ADE078C"/>
    <w:rsid w:val="2B502F98"/>
    <w:rsid w:val="2C9A0A9E"/>
    <w:rsid w:val="2DA70D65"/>
    <w:rsid w:val="3427766B"/>
    <w:rsid w:val="343706EB"/>
    <w:rsid w:val="351A08D0"/>
    <w:rsid w:val="35CC78FE"/>
    <w:rsid w:val="36334CE5"/>
    <w:rsid w:val="36DA685B"/>
    <w:rsid w:val="3A551407"/>
    <w:rsid w:val="3B033C36"/>
    <w:rsid w:val="3E5D4E8E"/>
    <w:rsid w:val="3FE25336"/>
    <w:rsid w:val="41076015"/>
    <w:rsid w:val="42075FF8"/>
    <w:rsid w:val="42842020"/>
    <w:rsid w:val="429A3BAB"/>
    <w:rsid w:val="468567BB"/>
    <w:rsid w:val="4782487D"/>
    <w:rsid w:val="4B31068E"/>
    <w:rsid w:val="4BA55220"/>
    <w:rsid w:val="4BAD0151"/>
    <w:rsid w:val="4C184E09"/>
    <w:rsid w:val="4C8F75A2"/>
    <w:rsid w:val="4DAD4403"/>
    <w:rsid w:val="4E0B0B8B"/>
    <w:rsid w:val="4E8C008E"/>
    <w:rsid w:val="4FEF758C"/>
    <w:rsid w:val="50771A9C"/>
    <w:rsid w:val="51C47F6D"/>
    <w:rsid w:val="520879A0"/>
    <w:rsid w:val="5455382C"/>
    <w:rsid w:val="57C35DB5"/>
    <w:rsid w:val="59B4348F"/>
    <w:rsid w:val="5D0A3490"/>
    <w:rsid w:val="5D7E0D39"/>
    <w:rsid w:val="5E9D3F29"/>
    <w:rsid w:val="5FF6108B"/>
    <w:rsid w:val="60384CD1"/>
    <w:rsid w:val="60655808"/>
    <w:rsid w:val="60F86CEE"/>
    <w:rsid w:val="63576530"/>
    <w:rsid w:val="63A9427A"/>
    <w:rsid w:val="63D462B1"/>
    <w:rsid w:val="641A3596"/>
    <w:rsid w:val="64D96647"/>
    <w:rsid w:val="655B51E5"/>
    <w:rsid w:val="65E40ADA"/>
    <w:rsid w:val="66330B86"/>
    <w:rsid w:val="66E22203"/>
    <w:rsid w:val="68AA6162"/>
    <w:rsid w:val="68B812C9"/>
    <w:rsid w:val="69D50CF4"/>
    <w:rsid w:val="6C487AFD"/>
    <w:rsid w:val="6CB24363"/>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next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 w:type="paragraph" w:customStyle="1" w:styleId="43">
    <w:name w:val="表格文字"/>
    <w:basedOn w:val="44"/>
    <w:autoRedefine/>
    <w:qFormat/>
    <w:uiPriority w:val="0"/>
    <w:rPr>
      <w:bCs/>
      <w:spacing w:val="10"/>
      <w:szCs w:val="20"/>
    </w:rPr>
  </w:style>
  <w:style w:type="paragraph" w:customStyle="1" w:styleId="44">
    <w:name w:val="表格文字（两侧对齐）"/>
    <w:basedOn w:val="1"/>
    <w:autoRedefine/>
    <w:qFormat/>
    <w:uiPriority w:val="0"/>
    <w:pPr>
      <w:snapToGrid w:val="0"/>
    </w:pPr>
    <w:rPr>
      <w:rFonts w:ascii="Calibri" w:hAnsi="Calibri"/>
      <w:kern w:val="0"/>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1230</Words>
  <Characters>1300</Characters>
  <Lines>72</Lines>
  <Paragraphs>20</Paragraphs>
  <TotalTime>3</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2026-11-03T07:45:13Z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CE21E58E066243CF990EB75805AB17B7_13</vt:lpwstr>
  </property>
  <property fmtid="{D5CDD505-2E9C-101B-9397-08002B2CF9AE}" pid="4" name="KSOTemplateDocerSaveRecord">
    <vt:lpwstr>eyJoZGlkIjoiZTE3YzY5ZGRmMGZjYjE3ZTA2OTZlNGYxY2RlMGIzMDkiLCJ1c2VySWQiOiI3MDMxOTM4MzkifQ==</vt:lpwstr>
  </property>
</Properties>
</file>