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四川省精神医学中心心理援助热线所需相关管理系统及服务采购项目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hint="eastAsia" w:ascii="Times New Roman" w:hAnsi="Times New Roman" w:eastAsia="黑体" w:cs="Times New Roman"/>
          <w:b/>
          <w:sz w:val="36"/>
          <w:szCs w:val="36"/>
          <w:lang w:eastAsia="zh-CN"/>
        </w:rPr>
        <w:t>四川省精神医学中心</w:t>
      </w:r>
      <w:r>
        <w:rPr>
          <w:rFonts w:ascii="Times New Roman" w:hAnsi="Times New Roman" w:eastAsia="黑体" w:cs="Times New Roman"/>
          <w:b/>
          <w:sz w:val="36"/>
          <w:szCs w:val="36"/>
        </w:rPr>
        <w:t xml:space="preserve">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bookmarkStart w:id="106" w:name="_GoBack"/>
    </w:p>
    <w:bookmarkEnd w:id="106"/>
    <w:p w14:paraId="56C6E046">
      <w:pPr>
        <w:pStyle w:val="2"/>
        <w:numPr>
          <w:ilvl w:val="0"/>
          <w:numId w:val="0"/>
        </w:numPr>
        <w:ind w:left="0" w:leftChars="0" w:firstLine="0" w:firstLineChars="0"/>
        <w:rPr>
          <w:rFonts w:ascii="Times New Roman" w:hAnsi="Times New Roman" w:cs="Times New Roman"/>
        </w:rPr>
      </w:pPr>
      <w:bookmarkStart w:id="0" w:name="_Toc62832406"/>
      <w:bookmarkStart w:id="1" w:name="_Toc471310326"/>
      <w:bookmarkStart w:id="2" w:name="_Toc3240"/>
      <w:bookmarkStart w:id="3" w:name="_Toc21919"/>
      <w:bookmarkStart w:id="4" w:name="_Toc1907"/>
      <w:bookmarkStart w:id="5" w:name="_Toc20358"/>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四川省精神医学中心</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四川省精神医学中心心理援助热线所需相关管理系统及服务采购项目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Times New Roman" w:hAnsi="Times New Roman" w:eastAsia="仿宋" w:cs="Times New Roman"/>
                <w:b w:val="0"/>
                <w:bCs w:val="0"/>
                <w:sz w:val="22"/>
                <w:lang w:eastAsia="zh-CN"/>
              </w:rPr>
              <w:t>CGZX-YXX20261402</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u w:val="none"/>
                <w:lang w:val="en-US" w:eastAsia="zh-CN"/>
              </w:rPr>
            </w:pPr>
            <w:r>
              <w:rPr>
                <w:rFonts w:hint="eastAsia" w:ascii="仿宋" w:hAnsi="仿宋" w:eastAsia="仿宋" w:cs="仿宋"/>
                <w:sz w:val="22"/>
                <w:highlight w:val="none"/>
                <w:u w:val="none"/>
              </w:rPr>
              <w:t>人民币</w:t>
            </w:r>
            <w:r>
              <w:rPr>
                <w:rFonts w:hint="eastAsia" w:ascii="仿宋" w:hAnsi="仿宋" w:eastAsia="仿宋" w:cs="仿宋"/>
                <w:sz w:val="22"/>
                <w:highlight w:val="none"/>
                <w:u w:val="none"/>
                <w:lang w:val="en-US" w:eastAsia="zh-CN"/>
              </w:rPr>
              <w:t>18万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w:t>
            </w:r>
            <w:r>
              <w:rPr>
                <w:rFonts w:hint="eastAsia" w:ascii="仿宋" w:hAnsi="仿宋" w:eastAsia="仿宋" w:cs="仿宋"/>
                <w:sz w:val="22"/>
                <w:u w:val="none"/>
                <w:lang w:eastAsia="zh-CN"/>
              </w:rPr>
              <w:t>限高单价</w:t>
            </w:r>
            <w:r>
              <w:rPr>
                <w:rFonts w:hint="eastAsia" w:ascii="仿宋" w:hAnsi="仿宋" w:eastAsia="仿宋" w:cs="仿宋"/>
                <w:sz w:val="22"/>
                <w:u w:val="none"/>
                <w:lang w:val="en-US" w:eastAsia="zh-CN"/>
              </w:rPr>
              <w:t>详见第四章。</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收款单位：</w:t>
            </w:r>
            <w:r>
              <w:rPr>
                <w:rFonts w:hint="eastAsia" w:ascii="Times New Roman" w:hAnsi="Times New Roman" w:eastAsia="仿宋" w:cs="Times New Roman"/>
                <w:sz w:val="22"/>
                <w:szCs w:val="22"/>
                <w:highlight w:val="none"/>
                <w:lang w:val="zh-CN"/>
              </w:rPr>
              <w:t>四川省精神医学中心</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开户行：</w:t>
            </w:r>
            <w:r>
              <w:rPr>
                <w:rFonts w:hint="eastAsia" w:ascii="Times New Roman" w:hAnsi="Times New Roman" w:eastAsia="仿宋" w:cs="Times New Roman"/>
                <w:sz w:val="22"/>
                <w:szCs w:val="22"/>
                <w:highlight w:val="none"/>
                <w:lang w:val="zh-CN" w:eastAsia="zh-CN"/>
              </w:rPr>
              <w:t>成都银行股份有限公司光华大道支行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银行账号</w:t>
            </w:r>
            <w:r>
              <w:rPr>
                <w:rFonts w:hint="eastAsia" w:ascii="Times New Roman" w:hAnsi="Times New Roman" w:eastAsia="仿宋" w:cs="Times New Roman"/>
                <w:sz w:val="22"/>
                <w:szCs w:val="22"/>
                <w:highlight w:val="none"/>
                <w:lang w:val="zh-CN"/>
              </w:rPr>
              <w:t>：</w:t>
            </w:r>
            <w:r>
              <w:rPr>
                <w:rFonts w:hint="eastAsia" w:ascii="Times New Roman" w:hAnsi="Times New Roman" w:eastAsia="仿宋" w:cs="Times New Roman"/>
                <w:sz w:val="22"/>
                <w:szCs w:val="22"/>
                <w:highlight w:val="none"/>
                <w:lang w:val="zh-CN" w:eastAsia="zh-CN"/>
              </w:rPr>
              <w:t>1001300000618249</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合同签订生效后7个工作日内</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 60 工作日内将履约保证金扣减考核金额（如涉及考核）后一次性无息退还。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2C4BA18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 xml:space="preserve">供应商拒绝履行与采购人订立的合同。 </w:t>
            </w:r>
          </w:p>
          <w:p w14:paraId="51D33E0B">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其它情形：无。</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7D71E93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FE"/>
            </w:r>
            <w:r>
              <w:rPr>
                <w:rFonts w:ascii="Times New Roman" w:hAnsi="Times New Roman" w:eastAsia="仿宋" w:cs="Times New Roman"/>
                <w:sz w:val="24"/>
                <w:szCs w:val="24"/>
              </w:rPr>
              <w:t>综合评分法</w:t>
            </w:r>
          </w:p>
          <w:p w14:paraId="579FA052">
            <w:pPr>
              <w:shd w:val="clea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通过资格、符合性审查且满足谈判文件全部实质性要求的供应商达到3家以上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且谈判文</w:t>
            </w:r>
            <w:r>
              <w:rPr>
                <w:rFonts w:ascii="Times New Roman" w:hAnsi="Times New Roman" w:eastAsia="仿宋" w:cs="Times New Roman"/>
                <w:sz w:val="24"/>
                <w:szCs w:val="24"/>
              </w:rPr>
              <w:t>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w:t>
            </w:r>
            <w:r>
              <w:rPr>
                <w:rFonts w:ascii="Times New Roman" w:hAnsi="Times New Roman" w:eastAsia="仿宋" w:cs="Times New Roman"/>
                <w:sz w:val="24"/>
                <w:szCs w:val="24"/>
              </w:rPr>
              <w:t>符合规定的，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可以继续开展采购活动。谈判小组按照评审因素进行评分，得分最高的供应商为成交供应商。</w:t>
            </w:r>
            <w:r>
              <w:rPr>
                <w:rFonts w:hint="eastAsia" w:ascii="Times New Roman" w:hAnsi="Times New Roman" w:eastAsia="仿宋" w:cs="Times New Roman"/>
                <w:sz w:val="24"/>
                <w:szCs w:val="24"/>
                <w:highlight w:val="none"/>
              </w:rPr>
              <w:t>若得分相同则报价最低的为</w:t>
            </w:r>
            <w:r>
              <w:rPr>
                <w:rFonts w:hint="eastAsia" w:ascii="Times New Roman" w:hAnsi="Times New Roman" w:eastAsia="仿宋" w:cs="Times New Roman"/>
                <w:sz w:val="24"/>
                <w:szCs w:val="24"/>
              </w:rPr>
              <w:t>成交供应商。若得分相同且报价亦相同，则采取随机抽取的方式确定成交供应商。</w:t>
            </w:r>
          </w:p>
          <w:p w14:paraId="354363C4">
            <w:pPr>
              <w:shd w:val="clea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4"/>
                <w:szCs w:val="24"/>
              </w:rPr>
              <w:t>最低评审价法</w:t>
            </w:r>
          </w:p>
          <w:p w14:paraId="6DFB5BC6">
            <w:pPr>
              <w:shd w:val="clea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w:t>
            </w:r>
            <w:r>
              <w:rPr>
                <w:rFonts w:ascii="Times New Roman" w:hAnsi="Times New Roman" w:eastAsia="仿宋" w:cs="Times New Roman"/>
                <w:sz w:val="24"/>
                <w:szCs w:val="24"/>
              </w:rPr>
              <w:t>文件没有不合理条款，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亦符</w:t>
            </w:r>
            <w:r>
              <w:rPr>
                <w:rFonts w:ascii="Times New Roman" w:hAnsi="Times New Roman" w:eastAsia="仿宋" w:cs="Times New Roman"/>
                <w:sz w:val="24"/>
                <w:szCs w:val="24"/>
              </w:rPr>
              <w:t>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可以继续开展采购活动。谈判小组按照有效报价进行评审，有效报价最低的合格供应商为成交供应商。</w:t>
            </w:r>
            <w:r>
              <w:rPr>
                <w:rFonts w:hint="eastAsia" w:ascii="Times New Roman" w:hAnsi="Times New Roman" w:eastAsia="仿宋" w:cs="Times New Roman"/>
                <w:sz w:val="24"/>
                <w:szCs w:val="24"/>
                <w:lang w:val="en-US" w:eastAsia="zh-CN"/>
              </w:rPr>
              <w:t>若</w:t>
            </w:r>
            <w:r>
              <w:rPr>
                <w:rFonts w:ascii="Times New Roman" w:hAnsi="Times New Roman" w:eastAsia="仿宋" w:cs="Times New Roman"/>
                <w:sz w:val="24"/>
                <w:szCs w:val="24"/>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default" w:ascii="仿宋" w:hAnsi="仿宋" w:eastAsia="仿宋" w:cs="仿宋"/>
                <w:sz w:val="22"/>
                <w:szCs w:val="22"/>
                <w:highlight w:val="none"/>
                <w:u w:val="none"/>
                <w:lang w:val="en-US" w:eastAsia="zh-CN"/>
              </w:rPr>
            </w:pPr>
            <w:r>
              <w:rPr>
                <w:rFonts w:hint="eastAsia" w:ascii="仿宋" w:hAnsi="仿宋" w:eastAsia="仿宋" w:cs="仿宋"/>
                <w:sz w:val="22"/>
                <w:szCs w:val="22"/>
                <w:u w:val="none"/>
              </w:rPr>
              <w:t>联系</w:t>
            </w:r>
            <w:r>
              <w:rPr>
                <w:rFonts w:hint="eastAsia" w:ascii="仿宋" w:hAnsi="仿宋" w:eastAsia="仿宋" w:cs="仿宋"/>
                <w:sz w:val="22"/>
                <w:szCs w:val="22"/>
                <w:highlight w:val="none"/>
                <w:u w:val="none"/>
              </w:rPr>
              <w:t>方式：</w:t>
            </w:r>
            <w:r>
              <w:rPr>
                <w:rFonts w:hint="eastAsia" w:ascii="仿宋" w:hAnsi="仿宋" w:eastAsia="仿宋" w:cs="仿宋"/>
                <w:sz w:val="22"/>
                <w:szCs w:val="22"/>
                <w:highlight w:val="none"/>
                <w:u w:val="none"/>
                <w:lang w:val="en-US" w:eastAsia="zh-CN"/>
              </w:rPr>
              <w:t>王</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87393060</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highlight w:val="none"/>
                <w:u w:val="none"/>
              </w:rPr>
              <w:t>（2）归口部门：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吴</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24154"/>
      <w:bookmarkStart w:id="7" w:name="_Toc14460"/>
      <w:bookmarkStart w:id="8" w:name="_Toc22329"/>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w:t>
            </w:r>
            <w:r>
              <w:rPr>
                <w:rFonts w:hint="eastAsia" w:ascii="Times New Roman" w:hAnsi="Times New Roman" w:eastAsia="仿宋" w:cs="Times New Roman"/>
                <w:sz w:val="22"/>
                <w:szCs w:val="22"/>
                <w:lang w:val="en-US" w:eastAsia="zh-CN"/>
              </w:rPr>
              <w:t>060</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w:t>
            </w:r>
            <w:r>
              <w:rPr>
                <w:rFonts w:hint="eastAsia" w:ascii="Times New Roman" w:hAnsi="Times New Roman" w:eastAsia="仿宋" w:cs="Times New Roman"/>
                <w:sz w:val="22"/>
                <w:szCs w:val="22"/>
                <w:lang w:eastAsia="zh-CN"/>
              </w:rPr>
              <w:t>四川省精神医学中心</w:t>
            </w:r>
            <w:r>
              <w:rPr>
                <w:rFonts w:ascii="Times New Roman" w:hAnsi="Times New Roman" w:eastAsia="仿宋" w:cs="Times New Roman"/>
                <w:sz w:val="22"/>
                <w:szCs w:val="22"/>
              </w:rPr>
              <w:t>；</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28050"/>
      <w:bookmarkStart w:id="10" w:name="_Toc19400"/>
      <w:bookmarkStart w:id="11" w:name="_Toc32181"/>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3988"/>
      <w:bookmarkStart w:id="13" w:name="_Toc12668"/>
      <w:bookmarkStart w:id="14" w:name="_Toc16403"/>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本项目拟确定一名供应商为采购人提供心理援助热线所需相关管理系统及服务。</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eastAsia="仿宋" w:cs="仿宋"/>
          <w:kern w:val="2"/>
          <w:sz w:val="24"/>
          <w:szCs w:val="24"/>
        </w:rPr>
        <w:t>★</w:t>
      </w:r>
      <w:r>
        <w:rPr>
          <w:rFonts w:hint="eastAsia" w:ascii="仿宋" w:hAnsi="仿宋" w:cs="仿宋"/>
          <w:kern w:val="2"/>
          <w:sz w:val="24"/>
          <w:szCs w:val="24"/>
          <w:lang w:val="en-US" w:eastAsia="zh-CN"/>
        </w:rPr>
        <w:t>1.</w:t>
      </w:r>
      <w:r>
        <w:rPr>
          <w:rFonts w:hint="eastAsia" w:ascii="仿宋" w:hAnsi="仿宋" w:eastAsia="仿宋" w:cs="仿宋"/>
          <w:kern w:val="2"/>
          <w:sz w:val="24"/>
          <w:szCs w:val="24"/>
        </w:rPr>
        <w:t>采购清单</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13"/>
        <w:gridCol w:w="3530"/>
        <w:gridCol w:w="1241"/>
        <w:gridCol w:w="1267"/>
        <w:gridCol w:w="2592"/>
      </w:tblGrid>
      <w:tr w14:paraId="2A0B3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616" w:type="pct"/>
            <w:shd w:val="clear" w:color="auto" w:fill="auto"/>
            <w:tcMar>
              <w:top w:w="0" w:type="dxa"/>
              <w:left w:w="105" w:type="dxa"/>
              <w:bottom w:w="0" w:type="dxa"/>
              <w:right w:w="105" w:type="dxa"/>
            </w:tcMar>
            <w:vAlign w:val="center"/>
          </w:tcPr>
          <w:p w14:paraId="24B3BC62">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1792" w:type="pct"/>
            <w:shd w:val="clear" w:color="auto" w:fill="auto"/>
            <w:tcMar>
              <w:top w:w="0" w:type="dxa"/>
              <w:left w:w="105" w:type="dxa"/>
              <w:bottom w:w="0" w:type="dxa"/>
              <w:right w:w="105" w:type="dxa"/>
            </w:tcMar>
            <w:vAlign w:val="center"/>
          </w:tcPr>
          <w:p w14:paraId="6AD3810D">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采购内容</w:t>
            </w:r>
          </w:p>
        </w:tc>
        <w:tc>
          <w:tcPr>
            <w:tcW w:w="630" w:type="pct"/>
            <w:shd w:val="clear" w:color="auto" w:fill="auto"/>
            <w:tcMar>
              <w:top w:w="0" w:type="dxa"/>
              <w:left w:w="105" w:type="dxa"/>
              <w:bottom w:w="0" w:type="dxa"/>
              <w:right w:w="105" w:type="dxa"/>
            </w:tcMar>
            <w:vAlign w:val="center"/>
          </w:tcPr>
          <w:p w14:paraId="5815D1F3">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数量</w:t>
            </w:r>
          </w:p>
        </w:tc>
        <w:tc>
          <w:tcPr>
            <w:tcW w:w="643" w:type="pct"/>
            <w:shd w:val="clear" w:color="auto" w:fill="auto"/>
            <w:tcMar>
              <w:top w:w="0" w:type="dxa"/>
              <w:left w:w="105" w:type="dxa"/>
              <w:bottom w:w="0" w:type="dxa"/>
              <w:right w:w="105" w:type="dxa"/>
            </w:tcMar>
            <w:vAlign w:val="center"/>
          </w:tcPr>
          <w:p w14:paraId="4AE23E7E">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单位</w:t>
            </w:r>
          </w:p>
        </w:tc>
        <w:tc>
          <w:tcPr>
            <w:tcW w:w="1316" w:type="pct"/>
            <w:shd w:val="clear" w:color="auto" w:fill="auto"/>
            <w:tcMar>
              <w:top w:w="0" w:type="dxa"/>
              <w:left w:w="105" w:type="dxa"/>
              <w:bottom w:w="0" w:type="dxa"/>
              <w:right w:w="105" w:type="dxa"/>
            </w:tcMar>
            <w:vAlign w:val="center"/>
          </w:tcPr>
          <w:p w14:paraId="350E0EDC">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限高单价（元）</w:t>
            </w:r>
          </w:p>
        </w:tc>
      </w:tr>
      <w:tr w14:paraId="2AC8C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616" w:type="pct"/>
            <w:shd w:val="clear" w:color="auto" w:fill="auto"/>
            <w:tcMar>
              <w:top w:w="0" w:type="dxa"/>
              <w:left w:w="105" w:type="dxa"/>
              <w:bottom w:w="0" w:type="dxa"/>
              <w:right w:w="105" w:type="dxa"/>
            </w:tcMar>
            <w:vAlign w:val="center"/>
          </w:tcPr>
          <w:p w14:paraId="55517753">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792" w:type="pct"/>
            <w:shd w:val="clear" w:color="auto" w:fill="auto"/>
            <w:tcMar>
              <w:top w:w="0" w:type="dxa"/>
              <w:left w:w="105" w:type="dxa"/>
              <w:bottom w:w="0" w:type="dxa"/>
              <w:right w:w="105" w:type="dxa"/>
            </w:tcMar>
            <w:vAlign w:val="center"/>
          </w:tcPr>
          <w:p w14:paraId="302B5302">
            <w:pPr>
              <w:keepNext w:val="0"/>
              <w:keepLines w:val="0"/>
              <w:widowControl/>
              <w:suppressLineNumbers w:val="0"/>
              <w:spacing w:before="0" w:beforeAutospacing="1" w:after="0" w:afterAutospacing="1"/>
              <w:ind w:left="18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心理援助热线所需相关管理系统及服务</w:t>
            </w:r>
          </w:p>
        </w:tc>
        <w:tc>
          <w:tcPr>
            <w:tcW w:w="630" w:type="pct"/>
            <w:shd w:val="clear" w:color="auto" w:fill="auto"/>
            <w:tcMar>
              <w:top w:w="0" w:type="dxa"/>
              <w:left w:w="105" w:type="dxa"/>
              <w:bottom w:w="0" w:type="dxa"/>
              <w:right w:w="105" w:type="dxa"/>
            </w:tcMar>
            <w:vAlign w:val="center"/>
          </w:tcPr>
          <w:p w14:paraId="1439C101">
            <w:pPr>
              <w:keepNext w:val="0"/>
              <w:keepLines w:val="0"/>
              <w:widowControl/>
              <w:suppressLineNumbers w:val="0"/>
              <w:spacing w:before="0" w:beforeAutospacing="1" w:after="0" w:afterAutospacing="1"/>
              <w:ind w:left="18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643" w:type="pct"/>
            <w:shd w:val="clear" w:color="auto" w:fill="auto"/>
            <w:tcMar>
              <w:top w:w="0" w:type="dxa"/>
              <w:left w:w="105" w:type="dxa"/>
              <w:bottom w:w="0" w:type="dxa"/>
              <w:right w:w="105" w:type="dxa"/>
            </w:tcMar>
            <w:vAlign w:val="center"/>
          </w:tcPr>
          <w:p w14:paraId="76973850">
            <w:pPr>
              <w:keepNext w:val="0"/>
              <w:keepLines w:val="0"/>
              <w:widowControl/>
              <w:suppressLineNumbers w:val="0"/>
              <w:spacing w:before="0" w:beforeAutospacing="1" w:after="0" w:afterAutospacing="1"/>
              <w:ind w:left="0" w:right="0" w:firstLine="18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项</w:t>
            </w:r>
          </w:p>
        </w:tc>
        <w:tc>
          <w:tcPr>
            <w:tcW w:w="1316" w:type="pct"/>
            <w:shd w:val="clear" w:color="auto" w:fill="auto"/>
            <w:tcMar>
              <w:top w:w="0" w:type="dxa"/>
              <w:left w:w="105" w:type="dxa"/>
              <w:bottom w:w="0" w:type="dxa"/>
              <w:right w:w="105" w:type="dxa"/>
            </w:tcMar>
            <w:vAlign w:val="center"/>
          </w:tcPr>
          <w:p w14:paraId="61316535">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180000</w:t>
            </w:r>
          </w:p>
        </w:tc>
      </w:tr>
    </w:tbl>
    <w:p w14:paraId="6F659206">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rPr>
        <w:t>★</w:t>
      </w:r>
      <w:r>
        <w:rPr>
          <w:rFonts w:hint="eastAsia" w:ascii="仿宋" w:hAnsi="仿宋" w:cs="仿宋"/>
          <w:kern w:val="2"/>
          <w:sz w:val="24"/>
          <w:szCs w:val="24"/>
          <w:lang w:val="en-US" w:eastAsia="zh-CN"/>
        </w:rPr>
        <w:t>2.</w:t>
      </w:r>
      <w:r>
        <w:rPr>
          <w:rFonts w:hint="eastAsia" w:ascii="仿宋" w:hAnsi="仿宋" w:eastAsia="仿宋" w:cs="仿宋"/>
          <w:kern w:val="2"/>
          <w:sz w:val="24"/>
          <w:szCs w:val="24"/>
        </w:rPr>
        <w:t>接口清单</w:t>
      </w:r>
    </w:p>
    <w:p w14:paraId="64B716C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firstLine="480" w:firstLineChars="20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项目实施期间，凡涉及与东软集团股份有限公司（以下简称“东软”）既有系统对接，所产生的费用由采购人承担；其余非东软系统对接产生的费用，则由成交供应商承担，涵盖设备、包装、运输、安装、调试、税费及可能衍生的各项支出，均包含在本次采购费用中，采购人不再支付成交金额以外的任何款项。对接过程中，成交供应商应与采购人除“东软”外现有软件供应商友好协商，并于协商前向采购人提交接口方案清单，对接所产生费用的限高价为本项目合同总价的10%。</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31"/>
        <w:gridCol w:w="1909"/>
        <w:gridCol w:w="1555"/>
        <w:gridCol w:w="5752"/>
      </w:tblGrid>
      <w:tr w14:paraId="4303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1" w:type="dxa"/>
            <w:shd w:val="clear" w:color="auto" w:fill="auto"/>
            <w:tcMar>
              <w:top w:w="0" w:type="dxa"/>
              <w:left w:w="105" w:type="dxa"/>
              <w:bottom w:w="0" w:type="dxa"/>
              <w:right w:w="105" w:type="dxa"/>
            </w:tcMar>
            <w:vAlign w:val="center"/>
          </w:tcPr>
          <w:p w14:paraId="5D440C2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序号</w:t>
            </w:r>
          </w:p>
        </w:tc>
        <w:tc>
          <w:tcPr>
            <w:tcW w:w="1909" w:type="dxa"/>
            <w:shd w:val="clear" w:color="auto" w:fill="auto"/>
            <w:tcMar>
              <w:top w:w="0" w:type="dxa"/>
              <w:left w:w="105" w:type="dxa"/>
              <w:bottom w:w="0" w:type="dxa"/>
              <w:right w:w="105" w:type="dxa"/>
            </w:tcMar>
            <w:vAlign w:val="center"/>
          </w:tcPr>
          <w:p w14:paraId="2945B83D">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软件</w:t>
            </w:r>
          </w:p>
        </w:tc>
        <w:tc>
          <w:tcPr>
            <w:tcW w:w="1555" w:type="dxa"/>
            <w:shd w:val="clear" w:color="auto" w:fill="auto"/>
            <w:tcMar>
              <w:top w:w="0" w:type="dxa"/>
              <w:left w:w="105" w:type="dxa"/>
              <w:bottom w:w="0" w:type="dxa"/>
              <w:right w:w="105" w:type="dxa"/>
            </w:tcMar>
            <w:vAlign w:val="center"/>
          </w:tcPr>
          <w:p w14:paraId="6AA1AF79">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生产厂商（全称）</w:t>
            </w:r>
          </w:p>
        </w:tc>
        <w:tc>
          <w:tcPr>
            <w:tcW w:w="5752" w:type="dxa"/>
            <w:shd w:val="clear" w:color="auto" w:fill="auto"/>
            <w:tcMar>
              <w:top w:w="0" w:type="dxa"/>
              <w:left w:w="105" w:type="dxa"/>
              <w:bottom w:w="0" w:type="dxa"/>
              <w:right w:w="105" w:type="dxa"/>
            </w:tcMar>
            <w:vAlign w:val="center"/>
          </w:tcPr>
          <w:p w14:paraId="0BCE66C3">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对接描述</w:t>
            </w:r>
          </w:p>
        </w:tc>
      </w:tr>
      <w:tr w14:paraId="5B38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1" w:type="dxa"/>
            <w:shd w:val="clear" w:color="auto" w:fill="auto"/>
            <w:tcMar>
              <w:top w:w="0" w:type="dxa"/>
              <w:left w:w="105" w:type="dxa"/>
              <w:bottom w:w="0" w:type="dxa"/>
              <w:right w:w="105" w:type="dxa"/>
            </w:tcMar>
            <w:vAlign w:val="center"/>
          </w:tcPr>
          <w:p w14:paraId="3632E798">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1909" w:type="dxa"/>
            <w:shd w:val="clear" w:color="auto" w:fill="auto"/>
            <w:tcMar>
              <w:top w:w="0" w:type="dxa"/>
              <w:left w:w="105" w:type="dxa"/>
              <w:bottom w:w="0" w:type="dxa"/>
              <w:right w:w="105" w:type="dxa"/>
            </w:tcMar>
            <w:vAlign w:val="center"/>
          </w:tcPr>
          <w:p w14:paraId="76B76E1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四川省精神卫生服务综合管理平台大数据应用社会心理规范化服务平台</w:t>
            </w:r>
          </w:p>
        </w:tc>
        <w:tc>
          <w:tcPr>
            <w:tcW w:w="1555" w:type="dxa"/>
            <w:shd w:val="clear" w:color="auto" w:fill="auto"/>
            <w:tcMar>
              <w:top w:w="0" w:type="dxa"/>
              <w:left w:w="105" w:type="dxa"/>
              <w:bottom w:w="0" w:type="dxa"/>
              <w:right w:w="105" w:type="dxa"/>
            </w:tcMar>
            <w:vAlign w:val="center"/>
          </w:tcPr>
          <w:p w14:paraId="2664938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中电信数智科技有限公司</w:t>
            </w:r>
          </w:p>
        </w:tc>
        <w:tc>
          <w:tcPr>
            <w:tcW w:w="5752" w:type="dxa"/>
            <w:shd w:val="clear" w:color="auto" w:fill="auto"/>
            <w:tcMar>
              <w:top w:w="0" w:type="dxa"/>
              <w:left w:w="105" w:type="dxa"/>
              <w:bottom w:w="0" w:type="dxa"/>
              <w:right w:w="105" w:type="dxa"/>
            </w:tcMar>
            <w:vAlign w:val="center"/>
          </w:tcPr>
          <w:p w14:paraId="546A92B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基于标准API接口，严格按《12356心理援助热线基本数据目录》国标编码映射，将系统内产生的咨询工单、风险评估结论、问题分类等核心数据，定时推送至“四川省精神卫生服务综合管理平台大数据应用社会心理规范化服务平台”。实现省市两级热线业务数据纵向贯通，满足省级社会心理服务规范化监管及多源大数据融合分析要求。</w:t>
            </w:r>
          </w:p>
        </w:tc>
      </w:tr>
      <w:tr w14:paraId="56A9C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1" w:type="dxa"/>
            <w:shd w:val="clear" w:color="auto" w:fill="auto"/>
            <w:tcMar>
              <w:top w:w="0" w:type="dxa"/>
              <w:left w:w="105" w:type="dxa"/>
              <w:bottom w:w="0" w:type="dxa"/>
              <w:right w:w="105" w:type="dxa"/>
            </w:tcMar>
            <w:vAlign w:val="center"/>
          </w:tcPr>
          <w:p w14:paraId="3F343120">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w:t>
            </w:r>
          </w:p>
        </w:tc>
        <w:tc>
          <w:tcPr>
            <w:tcW w:w="1909" w:type="dxa"/>
            <w:shd w:val="clear" w:color="auto" w:fill="auto"/>
            <w:tcMar>
              <w:top w:w="0" w:type="dxa"/>
              <w:left w:w="105" w:type="dxa"/>
              <w:bottom w:w="0" w:type="dxa"/>
              <w:right w:w="105" w:type="dxa"/>
            </w:tcMar>
            <w:vAlign w:val="center"/>
          </w:tcPr>
          <w:p w14:paraId="5E86F4A2">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12356坐席</w:t>
            </w:r>
          </w:p>
        </w:tc>
        <w:tc>
          <w:tcPr>
            <w:tcW w:w="1555" w:type="dxa"/>
            <w:shd w:val="clear" w:color="auto" w:fill="auto"/>
            <w:tcMar>
              <w:top w:w="0" w:type="dxa"/>
              <w:left w:w="105" w:type="dxa"/>
              <w:bottom w:w="0" w:type="dxa"/>
              <w:right w:w="105" w:type="dxa"/>
            </w:tcMar>
            <w:vAlign w:val="center"/>
          </w:tcPr>
          <w:p w14:paraId="068200F0">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中国电信集团有限公司</w:t>
            </w:r>
          </w:p>
        </w:tc>
        <w:tc>
          <w:tcPr>
            <w:tcW w:w="5752" w:type="dxa"/>
            <w:shd w:val="clear" w:color="auto" w:fill="auto"/>
            <w:tcMar>
              <w:top w:w="0" w:type="dxa"/>
              <w:left w:w="105" w:type="dxa"/>
              <w:bottom w:w="0" w:type="dxa"/>
              <w:right w:w="105" w:type="dxa"/>
            </w:tcMar>
            <w:vAlign w:val="center"/>
          </w:tcPr>
          <w:p w14:paraId="3E480015">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与运营商电话业务接口的调用，实现接听、拨打、转接、挂断等底层通信能力，实现来电基本信息抓取，如：电话号码，录音抓取。</w:t>
            </w:r>
          </w:p>
        </w:tc>
      </w:tr>
    </w:tbl>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技术、服务要求</w:t>
      </w:r>
      <w:r>
        <w:rPr>
          <w:rFonts w:hint="eastAsia" w:ascii="仿宋" w:hAnsi="仿宋" w:eastAsia="仿宋" w:cs="仿宋"/>
          <w:b/>
          <w:bCs/>
          <w:sz w:val="24"/>
          <w:szCs w:val="24"/>
          <w:lang w:eastAsia="zh-CN"/>
        </w:rPr>
        <w:t>：</w:t>
      </w:r>
      <w:r>
        <w:rPr>
          <w:rFonts w:hint="eastAsia" w:ascii="仿宋" w:hAnsi="仿宋" w:eastAsia="仿宋" w:cs="仿宋"/>
          <w:sz w:val="24"/>
          <w:szCs w:val="24"/>
        </w:rPr>
        <w:cr/>
      </w:r>
      <w:r>
        <w:rPr>
          <w:rFonts w:hint="eastAsia" w:ascii="仿宋" w:hAnsi="仿宋" w:eastAsia="仿宋" w:cs="仿宋"/>
          <w:sz w:val="24"/>
          <w:szCs w:val="24"/>
          <w:lang w:val="en-US" w:eastAsia="zh-CN"/>
        </w:rPr>
        <w:t>1.管理系统技术要求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49"/>
        <w:gridCol w:w="1269"/>
        <w:gridCol w:w="1349"/>
        <w:gridCol w:w="6380"/>
      </w:tblGrid>
      <w:tr w14:paraId="52E1B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top"/>
          </w:tcPr>
          <w:p w14:paraId="552C258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1269" w:type="dxa"/>
            <w:shd w:val="clear" w:color="auto" w:fill="auto"/>
            <w:tcMar>
              <w:top w:w="0" w:type="dxa"/>
              <w:left w:w="105" w:type="dxa"/>
              <w:bottom w:w="0" w:type="dxa"/>
              <w:right w:w="105" w:type="dxa"/>
            </w:tcMar>
            <w:vAlign w:val="top"/>
          </w:tcPr>
          <w:p w14:paraId="7B5BED3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模块</w:t>
            </w:r>
          </w:p>
        </w:tc>
        <w:tc>
          <w:tcPr>
            <w:tcW w:w="1349" w:type="dxa"/>
            <w:shd w:val="clear" w:color="auto" w:fill="auto"/>
            <w:tcMar>
              <w:top w:w="0" w:type="dxa"/>
              <w:left w:w="105" w:type="dxa"/>
              <w:bottom w:w="0" w:type="dxa"/>
              <w:right w:w="105" w:type="dxa"/>
            </w:tcMar>
            <w:vAlign w:val="top"/>
          </w:tcPr>
          <w:p w14:paraId="068FA85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功能</w:t>
            </w:r>
          </w:p>
        </w:tc>
        <w:tc>
          <w:tcPr>
            <w:tcW w:w="6380" w:type="dxa"/>
            <w:shd w:val="clear" w:color="auto" w:fill="auto"/>
            <w:tcMar>
              <w:top w:w="0" w:type="dxa"/>
              <w:left w:w="105" w:type="dxa"/>
              <w:bottom w:w="0" w:type="dxa"/>
              <w:right w:w="105" w:type="dxa"/>
            </w:tcMar>
            <w:vAlign w:val="top"/>
          </w:tcPr>
          <w:p w14:paraId="0AA0515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参数要求</w:t>
            </w:r>
          </w:p>
        </w:tc>
      </w:tr>
      <w:tr w14:paraId="1045A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131F8CD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269" w:type="dxa"/>
            <w:vMerge w:val="restart"/>
            <w:shd w:val="clear" w:color="auto" w:fill="auto"/>
            <w:tcMar>
              <w:top w:w="0" w:type="dxa"/>
              <w:left w:w="105" w:type="dxa"/>
              <w:bottom w:w="0" w:type="dxa"/>
              <w:right w:w="105" w:type="dxa"/>
            </w:tcMar>
            <w:vAlign w:val="center"/>
          </w:tcPr>
          <w:p w14:paraId="4143220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业务后台</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(咨询员端)</w:t>
            </w:r>
          </w:p>
        </w:tc>
        <w:tc>
          <w:tcPr>
            <w:tcW w:w="1349" w:type="dxa"/>
            <w:vMerge w:val="restart"/>
            <w:shd w:val="clear" w:color="auto" w:fill="auto"/>
            <w:tcMar>
              <w:top w:w="0" w:type="dxa"/>
              <w:left w:w="105" w:type="dxa"/>
              <w:bottom w:w="0" w:type="dxa"/>
              <w:right w:w="105" w:type="dxa"/>
            </w:tcMar>
            <w:vAlign w:val="center"/>
          </w:tcPr>
          <w:p w14:paraId="2859357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咨询记录</w:t>
            </w:r>
          </w:p>
        </w:tc>
        <w:tc>
          <w:tcPr>
            <w:tcW w:w="6380" w:type="dxa"/>
            <w:shd w:val="clear" w:color="auto" w:fill="auto"/>
            <w:tcMar>
              <w:top w:w="0" w:type="dxa"/>
              <w:left w:w="105" w:type="dxa"/>
              <w:bottom w:w="0" w:type="dxa"/>
              <w:right w:w="105" w:type="dxa"/>
            </w:tcMar>
            <w:vAlign w:val="top"/>
          </w:tcPr>
          <w:p w14:paraId="4FD9A5F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工单创建与编辑</w:t>
            </w:r>
          </w:p>
          <w:p w14:paraId="4B2DCD6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为每一通来电/去电创建唯一工单，提供表单界面。</w:t>
            </w:r>
          </w:p>
          <w:p w14:paraId="558D1BC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每一个工单关联到来电用户（手机号、座机号）。</w:t>
            </w:r>
          </w:p>
          <w:p w14:paraId="4738397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来电者个人信息（类型、所在地、性别、年龄）</w:t>
            </w:r>
          </w:p>
          <w:p w14:paraId="603B69B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来电业务信息（情绪、心境、社会支持、求助情况）</w:t>
            </w:r>
          </w:p>
          <w:p w14:paraId="2358711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风险评估（自杀、危害他人、危害公共安全）</w:t>
            </w:r>
          </w:p>
          <w:p w14:paraId="038B4BB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问题分类与处理措施。</w:t>
            </w:r>
          </w:p>
        </w:tc>
      </w:tr>
      <w:tr w14:paraId="4CBCC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33A8813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1269" w:type="dxa"/>
            <w:vMerge w:val="continue"/>
            <w:shd w:val="clear" w:color="auto" w:fill="auto"/>
            <w:tcMar>
              <w:top w:w="0" w:type="dxa"/>
              <w:left w:w="105" w:type="dxa"/>
              <w:bottom w:w="0" w:type="dxa"/>
              <w:right w:w="105" w:type="dxa"/>
            </w:tcMar>
            <w:vAlign w:val="center"/>
          </w:tcPr>
          <w:p w14:paraId="7162F66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0A72B1D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6C61BB3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数据录入</w:t>
            </w:r>
          </w:p>
          <w:p w14:paraId="598680B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表单中可固化的选项（如“主导情绪”、“婚姻状况”、“来电主要问题”）均调用数据字典管理模块配置内容。</w:t>
            </w:r>
          </w:p>
        </w:tc>
      </w:tr>
      <w:tr w14:paraId="2E28B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41D2974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1269" w:type="dxa"/>
            <w:vMerge w:val="continue"/>
            <w:shd w:val="clear" w:color="auto" w:fill="auto"/>
            <w:tcMar>
              <w:top w:w="0" w:type="dxa"/>
              <w:left w:w="105" w:type="dxa"/>
              <w:bottom w:w="0" w:type="dxa"/>
              <w:right w:w="105" w:type="dxa"/>
            </w:tcMar>
            <w:vAlign w:val="center"/>
          </w:tcPr>
          <w:p w14:paraId="369411F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1691B23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6DF75F8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 富文本记录</w:t>
            </w:r>
          </w:p>
          <w:p w14:paraId="793D714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除结构化表单外，提供富文本编辑器，用于记录非结构化补充信息。</w:t>
            </w:r>
          </w:p>
        </w:tc>
      </w:tr>
      <w:tr w14:paraId="6D675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6A1B784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1269" w:type="dxa"/>
            <w:vMerge w:val="continue"/>
            <w:shd w:val="clear" w:color="auto" w:fill="auto"/>
            <w:tcMar>
              <w:top w:w="0" w:type="dxa"/>
              <w:left w:w="105" w:type="dxa"/>
              <w:bottom w:w="0" w:type="dxa"/>
              <w:right w:w="105" w:type="dxa"/>
            </w:tcMar>
            <w:vAlign w:val="center"/>
          </w:tcPr>
          <w:p w14:paraId="68A2A77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2804D1C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26F0624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 工单保存与提交</w:t>
            </w:r>
          </w:p>
          <w:p w14:paraId="41E196A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支持暂存草稿和正式提交工单。提交后，工单进入已完成状态，数据可供统计与分析。</w:t>
            </w:r>
          </w:p>
        </w:tc>
      </w:tr>
      <w:tr w14:paraId="03B7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37DD845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1269" w:type="dxa"/>
            <w:vMerge w:val="continue"/>
            <w:shd w:val="clear" w:color="auto" w:fill="auto"/>
            <w:tcMar>
              <w:top w:w="0" w:type="dxa"/>
              <w:left w:w="105" w:type="dxa"/>
              <w:bottom w:w="0" w:type="dxa"/>
              <w:right w:w="105" w:type="dxa"/>
            </w:tcMar>
            <w:vAlign w:val="center"/>
          </w:tcPr>
          <w:p w14:paraId="508A12F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restart"/>
            <w:shd w:val="clear" w:color="auto" w:fill="auto"/>
            <w:tcMar>
              <w:top w:w="0" w:type="dxa"/>
              <w:left w:w="105" w:type="dxa"/>
              <w:bottom w:w="0" w:type="dxa"/>
              <w:right w:w="105" w:type="dxa"/>
            </w:tcMar>
            <w:vAlign w:val="center"/>
          </w:tcPr>
          <w:p w14:paraId="0C73BF5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个人工作台</w:t>
            </w:r>
          </w:p>
        </w:tc>
        <w:tc>
          <w:tcPr>
            <w:tcW w:w="6380" w:type="dxa"/>
            <w:shd w:val="clear" w:color="auto" w:fill="auto"/>
            <w:tcMar>
              <w:top w:w="0" w:type="dxa"/>
              <w:left w:w="105" w:type="dxa"/>
              <w:bottom w:w="0" w:type="dxa"/>
              <w:right w:w="105" w:type="dxa"/>
            </w:tcMar>
            <w:vAlign w:val="top"/>
          </w:tcPr>
          <w:p w14:paraId="11A83B4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今日工作概览</w:t>
            </w:r>
          </w:p>
          <w:p w14:paraId="253A11E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显示个人当日的接线数量、平均通话时长、待处理事务等统计摘要。</w:t>
            </w:r>
          </w:p>
        </w:tc>
      </w:tr>
      <w:tr w14:paraId="6D3AF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758C55D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1269" w:type="dxa"/>
            <w:vMerge w:val="continue"/>
            <w:shd w:val="clear" w:color="auto" w:fill="auto"/>
            <w:tcMar>
              <w:top w:w="0" w:type="dxa"/>
              <w:left w:w="105" w:type="dxa"/>
              <w:bottom w:w="0" w:type="dxa"/>
              <w:right w:w="105" w:type="dxa"/>
            </w:tcMar>
            <w:vAlign w:val="center"/>
          </w:tcPr>
          <w:p w14:paraId="11EB03D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0FB421C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5436761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我的待办</w:t>
            </w:r>
          </w:p>
          <w:p w14:paraId="111B2ED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展示分配给本人的随访任务、需回拨的“中断电话”等。</w:t>
            </w:r>
          </w:p>
        </w:tc>
      </w:tr>
      <w:tr w14:paraId="04EA9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694D06F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1269" w:type="dxa"/>
            <w:vMerge w:val="continue"/>
            <w:shd w:val="clear" w:color="auto" w:fill="auto"/>
            <w:tcMar>
              <w:top w:w="0" w:type="dxa"/>
              <w:left w:w="105" w:type="dxa"/>
              <w:bottom w:w="0" w:type="dxa"/>
              <w:right w:w="105" w:type="dxa"/>
            </w:tcMar>
            <w:vAlign w:val="center"/>
          </w:tcPr>
          <w:p w14:paraId="3522A0E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4D477FB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44CA21D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 个人设置</w:t>
            </w:r>
          </w:p>
          <w:p w14:paraId="3E431D5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个人密码修改。</w:t>
            </w:r>
          </w:p>
        </w:tc>
      </w:tr>
      <w:tr w14:paraId="21EE9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2CAE68E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1269" w:type="dxa"/>
            <w:vMerge w:val="restart"/>
            <w:shd w:val="clear" w:color="auto" w:fill="auto"/>
            <w:tcMar>
              <w:top w:w="0" w:type="dxa"/>
              <w:left w:w="105" w:type="dxa"/>
              <w:bottom w:w="0" w:type="dxa"/>
              <w:right w:w="105" w:type="dxa"/>
            </w:tcMar>
            <w:vAlign w:val="center"/>
          </w:tcPr>
          <w:p w14:paraId="5129589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管理后台</w:t>
            </w:r>
          </w:p>
        </w:tc>
        <w:tc>
          <w:tcPr>
            <w:tcW w:w="1349" w:type="dxa"/>
            <w:shd w:val="clear" w:color="auto" w:fill="auto"/>
            <w:tcMar>
              <w:top w:w="0" w:type="dxa"/>
              <w:left w:w="105" w:type="dxa"/>
              <w:bottom w:w="0" w:type="dxa"/>
              <w:right w:w="105" w:type="dxa"/>
            </w:tcMar>
            <w:vAlign w:val="center"/>
          </w:tcPr>
          <w:p w14:paraId="61699A9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首页/仪表盘</w:t>
            </w:r>
          </w:p>
        </w:tc>
        <w:tc>
          <w:tcPr>
            <w:tcW w:w="6380" w:type="dxa"/>
            <w:shd w:val="clear" w:color="auto" w:fill="auto"/>
            <w:tcMar>
              <w:top w:w="0" w:type="dxa"/>
              <w:left w:w="105" w:type="dxa"/>
              <w:bottom w:w="0" w:type="dxa"/>
              <w:right w:w="105" w:type="dxa"/>
            </w:tcMar>
            <w:vAlign w:val="top"/>
          </w:tcPr>
          <w:p w14:paraId="2F24700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核心数据看板</w:t>
            </w:r>
          </w:p>
          <w:p w14:paraId="04E41D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以图表形式展示热线运行的核心指标，如：今日呼入总量、接通率、平均等待时长、危机事件数量、各时段话务量热力图。</w:t>
            </w:r>
          </w:p>
        </w:tc>
      </w:tr>
      <w:tr w14:paraId="48452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4A02D81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w:t>
            </w:r>
          </w:p>
        </w:tc>
        <w:tc>
          <w:tcPr>
            <w:tcW w:w="1269" w:type="dxa"/>
            <w:vMerge w:val="continue"/>
            <w:shd w:val="clear" w:color="auto" w:fill="auto"/>
            <w:tcMar>
              <w:top w:w="0" w:type="dxa"/>
              <w:left w:w="105" w:type="dxa"/>
              <w:bottom w:w="0" w:type="dxa"/>
              <w:right w:w="105" w:type="dxa"/>
            </w:tcMar>
            <w:vAlign w:val="center"/>
          </w:tcPr>
          <w:p w14:paraId="216F884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restart"/>
            <w:shd w:val="clear" w:color="auto" w:fill="auto"/>
            <w:tcMar>
              <w:top w:w="0" w:type="dxa"/>
              <w:left w:w="105" w:type="dxa"/>
              <w:bottom w:w="0" w:type="dxa"/>
              <w:right w:w="105" w:type="dxa"/>
            </w:tcMar>
            <w:vAlign w:val="center"/>
          </w:tcPr>
          <w:p w14:paraId="434C463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通话记录</w:t>
            </w:r>
          </w:p>
        </w:tc>
        <w:tc>
          <w:tcPr>
            <w:tcW w:w="6380" w:type="dxa"/>
            <w:shd w:val="clear" w:color="auto" w:fill="auto"/>
            <w:tcMar>
              <w:top w:w="0" w:type="dxa"/>
              <w:left w:w="105" w:type="dxa"/>
              <w:bottom w:w="0" w:type="dxa"/>
              <w:right w:w="105" w:type="dxa"/>
            </w:tcMar>
            <w:vAlign w:val="top"/>
          </w:tcPr>
          <w:p w14:paraId="6205D09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工单综合查询</w:t>
            </w:r>
          </w:p>
          <w:p w14:paraId="1A8B1FA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提供多维度组合查询条件（如时间、咨询员、问题类型、风险等级），查询所有通话工单列表。</w:t>
            </w:r>
          </w:p>
        </w:tc>
      </w:tr>
      <w:tr w14:paraId="4D7F8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23E91C2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p>
        </w:tc>
        <w:tc>
          <w:tcPr>
            <w:tcW w:w="1269" w:type="dxa"/>
            <w:vMerge w:val="continue"/>
            <w:shd w:val="clear" w:color="auto" w:fill="auto"/>
            <w:tcMar>
              <w:top w:w="0" w:type="dxa"/>
              <w:left w:w="105" w:type="dxa"/>
              <w:bottom w:w="0" w:type="dxa"/>
              <w:right w:w="105" w:type="dxa"/>
            </w:tcMar>
            <w:vAlign w:val="center"/>
          </w:tcPr>
          <w:p w14:paraId="319FF72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282AC08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711C88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工单详情查看</w:t>
            </w:r>
          </w:p>
          <w:p w14:paraId="0A50D82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查看任意一通电话的完整记录，包括所有结构化数据和咨询记录文本。</w:t>
            </w:r>
          </w:p>
        </w:tc>
      </w:tr>
      <w:tr w14:paraId="3D188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35AE924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w:t>
            </w:r>
          </w:p>
        </w:tc>
        <w:tc>
          <w:tcPr>
            <w:tcW w:w="1269" w:type="dxa"/>
            <w:vMerge w:val="continue"/>
            <w:shd w:val="clear" w:color="auto" w:fill="auto"/>
            <w:tcMar>
              <w:top w:w="0" w:type="dxa"/>
              <w:left w:w="105" w:type="dxa"/>
              <w:bottom w:w="0" w:type="dxa"/>
              <w:right w:w="105" w:type="dxa"/>
            </w:tcMar>
            <w:vAlign w:val="center"/>
          </w:tcPr>
          <w:p w14:paraId="3AD683F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3B59921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5BFCFBE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 录音播放与下载</w:t>
            </w:r>
          </w:p>
          <w:p w14:paraId="684C3E8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支持在线播放或下载与工单关联的通话录音。</w:t>
            </w:r>
          </w:p>
        </w:tc>
      </w:tr>
      <w:tr w14:paraId="3D995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0B3F709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w:t>
            </w:r>
          </w:p>
        </w:tc>
        <w:tc>
          <w:tcPr>
            <w:tcW w:w="1269" w:type="dxa"/>
            <w:vMerge w:val="continue"/>
            <w:shd w:val="clear" w:color="auto" w:fill="auto"/>
            <w:tcMar>
              <w:top w:w="0" w:type="dxa"/>
              <w:left w:w="105" w:type="dxa"/>
              <w:bottom w:w="0" w:type="dxa"/>
              <w:right w:w="105" w:type="dxa"/>
            </w:tcMar>
            <w:vAlign w:val="center"/>
          </w:tcPr>
          <w:p w14:paraId="4B3AA0C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restart"/>
            <w:shd w:val="clear" w:color="auto" w:fill="auto"/>
            <w:tcMar>
              <w:top w:w="0" w:type="dxa"/>
              <w:left w:w="105" w:type="dxa"/>
              <w:bottom w:w="0" w:type="dxa"/>
              <w:right w:w="105" w:type="dxa"/>
            </w:tcMar>
            <w:vAlign w:val="center"/>
          </w:tcPr>
          <w:p w14:paraId="3ABA15D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系统设置</w:t>
            </w:r>
          </w:p>
        </w:tc>
        <w:tc>
          <w:tcPr>
            <w:tcW w:w="6380" w:type="dxa"/>
            <w:shd w:val="clear" w:color="auto" w:fill="auto"/>
            <w:tcMar>
              <w:top w:w="0" w:type="dxa"/>
              <w:left w:w="105" w:type="dxa"/>
              <w:bottom w:w="0" w:type="dxa"/>
              <w:right w:w="105" w:type="dxa"/>
            </w:tcMar>
            <w:vAlign w:val="top"/>
          </w:tcPr>
          <w:p w14:paraId="40CBFA2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用户管理</w:t>
            </w:r>
          </w:p>
          <w:p w14:paraId="7AF465D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管理员对系统用户（咨询员、质控员、管理员）进行增删改查、角色分配、账号启用/停用操作。</w:t>
            </w:r>
          </w:p>
        </w:tc>
      </w:tr>
      <w:tr w14:paraId="0460F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7B67A8B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c>
          <w:tcPr>
            <w:tcW w:w="1269" w:type="dxa"/>
            <w:vMerge w:val="continue"/>
            <w:shd w:val="clear" w:color="auto" w:fill="auto"/>
            <w:tcMar>
              <w:top w:w="0" w:type="dxa"/>
              <w:left w:w="105" w:type="dxa"/>
              <w:bottom w:w="0" w:type="dxa"/>
              <w:right w:w="105" w:type="dxa"/>
            </w:tcMar>
            <w:vAlign w:val="center"/>
          </w:tcPr>
          <w:p w14:paraId="1FA947F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15E0FF8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0E17CC9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组织机构管理</w:t>
            </w:r>
          </w:p>
          <w:p w14:paraId="458241C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省级+21市州共22个团队的组织机构管理。</w:t>
            </w:r>
          </w:p>
        </w:tc>
      </w:tr>
      <w:tr w14:paraId="1B3F1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3553CD5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w:t>
            </w:r>
          </w:p>
        </w:tc>
        <w:tc>
          <w:tcPr>
            <w:tcW w:w="1269" w:type="dxa"/>
            <w:vMerge w:val="continue"/>
            <w:shd w:val="clear" w:color="auto" w:fill="auto"/>
            <w:tcMar>
              <w:top w:w="0" w:type="dxa"/>
              <w:left w:w="105" w:type="dxa"/>
              <w:bottom w:w="0" w:type="dxa"/>
              <w:right w:w="105" w:type="dxa"/>
            </w:tcMar>
            <w:vAlign w:val="center"/>
          </w:tcPr>
          <w:p w14:paraId="6EF81F3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50CB088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3C8EA07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 数据字典管理</w:t>
            </w:r>
          </w:p>
          <w:p w14:paraId="2D90F45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提供分级管理界面，用于维护所有数据选项。例如，可对“来电主要问题”下的“恋爱婚姻与家庭问题 -&gt; 恋爱问题 -&gt; 恋爱矛盾”等多级选项进行增、删、改、排序操作，确保业务数据录入的规范性与可扩展性。</w:t>
            </w:r>
          </w:p>
        </w:tc>
      </w:tr>
      <w:tr w14:paraId="55A50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5593471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15</w:t>
            </w:r>
          </w:p>
        </w:tc>
        <w:tc>
          <w:tcPr>
            <w:tcW w:w="1269" w:type="dxa"/>
            <w:vMerge w:val="continue"/>
            <w:shd w:val="clear" w:color="auto" w:fill="auto"/>
            <w:tcMar>
              <w:top w:w="0" w:type="dxa"/>
              <w:left w:w="105" w:type="dxa"/>
              <w:bottom w:w="0" w:type="dxa"/>
              <w:right w:w="105" w:type="dxa"/>
            </w:tcMar>
            <w:vAlign w:val="center"/>
          </w:tcPr>
          <w:p w14:paraId="049F4B0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0346840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7DE2ECE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 地区配置</w:t>
            </w:r>
          </w:p>
          <w:p w14:paraId="1ADAD50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维护省、市、区县等地区信息，用于报表统计和来电者所在地信息录入。</w:t>
            </w:r>
          </w:p>
        </w:tc>
      </w:tr>
      <w:tr w14:paraId="0440E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076967E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w:t>
            </w:r>
          </w:p>
        </w:tc>
        <w:tc>
          <w:tcPr>
            <w:tcW w:w="1269" w:type="dxa"/>
            <w:vMerge w:val="continue"/>
            <w:shd w:val="clear" w:color="auto" w:fill="auto"/>
            <w:tcMar>
              <w:top w:w="0" w:type="dxa"/>
              <w:left w:w="105" w:type="dxa"/>
              <w:bottom w:w="0" w:type="dxa"/>
              <w:right w:w="105" w:type="dxa"/>
            </w:tcMar>
            <w:vAlign w:val="center"/>
          </w:tcPr>
          <w:p w14:paraId="130A3A5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50CC3A5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72896B2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 参数配置</w:t>
            </w:r>
          </w:p>
          <w:p w14:paraId="6DD9183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配置系统级参数，如录音保存时长（3年）、会话超时时间等。</w:t>
            </w:r>
          </w:p>
        </w:tc>
      </w:tr>
      <w:tr w14:paraId="56262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6B00F46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17</w:t>
            </w:r>
          </w:p>
        </w:tc>
        <w:tc>
          <w:tcPr>
            <w:tcW w:w="1269" w:type="dxa"/>
            <w:vMerge w:val="continue"/>
            <w:shd w:val="clear" w:color="auto" w:fill="auto"/>
            <w:tcMar>
              <w:top w:w="0" w:type="dxa"/>
              <w:left w:w="105" w:type="dxa"/>
              <w:bottom w:w="0" w:type="dxa"/>
              <w:right w:w="105" w:type="dxa"/>
            </w:tcMar>
            <w:vAlign w:val="center"/>
          </w:tcPr>
          <w:p w14:paraId="07A2AE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6A6B541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统计分析</w:t>
            </w:r>
          </w:p>
        </w:tc>
        <w:tc>
          <w:tcPr>
            <w:tcW w:w="6380" w:type="dxa"/>
            <w:shd w:val="clear" w:color="auto" w:fill="auto"/>
            <w:tcMar>
              <w:top w:w="0" w:type="dxa"/>
              <w:left w:w="105" w:type="dxa"/>
              <w:bottom w:w="0" w:type="dxa"/>
              <w:right w:w="105" w:type="dxa"/>
            </w:tcMar>
            <w:vAlign w:val="top"/>
          </w:tcPr>
          <w:p w14:paraId="075B1A9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工作统计</w:t>
            </w:r>
          </w:p>
          <w:p w14:paraId="6095517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基于工单信息和通话记录，生成咨询员及团队的工作量统计报表，如：个人/团队接通量、平均通话时长、事后整理时长等。支持按日、周、月、自定义时段统计。</w:t>
            </w:r>
          </w:p>
        </w:tc>
      </w:tr>
      <w:tr w14:paraId="76FC4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703D048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18</w:t>
            </w:r>
          </w:p>
        </w:tc>
        <w:tc>
          <w:tcPr>
            <w:tcW w:w="1269" w:type="dxa"/>
            <w:vMerge w:val="continue"/>
            <w:shd w:val="clear" w:color="auto" w:fill="auto"/>
            <w:tcMar>
              <w:top w:w="0" w:type="dxa"/>
              <w:left w:w="105" w:type="dxa"/>
              <w:bottom w:w="0" w:type="dxa"/>
              <w:right w:w="105" w:type="dxa"/>
            </w:tcMar>
            <w:vAlign w:val="center"/>
          </w:tcPr>
          <w:p w14:paraId="573A387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restart"/>
            <w:shd w:val="clear" w:color="auto" w:fill="auto"/>
            <w:tcMar>
              <w:top w:w="0" w:type="dxa"/>
              <w:left w:w="105" w:type="dxa"/>
              <w:bottom w:w="0" w:type="dxa"/>
              <w:right w:w="105" w:type="dxa"/>
            </w:tcMar>
            <w:vAlign w:val="center"/>
          </w:tcPr>
          <w:p w14:paraId="423D0F8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黑白名单</w:t>
            </w:r>
          </w:p>
        </w:tc>
        <w:tc>
          <w:tcPr>
            <w:tcW w:w="6380" w:type="dxa"/>
            <w:shd w:val="clear" w:color="auto" w:fill="auto"/>
            <w:tcMar>
              <w:top w:w="0" w:type="dxa"/>
              <w:left w:w="105" w:type="dxa"/>
              <w:bottom w:w="0" w:type="dxa"/>
              <w:right w:w="105" w:type="dxa"/>
            </w:tcMar>
            <w:vAlign w:val="top"/>
          </w:tcPr>
          <w:p w14:paraId="0A03F13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黑名单管理</w:t>
            </w:r>
          </w:p>
          <w:p w14:paraId="55DC34D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对恶意骚扰、无关推销等号码进行标记和拦截管理。支持手动添加和规则管理。</w:t>
            </w:r>
          </w:p>
        </w:tc>
      </w:tr>
      <w:tr w14:paraId="150E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446A83A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19</w:t>
            </w:r>
          </w:p>
        </w:tc>
        <w:tc>
          <w:tcPr>
            <w:tcW w:w="1269" w:type="dxa"/>
            <w:vMerge w:val="continue"/>
            <w:shd w:val="clear" w:color="auto" w:fill="auto"/>
            <w:tcMar>
              <w:top w:w="0" w:type="dxa"/>
              <w:left w:w="105" w:type="dxa"/>
              <w:bottom w:w="0" w:type="dxa"/>
              <w:right w:w="105" w:type="dxa"/>
            </w:tcMar>
            <w:vAlign w:val="center"/>
          </w:tcPr>
          <w:p w14:paraId="6535D09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0E8968A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66592E0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白名单管理</w:t>
            </w:r>
          </w:p>
          <w:p w14:paraId="393ACA1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对特定重要号码（如合作机构、重点关怀对象）进行管理，确保其来电优先接入。</w:t>
            </w:r>
          </w:p>
        </w:tc>
      </w:tr>
      <w:tr w14:paraId="3B640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4B6DD29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w:t>
            </w:r>
          </w:p>
        </w:tc>
        <w:tc>
          <w:tcPr>
            <w:tcW w:w="1269" w:type="dxa"/>
            <w:vMerge w:val="continue"/>
            <w:shd w:val="clear" w:color="auto" w:fill="auto"/>
            <w:tcMar>
              <w:top w:w="0" w:type="dxa"/>
              <w:left w:w="105" w:type="dxa"/>
              <w:bottom w:w="0" w:type="dxa"/>
              <w:right w:w="105" w:type="dxa"/>
            </w:tcMar>
            <w:vAlign w:val="center"/>
          </w:tcPr>
          <w:p w14:paraId="39CC048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5F88993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558A619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 自动黑名单</w:t>
            </w:r>
          </w:p>
          <w:p w14:paraId="0C28B46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设置规则（如短时间内高频呼叫），系统自动识别并将来电号码加入黑名单。</w:t>
            </w:r>
          </w:p>
        </w:tc>
      </w:tr>
      <w:tr w14:paraId="231AA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3DAF7DA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w:t>
            </w:r>
          </w:p>
        </w:tc>
        <w:tc>
          <w:tcPr>
            <w:tcW w:w="1269" w:type="dxa"/>
            <w:vMerge w:val="continue"/>
            <w:shd w:val="clear" w:color="auto" w:fill="auto"/>
            <w:tcMar>
              <w:top w:w="0" w:type="dxa"/>
              <w:left w:w="105" w:type="dxa"/>
              <w:bottom w:w="0" w:type="dxa"/>
              <w:right w:w="105" w:type="dxa"/>
            </w:tcMar>
            <w:vAlign w:val="center"/>
          </w:tcPr>
          <w:p w14:paraId="1FC748D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restart"/>
            <w:shd w:val="clear" w:color="auto" w:fill="auto"/>
            <w:tcMar>
              <w:top w:w="0" w:type="dxa"/>
              <w:left w:w="105" w:type="dxa"/>
              <w:bottom w:w="0" w:type="dxa"/>
              <w:right w:w="105" w:type="dxa"/>
            </w:tcMar>
            <w:vAlign w:val="center"/>
          </w:tcPr>
          <w:p w14:paraId="13F5D1F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坐席管理</w:t>
            </w:r>
          </w:p>
        </w:tc>
        <w:tc>
          <w:tcPr>
            <w:tcW w:w="6380" w:type="dxa"/>
            <w:shd w:val="clear" w:color="auto" w:fill="auto"/>
            <w:tcMar>
              <w:top w:w="0" w:type="dxa"/>
              <w:left w:w="105" w:type="dxa"/>
              <w:bottom w:w="0" w:type="dxa"/>
              <w:right w:w="105" w:type="dxa"/>
            </w:tcMar>
            <w:vAlign w:val="top"/>
          </w:tcPr>
          <w:p w14:paraId="450D64A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坐席状态监控</w:t>
            </w:r>
          </w:p>
          <w:p w14:paraId="18B3303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实时查看所有在线咨询员的状态（空闲、忙碌、通话中、后处理、离线）。</w:t>
            </w:r>
          </w:p>
        </w:tc>
      </w:tr>
      <w:tr w14:paraId="7A22E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24F84F5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w:t>
            </w:r>
          </w:p>
        </w:tc>
        <w:tc>
          <w:tcPr>
            <w:tcW w:w="1269" w:type="dxa"/>
            <w:vMerge w:val="continue"/>
            <w:shd w:val="clear" w:color="auto" w:fill="auto"/>
            <w:tcMar>
              <w:top w:w="0" w:type="dxa"/>
              <w:left w:w="105" w:type="dxa"/>
              <w:bottom w:w="0" w:type="dxa"/>
              <w:right w:w="105" w:type="dxa"/>
            </w:tcMar>
            <w:vAlign w:val="center"/>
          </w:tcPr>
          <w:p w14:paraId="6DEEFAA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7FFD69F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366FD62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技能组/队列管理</w:t>
            </w:r>
          </w:p>
          <w:p w14:paraId="4665A77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配置不同的技能组（如普通咨询、危机干预）和呼叫排队策略。</w:t>
            </w:r>
          </w:p>
        </w:tc>
      </w:tr>
      <w:tr w14:paraId="44BF0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2E53E43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23</w:t>
            </w:r>
          </w:p>
        </w:tc>
        <w:tc>
          <w:tcPr>
            <w:tcW w:w="1269" w:type="dxa"/>
            <w:vMerge w:val="continue"/>
            <w:shd w:val="clear" w:color="auto" w:fill="auto"/>
            <w:tcMar>
              <w:top w:w="0" w:type="dxa"/>
              <w:left w:w="105" w:type="dxa"/>
              <w:bottom w:w="0" w:type="dxa"/>
              <w:right w:w="105" w:type="dxa"/>
            </w:tcMar>
            <w:vAlign w:val="center"/>
          </w:tcPr>
          <w:p w14:paraId="60DB858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751CFE9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2472988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 排班管理</w:t>
            </w:r>
          </w:p>
          <w:p w14:paraId="4F314CA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为咨询员设置工作日和值班时段，并生成排班表。</w:t>
            </w:r>
          </w:p>
        </w:tc>
      </w:tr>
      <w:tr w14:paraId="3C0B6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1FC37C0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24</w:t>
            </w:r>
          </w:p>
        </w:tc>
        <w:tc>
          <w:tcPr>
            <w:tcW w:w="1269" w:type="dxa"/>
            <w:vMerge w:val="continue"/>
            <w:shd w:val="clear" w:color="auto" w:fill="auto"/>
            <w:tcMar>
              <w:top w:w="0" w:type="dxa"/>
              <w:left w:w="105" w:type="dxa"/>
              <w:bottom w:w="0" w:type="dxa"/>
              <w:right w:w="105" w:type="dxa"/>
            </w:tcMar>
            <w:vAlign w:val="center"/>
          </w:tcPr>
          <w:p w14:paraId="3F387AE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restart"/>
            <w:shd w:val="clear" w:color="auto" w:fill="auto"/>
            <w:tcMar>
              <w:top w:w="0" w:type="dxa"/>
              <w:left w:w="105" w:type="dxa"/>
              <w:bottom w:w="0" w:type="dxa"/>
              <w:right w:w="105" w:type="dxa"/>
            </w:tcMar>
            <w:vAlign w:val="center"/>
          </w:tcPr>
          <w:p w14:paraId="3FA6085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数据导入导出</w:t>
            </w:r>
          </w:p>
        </w:tc>
        <w:tc>
          <w:tcPr>
            <w:tcW w:w="6380" w:type="dxa"/>
            <w:shd w:val="clear" w:color="auto" w:fill="auto"/>
            <w:tcMar>
              <w:top w:w="0" w:type="dxa"/>
              <w:left w:w="105" w:type="dxa"/>
              <w:bottom w:w="0" w:type="dxa"/>
              <w:right w:w="105" w:type="dxa"/>
            </w:tcMar>
            <w:vAlign w:val="top"/>
          </w:tcPr>
          <w:p w14:paraId="5870A9E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报表自定义导出</w:t>
            </w:r>
          </w:p>
          <w:p w14:paraId="05B2E55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支持将“统计分析”模块中的各类报表，以及“通话记录”查询结果，导出为Excel、PDF格式。</w:t>
            </w:r>
          </w:p>
        </w:tc>
      </w:tr>
      <w:tr w14:paraId="4B150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42D96FD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25</w:t>
            </w:r>
          </w:p>
        </w:tc>
        <w:tc>
          <w:tcPr>
            <w:tcW w:w="1269" w:type="dxa"/>
            <w:vMerge w:val="continue"/>
            <w:shd w:val="clear" w:color="auto" w:fill="auto"/>
            <w:tcMar>
              <w:top w:w="0" w:type="dxa"/>
              <w:left w:w="105" w:type="dxa"/>
              <w:bottom w:w="0" w:type="dxa"/>
              <w:right w:w="105" w:type="dxa"/>
            </w:tcMar>
            <w:vAlign w:val="center"/>
          </w:tcPr>
          <w:p w14:paraId="18BAEBB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4FE5461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148EE35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批量数据导入</w:t>
            </w:r>
          </w:p>
          <w:p w14:paraId="7589933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支持批量导入基础数据，如初始化的数据字典、用户信息。</w:t>
            </w:r>
          </w:p>
        </w:tc>
      </w:tr>
      <w:tr w14:paraId="44C30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4C2B093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26</w:t>
            </w:r>
          </w:p>
        </w:tc>
        <w:tc>
          <w:tcPr>
            <w:tcW w:w="1269" w:type="dxa"/>
            <w:vMerge w:val="continue"/>
            <w:shd w:val="clear" w:color="auto" w:fill="auto"/>
            <w:tcMar>
              <w:top w:w="0" w:type="dxa"/>
              <w:left w:w="105" w:type="dxa"/>
              <w:bottom w:w="0" w:type="dxa"/>
              <w:right w:w="105" w:type="dxa"/>
            </w:tcMar>
            <w:vAlign w:val="center"/>
          </w:tcPr>
          <w:p w14:paraId="4728938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0F84F4B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0F54550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3.按来电用户导出</w:t>
            </w:r>
          </w:p>
          <w:p w14:paraId="055B207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按号码查询通话记录，批量下载录音。</w:t>
            </w:r>
          </w:p>
        </w:tc>
      </w:tr>
      <w:tr w14:paraId="79D96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412A726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27</w:t>
            </w:r>
          </w:p>
        </w:tc>
        <w:tc>
          <w:tcPr>
            <w:tcW w:w="1269" w:type="dxa"/>
            <w:vMerge w:val="restart"/>
            <w:shd w:val="clear" w:color="auto" w:fill="auto"/>
            <w:tcMar>
              <w:top w:w="0" w:type="dxa"/>
              <w:left w:w="105" w:type="dxa"/>
              <w:bottom w:w="0" w:type="dxa"/>
              <w:right w:w="105" w:type="dxa"/>
            </w:tcMar>
            <w:vAlign w:val="center"/>
          </w:tcPr>
          <w:p w14:paraId="1270222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技术支撑模块</w:t>
            </w:r>
          </w:p>
        </w:tc>
        <w:tc>
          <w:tcPr>
            <w:tcW w:w="1349" w:type="dxa"/>
            <w:vMerge w:val="restart"/>
            <w:shd w:val="clear" w:color="auto" w:fill="auto"/>
            <w:tcMar>
              <w:top w:w="0" w:type="dxa"/>
              <w:left w:w="105" w:type="dxa"/>
              <w:bottom w:w="0" w:type="dxa"/>
              <w:right w:w="105" w:type="dxa"/>
            </w:tcMar>
            <w:vAlign w:val="center"/>
          </w:tcPr>
          <w:p w14:paraId="05B66CD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外部接口</w:t>
            </w:r>
          </w:p>
        </w:tc>
        <w:tc>
          <w:tcPr>
            <w:tcW w:w="6380" w:type="dxa"/>
            <w:shd w:val="clear" w:color="auto" w:fill="auto"/>
            <w:tcMar>
              <w:top w:w="0" w:type="dxa"/>
              <w:left w:w="105" w:type="dxa"/>
              <w:bottom w:w="0" w:type="dxa"/>
              <w:right w:w="105" w:type="dxa"/>
            </w:tcMar>
            <w:vAlign w:val="top"/>
          </w:tcPr>
          <w:p w14:paraId="7CBF38B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电话接口服务</w:t>
            </w:r>
          </w:p>
          <w:p w14:paraId="74852B3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通信接口：封装与运营商电话业务接口的调用，实现接听、拨打、转接、挂断等底层通信能力。</w:t>
            </w:r>
          </w:p>
        </w:tc>
      </w:tr>
      <w:tr w14:paraId="15BA2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2844EEA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28</w:t>
            </w:r>
          </w:p>
        </w:tc>
        <w:tc>
          <w:tcPr>
            <w:tcW w:w="1269" w:type="dxa"/>
            <w:vMerge w:val="continue"/>
            <w:shd w:val="clear" w:color="auto" w:fill="auto"/>
            <w:tcMar>
              <w:top w:w="0" w:type="dxa"/>
              <w:left w:w="105" w:type="dxa"/>
              <w:bottom w:w="0" w:type="dxa"/>
              <w:right w:w="105" w:type="dxa"/>
            </w:tcMar>
            <w:vAlign w:val="center"/>
          </w:tcPr>
          <w:p w14:paraId="32D0086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4F740A3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7AF35CF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录音管理服务</w:t>
            </w:r>
          </w:p>
          <w:p w14:paraId="7DCF53C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对象存储接口：处理通话录音的录制、编码，并调用接口上传至外部对象存储系统；提供录音的查询、播放、下载链接生成服务。</w:t>
            </w:r>
          </w:p>
        </w:tc>
      </w:tr>
      <w:tr w14:paraId="0242C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708F815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29</w:t>
            </w:r>
          </w:p>
        </w:tc>
        <w:tc>
          <w:tcPr>
            <w:tcW w:w="1269" w:type="dxa"/>
            <w:vMerge w:val="continue"/>
            <w:shd w:val="clear" w:color="auto" w:fill="auto"/>
            <w:tcMar>
              <w:top w:w="0" w:type="dxa"/>
              <w:left w:w="105" w:type="dxa"/>
              <w:bottom w:w="0" w:type="dxa"/>
              <w:right w:w="105" w:type="dxa"/>
            </w:tcMar>
            <w:vAlign w:val="center"/>
          </w:tcPr>
          <w:p w14:paraId="1BECCCF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268A8E1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0A96292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3.AI接口服务</w:t>
            </w:r>
          </w:p>
          <w:p w14:paraId="4250DC1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对接AI接口服务进行调试，包括结构化识别、智能问数。</w:t>
            </w:r>
          </w:p>
        </w:tc>
      </w:tr>
      <w:tr w14:paraId="0B4D3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47A8799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30</w:t>
            </w:r>
          </w:p>
        </w:tc>
        <w:tc>
          <w:tcPr>
            <w:tcW w:w="1269" w:type="dxa"/>
            <w:vMerge w:val="continue"/>
            <w:shd w:val="clear" w:color="auto" w:fill="auto"/>
            <w:tcMar>
              <w:top w:w="0" w:type="dxa"/>
              <w:left w:w="105" w:type="dxa"/>
              <w:bottom w:w="0" w:type="dxa"/>
              <w:right w:w="105" w:type="dxa"/>
            </w:tcMar>
            <w:vAlign w:val="center"/>
          </w:tcPr>
          <w:p w14:paraId="772004A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restart"/>
            <w:shd w:val="clear" w:color="auto" w:fill="auto"/>
            <w:tcMar>
              <w:top w:w="0" w:type="dxa"/>
              <w:left w:w="105" w:type="dxa"/>
              <w:bottom w:w="0" w:type="dxa"/>
              <w:right w:w="105" w:type="dxa"/>
            </w:tcMar>
            <w:vAlign w:val="center"/>
          </w:tcPr>
          <w:p w14:paraId="51B30D5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系统管理</w:t>
            </w:r>
          </w:p>
        </w:tc>
        <w:tc>
          <w:tcPr>
            <w:tcW w:w="6380" w:type="dxa"/>
            <w:shd w:val="clear" w:color="auto" w:fill="auto"/>
            <w:tcMar>
              <w:top w:w="0" w:type="dxa"/>
              <w:left w:w="105" w:type="dxa"/>
              <w:bottom w:w="0" w:type="dxa"/>
              <w:right w:w="105" w:type="dxa"/>
            </w:tcMar>
            <w:vAlign w:val="top"/>
          </w:tcPr>
          <w:p w14:paraId="2AD0109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接口日志</w:t>
            </w:r>
          </w:p>
          <w:p w14:paraId="76A409E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记录与外部系统（对象存储、运营商）接口调用的日志，便于问题排查。</w:t>
            </w:r>
          </w:p>
        </w:tc>
      </w:tr>
      <w:tr w14:paraId="0DAC8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2ABB566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p>
        </w:tc>
        <w:tc>
          <w:tcPr>
            <w:tcW w:w="1269" w:type="dxa"/>
            <w:vMerge w:val="continue"/>
            <w:shd w:val="clear" w:color="auto" w:fill="auto"/>
            <w:tcMar>
              <w:top w:w="0" w:type="dxa"/>
              <w:left w:w="105" w:type="dxa"/>
              <w:bottom w:w="0" w:type="dxa"/>
              <w:right w:w="105" w:type="dxa"/>
            </w:tcMar>
            <w:vAlign w:val="center"/>
          </w:tcPr>
          <w:p w14:paraId="1ECEE74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5934F9D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454AC15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操作日志</w:t>
            </w:r>
          </w:p>
          <w:p w14:paraId="4E857BB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记录管理后台的关键操作日志。</w:t>
            </w:r>
          </w:p>
        </w:tc>
      </w:tr>
      <w:tr w14:paraId="60D7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59070C2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32</w:t>
            </w:r>
          </w:p>
        </w:tc>
        <w:tc>
          <w:tcPr>
            <w:tcW w:w="1269" w:type="dxa"/>
            <w:vMerge w:val="continue"/>
            <w:shd w:val="clear" w:color="auto" w:fill="auto"/>
            <w:tcMar>
              <w:top w:w="0" w:type="dxa"/>
              <w:left w:w="105" w:type="dxa"/>
              <w:bottom w:w="0" w:type="dxa"/>
              <w:right w:w="105" w:type="dxa"/>
            </w:tcMar>
            <w:vAlign w:val="center"/>
          </w:tcPr>
          <w:p w14:paraId="34FB248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restart"/>
            <w:shd w:val="clear" w:color="auto" w:fill="auto"/>
            <w:tcMar>
              <w:top w:w="0" w:type="dxa"/>
              <w:left w:w="105" w:type="dxa"/>
              <w:bottom w:w="0" w:type="dxa"/>
              <w:right w:w="105" w:type="dxa"/>
            </w:tcMar>
            <w:vAlign w:val="center"/>
          </w:tcPr>
          <w:p w14:paraId="28CF6ED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AI板块</w:t>
            </w:r>
          </w:p>
        </w:tc>
        <w:tc>
          <w:tcPr>
            <w:tcW w:w="6380" w:type="dxa"/>
            <w:shd w:val="clear" w:color="auto" w:fill="auto"/>
            <w:tcMar>
              <w:top w:w="0" w:type="dxa"/>
              <w:left w:w="105" w:type="dxa"/>
              <w:bottom w:w="0" w:type="dxa"/>
              <w:right w:w="105" w:type="dxa"/>
            </w:tcMar>
            <w:vAlign w:val="top"/>
          </w:tcPr>
          <w:p w14:paraId="334C99F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▲1.语音转写与结构化录入</w:t>
            </w:r>
          </w:p>
          <w:p w14:paraId="33BB818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结构化录入：通话过程中，AI实时将咨询员与来电者的双向语音流转为文本，并通过语义理解能力自动抽取关键信息槽位，咨询员仅需做二次确认即可一键提交工单。</w:t>
            </w:r>
          </w:p>
          <w:p w14:paraId="28C8628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▲2.录入规范</w:t>
            </w:r>
          </w:p>
          <w:p w14:paraId="273A568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内置《12356心理援助热线基本数据目录参考指引（试行）》知识图谱，AI抽取结果自动映射至对应国标编码入库，确保上报数据的规范性，解决各地市自行造词导致的统计口径混乱问题。</w:t>
            </w:r>
          </w:p>
        </w:tc>
      </w:tr>
      <w:tr w14:paraId="4F492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40D7C0B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33</w:t>
            </w:r>
          </w:p>
        </w:tc>
        <w:tc>
          <w:tcPr>
            <w:tcW w:w="1269" w:type="dxa"/>
            <w:vMerge w:val="continue"/>
            <w:shd w:val="clear" w:color="auto" w:fill="auto"/>
            <w:tcMar>
              <w:top w:w="0" w:type="dxa"/>
              <w:left w:w="105" w:type="dxa"/>
              <w:bottom w:w="0" w:type="dxa"/>
              <w:right w:w="105" w:type="dxa"/>
            </w:tcMar>
            <w:vAlign w:val="center"/>
          </w:tcPr>
          <w:p w14:paraId="2734017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1142BF6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202E4F6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▲3.智能问数</w:t>
            </w:r>
          </w:p>
          <w:p w14:paraId="20107D6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自然语言查数：咨询员或管理人员可通过麦克风说出统计需求，AI自动解析意图，调用底层统计接口，播报并以弹窗图表呈现结果，无需手动拖拽筛选报表。</w:t>
            </w:r>
          </w:p>
        </w:tc>
      </w:tr>
      <w:tr w14:paraId="58037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3AC138E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34</w:t>
            </w:r>
          </w:p>
        </w:tc>
        <w:tc>
          <w:tcPr>
            <w:tcW w:w="1269" w:type="dxa"/>
            <w:shd w:val="clear" w:color="auto" w:fill="auto"/>
            <w:tcMar>
              <w:top w:w="0" w:type="dxa"/>
              <w:left w:w="105" w:type="dxa"/>
              <w:bottom w:w="0" w:type="dxa"/>
              <w:right w:w="105" w:type="dxa"/>
            </w:tcMar>
            <w:vAlign w:val="center"/>
          </w:tcPr>
          <w:p w14:paraId="196C037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性能指标</w:t>
            </w:r>
          </w:p>
        </w:tc>
        <w:tc>
          <w:tcPr>
            <w:tcW w:w="1349" w:type="dxa"/>
            <w:shd w:val="clear" w:color="auto" w:fill="auto"/>
            <w:tcMar>
              <w:top w:w="0" w:type="dxa"/>
              <w:left w:w="105" w:type="dxa"/>
              <w:bottom w:w="0" w:type="dxa"/>
              <w:right w:w="105" w:type="dxa"/>
            </w:tcMar>
            <w:vAlign w:val="center"/>
          </w:tcPr>
          <w:p w14:paraId="700AB96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性能指标</w:t>
            </w:r>
          </w:p>
        </w:tc>
        <w:tc>
          <w:tcPr>
            <w:tcW w:w="6380" w:type="dxa"/>
            <w:shd w:val="clear" w:color="auto" w:fill="auto"/>
            <w:tcMar>
              <w:top w:w="0" w:type="dxa"/>
              <w:left w:w="105" w:type="dxa"/>
              <w:bottom w:w="0" w:type="dxa"/>
              <w:right w:w="105" w:type="dxa"/>
            </w:tcMar>
            <w:vAlign w:val="top"/>
          </w:tcPr>
          <w:p w14:paraId="3F0E222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1.全省21个地市州的坐席、省级坐席共60个，要求满足全省话务量最大并发数60；网页并发量100，响应时间≤200毫秒。</w:t>
            </w:r>
          </w:p>
        </w:tc>
      </w:tr>
      <w:tr w14:paraId="5A506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4B0E157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35</w:t>
            </w:r>
          </w:p>
        </w:tc>
        <w:tc>
          <w:tcPr>
            <w:tcW w:w="1269" w:type="dxa"/>
            <w:vMerge w:val="restart"/>
            <w:shd w:val="clear" w:color="auto" w:fill="auto"/>
            <w:tcMar>
              <w:top w:w="0" w:type="dxa"/>
              <w:left w:w="105" w:type="dxa"/>
              <w:bottom w:w="0" w:type="dxa"/>
              <w:right w:w="105" w:type="dxa"/>
            </w:tcMar>
            <w:vAlign w:val="center"/>
          </w:tcPr>
          <w:p w14:paraId="7B7DB9F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零信任网络访问</w:t>
            </w:r>
          </w:p>
        </w:tc>
        <w:tc>
          <w:tcPr>
            <w:tcW w:w="1349" w:type="dxa"/>
            <w:shd w:val="clear" w:color="auto" w:fill="auto"/>
            <w:tcMar>
              <w:top w:w="0" w:type="dxa"/>
              <w:left w:w="105" w:type="dxa"/>
              <w:bottom w:w="0" w:type="dxa"/>
              <w:right w:w="105" w:type="dxa"/>
            </w:tcMar>
            <w:vAlign w:val="center"/>
          </w:tcPr>
          <w:p w14:paraId="1A5A220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总体要求</w:t>
            </w:r>
          </w:p>
        </w:tc>
        <w:tc>
          <w:tcPr>
            <w:tcW w:w="6380" w:type="dxa"/>
            <w:shd w:val="clear" w:color="auto" w:fill="auto"/>
            <w:tcMar>
              <w:top w:w="0" w:type="dxa"/>
              <w:left w:w="105" w:type="dxa"/>
              <w:bottom w:w="0" w:type="dxa"/>
              <w:right w:w="105" w:type="dxa"/>
            </w:tcMar>
            <w:vAlign w:val="top"/>
          </w:tcPr>
          <w:p w14:paraId="4695C5C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1.针对全省21个地市州的坐席、省级坐席，提供零信任网络接入服务，保障坐席端安全接入业务系统。</w:t>
            </w:r>
          </w:p>
        </w:tc>
      </w:tr>
      <w:tr w14:paraId="1368E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7524DBD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36</w:t>
            </w:r>
          </w:p>
        </w:tc>
        <w:tc>
          <w:tcPr>
            <w:tcW w:w="1269" w:type="dxa"/>
            <w:vMerge w:val="continue"/>
            <w:shd w:val="clear" w:color="auto" w:fill="auto"/>
            <w:tcMar>
              <w:top w:w="0" w:type="dxa"/>
              <w:left w:w="105" w:type="dxa"/>
              <w:bottom w:w="0" w:type="dxa"/>
              <w:right w:w="105" w:type="dxa"/>
            </w:tcMar>
            <w:vAlign w:val="center"/>
          </w:tcPr>
          <w:p w14:paraId="6DB2D4D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0308205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网络架构</w:t>
            </w:r>
          </w:p>
        </w:tc>
        <w:tc>
          <w:tcPr>
            <w:tcW w:w="6380" w:type="dxa"/>
            <w:shd w:val="clear" w:color="auto" w:fill="auto"/>
            <w:tcMar>
              <w:top w:w="0" w:type="dxa"/>
              <w:left w:w="105" w:type="dxa"/>
              <w:bottom w:w="0" w:type="dxa"/>
              <w:right w:w="105" w:type="dxa"/>
            </w:tcMar>
            <w:vAlign w:val="top"/>
          </w:tcPr>
          <w:p w14:paraId="19A5D42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SASE零信任访问系统平台应至少由四部分组成：客户端、安全网关（简称网关）、连接器和控制器。其中控制器、网关、连接器三者应分离，以实现一（客户端）对多（网关）对多（连接器）的分布式网络架构，提高网络的可扩展性和可用性。控制平面和数据平面应分离，以实现高可靠性。</w:t>
            </w:r>
          </w:p>
        </w:tc>
      </w:tr>
      <w:tr w14:paraId="02B0D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5BFA679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37</w:t>
            </w:r>
          </w:p>
        </w:tc>
        <w:tc>
          <w:tcPr>
            <w:tcW w:w="1269" w:type="dxa"/>
            <w:vMerge w:val="continue"/>
            <w:shd w:val="clear" w:color="auto" w:fill="auto"/>
            <w:tcMar>
              <w:top w:w="0" w:type="dxa"/>
              <w:left w:w="105" w:type="dxa"/>
              <w:bottom w:w="0" w:type="dxa"/>
              <w:right w:w="105" w:type="dxa"/>
            </w:tcMar>
            <w:vAlign w:val="center"/>
          </w:tcPr>
          <w:p w14:paraId="3A8598A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restart"/>
            <w:shd w:val="clear" w:color="auto" w:fill="auto"/>
            <w:tcMar>
              <w:top w:w="0" w:type="dxa"/>
              <w:left w:w="105" w:type="dxa"/>
              <w:bottom w:w="0" w:type="dxa"/>
              <w:right w:w="105" w:type="dxa"/>
            </w:tcMar>
            <w:vAlign w:val="center"/>
          </w:tcPr>
          <w:p w14:paraId="2D7AEB2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自适应引流策略</w:t>
            </w:r>
          </w:p>
        </w:tc>
        <w:tc>
          <w:tcPr>
            <w:tcW w:w="6380" w:type="dxa"/>
            <w:shd w:val="clear" w:color="auto" w:fill="auto"/>
            <w:tcMar>
              <w:top w:w="0" w:type="dxa"/>
              <w:left w:w="105" w:type="dxa"/>
              <w:bottom w:w="0" w:type="dxa"/>
              <w:right w:w="105" w:type="dxa"/>
            </w:tcMar>
            <w:vAlign w:val="top"/>
          </w:tcPr>
          <w:p w14:paraId="2E7829B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3.当员工终端处于办公网络时，支持配置访问一部分办公应用时不引流到POP网关而是走本地网络直接访问，访问另外一部分办公应用时引流到POP网关。</w:t>
            </w:r>
          </w:p>
        </w:tc>
      </w:tr>
      <w:tr w14:paraId="57B88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3306BB2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38</w:t>
            </w:r>
          </w:p>
        </w:tc>
        <w:tc>
          <w:tcPr>
            <w:tcW w:w="1269" w:type="dxa"/>
            <w:vMerge w:val="continue"/>
            <w:shd w:val="clear" w:color="auto" w:fill="auto"/>
            <w:tcMar>
              <w:top w:w="0" w:type="dxa"/>
              <w:left w:w="105" w:type="dxa"/>
              <w:bottom w:w="0" w:type="dxa"/>
              <w:right w:w="105" w:type="dxa"/>
            </w:tcMar>
            <w:vAlign w:val="center"/>
          </w:tcPr>
          <w:p w14:paraId="7ECA9C4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4917153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01385B8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▲4.支持配置只有用户有访问权限的内网应用才会被引流到网关，防止跟其他引流软件冲突。</w:t>
            </w:r>
          </w:p>
        </w:tc>
      </w:tr>
      <w:tr w14:paraId="777F6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78FAC50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39</w:t>
            </w:r>
          </w:p>
        </w:tc>
        <w:tc>
          <w:tcPr>
            <w:tcW w:w="1269" w:type="dxa"/>
            <w:vMerge w:val="continue"/>
            <w:shd w:val="clear" w:color="auto" w:fill="auto"/>
            <w:tcMar>
              <w:top w:w="0" w:type="dxa"/>
              <w:left w:w="105" w:type="dxa"/>
              <w:bottom w:w="0" w:type="dxa"/>
              <w:right w:w="105" w:type="dxa"/>
            </w:tcMar>
            <w:vAlign w:val="center"/>
          </w:tcPr>
          <w:p w14:paraId="4E97775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43BE48B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应用隐身</w:t>
            </w:r>
          </w:p>
        </w:tc>
        <w:tc>
          <w:tcPr>
            <w:tcW w:w="6380" w:type="dxa"/>
            <w:shd w:val="clear" w:color="auto" w:fill="auto"/>
            <w:tcMar>
              <w:top w:w="0" w:type="dxa"/>
              <w:left w:w="105" w:type="dxa"/>
              <w:bottom w:w="0" w:type="dxa"/>
              <w:right w:w="105" w:type="dxa"/>
            </w:tcMar>
            <w:vAlign w:val="top"/>
          </w:tcPr>
          <w:p w14:paraId="0562760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5.支持把不需要对公众开放的应用收敛到内网，连接器不对互联网暴露任何IP及端口（包括UDP端口），同时提供安全的远程访问通道使得可以通过互联网访问这些应用，从而收敛应用系统的互联网暴露面。</w:t>
            </w:r>
          </w:p>
        </w:tc>
      </w:tr>
      <w:tr w14:paraId="0B656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717B049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40</w:t>
            </w:r>
          </w:p>
        </w:tc>
        <w:tc>
          <w:tcPr>
            <w:tcW w:w="1269" w:type="dxa"/>
            <w:vMerge w:val="continue"/>
            <w:shd w:val="clear" w:color="auto" w:fill="auto"/>
            <w:tcMar>
              <w:top w:w="0" w:type="dxa"/>
              <w:left w:w="105" w:type="dxa"/>
              <w:bottom w:w="0" w:type="dxa"/>
              <w:right w:w="105" w:type="dxa"/>
            </w:tcMar>
            <w:vAlign w:val="center"/>
          </w:tcPr>
          <w:p w14:paraId="6E42701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67EDEA6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零信任访问内网应用</w:t>
            </w:r>
          </w:p>
        </w:tc>
        <w:tc>
          <w:tcPr>
            <w:tcW w:w="6380" w:type="dxa"/>
            <w:shd w:val="clear" w:color="auto" w:fill="auto"/>
            <w:tcMar>
              <w:top w:w="0" w:type="dxa"/>
              <w:left w:w="105" w:type="dxa"/>
              <w:bottom w:w="0" w:type="dxa"/>
              <w:right w:w="105" w:type="dxa"/>
            </w:tcMar>
            <w:vAlign w:val="top"/>
          </w:tcPr>
          <w:p w14:paraId="30BE0DD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6.支持在Windows、Linux、macOS、iOS、安卓、信创等主流操作系统上安装零信任客户端，在应用隐身的前提下通过零信任网络访问本地和云端内网C/S及B/S应用。</w:t>
            </w:r>
          </w:p>
        </w:tc>
      </w:tr>
      <w:tr w14:paraId="62C9D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462E90D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w:t>
            </w:r>
          </w:p>
        </w:tc>
        <w:tc>
          <w:tcPr>
            <w:tcW w:w="1269" w:type="dxa"/>
            <w:vMerge w:val="continue"/>
            <w:shd w:val="clear" w:color="auto" w:fill="auto"/>
            <w:tcMar>
              <w:top w:w="0" w:type="dxa"/>
              <w:left w:w="105" w:type="dxa"/>
              <w:bottom w:w="0" w:type="dxa"/>
              <w:right w:w="105" w:type="dxa"/>
            </w:tcMar>
            <w:vAlign w:val="center"/>
          </w:tcPr>
          <w:p w14:paraId="4CA9809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5EF3C88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零信任访问互联网SaaS应用</w:t>
            </w:r>
          </w:p>
        </w:tc>
        <w:tc>
          <w:tcPr>
            <w:tcW w:w="6380" w:type="dxa"/>
            <w:shd w:val="clear" w:color="auto" w:fill="auto"/>
            <w:tcMar>
              <w:top w:w="0" w:type="dxa"/>
              <w:left w:w="105" w:type="dxa"/>
              <w:bottom w:w="0" w:type="dxa"/>
              <w:right w:w="105" w:type="dxa"/>
            </w:tcMar>
            <w:vAlign w:val="top"/>
          </w:tcPr>
          <w:p w14:paraId="0CC53CB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7.支持通过零信任网络访问互联网SaaS应用，对于具备源IP白名单功能的SaaS应用可以限定仅安装了零信任客户端的终端可以访问。</w:t>
            </w:r>
          </w:p>
        </w:tc>
      </w:tr>
      <w:tr w14:paraId="6A444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3CF534B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42</w:t>
            </w:r>
          </w:p>
        </w:tc>
        <w:tc>
          <w:tcPr>
            <w:tcW w:w="1269" w:type="dxa"/>
            <w:vMerge w:val="continue"/>
            <w:shd w:val="clear" w:color="auto" w:fill="auto"/>
            <w:tcMar>
              <w:top w:w="0" w:type="dxa"/>
              <w:left w:w="105" w:type="dxa"/>
              <w:bottom w:w="0" w:type="dxa"/>
              <w:right w:w="105" w:type="dxa"/>
            </w:tcMar>
            <w:vAlign w:val="center"/>
          </w:tcPr>
          <w:p w14:paraId="56C2BCE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restart"/>
            <w:shd w:val="clear" w:color="auto" w:fill="auto"/>
            <w:tcMar>
              <w:top w:w="0" w:type="dxa"/>
              <w:left w:w="105" w:type="dxa"/>
              <w:bottom w:w="0" w:type="dxa"/>
              <w:right w:w="105" w:type="dxa"/>
            </w:tcMar>
            <w:vAlign w:val="center"/>
          </w:tcPr>
          <w:p w14:paraId="1CDD130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无端访问内网应用</w:t>
            </w:r>
          </w:p>
        </w:tc>
        <w:tc>
          <w:tcPr>
            <w:tcW w:w="6380" w:type="dxa"/>
            <w:shd w:val="clear" w:color="auto" w:fill="auto"/>
            <w:tcMar>
              <w:top w:w="0" w:type="dxa"/>
              <w:left w:w="105" w:type="dxa"/>
              <w:bottom w:w="0" w:type="dxa"/>
              <w:right w:w="105" w:type="dxa"/>
            </w:tcMar>
            <w:vAlign w:val="top"/>
          </w:tcPr>
          <w:p w14:paraId="1DE49C9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8.支持将内网B/S应用通过企业门户的方式对互联网进行发布，应用不需要直接暴露到互联网，用户无需安装客户端，通过浏览器即可进行访问。</w:t>
            </w:r>
          </w:p>
        </w:tc>
      </w:tr>
      <w:tr w14:paraId="5EAAB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7C6B613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43</w:t>
            </w:r>
          </w:p>
        </w:tc>
        <w:tc>
          <w:tcPr>
            <w:tcW w:w="1269" w:type="dxa"/>
            <w:vMerge w:val="continue"/>
            <w:shd w:val="clear" w:color="auto" w:fill="auto"/>
            <w:tcMar>
              <w:top w:w="0" w:type="dxa"/>
              <w:left w:w="105" w:type="dxa"/>
              <w:bottom w:w="0" w:type="dxa"/>
              <w:right w:w="105" w:type="dxa"/>
            </w:tcMar>
            <w:vAlign w:val="center"/>
          </w:tcPr>
          <w:p w14:paraId="5138AEE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282DD9C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497EAE1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9.支持平台可提供域名，并自动生成访问地址，可直接访问或者通过cname方式访问</w:t>
            </w:r>
          </w:p>
        </w:tc>
      </w:tr>
      <w:tr w14:paraId="412A0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0DEF09C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44</w:t>
            </w:r>
          </w:p>
        </w:tc>
        <w:tc>
          <w:tcPr>
            <w:tcW w:w="1269" w:type="dxa"/>
            <w:vMerge w:val="continue"/>
            <w:shd w:val="clear" w:color="auto" w:fill="auto"/>
            <w:tcMar>
              <w:top w:w="0" w:type="dxa"/>
              <w:left w:w="105" w:type="dxa"/>
              <w:bottom w:w="0" w:type="dxa"/>
              <w:right w:w="105" w:type="dxa"/>
            </w:tcMar>
            <w:vAlign w:val="center"/>
          </w:tcPr>
          <w:p w14:paraId="0FFA299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6D148DE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4ECD4EA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10.无端访问时支持应用级水印、URL级访问控制、文件下载控制、细粒度日志审计。</w:t>
            </w:r>
          </w:p>
        </w:tc>
      </w:tr>
      <w:tr w14:paraId="68933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644E933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45</w:t>
            </w:r>
          </w:p>
        </w:tc>
        <w:tc>
          <w:tcPr>
            <w:tcW w:w="1269" w:type="dxa"/>
            <w:vMerge w:val="continue"/>
            <w:shd w:val="clear" w:color="auto" w:fill="auto"/>
            <w:tcMar>
              <w:top w:w="0" w:type="dxa"/>
              <w:left w:w="105" w:type="dxa"/>
              <w:bottom w:w="0" w:type="dxa"/>
              <w:right w:w="105" w:type="dxa"/>
            </w:tcMar>
            <w:vAlign w:val="center"/>
          </w:tcPr>
          <w:p w14:paraId="5C316EB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76DEAD7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单点登录</w:t>
            </w:r>
          </w:p>
        </w:tc>
        <w:tc>
          <w:tcPr>
            <w:tcW w:w="6380" w:type="dxa"/>
            <w:shd w:val="clear" w:color="auto" w:fill="auto"/>
            <w:tcMar>
              <w:top w:w="0" w:type="dxa"/>
              <w:left w:w="105" w:type="dxa"/>
              <w:bottom w:w="0" w:type="dxa"/>
              <w:right w:w="105" w:type="dxa"/>
            </w:tcMar>
            <w:vAlign w:val="top"/>
          </w:tcPr>
          <w:p w14:paraId="2C8F0FB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▲11.通过企业门户（免客户端）远程访问内网应用时应支持对接企业OAuth、CAS协议SSO认证源，实现单点登录。（提供功能截图）</w:t>
            </w:r>
          </w:p>
        </w:tc>
      </w:tr>
      <w:tr w14:paraId="71B40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1F88C61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46</w:t>
            </w:r>
          </w:p>
        </w:tc>
        <w:tc>
          <w:tcPr>
            <w:tcW w:w="1269" w:type="dxa"/>
            <w:vMerge w:val="continue"/>
            <w:shd w:val="clear" w:color="auto" w:fill="auto"/>
            <w:tcMar>
              <w:top w:w="0" w:type="dxa"/>
              <w:left w:w="105" w:type="dxa"/>
              <w:bottom w:w="0" w:type="dxa"/>
              <w:right w:w="105" w:type="dxa"/>
            </w:tcMar>
            <w:vAlign w:val="center"/>
          </w:tcPr>
          <w:p w14:paraId="0ED40B9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1E29F64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应用自动发现</w:t>
            </w:r>
          </w:p>
        </w:tc>
        <w:tc>
          <w:tcPr>
            <w:tcW w:w="6380" w:type="dxa"/>
            <w:shd w:val="clear" w:color="auto" w:fill="auto"/>
            <w:tcMar>
              <w:top w:w="0" w:type="dxa"/>
              <w:left w:w="105" w:type="dxa"/>
              <w:bottom w:w="0" w:type="dxa"/>
              <w:right w:w="105" w:type="dxa"/>
            </w:tcMar>
            <w:vAlign w:val="top"/>
          </w:tcPr>
          <w:p w14:paraId="3081569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12.支持通过网络流量自动发现应用，支持输入泛域名或IP网段搜索自动发现的应用。</w:t>
            </w:r>
          </w:p>
        </w:tc>
      </w:tr>
      <w:tr w14:paraId="1812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030166C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47</w:t>
            </w:r>
          </w:p>
        </w:tc>
        <w:tc>
          <w:tcPr>
            <w:tcW w:w="1269" w:type="dxa"/>
            <w:vMerge w:val="continue"/>
            <w:shd w:val="clear" w:color="auto" w:fill="auto"/>
            <w:tcMar>
              <w:top w:w="0" w:type="dxa"/>
              <w:left w:w="105" w:type="dxa"/>
              <w:bottom w:w="0" w:type="dxa"/>
              <w:right w:w="105" w:type="dxa"/>
            </w:tcMar>
            <w:vAlign w:val="center"/>
          </w:tcPr>
          <w:p w14:paraId="1837715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092845A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应用管理</w:t>
            </w:r>
          </w:p>
        </w:tc>
        <w:tc>
          <w:tcPr>
            <w:tcW w:w="6380" w:type="dxa"/>
            <w:shd w:val="clear" w:color="auto" w:fill="auto"/>
            <w:tcMar>
              <w:top w:w="0" w:type="dxa"/>
              <w:left w:w="105" w:type="dxa"/>
              <w:bottom w:w="0" w:type="dxa"/>
              <w:right w:w="105" w:type="dxa"/>
            </w:tcMar>
            <w:vAlign w:val="top"/>
          </w:tcPr>
          <w:p w14:paraId="7A63009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13.支持将自动发现的应用单独新增应用分组或添加到已有应用分组。</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支持根据协议（TCP/UDP）、域名、泛域名、IP地址、IP网段，并结合端口、端口范围等方式定义企业应用。</w:t>
            </w:r>
          </w:p>
        </w:tc>
      </w:tr>
      <w:tr w14:paraId="700D9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2428D14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48</w:t>
            </w:r>
          </w:p>
        </w:tc>
        <w:tc>
          <w:tcPr>
            <w:tcW w:w="1269" w:type="dxa"/>
            <w:vMerge w:val="continue"/>
            <w:shd w:val="clear" w:color="auto" w:fill="auto"/>
            <w:tcMar>
              <w:top w:w="0" w:type="dxa"/>
              <w:left w:w="105" w:type="dxa"/>
              <w:bottom w:w="0" w:type="dxa"/>
              <w:right w:w="105" w:type="dxa"/>
            </w:tcMar>
            <w:vAlign w:val="center"/>
          </w:tcPr>
          <w:p w14:paraId="2640AD7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restart"/>
            <w:shd w:val="clear" w:color="auto" w:fill="auto"/>
            <w:tcMar>
              <w:top w:w="0" w:type="dxa"/>
              <w:left w:w="105" w:type="dxa"/>
              <w:bottom w:w="0" w:type="dxa"/>
              <w:right w:w="105" w:type="dxa"/>
            </w:tcMar>
            <w:vAlign w:val="center"/>
          </w:tcPr>
          <w:p w14:paraId="2177926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权限智能梳理</w:t>
            </w:r>
          </w:p>
        </w:tc>
        <w:tc>
          <w:tcPr>
            <w:tcW w:w="6380" w:type="dxa"/>
            <w:shd w:val="clear" w:color="auto" w:fill="auto"/>
            <w:tcMar>
              <w:top w:w="0" w:type="dxa"/>
              <w:left w:w="105" w:type="dxa"/>
              <w:bottom w:w="0" w:type="dxa"/>
              <w:right w:w="105" w:type="dxa"/>
            </w:tcMar>
            <w:vAlign w:val="top"/>
          </w:tcPr>
          <w:p w14:paraId="2C827CE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▲14.支持根据组织架构里的部门、自定义用户组以及用户访问应用的情况自动梳理访问权限基线并推荐访问控制策略。</w:t>
            </w:r>
          </w:p>
        </w:tc>
      </w:tr>
      <w:tr w14:paraId="1A65D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2F2AB5C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49</w:t>
            </w:r>
          </w:p>
        </w:tc>
        <w:tc>
          <w:tcPr>
            <w:tcW w:w="1269" w:type="dxa"/>
            <w:vMerge w:val="continue"/>
            <w:shd w:val="clear" w:color="auto" w:fill="auto"/>
            <w:tcMar>
              <w:top w:w="0" w:type="dxa"/>
              <w:left w:w="105" w:type="dxa"/>
              <w:bottom w:w="0" w:type="dxa"/>
              <w:right w:w="105" w:type="dxa"/>
            </w:tcMar>
            <w:vAlign w:val="center"/>
          </w:tcPr>
          <w:p w14:paraId="5419199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2C70767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2097F23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▲15.支持配置访问权限梳理策略：单个用户在指定时间内访问应用或应用组超过指定的次数，部门及用户组访问应用或应用组的人数占总人数的比例超过指定值。</w:t>
            </w:r>
          </w:p>
        </w:tc>
      </w:tr>
      <w:tr w14:paraId="6E69F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17606CC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50</w:t>
            </w:r>
          </w:p>
        </w:tc>
        <w:tc>
          <w:tcPr>
            <w:tcW w:w="1269" w:type="dxa"/>
            <w:vMerge w:val="continue"/>
            <w:shd w:val="clear" w:color="auto" w:fill="auto"/>
            <w:tcMar>
              <w:top w:w="0" w:type="dxa"/>
              <w:left w:w="105" w:type="dxa"/>
              <w:bottom w:w="0" w:type="dxa"/>
              <w:right w:w="105" w:type="dxa"/>
            </w:tcMar>
            <w:vAlign w:val="center"/>
          </w:tcPr>
          <w:p w14:paraId="4B41931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2BE1A6B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可信网络</w:t>
            </w:r>
          </w:p>
        </w:tc>
        <w:tc>
          <w:tcPr>
            <w:tcW w:w="6380" w:type="dxa"/>
            <w:shd w:val="clear" w:color="auto" w:fill="auto"/>
            <w:tcMar>
              <w:top w:w="0" w:type="dxa"/>
              <w:left w:w="105" w:type="dxa"/>
              <w:bottom w:w="0" w:type="dxa"/>
              <w:right w:w="105" w:type="dxa"/>
            </w:tcMar>
            <w:vAlign w:val="top"/>
          </w:tcPr>
          <w:p w14:paraId="637F907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16.支持通过公网IP、内网IP、DNS服务器IP、WIFI SSID组合定义可信网络区域，并以网络区域作为访问控制策略的判定条件之一。</w:t>
            </w:r>
          </w:p>
        </w:tc>
      </w:tr>
      <w:tr w14:paraId="26701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60D4975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51</w:t>
            </w:r>
          </w:p>
        </w:tc>
        <w:tc>
          <w:tcPr>
            <w:tcW w:w="1269" w:type="dxa"/>
            <w:vMerge w:val="continue"/>
            <w:shd w:val="clear" w:color="auto" w:fill="auto"/>
            <w:tcMar>
              <w:top w:w="0" w:type="dxa"/>
              <w:left w:w="105" w:type="dxa"/>
              <w:bottom w:w="0" w:type="dxa"/>
              <w:right w:w="105" w:type="dxa"/>
            </w:tcMar>
            <w:vAlign w:val="center"/>
          </w:tcPr>
          <w:p w14:paraId="46D8EAF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2C730D9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可信进程</w:t>
            </w:r>
          </w:p>
        </w:tc>
        <w:tc>
          <w:tcPr>
            <w:tcW w:w="6380" w:type="dxa"/>
            <w:shd w:val="clear" w:color="auto" w:fill="auto"/>
            <w:tcMar>
              <w:top w:w="0" w:type="dxa"/>
              <w:left w:w="105" w:type="dxa"/>
              <w:bottom w:w="0" w:type="dxa"/>
              <w:right w:w="105" w:type="dxa"/>
            </w:tcMar>
            <w:vAlign w:val="top"/>
          </w:tcPr>
          <w:p w14:paraId="48D055E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17.支持发现并上报用户终端所有进程，支持标记常见攻击工具、孤立进程以及未签名进程，支持把已知进程添加为可信进程，支持以可信进程作为访问控制策略的判定条件之一。</w:t>
            </w:r>
          </w:p>
        </w:tc>
      </w:tr>
      <w:tr w14:paraId="7003C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01B449B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52</w:t>
            </w:r>
          </w:p>
        </w:tc>
        <w:tc>
          <w:tcPr>
            <w:tcW w:w="1269" w:type="dxa"/>
            <w:vMerge w:val="continue"/>
            <w:shd w:val="clear" w:color="auto" w:fill="auto"/>
            <w:tcMar>
              <w:top w:w="0" w:type="dxa"/>
              <w:left w:w="105" w:type="dxa"/>
              <w:bottom w:w="0" w:type="dxa"/>
              <w:right w:w="105" w:type="dxa"/>
            </w:tcMar>
            <w:vAlign w:val="center"/>
          </w:tcPr>
          <w:p w14:paraId="327F422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10BD4B2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可信设备</w:t>
            </w:r>
          </w:p>
        </w:tc>
        <w:tc>
          <w:tcPr>
            <w:tcW w:w="6380" w:type="dxa"/>
            <w:shd w:val="clear" w:color="auto" w:fill="auto"/>
            <w:tcMar>
              <w:top w:w="0" w:type="dxa"/>
              <w:left w:w="105" w:type="dxa"/>
              <w:bottom w:w="0" w:type="dxa"/>
              <w:right w:w="105" w:type="dxa"/>
            </w:tcMar>
            <w:vAlign w:val="top"/>
          </w:tcPr>
          <w:p w14:paraId="3666965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18.支持根据设备归属（公司设备、个人设备）、访问方式（有端访问、无端访问）、操作系统类型、安全风险状况、数据安全风险状况组合定义可信设备，支持以可信设备作为访问控制策略的判定条件之一。</w:t>
            </w:r>
          </w:p>
        </w:tc>
      </w:tr>
      <w:tr w14:paraId="089FA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6E077DB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53</w:t>
            </w:r>
          </w:p>
        </w:tc>
        <w:tc>
          <w:tcPr>
            <w:tcW w:w="1269" w:type="dxa"/>
            <w:vMerge w:val="continue"/>
            <w:shd w:val="clear" w:color="auto" w:fill="auto"/>
            <w:tcMar>
              <w:top w:w="0" w:type="dxa"/>
              <w:left w:w="105" w:type="dxa"/>
              <w:bottom w:w="0" w:type="dxa"/>
              <w:right w:w="105" w:type="dxa"/>
            </w:tcMar>
            <w:vAlign w:val="center"/>
          </w:tcPr>
          <w:p w14:paraId="1A9A377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2FD8DE7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访问控制策略</w:t>
            </w:r>
          </w:p>
        </w:tc>
        <w:tc>
          <w:tcPr>
            <w:tcW w:w="6380" w:type="dxa"/>
            <w:shd w:val="clear" w:color="auto" w:fill="auto"/>
            <w:tcMar>
              <w:top w:w="0" w:type="dxa"/>
              <w:left w:w="105" w:type="dxa"/>
              <w:bottom w:w="0" w:type="dxa"/>
              <w:right w:w="105" w:type="dxa"/>
            </w:tcMar>
            <w:vAlign w:val="top"/>
          </w:tcPr>
          <w:p w14:paraId="5F021FB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19.支持基于用户身份（组织架构、用户组、用户）、设备归属（例如公司设备、个人设备）、操作系统类型、网络区域（例如总部、分支或外部互联网）、终端安全风险、终端数据安全风险、访问时间及访问使用的应用程序等维度允许访问或禁止访问指定应用，同时可设定策略有效期。</w:t>
            </w:r>
          </w:p>
        </w:tc>
      </w:tr>
      <w:tr w14:paraId="23FCE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42A68A0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54</w:t>
            </w:r>
          </w:p>
        </w:tc>
        <w:tc>
          <w:tcPr>
            <w:tcW w:w="1269" w:type="dxa"/>
            <w:vMerge w:val="continue"/>
            <w:shd w:val="clear" w:color="auto" w:fill="auto"/>
            <w:tcMar>
              <w:top w:w="0" w:type="dxa"/>
              <w:left w:w="105" w:type="dxa"/>
              <w:bottom w:w="0" w:type="dxa"/>
              <w:right w:w="105" w:type="dxa"/>
            </w:tcMar>
            <w:vAlign w:val="center"/>
          </w:tcPr>
          <w:p w14:paraId="7AA7A17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4FEAE01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应用层访问控制策略</w:t>
            </w:r>
          </w:p>
        </w:tc>
        <w:tc>
          <w:tcPr>
            <w:tcW w:w="6380" w:type="dxa"/>
            <w:shd w:val="clear" w:color="auto" w:fill="auto"/>
            <w:tcMar>
              <w:top w:w="0" w:type="dxa"/>
              <w:left w:w="105" w:type="dxa"/>
              <w:bottom w:w="0" w:type="dxa"/>
              <w:right w:w="105" w:type="dxa"/>
            </w:tcMar>
            <w:vAlign w:val="top"/>
          </w:tcPr>
          <w:p w14:paraId="6ECAB47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支持对B/S应用进行7层URL级别精细化访问控制，决策条件包括用户、设备属性（公司设备、个人设备）、访问方式（有端访问、无端访问）、网络区域、应用URL，访问策略包括禁止访问、允许访问且允许下载文件、允许访问但禁止下载文件，可控制用户的在web页面上的复制、下载、调试等操作行为，支持从应用API中下载的文件自动标记水印内容，降低高敏感资源被违规访问而导致的安全风险。（提供功能截图）</w:t>
            </w:r>
          </w:p>
        </w:tc>
      </w:tr>
      <w:tr w14:paraId="6B30A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00" w:hRule="atLeast"/>
        </w:trPr>
        <w:tc>
          <w:tcPr>
            <w:tcW w:w="849" w:type="dxa"/>
            <w:shd w:val="clear" w:color="auto" w:fill="auto"/>
            <w:tcMar>
              <w:top w:w="0" w:type="dxa"/>
              <w:left w:w="105" w:type="dxa"/>
              <w:bottom w:w="0" w:type="dxa"/>
              <w:right w:w="105" w:type="dxa"/>
            </w:tcMar>
            <w:vAlign w:val="center"/>
          </w:tcPr>
          <w:p w14:paraId="0AE0393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55</w:t>
            </w:r>
          </w:p>
        </w:tc>
        <w:tc>
          <w:tcPr>
            <w:tcW w:w="1269" w:type="dxa"/>
            <w:vMerge w:val="continue"/>
            <w:shd w:val="clear" w:color="auto" w:fill="auto"/>
            <w:tcMar>
              <w:top w:w="0" w:type="dxa"/>
              <w:left w:w="105" w:type="dxa"/>
              <w:bottom w:w="0" w:type="dxa"/>
              <w:right w:w="105" w:type="dxa"/>
            </w:tcMar>
            <w:vAlign w:val="center"/>
          </w:tcPr>
          <w:p w14:paraId="61469AD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101B6D0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应用水印</w:t>
            </w:r>
          </w:p>
        </w:tc>
        <w:tc>
          <w:tcPr>
            <w:tcW w:w="6380" w:type="dxa"/>
            <w:shd w:val="clear" w:color="auto" w:fill="auto"/>
            <w:tcMar>
              <w:top w:w="0" w:type="dxa"/>
              <w:left w:w="105" w:type="dxa"/>
              <w:bottom w:w="0" w:type="dxa"/>
              <w:right w:w="105" w:type="dxa"/>
            </w:tcMar>
            <w:vAlign w:val="top"/>
          </w:tcPr>
          <w:p w14:paraId="5CB2991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▲21.无需改造应用即可对指定应用开启水印，员工访问应用时将展示水印信息。（提供功能截图）</w:t>
            </w:r>
          </w:p>
        </w:tc>
      </w:tr>
      <w:tr w14:paraId="2F302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0AB1904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56</w:t>
            </w:r>
          </w:p>
        </w:tc>
        <w:tc>
          <w:tcPr>
            <w:tcW w:w="1269" w:type="dxa"/>
            <w:vMerge w:val="continue"/>
            <w:shd w:val="clear" w:color="auto" w:fill="auto"/>
            <w:tcMar>
              <w:top w:w="0" w:type="dxa"/>
              <w:left w:w="105" w:type="dxa"/>
              <w:bottom w:w="0" w:type="dxa"/>
              <w:right w:w="105" w:type="dxa"/>
            </w:tcMar>
            <w:vAlign w:val="center"/>
          </w:tcPr>
          <w:p w14:paraId="0EAC8E7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restart"/>
            <w:shd w:val="clear" w:color="auto" w:fill="auto"/>
            <w:tcMar>
              <w:top w:w="0" w:type="dxa"/>
              <w:left w:w="105" w:type="dxa"/>
              <w:bottom w:w="0" w:type="dxa"/>
              <w:right w:w="105" w:type="dxa"/>
            </w:tcMar>
            <w:vAlign w:val="center"/>
          </w:tcPr>
          <w:p w14:paraId="75AFE3D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API自动识别</w:t>
            </w:r>
          </w:p>
        </w:tc>
        <w:tc>
          <w:tcPr>
            <w:tcW w:w="6380" w:type="dxa"/>
            <w:shd w:val="clear" w:color="auto" w:fill="auto"/>
            <w:tcMar>
              <w:top w:w="0" w:type="dxa"/>
              <w:left w:w="105" w:type="dxa"/>
              <w:bottom w:w="0" w:type="dxa"/>
              <w:right w:w="105" w:type="dxa"/>
            </w:tcMar>
            <w:vAlign w:val="top"/>
          </w:tcPr>
          <w:p w14:paraId="3EFBBF7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22.支持web资源API学习，梳理API清单</w:t>
            </w:r>
          </w:p>
        </w:tc>
      </w:tr>
      <w:tr w14:paraId="26CA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694E788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57</w:t>
            </w:r>
          </w:p>
        </w:tc>
        <w:tc>
          <w:tcPr>
            <w:tcW w:w="1269" w:type="dxa"/>
            <w:vMerge w:val="continue"/>
            <w:shd w:val="clear" w:color="auto" w:fill="auto"/>
            <w:tcMar>
              <w:top w:w="0" w:type="dxa"/>
              <w:left w:w="105" w:type="dxa"/>
              <w:bottom w:w="0" w:type="dxa"/>
              <w:right w:w="105" w:type="dxa"/>
            </w:tcMar>
            <w:vAlign w:val="center"/>
          </w:tcPr>
          <w:p w14:paraId="676414F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4AA69C3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5566E83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23.支持自动识别API中的敏感数据、敏感文件、风险员工</w:t>
            </w:r>
          </w:p>
        </w:tc>
      </w:tr>
      <w:tr w14:paraId="49FCF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14531F8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58</w:t>
            </w:r>
          </w:p>
        </w:tc>
        <w:tc>
          <w:tcPr>
            <w:tcW w:w="1269" w:type="dxa"/>
            <w:vMerge w:val="continue"/>
            <w:shd w:val="clear" w:color="auto" w:fill="auto"/>
            <w:tcMar>
              <w:top w:w="0" w:type="dxa"/>
              <w:left w:w="105" w:type="dxa"/>
              <w:bottom w:w="0" w:type="dxa"/>
              <w:right w:w="105" w:type="dxa"/>
            </w:tcMar>
            <w:vAlign w:val="center"/>
          </w:tcPr>
          <w:p w14:paraId="2C6AA23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45685DD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网络访问隔离</w:t>
            </w:r>
          </w:p>
        </w:tc>
        <w:tc>
          <w:tcPr>
            <w:tcW w:w="6380" w:type="dxa"/>
            <w:shd w:val="clear" w:color="auto" w:fill="auto"/>
            <w:tcMar>
              <w:top w:w="0" w:type="dxa"/>
              <w:left w:w="105" w:type="dxa"/>
              <w:bottom w:w="0" w:type="dxa"/>
              <w:right w:w="105" w:type="dxa"/>
            </w:tcMar>
            <w:vAlign w:val="top"/>
          </w:tcPr>
          <w:p w14:paraId="7AFC90D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▲24.支持配置当用户在远程办公状态下，已经接入零信任网关访问内网应用时禁止同时访问互联网。（提供功能截图）</w:t>
            </w:r>
          </w:p>
        </w:tc>
      </w:tr>
      <w:tr w14:paraId="71EAF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3B08A58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59</w:t>
            </w:r>
          </w:p>
        </w:tc>
        <w:tc>
          <w:tcPr>
            <w:tcW w:w="1269" w:type="dxa"/>
            <w:vMerge w:val="continue"/>
            <w:shd w:val="clear" w:color="auto" w:fill="auto"/>
            <w:tcMar>
              <w:top w:w="0" w:type="dxa"/>
              <w:left w:w="105" w:type="dxa"/>
              <w:bottom w:w="0" w:type="dxa"/>
              <w:right w:w="105" w:type="dxa"/>
            </w:tcMar>
            <w:vAlign w:val="center"/>
          </w:tcPr>
          <w:p w14:paraId="3CBA309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restart"/>
            <w:shd w:val="clear" w:color="auto" w:fill="auto"/>
            <w:tcMar>
              <w:top w:w="0" w:type="dxa"/>
              <w:left w:w="105" w:type="dxa"/>
              <w:bottom w:w="0" w:type="dxa"/>
              <w:right w:w="105" w:type="dxa"/>
            </w:tcMar>
            <w:vAlign w:val="center"/>
          </w:tcPr>
          <w:p w14:paraId="34B2E8C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动态访问策略</w:t>
            </w:r>
          </w:p>
        </w:tc>
        <w:tc>
          <w:tcPr>
            <w:tcW w:w="6380" w:type="dxa"/>
            <w:shd w:val="clear" w:color="auto" w:fill="auto"/>
            <w:tcMar>
              <w:top w:w="0" w:type="dxa"/>
              <w:left w:w="105" w:type="dxa"/>
              <w:bottom w:w="0" w:type="dxa"/>
              <w:right w:w="105" w:type="dxa"/>
            </w:tcMar>
            <w:vAlign w:val="top"/>
          </w:tcPr>
          <w:p w14:paraId="2EFF974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25.支持在零信任网络访问过程中，对终端进行动态评估、持续验证环境，可识别账号异常（闲置账号登录、异地登录、短时间多地登录、同一终端多个账号登录），当命中检测策略时，可以动态处置，处置方式包括观察、二次认证、禁止访问内网应用，以降低安全风险。</w:t>
            </w:r>
          </w:p>
        </w:tc>
      </w:tr>
      <w:tr w14:paraId="669BA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0DC7920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60</w:t>
            </w:r>
          </w:p>
        </w:tc>
        <w:tc>
          <w:tcPr>
            <w:tcW w:w="1269" w:type="dxa"/>
            <w:vMerge w:val="continue"/>
            <w:shd w:val="clear" w:color="auto" w:fill="auto"/>
            <w:tcMar>
              <w:top w:w="0" w:type="dxa"/>
              <w:left w:w="105" w:type="dxa"/>
              <w:bottom w:w="0" w:type="dxa"/>
              <w:right w:w="105" w:type="dxa"/>
            </w:tcMar>
            <w:vAlign w:val="center"/>
          </w:tcPr>
          <w:p w14:paraId="3820905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43BB44F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4319FA2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26.支持在零信任网络访问过程中，对终端进行动态评估、持续验证环境，可识别位置异常（接入的网络位置、公网IP所在的国家和省市），当命中检测策略时，可以动态处置，处置方式包括观察、二次认证、禁止访问内网应用，以降低安全风险。</w:t>
            </w:r>
          </w:p>
        </w:tc>
      </w:tr>
      <w:tr w14:paraId="21C67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211F6D5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61</w:t>
            </w:r>
          </w:p>
        </w:tc>
        <w:tc>
          <w:tcPr>
            <w:tcW w:w="1269" w:type="dxa"/>
            <w:vMerge w:val="continue"/>
            <w:shd w:val="clear" w:color="auto" w:fill="auto"/>
            <w:tcMar>
              <w:top w:w="0" w:type="dxa"/>
              <w:left w:w="105" w:type="dxa"/>
              <w:bottom w:w="0" w:type="dxa"/>
              <w:right w:w="105" w:type="dxa"/>
            </w:tcMar>
            <w:vAlign w:val="center"/>
          </w:tcPr>
          <w:p w14:paraId="7298DDA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355BD0B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0C13F81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27.支持在零信任网络访问过程中，对终端进行动态评估、持续验证环境，可识别时间异常（非常规时间上线），当命中检测策略时，可以动态处置，处置方式包括观察、二次认证、禁止访问内网应用，以降低安全风险。</w:t>
            </w:r>
          </w:p>
        </w:tc>
      </w:tr>
      <w:tr w14:paraId="54DBD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50B214A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62</w:t>
            </w:r>
          </w:p>
        </w:tc>
        <w:tc>
          <w:tcPr>
            <w:tcW w:w="1269" w:type="dxa"/>
            <w:vMerge w:val="continue"/>
            <w:shd w:val="clear" w:color="auto" w:fill="auto"/>
            <w:tcMar>
              <w:top w:w="0" w:type="dxa"/>
              <w:left w:w="105" w:type="dxa"/>
              <w:bottom w:w="0" w:type="dxa"/>
              <w:right w:w="105" w:type="dxa"/>
            </w:tcMar>
            <w:vAlign w:val="center"/>
          </w:tcPr>
          <w:p w14:paraId="6021F88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3BBF6F3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536DFFD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28.支持在零信任网络访问过程中，对终端进行动态评估、持续验证环境，可识别安全风险状况（存在病毒、漏洞；访问威胁域名；扫描内网、被远程控制、异常添加定时任务、运行黑客工具、间接命令执行、暴力破解账号密码、攻击内网应用、多次访问无权限应用、命令行操作Windows管理器、存在隐藏账号），当命中检测策略时，可以动态处置，处置方式包括观察、二次认证、禁止访问内网应用，以降低安全风险。</w:t>
            </w:r>
          </w:p>
        </w:tc>
      </w:tr>
      <w:tr w14:paraId="388C6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363B95B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63</w:t>
            </w:r>
          </w:p>
        </w:tc>
        <w:tc>
          <w:tcPr>
            <w:tcW w:w="1269" w:type="dxa"/>
            <w:vMerge w:val="continue"/>
            <w:shd w:val="clear" w:color="auto" w:fill="auto"/>
            <w:tcMar>
              <w:top w:w="0" w:type="dxa"/>
              <w:left w:w="105" w:type="dxa"/>
              <w:bottom w:w="0" w:type="dxa"/>
              <w:right w:w="105" w:type="dxa"/>
            </w:tcMar>
            <w:vAlign w:val="center"/>
          </w:tcPr>
          <w:p w14:paraId="5E2A6AB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vMerge w:val="continue"/>
            <w:shd w:val="clear" w:color="auto" w:fill="auto"/>
            <w:tcMar>
              <w:top w:w="0" w:type="dxa"/>
              <w:left w:w="105" w:type="dxa"/>
              <w:bottom w:w="0" w:type="dxa"/>
              <w:right w:w="105" w:type="dxa"/>
            </w:tcMar>
            <w:vAlign w:val="center"/>
          </w:tcPr>
          <w:p w14:paraId="14A83C4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6380" w:type="dxa"/>
            <w:shd w:val="clear" w:color="auto" w:fill="auto"/>
            <w:tcMar>
              <w:top w:w="0" w:type="dxa"/>
              <w:left w:w="105" w:type="dxa"/>
              <w:bottom w:w="0" w:type="dxa"/>
              <w:right w:w="105" w:type="dxa"/>
            </w:tcMar>
            <w:vAlign w:val="top"/>
          </w:tcPr>
          <w:p w14:paraId="01133FD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29.支持在零信任网络访问过程中，对终端进行动态评估、持续验证环境，可识别数据安全风险状况（大量外发敏感数据、异常上传代码到非公司代码仓库），当命中检测策略时，可以动态处置，处置方式包括观察、二次认证、禁止访问内网应用，以降低安全风险。（提供功能截图）</w:t>
            </w:r>
          </w:p>
        </w:tc>
      </w:tr>
      <w:tr w14:paraId="0CEBC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1EC1BC8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64</w:t>
            </w:r>
          </w:p>
        </w:tc>
        <w:tc>
          <w:tcPr>
            <w:tcW w:w="1269" w:type="dxa"/>
            <w:vMerge w:val="continue"/>
            <w:shd w:val="clear" w:color="auto" w:fill="auto"/>
            <w:tcMar>
              <w:top w:w="0" w:type="dxa"/>
              <w:left w:w="105" w:type="dxa"/>
              <w:bottom w:w="0" w:type="dxa"/>
              <w:right w:w="105" w:type="dxa"/>
            </w:tcMar>
            <w:vAlign w:val="center"/>
          </w:tcPr>
          <w:p w14:paraId="3A87BC1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26913C3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权限自助申请</w:t>
            </w:r>
          </w:p>
        </w:tc>
        <w:tc>
          <w:tcPr>
            <w:tcW w:w="6380" w:type="dxa"/>
            <w:shd w:val="clear" w:color="auto" w:fill="auto"/>
            <w:tcMar>
              <w:top w:w="0" w:type="dxa"/>
              <w:left w:w="105" w:type="dxa"/>
              <w:bottom w:w="0" w:type="dxa"/>
              <w:right w:w="105" w:type="dxa"/>
            </w:tcMar>
            <w:vAlign w:val="top"/>
          </w:tcPr>
          <w:p w14:paraId="6EA10D4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30.终端没有应用访问权限时应提醒权限不足，并支持用户自助申请应用分组或应用的访问权限，在审批通过后可以添加到已有内网访问控制策略或自动创建新的内网访问控制策略。</w:t>
            </w:r>
          </w:p>
        </w:tc>
      </w:tr>
      <w:tr w14:paraId="0033D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48BA1A5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65</w:t>
            </w:r>
          </w:p>
        </w:tc>
        <w:tc>
          <w:tcPr>
            <w:tcW w:w="1269" w:type="dxa"/>
            <w:vMerge w:val="continue"/>
            <w:shd w:val="clear" w:color="auto" w:fill="auto"/>
            <w:tcMar>
              <w:top w:w="0" w:type="dxa"/>
              <w:left w:w="105" w:type="dxa"/>
              <w:bottom w:w="0" w:type="dxa"/>
              <w:right w:w="105" w:type="dxa"/>
            </w:tcMar>
            <w:vAlign w:val="center"/>
          </w:tcPr>
          <w:p w14:paraId="57D6B5B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1A8CAAB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应用内单点登录</w:t>
            </w:r>
          </w:p>
        </w:tc>
        <w:tc>
          <w:tcPr>
            <w:tcW w:w="6380" w:type="dxa"/>
            <w:shd w:val="clear" w:color="auto" w:fill="auto"/>
            <w:tcMar>
              <w:top w:w="0" w:type="dxa"/>
              <w:left w:w="105" w:type="dxa"/>
              <w:bottom w:w="0" w:type="dxa"/>
              <w:right w:w="105" w:type="dxa"/>
            </w:tcMar>
            <w:vAlign w:val="top"/>
          </w:tcPr>
          <w:p w14:paraId="1C02D67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▲31.支持对接钉钉、企微、飞书办公软件，实现企业办公软件内应用自动登入，一键接入内网。（提供功能截图）</w:t>
            </w:r>
          </w:p>
        </w:tc>
      </w:tr>
      <w:tr w14:paraId="48CCB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2A7D186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66</w:t>
            </w:r>
          </w:p>
        </w:tc>
        <w:tc>
          <w:tcPr>
            <w:tcW w:w="1269" w:type="dxa"/>
            <w:vMerge w:val="continue"/>
            <w:shd w:val="clear" w:color="auto" w:fill="auto"/>
            <w:tcMar>
              <w:top w:w="0" w:type="dxa"/>
              <w:left w:w="105" w:type="dxa"/>
              <w:bottom w:w="0" w:type="dxa"/>
              <w:right w:w="105" w:type="dxa"/>
            </w:tcMar>
            <w:vAlign w:val="center"/>
          </w:tcPr>
          <w:p w14:paraId="4480C41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004F025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高可用</w:t>
            </w:r>
          </w:p>
        </w:tc>
        <w:tc>
          <w:tcPr>
            <w:tcW w:w="6380" w:type="dxa"/>
            <w:shd w:val="clear" w:color="auto" w:fill="auto"/>
            <w:tcMar>
              <w:top w:w="0" w:type="dxa"/>
              <w:left w:w="105" w:type="dxa"/>
              <w:bottom w:w="0" w:type="dxa"/>
              <w:right w:w="105" w:type="dxa"/>
            </w:tcMar>
            <w:vAlign w:val="top"/>
          </w:tcPr>
          <w:p w14:paraId="5D0EC4B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32.客户端自动选路要求：客户端可以根据所处网络的物理位置及访问的系统，自动选择登录的网关，用户无需手动选择。某个节点出现故障后，客户端可以通过自动连接异地网关进行登录认证接入业务。也支持用户手动选择接入的节点。</w:t>
            </w:r>
          </w:p>
        </w:tc>
      </w:tr>
      <w:tr w14:paraId="2E6B3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43C0B76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67</w:t>
            </w:r>
          </w:p>
        </w:tc>
        <w:tc>
          <w:tcPr>
            <w:tcW w:w="1269" w:type="dxa"/>
            <w:vMerge w:val="continue"/>
            <w:shd w:val="clear" w:color="auto" w:fill="auto"/>
            <w:tcMar>
              <w:top w:w="0" w:type="dxa"/>
              <w:left w:w="105" w:type="dxa"/>
              <w:bottom w:w="0" w:type="dxa"/>
              <w:right w:w="105" w:type="dxa"/>
            </w:tcMar>
            <w:vAlign w:val="center"/>
          </w:tcPr>
          <w:p w14:paraId="419A5D3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4625112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合规检测日志</w:t>
            </w:r>
          </w:p>
        </w:tc>
        <w:tc>
          <w:tcPr>
            <w:tcW w:w="6380" w:type="dxa"/>
            <w:shd w:val="clear" w:color="auto" w:fill="auto"/>
            <w:tcMar>
              <w:top w:w="0" w:type="dxa"/>
              <w:left w:w="105" w:type="dxa"/>
              <w:bottom w:w="0" w:type="dxa"/>
              <w:right w:w="105" w:type="dxa"/>
            </w:tcMar>
            <w:vAlign w:val="top"/>
          </w:tcPr>
          <w:p w14:paraId="083FB00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33.支持查看客户端合规检测日志，日志须包含以下字段：终端、用户、合规策略、合规状态、合规详情、处置手段。</w:t>
            </w:r>
          </w:p>
        </w:tc>
      </w:tr>
      <w:tr w14:paraId="499ED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2D35153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68</w:t>
            </w:r>
          </w:p>
        </w:tc>
        <w:tc>
          <w:tcPr>
            <w:tcW w:w="1269" w:type="dxa"/>
            <w:vMerge w:val="continue"/>
            <w:shd w:val="clear" w:color="auto" w:fill="auto"/>
            <w:tcMar>
              <w:top w:w="0" w:type="dxa"/>
              <w:left w:w="105" w:type="dxa"/>
              <w:bottom w:w="0" w:type="dxa"/>
              <w:right w:w="105" w:type="dxa"/>
            </w:tcMar>
            <w:vAlign w:val="center"/>
          </w:tcPr>
          <w:p w14:paraId="0065C2E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6F4BB47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4层网络访问日志</w:t>
            </w:r>
          </w:p>
        </w:tc>
        <w:tc>
          <w:tcPr>
            <w:tcW w:w="6380" w:type="dxa"/>
            <w:shd w:val="clear" w:color="auto" w:fill="auto"/>
            <w:tcMar>
              <w:top w:w="0" w:type="dxa"/>
              <w:left w:w="105" w:type="dxa"/>
              <w:bottom w:w="0" w:type="dxa"/>
              <w:right w:w="105" w:type="dxa"/>
            </w:tcMar>
            <w:vAlign w:val="top"/>
          </w:tcPr>
          <w:p w14:paraId="6C8D9C7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34.支持查看终端访问网络的4层日志，日志须包含以下字段：用户身份、所属部门、设备身份（如设备ID）、访问时间、源IP、源端口、目的IP、目的端口、协议、请求字节数、响应字节数、应用、进程、命中的网络访问策略、策略执行的结果（允许访问或禁止访问）；支持至少5个字段组合搜索日志。</w:t>
            </w:r>
          </w:p>
        </w:tc>
      </w:tr>
      <w:tr w14:paraId="6ABC2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459EF14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69</w:t>
            </w:r>
          </w:p>
        </w:tc>
        <w:tc>
          <w:tcPr>
            <w:tcW w:w="1269" w:type="dxa"/>
            <w:vMerge w:val="continue"/>
            <w:shd w:val="clear" w:color="auto" w:fill="auto"/>
            <w:tcMar>
              <w:top w:w="0" w:type="dxa"/>
              <w:left w:w="105" w:type="dxa"/>
              <w:bottom w:w="0" w:type="dxa"/>
              <w:right w:w="105" w:type="dxa"/>
            </w:tcMar>
            <w:vAlign w:val="center"/>
          </w:tcPr>
          <w:p w14:paraId="026D2FA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55EA954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7层应用访问日志</w:t>
            </w:r>
          </w:p>
        </w:tc>
        <w:tc>
          <w:tcPr>
            <w:tcW w:w="6380" w:type="dxa"/>
            <w:shd w:val="clear" w:color="auto" w:fill="auto"/>
            <w:tcMar>
              <w:top w:w="0" w:type="dxa"/>
              <w:left w:w="105" w:type="dxa"/>
              <w:bottom w:w="0" w:type="dxa"/>
              <w:right w:w="105" w:type="dxa"/>
            </w:tcMar>
            <w:vAlign w:val="top"/>
          </w:tcPr>
          <w:p w14:paraId="474C166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35.支持查看终端访问应用的7层日志，日志须包含以下字段：用户身份、所属部门、访问时间、源IP、源端口、目的IP、目的域名、目的端口、协议、应用名称、命中的网络访问策略、策略执行的结果（允许访问或禁止访问）、请求详细信息（至少包括请求方法、Host、Referer、User-Agent、Query-String）、响应详细信息（至少包括Content-Encoding、Location、响应码）；支持至少5个字段组合搜索日志。（提供功能截图）</w:t>
            </w:r>
          </w:p>
        </w:tc>
      </w:tr>
      <w:tr w14:paraId="145A0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386C7D0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70</w:t>
            </w:r>
          </w:p>
        </w:tc>
        <w:tc>
          <w:tcPr>
            <w:tcW w:w="1269" w:type="dxa"/>
            <w:vMerge w:val="continue"/>
            <w:shd w:val="clear" w:color="auto" w:fill="auto"/>
            <w:tcMar>
              <w:top w:w="0" w:type="dxa"/>
              <w:left w:w="105" w:type="dxa"/>
              <w:bottom w:w="0" w:type="dxa"/>
              <w:right w:w="105" w:type="dxa"/>
            </w:tcMar>
            <w:vAlign w:val="center"/>
          </w:tcPr>
          <w:p w14:paraId="4FA9B8A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4D9EF84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动态决策日志</w:t>
            </w:r>
          </w:p>
        </w:tc>
        <w:tc>
          <w:tcPr>
            <w:tcW w:w="6380" w:type="dxa"/>
            <w:shd w:val="clear" w:color="auto" w:fill="auto"/>
            <w:tcMar>
              <w:top w:w="0" w:type="dxa"/>
              <w:left w:w="105" w:type="dxa"/>
              <w:bottom w:w="0" w:type="dxa"/>
              <w:right w:w="105" w:type="dxa"/>
            </w:tcMar>
            <w:vAlign w:val="top"/>
          </w:tcPr>
          <w:p w14:paraId="4890A92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36.支持查看动态决策日志，日志须包含以下字段：处置时间、用户、终端、命中策略、处置方式、详情。</w:t>
            </w:r>
          </w:p>
        </w:tc>
      </w:tr>
      <w:tr w14:paraId="3A3EA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339073A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71</w:t>
            </w:r>
          </w:p>
        </w:tc>
        <w:tc>
          <w:tcPr>
            <w:tcW w:w="1269" w:type="dxa"/>
            <w:vMerge w:val="continue"/>
            <w:shd w:val="clear" w:color="auto" w:fill="auto"/>
            <w:tcMar>
              <w:top w:w="0" w:type="dxa"/>
              <w:left w:w="105" w:type="dxa"/>
              <w:bottom w:w="0" w:type="dxa"/>
              <w:right w:w="105" w:type="dxa"/>
            </w:tcMar>
            <w:vAlign w:val="center"/>
          </w:tcPr>
          <w:p w14:paraId="275B2D9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p>
        </w:tc>
        <w:tc>
          <w:tcPr>
            <w:tcW w:w="1349" w:type="dxa"/>
            <w:shd w:val="clear" w:color="auto" w:fill="auto"/>
            <w:tcMar>
              <w:top w:w="0" w:type="dxa"/>
              <w:left w:w="105" w:type="dxa"/>
              <w:bottom w:w="0" w:type="dxa"/>
              <w:right w:w="105" w:type="dxa"/>
            </w:tcMar>
            <w:vAlign w:val="center"/>
          </w:tcPr>
          <w:p w14:paraId="75EBBA1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应用健康检查日志</w:t>
            </w:r>
          </w:p>
        </w:tc>
        <w:tc>
          <w:tcPr>
            <w:tcW w:w="6380" w:type="dxa"/>
            <w:shd w:val="clear" w:color="auto" w:fill="auto"/>
            <w:tcMar>
              <w:top w:w="0" w:type="dxa"/>
              <w:left w:w="105" w:type="dxa"/>
              <w:bottom w:w="0" w:type="dxa"/>
              <w:right w:w="105" w:type="dxa"/>
            </w:tcMar>
            <w:vAlign w:val="top"/>
          </w:tcPr>
          <w:p w14:paraId="756C444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▲37.支持查看应用健康检查日志，日志须包含以下字段：检测时间、应用名称、应用健康状态、应用相关内网访问控制策略以及所有异常应用的地址、端口及异常原因。（提供功能截图）</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kern w:val="2"/>
          <w:sz w:val="24"/>
          <w:szCs w:val="24"/>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768"/>
        <w:gridCol w:w="1554"/>
        <w:gridCol w:w="6145"/>
        <w:gridCol w:w="1380"/>
      </w:tblGrid>
      <w:tr w14:paraId="6B91E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68" w:type="dxa"/>
            <w:shd w:val="clear" w:color="auto" w:fill="auto"/>
            <w:tcMar>
              <w:top w:w="0" w:type="dxa"/>
              <w:left w:w="105" w:type="dxa"/>
              <w:bottom w:w="0" w:type="dxa"/>
              <w:right w:w="105" w:type="dxa"/>
            </w:tcMar>
            <w:vAlign w:val="top"/>
          </w:tcPr>
          <w:p w14:paraId="6A0C514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482" w:leftChars="0" w:hanging="482" w:hangingChars="200"/>
              <w:jc w:val="center"/>
              <w:textAlignment w:val="auto"/>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序号</w:t>
            </w:r>
          </w:p>
        </w:tc>
        <w:tc>
          <w:tcPr>
            <w:tcW w:w="1554" w:type="dxa"/>
            <w:shd w:val="clear" w:color="auto" w:fill="auto"/>
            <w:tcMar>
              <w:top w:w="0" w:type="dxa"/>
              <w:left w:w="105" w:type="dxa"/>
              <w:bottom w:w="0" w:type="dxa"/>
              <w:right w:w="105" w:type="dxa"/>
            </w:tcMar>
            <w:vAlign w:val="top"/>
          </w:tcPr>
          <w:p w14:paraId="0C8FCB7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482" w:leftChars="0" w:hanging="482" w:hangingChars="200"/>
              <w:jc w:val="center"/>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rPr>
              <w:t>服务类型</w:t>
            </w:r>
          </w:p>
        </w:tc>
        <w:tc>
          <w:tcPr>
            <w:tcW w:w="6145" w:type="dxa"/>
            <w:shd w:val="clear" w:color="auto" w:fill="auto"/>
            <w:tcMar>
              <w:top w:w="0" w:type="dxa"/>
              <w:left w:w="105" w:type="dxa"/>
              <w:bottom w:w="0" w:type="dxa"/>
              <w:right w:w="105" w:type="dxa"/>
            </w:tcMar>
            <w:vAlign w:val="top"/>
          </w:tcPr>
          <w:p w14:paraId="7B36827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482" w:leftChars="0" w:hanging="482" w:hangingChars="200"/>
              <w:jc w:val="center"/>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rPr>
              <w:t>服务内容</w:t>
            </w:r>
          </w:p>
        </w:tc>
        <w:tc>
          <w:tcPr>
            <w:tcW w:w="1380" w:type="dxa"/>
            <w:shd w:val="clear" w:color="auto" w:fill="auto"/>
            <w:tcMar>
              <w:top w:w="0" w:type="dxa"/>
              <w:left w:w="105" w:type="dxa"/>
              <w:bottom w:w="0" w:type="dxa"/>
              <w:right w:w="105" w:type="dxa"/>
            </w:tcMar>
            <w:vAlign w:val="top"/>
          </w:tcPr>
          <w:p w14:paraId="59AA3D4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482" w:leftChars="0" w:hanging="482" w:hangingChars="200"/>
              <w:jc w:val="center"/>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rPr>
              <w:t>服务期</w:t>
            </w:r>
          </w:p>
        </w:tc>
      </w:tr>
      <w:tr w14:paraId="4A6B3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68" w:type="dxa"/>
            <w:shd w:val="clear" w:color="auto" w:fill="auto"/>
            <w:tcMar>
              <w:top w:w="0" w:type="dxa"/>
              <w:left w:w="105" w:type="dxa"/>
              <w:bottom w:w="0" w:type="dxa"/>
              <w:right w:w="105" w:type="dxa"/>
            </w:tcMar>
            <w:vAlign w:val="center"/>
          </w:tcPr>
          <w:p w14:paraId="24E931C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480" w:leftChars="0" w:hanging="480" w:hangingChars="200"/>
              <w:jc w:val="center"/>
              <w:textAlignment w:val="auto"/>
              <w:rPr>
                <w:rFonts w:hint="eastAsia" w:ascii="仿宋" w:hAnsi="仿宋" w:eastAsia="仿宋" w:cs="仿宋"/>
                <w:kern w:val="2"/>
                <w:sz w:val="24"/>
                <w:szCs w:val="24"/>
              </w:rPr>
            </w:pPr>
            <w:r>
              <w:rPr>
                <w:rFonts w:hint="eastAsia" w:ascii="仿宋" w:hAnsi="仿宋" w:eastAsia="仿宋" w:cs="仿宋"/>
                <w:kern w:val="2"/>
                <w:sz w:val="24"/>
                <w:szCs w:val="24"/>
              </w:rPr>
              <w:t>1</w:t>
            </w:r>
          </w:p>
        </w:tc>
        <w:tc>
          <w:tcPr>
            <w:tcW w:w="1554" w:type="dxa"/>
            <w:shd w:val="clear" w:color="auto" w:fill="auto"/>
            <w:tcMar>
              <w:top w:w="0" w:type="dxa"/>
              <w:left w:w="105" w:type="dxa"/>
              <w:bottom w:w="0" w:type="dxa"/>
              <w:right w:w="105" w:type="dxa"/>
            </w:tcMar>
            <w:vAlign w:val="center"/>
          </w:tcPr>
          <w:p w14:paraId="3464F78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480" w:leftChars="0" w:hanging="480" w:hangingChars="200"/>
              <w:jc w:val="center"/>
              <w:textAlignment w:val="auto"/>
              <w:rPr>
                <w:rFonts w:hint="eastAsia" w:ascii="仿宋" w:hAnsi="仿宋" w:eastAsia="仿宋" w:cs="仿宋"/>
                <w:kern w:val="2"/>
                <w:sz w:val="24"/>
                <w:szCs w:val="24"/>
              </w:rPr>
            </w:pPr>
            <w:r>
              <w:rPr>
                <w:rFonts w:hint="eastAsia" w:ascii="仿宋" w:hAnsi="仿宋" w:eastAsia="仿宋" w:cs="仿宋"/>
                <w:kern w:val="2"/>
                <w:sz w:val="24"/>
                <w:szCs w:val="24"/>
              </w:rPr>
              <w:t>基本服务</w:t>
            </w:r>
          </w:p>
        </w:tc>
        <w:tc>
          <w:tcPr>
            <w:tcW w:w="6145" w:type="dxa"/>
            <w:shd w:val="clear" w:color="auto" w:fill="auto"/>
            <w:tcMar>
              <w:top w:w="0" w:type="dxa"/>
              <w:left w:w="105" w:type="dxa"/>
              <w:bottom w:w="0" w:type="dxa"/>
              <w:right w:w="105" w:type="dxa"/>
            </w:tcMar>
            <w:vAlign w:val="top"/>
          </w:tcPr>
          <w:p w14:paraId="69765DF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基本服务至少满足以下内容：</w:t>
            </w:r>
          </w:p>
          <w:p w14:paraId="570136E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1、</w:t>
            </w:r>
            <w:r>
              <w:rPr>
                <w:rFonts w:hint="eastAsia" w:ascii="仿宋" w:hAnsi="仿宋" w:eastAsia="仿宋" w:cs="仿宋"/>
                <w:kern w:val="2"/>
                <w:sz w:val="24"/>
                <w:szCs w:val="24"/>
              </w:rPr>
              <w:t>服务期内由供应商提供一套心理援助热线</w:t>
            </w:r>
            <w:r>
              <w:rPr>
                <w:rFonts w:hint="eastAsia" w:ascii="仿宋" w:hAnsi="仿宋" w:eastAsia="仿宋" w:cs="仿宋"/>
                <w:kern w:val="2"/>
                <w:sz w:val="24"/>
                <w:szCs w:val="24"/>
                <w:lang w:eastAsia="zh-CN"/>
              </w:rPr>
              <w:t>管理系统</w:t>
            </w:r>
            <w:r>
              <w:rPr>
                <w:rFonts w:hint="eastAsia" w:ascii="仿宋" w:hAnsi="仿宋" w:eastAsia="仿宋" w:cs="仿宋"/>
                <w:kern w:val="2"/>
                <w:sz w:val="24"/>
                <w:szCs w:val="24"/>
              </w:rPr>
              <w:t>，具备接线记录登记服务和来电信息统计，通话管理等功能（详见</w:t>
            </w:r>
            <w:r>
              <w:rPr>
                <w:rFonts w:hint="eastAsia" w:ascii="仿宋" w:hAnsi="仿宋" w:eastAsia="仿宋" w:cs="仿宋"/>
                <w:kern w:val="2"/>
                <w:sz w:val="24"/>
                <w:szCs w:val="24"/>
                <w:lang w:val="en-US" w:eastAsia="zh-CN"/>
              </w:rPr>
              <w:t>技术要求</w:t>
            </w:r>
            <w:r>
              <w:rPr>
                <w:rFonts w:hint="eastAsia" w:ascii="仿宋" w:hAnsi="仿宋" w:eastAsia="仿宋" w:cs="仿宋"/>
                <w:kern w:val="2"/>
                <w:sz w:val="24"/>
                <w:szCs w:val="24"/>
              </w:rPr>
              <w:t>），支持省级和21个市州的12356热线使用，且不另产生费用。</w:t>
            </w:r>
          </w:p>
          <w:p w14:paraId="62D90F6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2、数据归档服务：</w:t>
            </w:r>
            <w:r>
              <w:rPr>
                <w:rFonts w:hint="eastAsia" w:ascii="仿宋" w:hAnsi="仿宋" w:eastAsia="仿宋" w:cs="仿宋"/>
                <w:kern w:val="2"/>
                <w:sz w:val="24"/>
                <w:szCs w:val="24"/>
              </w:rPr>
              <w:t>供应商需将全部热线管理数据，通话数据按要求整理后存储于采购人指定的本地服务器。</w:t>
            </w:r>
          </w:p>
          <w:p w14:paraId="4D70054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3、运维服务：</w:t>
            </w:r>
            <w:r>
              <w:rPr>
                <w:rFonts w:hint="eastAsia" w:ascii="仿宋" w:hAnsi="仿宋" w:eastAsia="仿宋" w:cs="仿宋"/>
                <w:kern w:val="2"/>
                <w:sz w:val="24"/>
                <w:szCs w:val="24"/>
              </w:rPr>
              <w:t>服务期间如政策调整，或管理需要，供应商按要求实现</w:t>
            </w:r>
            <w:r>
              <w:rPr>
                <w:rFonts w:hint="eastAsia" w:ascii="仿宋" w:hAnsi="仿宋" w:eastAsia="仿宋" w:cs="仿宋"/>
                <w:kern w:val="2"/>
                <w:sz w:val="24"/>
                <w:szCs w:val="24"/>
                <w:lang w:eastAsia="zh-CN"/>
              </w:rPr>
              <w:t>管理系统</w:t>
            </w:r>
            <w:r>
              <w:rPr>
                <w:rFonts w:hint="eastAsia" w:ascii="仿宋" w:hAnsi="仿宋" w:eastAsia="仿宋" w:cs="仿宋"/>
                <w:kern w:val="2"/>
                <w:sz w:val="24"/>
                <w:szCs w:val="24"/>
              </w:rPr>
              <w:t>的相关调整。</w:t>
            </w:r>
            <w:r>
              <w:rPr>
                <w:rFonts w:hint="eastAsia" w:ascii="仿宋" w:hAnsi="仿宋" w:eastAsia="仿宋" w:cs="仿宋"/>
                <w:kern w:val="2"/>
                <w:sz w:val="24"/>
                <w:szCs w:val="24"/>
                <w:lang w:eastAsia="zh-CN"/>
              </w:rPr>
              <w:t>管理系统</w:t>
            </w:r>
            <w:r>
              <w:rPr>
                <w:rFonts w:hint="eastAsia" w:ascii="仿宋" w:hAnsi="仿宋" w:eastAsia="仿宋" w:cs="仿宋"/>
                <w:kern w:val="2"/>
                <w:sz w:val="24"/>
                <w:szCs w:val="24"/>
              </w:rPr>
              <w:t>每月故障时间不得高于5小时。</w:t>
            </w:r>
          </w:p>
          <w:p w14:paraId="539FBA8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4、技术支持服务：</w:t>
            </w:r>
            <w:r>
              <w:rPr>
                <w:rFonts w:hint="eastAsia" w:ascii="仿宋" w:hAnsi="仿宋" w:eastAsia="仿宋" w:cs="仿宋"/>
                <w:kern w:val="2"/>
                <w:sz w:val="24"/>
                <w:szCs w:val="24"/>
              </w:rPr>
              <w:t>供应商设置技术支持专班，7*24电话响应，并设置即时通讯软件沟通群组。包括但不限于故障受理、系统使用答疑；如2小时内不能解决故障，省级坐席应在4小时内到达现场进行处置，全省21个地市州的坐席应在24小时内到达现场进行处置。</w:t>
            </w:r>
          </w:p>
          <w:p w14:paraId="294AC00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5、稳定性：</w:t>
            </w:r>
            <w:r>
              <w:rPr>
                <w:rFonts w:hint="eastAsia" w:ascii="仿宋" w:hAnsi="仿宋" w:eastAsia="仿宋" w:cs="仿宋"/>
                <w:kern w:val="2"/>
                <w:sz w:val="24"/>
                <w:szCs w:val="24"/>
              </w:rPr>
              <w:t>服务期内需保障业务稳定，不无故出现崩溃或宕机现象；</w:t>
            </w:r>
          </w:p>
          <w:p w14:paraId="654FDFF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6、安全性：</w:t>
            </w:r>
            <w:r>
              <w:rPr>
                <w:rFonts w:hint="eastAsia" w:ascii="仿宋" w:hAnsi="仿宋" w:eastAsia="仿宋" w:cs="仿宋"/>
                <w:kern w:val="2"/>
                <w:sz w:val="24"/>
                <w:szCs w:val="24"/>
              </w:rPr>
              <w:t>具备完善的安全防护机制，做好数据备份，在合同签订后15个工作日内提交《安全事件应急响应手册》，重大安全事件（数据泄露、勒索病毒等）30 分钟内电话通报、2小时内到场、4小时内出具初步处置报告；</w:t>
            </w:r>
          </w:p>
          <w:p w14:paraId="4C9F90F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7、数据质量：</w:t>
            </w:r>
            <w:r>
              <w:rPr>
                <w:rFonts w:hint="eastAsia" w:ascii="仿宋" w:hAnsi="仿宋" w:eastAsia="仿宋" w:cs="仿宋"/>
                <w:kern w:val="2"/>
                <w:sz w:val="24"/>
                <w:szCs w:val="24"/>
              </w:rPr>
              <w:t>供应商收到异议后，</w:t>
            </w:r>
            <w:r>
              <w:rPr>
                <w:rFonts w:hint="eastAsia" w:ascii="仿宋" w:hAnsi="仿宋" w:eastAsia="仿宋" w:cs="仿宋"/>
                <w:kern w:val="2"/>
                <w:sz w:val="24"/>
                <w:szCs w:val="24"/>
                <w:lang w:eastAsia="zh-CN"/>
              </w:rPr>
              <w:t>成交</w:t>
            </w:r>
            <w:r>
              <w:rPr>
                <w:rFonts w:hint="eastAsia" w:ascii="仿宋" w:hAnsi="仿宋" w:eastAsia="仿宋" w:cs="仿宋"/>
                <w:kern w:val="2"/>
                <w:sz w:val="24"/>
                <w:szCs w:val="24"/>
              </w:rPr>
              <w:t>供应商应在5个工作日内对数据质量问题进行原因查找和反馈，30个工作日内对数据质量问题进行数据清洗；</w:t>
            </w:r>
          </w:p>
          <w:p w14:paraId="0042B4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8、响应速度：</w:t>
            </w:r>
            <w:r>
              <w:rPr>
                <w:rFonts w:hint="eastAsia" w:ascii="仿宋" w:hAnsi="仿宋" w:eastAsia="仿宋" w:cs="仿宋"/>
                <w:kern w:val="2"/>
                <w:sz w:val="24"/>
                <w:szCs w:val="24"/>
              </w:rPr>
              <w:t>服务期内，采购人通过电话、微信、现场提出的支持需求，供应商须在需求提出的当日完成响应；</w:t>
            </w:r>
          </w:p>
          <w:p w14:paraId="6D1681D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9、定期巡检：</w:t>
            </w:r>
            <w:r>
              <w:rPr>
                <w:rFonts w:hint="eastAsia" w:ascii="仿宋" w:hAnsi="仿宋" w:eastAsia="仿宋" w:cs="仿宋"/>
                <w:kern w:val="2"/>
                <w:sz w:val="24"/>
                <w:szCs w:val="24"/>
              </w:rPr>
              <w:t>针对全省21个地市州的坐席、省级坐席，服务期内每月提供至少1次巡检服务；</w:t>
            </w:r>
          </w:p>
          <w:p w14:paraId="5366DD6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10、业务培训服务：</w:t>
            </w:r>
            <w:r>
              <w:rPr>
                <w:rFonts w:hint="eastAsia" w:ascii="仿宋" w:hAnsi="仿宋" w:eastAsia="仿宋" w:cs="仿宋"/>
                <w:kern w:val="2"/>
                <w:sz w:val="24"/>
                <w:szCs w:val="24"/>
              </w:rPr>
              <w:t>每年提供≥2次培训服务，并提交培训方案和签到表；</w:t>
            </w:r>
          </w:p>
          <w:p w14:paraId="05B4D88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11、安全培训服务：</w:t>
            </w:r>
            <w:r>
              <w:rPr>
                <w:rFonts w:hint="eastAsia" w:ascii="仿宋" w:hAnsi="仿宋" w:eastAsia="仿宋" w:cs="仿宋"/>
                <w:kern w:val="2"/>
                <w:sz w:val="24"/>
                <w:szCs w:val="24"/>
              </w:rPr>
              <w:t>每年提供≥1次信息安全培训服务，并提交培训方案和签到表；</w:t>
            </w:r>
          </w:p>
          <w:p w14:paraId="2031A0B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12、AI算力试运行服务：</w:t>
            </w:r>
            <w:r>
              <w:rPr>
                <w:rFonts w:hint="eastAsia" w:ascii="仿宋" w:hAnsi="仿宋" w:eastAsia="仿宋" w:cs="仿宋"/>
                <w:kern w:val="2"/>
                <w:sz w:val="24"/>
                <w:szCs w:val="24"/>
              </w:rPr>
              <w:t>合同第一年度，服务实施期间提供≥2个月AI算力试用服务，FP16≥280 TFLOPS*4；显存≥64GB*4，期间所需的业务运行环境、资源由供应商提供。</w:t>
            </w:r>
          </w:p>
          <w:p w14:paraId="2EAC405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13、全省现场对接调试服务：</w:t>
            </w:r>
            <w:r>
              <w:rPr>
                <w:rFonts w:hint="eastAsia" w:ascii="仿宋" w:hAnsi="仿宋" w:eastAsia="仿宋" w:cs="仿宋"/>
                <w:kern w:val="2"/>
                <w:sz w:val="24"/>
                <w:szCs w:val="24"/>
              </w:rPr>
              <w:t>针对全省21个地市州的坐席、省级坐席提供现场对接调试服务（须上门服务），保障全省坐席可顺利接入业务系统。</w:t>
            </w:r>
          </w:p>
          <w:p w14:paraId="3CA8DFA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14、</w:t>
            </w:r>
            <w:r>
              <w:rPr>
                <w:rFonts w:hint="eastAsia" w:ascii="仿宋" w:hAnsi="仿宋" w:eastAsia="仿宋" w:cs="仿宋"/>
                <w:kern w:val="2"/>
                <w:sz w:val="24"/>
                <w:szCs w:val="24"/>
              </w:rPr>
              <w:t>三年服务期满后，采购人拥有本项目软件系统永久使用权，供应商授予采购人长期有效的软件使用许可。</w:t>
            </w:r>
            <w:r>
              <w:rPr>
                <w:rFonts w:hint="eastAsia" w:ascii="仿宋" w:hAnsi="仿宋" w:eastAsia="仿宋" w:cs="仿宋"/>
                <w:b/>
                <w:bCs/>
                <w:kern w:val="2"/>
                <w:sz w:val="24"/>
                <w:szCs w:val="24"/>
              </w:rPr>
              <w:t>（提供承诺函）</w:t>
            </w:r>
          </w:p>
          <w:p w14:paraId="56E65E1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15、文档服务：</w:t>
            </w:r>
            <w:r>
              <w:rPr>
                <w:rFonts w:hint="eastAsia" w:ascii="仿宋" w:hAnsi="仿宋" w:eastAsia="仿宋" w:cs="仿宋"/>
                <w:kern w:val="2"/>
                <w:sz w:val="24"/>
                <w:szCs w:val="24"/>
              </w:rPr>
              <w:t>无</w:t>
            </w:r>
          </w:p>
          <w:p w14:paraId="3ABC2D9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16、人员服务：</w:t>
            </w:r>
            <w:r>
              <w:rPr>
                <w:rFonts w:hint="eastAsia" w:ascii="仿宋" w:hAnsi="仿宋" w:eastAsia="仿宋" w:cs="仿宋"/>
                <w:kern w:val="2"/>
                <w:sz w:val="24"/>
                <w:szCs w:val="24"/>
              </w:rPr>
              <w:t>无</w:t>
            </w:r>
          </w:p>
          <w:p w14:paraId="0E388D3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17、其他：</w:t>
            </w:r>
          </w:p>
          <w:p w14:paraId="0D8EC5E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1）</w:t>
            </w:r>
            <w:r>
              <w:rPr>
                <w:rFonts w:hint="eastAsia" w:ascii="仿宋" w:hAnsi="仿宋" w:eastAsia="仿宋" w:cs="仿宋"/>
                <w:kern w:val="2"/>
                <w:sz w:val="24"/>
                <w:szCs w:val="24"/>
                <w:lang w:val="en-US" w:eastAsia="zh-CN"/>
              </w:rPr>
              <w:t>服务期内</w:t>
            </w:r>
            <w:r>
              <w:rPr>
                <w:rFonts w:hint="eastAsia" w:ascii="仿宋" w:hAnsi="仿宋" w:eastAsia="仿宋" w:cs="仿宋"/>
                <w:kern w:val="2"/>
                <w:sz w:val="24"/>
                <w:szCs w:val="24"/>
              </w:rPr>
              <w:t>，采购人每月按照四川省精神医学中心供应商考核指标对供应商行为进行评价考核，考核结果关联最终付款金额和履约保证金。</w:t>
            </w:r>
          </w:p>
          <w:p w14:paraId="2CECE4D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2）</w:t>
            </w:r>
            <w:r>
              <w:rPr>
                <w:rFonts w:hint="eastAsia" w:ascii="仿宋" w:hAnsi="仿宋" w:eastAsia="仿宋" w:cs="仿宋"/>
                <w:kern w:val="2"/>
                <w:sz w:val="24"/>
                <w:szCs w:val="24"/>
                <w:lang w:eastAsia="zh-CN"/>
              </w:rPr>
              <w:t>成交</w:t>
            </w:r>
            <w:r>
              <w:rPr>
                <w:rFonts w:hint="eastAsia" w:ascii="仿宋" w:hAnsi="仿宋" w:eastAsia="仿宋" w:cs="仿宋"/>
                <w:kern w:val="2"/>
                <w:sz w:val="24"/>
                <w:szCs w:val="24"/>
              </w:rPr>
              <w:t>供应商应当与本项目相关的第三方保持有痕的沟通，明确项目的具体要求和功能等方面的细节。采购人负责组织、监督和验收，以确保项目的顺利完成。</w:t>
            </w:r>
          </w:p>
          <w:p w14:paraId="04C25A0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3）如涉及因本项目开发的系统原因造成采购人的经济损失，由</w:t>
            </w:r>
            <w:r>
              <w:rPr>
                <w:rFonts w:hint="eastAsia" w:ascii="仿宋" w:hAnsi="仿宋" w:eastAsia="仿宋" w:cs="仿宋"/>
                <w:kern w:val="2"/>
                <w:sz w:val="24"/>
                <w:szCs w:val="24"/>
                <w:lang w:eastAsia="zh-CN"/>
              </w:rPr>
              <w:t>成交</w:t>
            </w:r>
            <w:r>
              <w:rPr>
                <w:rFonts w:hint="eastAsia" w:ascii="仿宋" w:hAnsi="仿宋" w:eastAsia="仿宋" w:cs="仿宋"/>
                <w:kern w:val="2"/>
                <w:sz w:val="24"/>
                <w:szCs w:val="24"/>
              </w:rPr>
              <w:t>供应商负责向采购人进行赔偿。</w:t>
            </w:r>
          </w:p>
        </w:tc>
        <w:tc>
          <w:tcPr>
            <w:tcW w:w="1380" w:type="dxa"/>
            <w:shd w:val="clear" w:color="auto" w:fill="auto"/>
            <w:tcMar>
              <w:top w:w="0" w:type="dxa"/>
              <w:left w:w="105" w:type="dxa"/>
              <w:bottom w:w="0" w:type="dxa"/>
              <w:right w:w="105" w:type="dxa"/>
            </w:tcMar>
            <w:vAlign w:val="center"/>
          </w:tcPr>
          <w:p w14:paraId="7480783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rPr>
              <w:t>三年，(2026年12月21日至2029年12月22日),合同一年一签，经考核合格后续签下一年度合同（每期合同服务期第10个月完成月度评价后，平均扣分≤10分视为服务期考核合格），如完成所有系统功能的上线运行的时间晚于2026年12月21日,则以采购人书面确认的完成所有系统功能的上线运行的时间作为服务期开始时间。</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2505C52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系统实施周期：供应商应在合同签订后30日内完成所有系统功能的上线运行（须由采购人书面确认）。未在实施周期内完成，视为供应商违约并自动放弃该项目，采购人有权终止合同，合同所有款项将不予支付（已缴纳的履约保证金，将不予退还），已支付款项，供应商应于7个工作日内退还采购人。</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2.</w:t>
      </w:r>
      <w:r>
        <w:rPr>
          <w:rFonts w:hint="eastAsia" w:ascii="仿宋" w:hAnsi="仿宋" w:eastAsia="仿宋" w:cs="仿宋"/>
          <w:sz w:val="24"/>
          <w:szCs w:val="24"/>
          <w:highlight w:val="none"/>
          <w:lang w:val="en-US" w:eastAsia="zh-CN"/>
        </w:rPr>
        <w:t>服务</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四川省精神医学中心及省内21市州。</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rPr>
        <w:t>付款</w:t>
      </w:r>
      <w:r>
        <w:rPr>
          <w:rFonts w:hint="eastAsia" w:ascii="仿宋" w:hAnsi="仿宋" w:eastAsia="仿宋" w:cs="仿宋"/>
          <w:sz w:val="24"/>
          <w:szCs w:val="24"/>
          <w:lang w:val="en-US" w:eastAsia="zh-CN"/>
        </w:rPr>
        <w:t>条件：总价包干，系统功能上线运行且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bookmarkStart w:id="15" w:name="_Toc153964904"/>
      <w:bookmarkEnd w:id="15"/>
      <w:bookmarkStart w:id="16" w:name="_Toc18622"/>
      <w:bookmarkEnd w:id="16"/>
      <w:r>
        <w:rPr>
          <w:rFonts w:hint="eastAsia" w:ascii="仿宋" w:hAnsi="仿宋" w:eastAsia="仿宋" w:cs="仿宋"/>
          <w:sz w:val="24"/>
          <w:szCs w:val="24"/>
          <w:lang w:val="en-US" w:eastAsia="zh-CN"/>
        </w:rPr>
        <w:t>4.履约验收方案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（5）履约验收内容：按照基于本项目采购需求编制的采购文件要求及供应商响应文件情况，由供应商向采购人提供的全部服务。</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（6）履约验收时间：服务期满且供应商完成所有服务内容后5日内通知采购人验收，采购人接供应商通知后10日内组织验收。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577A506E">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057F0D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5.知识产权归属：由采购人、供应商双方共同开发的项目：采购人、供应商双方共同研发的该系统软件产品，知识产权归采购人、供应商双方共同拥有，软件所有数据归采购人所有。</w:t>
      </w:r>
    </w:p>
    <w:p w14:paraId="5B5A77DE">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7CDA5D6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（一）服务团队</w:t>
      </w:r>
    </w:p>
    <w:p w14:paraId="53BA0547">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1.针对本项目派遣的项目经理（1人）：</w:t>
      </w:r>
    </w:p>
    <w:p w14:paraId="47D52A9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（1）具备中华人民共和国人力资源和社会保障部、工业和信息化部颁发的系统集成项目管理工程师证书；</w:t>
      </w:r>
    </w:p>
    <w:p w14:paraId="7A04CB6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（2）具备中华人民共和国人力资源和社会保障部、工业和信息化部颁发的系统规划与管理师证书；</w:t>
      </w:r>
    </w:p>
    <w:p w14:paraId="3AE8EDDE">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（3）具备中华人民共和国人力资源和社会保障部、工业和信息化部颁发的数据库系统工程师证书；</w:t>
      </w:r>
    </w:p>
    <w:p w14:paraId="610673E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（4）具备工业和信息化部直属评价机构颁发的人工智能工程技术人员中级及以上职业技术等级证书；</w:t>
      </w:r>
    </w:p>
    <w:p w14:paraId="77F349F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2.针对本项目派遣的技术负责人（1人）：</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（1）具备中国信息安全测评中心颁发的注册信息安全管理员(CISP-CISO)证书；</w:t>
      </w:r>
    </w:p>
    <w:p w14:paraId="0864794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（2）具备中国网络安全审查技术与认证中心颁发的信息安全保障人员认证(CISAW)证书；</w:t>
      </w:r>
    </w:p>
    <w:p w14:paraId="1FBC3A78">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（3）具备人力资源和社会保障部、工业和信息化部颁发的通信专业技术人员职业资格(初级及以上)证书；</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注：以上两项均需提供人员所持的有效的相关证书复印件、在职证明或承诺成交后提供在职证明（提供承诺函，格式自拟），并加盖供应商公章。</w:t>
      </w:r>
    </w:p>
    <w:p w14:paraId="49DE498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（二）项目实施方案</w:t>
      </w:r>
    </w:p>
    <w:p w14:paraId="6812886E">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供应商需提供针对本项目编制的项目实施方案，包括①需求分析、②整体技术方案、③实施方案、④安全保障措施、⑤项目管理方案。</w:t>
      </w:r>
    </w:p>
    <w:p w14:paraId="5A4141F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（三）业绩</w:t>
      </w:r>
    </w:p>
    <w:p w14:paraId="6B652D9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供应商提供2024年1月1日（含）以来心理援助热线类项目相关建设、服务的业绩证明。</w:t>
      </w:r>
    </w:p>
    <w:p w14:paraId="38F4902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注：提供采购合同关键页（合同首页、建设内容、金额、签字盖章页）材料复印件，并加盖供应商公章。</w:t>
      </w:r>
    </w:p>
    <w:p w14:paraId="2576330B">
      <w:pPr>
        <w:rPr>
          <w:rFonts w:hint="eastAsia" w:ascii="仿宋" w:hAnsi="仿宋" w:eastAsia="仿宋" w:cs="仿宋"/>
          <w:sz w:val="24"/>
          <w:szCs w:val="24"/>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2"/>
        <w:gridCol w:w="1558"/>
        <w:gridCol w:w="1731"/>
        <w:gridCol w:w="1367"/>
        <w:gridCol w:w="3150"/>
        <w:gridCol w:w="779"/>
      </w:tblGrid>
      <w:tr w14:paraId="4C654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4C4C286A">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8"/>
                <w:szCs w:val="28"/>
                <w:lang w:val="en-US" w:eastAsia="zh-CN" w:bidi="ar"/>
              </w:rPr>
              <w:t>四川省精神医学中心供应商考核</w:t>
            </w:r>
          </w:p>
        </w:tc>
      </w:tr>
      <w:tr w14:paraId="06266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183EDB68">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供应商</w:t>
            </w:r>
          </w:p>
        </w:tc>
        <w:tc>
          <w:tcPr>
            <w:tcW w:w="2850" w:type="dxa"/>
            <w:gridSpan w:val="2"/>
            <w:shd w:val="clear" w:color="auto" w:fill="auto"/>
            <w:tcMar>
              <w:top w:w="0" w:type="dxa"/>
              <w:left w:w="105" w:type="dxa"/>
              <w:bottom w:w="0" w:type="dxa"/>
              <w:right w:w="105" w:type="dxa"/>
            </w:tcMar>
            <w:vAlign w:val="center"/>
          </w:tcPr>
          <w:p w14:paraId="7A2B06AC">
            <w:pPr>
              <w:keepNext w:val="0"/>
              <w:keepLines w:val="0"/>
              <w:widowControl/>
              <w:suppressLineNumbers w:val="0"/>
              <w:jc w:val="left"/>
              <w:rPr>
                <w:rFonts w:hint="eastAsia" w:ascii="仿宋" w:hAnsi="仿宋" w:eastAsia="仿宋" w:cs="仿宋"/>
                <w:kern w:val="0"/>
                <w:sz w:val="24"/>
                <w:szCs w:val="24"/>
                <w:lang w:bidi="ar"/>
              </w:rPr>
            </w:pPr>
          </w:p>
        </w:tc>
        <w:tc>
          <w:tcPr>
            <w:tcW w:w="1185" w:type="dxa"/>
            <w:shd w:val="clear" w:color="auto" w:fill="auto"/>
            <w:tcMar>
              <w:top w:w="0" w:type="dxa"/>
              <w:left w:w="105" w:type="dxa"/>
              <w:bottom w:w="0" w:type="dxa"/>
              <w:right w:w="105" w:type="dxa"/>
            </w:tcMar>
            <w:vAlign w:val="center"/>
          </w:tcPr>
          <w:p w14:paraId="335B5E39">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合同名</w:t>
            </w:r>
          </w:p>
        </w:tc>
        <w:tc>
          <w:tcPr>
            <w:tcW w:w="3390" w:type="dxa"/>
            <w:gridSpan w:val="2"/>
            <w:shd w:val="clear" w:color="auto" w:fill="auto"/>
            <w:tcMar>
              <w:top w:w="0" w:type="dxa"/>
              <w:left w:w="105" w:type="dxa"/>
              <w:bottom w:w="0" w:type="dxa"/>
              <w:right w:w="105" w:type="dxa"/>
            </w:tcMar>
            <w:vAlign w:val="top"/>
          </w:tcPr>
          <w:p w14:paraId="593F3ED7">
            <w:pPr>
              <w:keepNext w:val="0"/>
              <w:keepLines w:val="0"/>
              <w:widowControl/>
              <w:suppressLineNumbers w:val="0"/>
              <w:jc w:val="left"/>
              <w:rPr>
                <w:rFonts w:hint="eastAsia" w:ascii="仿宋" w:hAnsi="仿宋" w:eastAsia="仿宋" w:cs="仿宋"/>
                <w:kern w:val="0"/>
                <w:sz w:val="24"/>
                <w:szCs w:val="24"/>
                <w:lang w:bidi="ar"/>
              </w:rPr>
            </w:pPr>
          </w:p>
        </w:tc>
      </w:tr>
      <w:tr w14:paraId="7E4B4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092CEFE8">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指标类别</w:t>
            </w:r>
          </w:p>
        </w:tc>
        <w:tc>
          <w:tcPr>
            <w:tcW w:w="1350" w:type="dxa"/>
            <w:shd w:val="clear" w:color="auto" w:fill="auto"/>
            <w:tcMar>
              <w:top w:w="0" w:type="dxa"/>
              <w:left w:w="105" w:type="dxa"/>
              <w:bottom w:w="0" w:type="dxa"/>
              <w:right w:w="105" w:type="dxa"/>
            </w:tcMar>
            <w:vAlign w:val="center"/>
          </w:tcPr>
          <w:p w14:paraId="4265636D">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w:t>
            </w:r>
          </w:p>
        </w:tc>
        <w:tc>
          <w:tcPr>
            <w:tcW w:w="5415" w:type="dxa"/>
            <w:gridSpan w:val="3"/>
            <w:shd w:val="clear" w:color="auto" w:fill="auto"/>
            <w:tcMar>
              <w:top w:w="0" w:type="dxa"/>
              <w:left w:w="105" w:type="dxa"/>
              <w:bottom w:w="0" w:type="dxa"/>
              <w:right w:w="105" w:type="dxa"/>
            </w:tcMar>
            <w:vAlign w:val="center"/>
          </w:tcPr>
          <w:p w14:paraId="1414F2C8">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考核内容</w:t>
            </w:r>
          </w:p>
        </w:tc>
        <w:tc>
          <w:tcPr>
            <w:tcW w:w="675" w:type="dxa"/>
            <w:shd w:val="clear" w:color="auto" w:fill="auto"/>
            <w:tcMar>
              <w:top w:w="0" w:type="dxa"/>
              <w:left w:w="105" w:type="dxa"/>
              <w:bottom w:w="0" w:type="dxa"/>
              <w:right w:w="105" w:type="dxa"/>
            </w:tcMar>
            <w:vAlign w:val="center"/>
          </w:tcPr>
          <w:p w14:paraId="4E42DDC7">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w:t>
            </w:r>
          </w:p>
        </w:tc>
      </w:tr>
      <w:tr w14:paraId="30F04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29813E8F">
            <w:pPr>
              <w:keepNext w:val="0"/>
              <w:keepLines w:val="0"/>
              <w:widowControl/>
              <w:suppressLineNumbers w:val="0"/>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性能质</w:t>
            </w:r>
          </w:p>
          <w:p w14:paraId="2720C761">
            <w:pPr>
              <w:keepNext w:val="0"/>
              <w:keepLines w:val="0"/>
              <w:widowControl/>
              <w:suppressLineNumbers w:val="0"/>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量评价</w:t>
            </w:r>
          </w:p>
          <w:p w14:paraId="093403CB">
            <w:pPr>
              <w:keepNext w:val="0"/>
              <w:keepLines w:val="0"/>
              <w:widowControl/>
              <w:suppressLineNumbers w:val="0"/>
              <w:spacing w:before="0" w:beforeAutospacing="1" w:after="195" w:afterAutospacing="0"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 </w:t>
            </w:r>
          </w:p>
        </w:tc>
        <w:tc>
          <w:tcPr>
            <w:tcW w:w="1350" w:type="dxa"/>
            <w:shd w:val="clear" w:color="auto" w:fill="auto"/>
            <w:tcMar>
              <w:top w:w="0" w:type="dxa"/>
              <w:left w:w="105" w:type="dxa"/>
              <w:bottom w:w="0" w:type="dxa"/>
              <w:right w:w="105" w:type="dxa"/>
            </w:tcMar>
            <w:vAlign w:val="center"/>
          </w:tcPr>
          <w:p w14:paraId="7B81FBA5">
            <w:pPr>
              <w:keepNext w:val="0"/>
              <w:keepLines w:val="0"/>
              <w:widowControl/>
              <w:suppressLineNumbers w:val="0"/>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稳定性</w:t>
            </w:r>
          </w:p>
        </w:tc>
        <w:tc>
          <w:tcPr>
            <w:tcW w:w="5415" w:type="dxa"/>
            <w:gridSpan w:val="3"/>
            <w:shd w:val="clear" w:color="auto" w:fill="auto"/>
            <w:tcMar>
              <w:top w:w="0" w:type="dxa"/>
              <w:left w:w="105" w:type="dxa"/>
              <w:bottom w:w="0" w:type="dxa"/>
              <w:right w:w="105" w:type="dxa"/>
            </w:tcMar>
            <w:vAlign w:val="center"/>
          </w:tcPr>
          <w:p w14:paraId="4B82E8ED">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0022C3EC">
            <w:pPr>
              <w:keepNext w:val="0"/>
              <w:keepLines w:val="0"/>
              <w:widowControl/>
              <w:suppressLineNumbers w:val="0"/>
              <w:jc w:val="left"/>
              <w:rPr>
                <w:rFonts w:hint="eastAsia" w:ascii="仿宋" w:hAnsi="仿宋" w:eastAsia="仿宋" w:cs="仿宋"/>
                <w:kern w:val="0"/>
                <w:sz w:val="24"/>
                <w:szCs w:val="24"/>
                <w:lang w:bidi="ar"/>
              </w:rPr>
            </w:pPr>
          </w:p>
        </w:tc>
      </w:tr>
      <w:tr w14:paraId="03A4F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ECB1C70">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5E9210D7">
            <w:pPr>
              <w:keepNext w:val="0"/>
              <w:keepLines w:val="0"/>
              <w:widowControl/>
              <w:suppressLineNumbers w:val="0"/>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安全性</w:t>
            </w:r>
          </w:p>
        </w:tc>
        <w:tc>
          <w:tcPr>
            <w:tcW w:w="5415" w:type="dxa"/>
            <w:gridSpan w:val="3"/>
            <w:shd w:val="clear" w:color="auto" w:fill="auto"/>
            <w:tcMar>
              <w:top w:w="0" w:type="dxa"/>
              <w:left w:w="105" w:type="dxa"/>
              <w:bottom w:w="0" w:type="dxa"/>
              <w:right w:w="105" w:type="dxa"/>
            </w:tcMar>
            <w:vAlign w:val="center"/>
          </w:tcPr>
          <w:p w14:paraId="2414E03A">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2E8CE1E9">
            <w:pPr>
              <w:keepNext w:val="0"/>
              <w:keepLines w:val="0"/>
              <w:widowControl/>
              <w:suppressLineNumbers w:val="0"/>
              <w:jc w:val="left"/>
              <w:rPr>
                <w:rFonts w:hint="eastAsia" w:ascii="仿宋" w:hAnsi="仿宋" w:eastAsia="仿宋" w:cs="仿宋"/>
                <w:kern w:val="0"/>
                <w:sz w:val="24"/>
                <w:szCs w:val="24"/>
                <w:lang w:bidi="ar"/>
              </w:rPr>
            </w:pPr>
          </w:p>
        </w:tc>
      </w:tr>
      <w:tr w14:paraId="17624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7543ECF">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58F5A8E1">
            <w:pPr>
              <w:keepNext w:val="0"/>
              <w:keepLines w:val="0"/>
              <w:widowControl/>
              <w:suppressLineNumbers w:val="0"/>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用户满意度</w:t>
            </w:r>
          </w:p>
        </w:tc>
        <w:tc>
          <w:tcPr>
            <w:tcW w:w="5415" w:type="dxa"/>
            <w:gridSpan w:val="3"/>
            <w:shd w:val="clear" w:color="auto" w:fill="auto"/>
            <w:tcMar>
              <w:top w:w="0" w:type="dxa"/>
              <w:left w:w="105" w:type="dxa"/>
              <w:bottom w:w="0" w:type="dxa"/>
              <w:right w:w="105" w:type="dxa"/>
            </w:tcMar>
            <w:vAlign w:val="center"/>
          </w:tcPr>
          <w:p w14:paraId="6DA16CE7">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1FE6F59F">
            <w:pPr>
              <w:keepNext w:val="0"/>
              <w:keepLines w:val="0"/>
              <w:widowControl/>
              <w:suppressLineNumbers w:val="0"/>
              <w:jc w:val="left"/>
              <w:rPr>
                <w:rFonts w:hint="eastAsia" w:ascii="仿宋" w:hAnsi="仿宋" w:eastAsia="仿宋" w:cs="仿宋"/>
                <w:kern w:val="0"/>
                <w:sz w:val="24"/>
                <w:szCs w:val="24"/>
                <w:lang w:bidi="ar"/>
              </w:rPr>
            </w:pPr>
          </w:p>
        </w:tc>
      </w:tr>
      <w:tr w14:paraId="447FB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537AD89">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107F504F">
            <w:pPr>
              <w:keepNext w:val="0"/>
              <w:keepLines w:val="0"/>
              <w:widowControl/>
              <w:suppressLineNumbers w:val="0"/>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响应速度</w:t>
            </w:r>
          </w:p>
        </w:tc>
        <w:tc>
          <w:tcPr>
            <w:tcW w:w="5415" w:type="dxa"/>
            <w:gridSpan w:val="3"/>
            <w:shd w:val="clear" w:color="auto" w:fill="auto"/>
            <w:tcMar>
              <w:top w:w="0" w:type="dxa"/>
              <w:left w:w="105" w:type="dxa"/>
              <w:bottom w:w="0" w:type="dxa"/>
              <w:right w:w="105" w:type="dxa"/>
            </w:tcMar>
            <w:vAlign w:val="center"/>
          </w:tcPr>
          <w:p w14:paraId="794A1D66">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16271510">
            <w:pPr>
              <w:keepNext w:val="0"/>
              <w:keepLines w:val="0"/>
              <w:widowControl/>
              <w:suppressLineNumbers w:val="0"/>
              <w:jc w:val="left"/>
              <w:rPr>
                <w:rFonts w:hint="eastAsia" w:ascii="仿宋" w:hAnsi="仿宋" w:eastAsia="仿宋" w:cs="仿宋"/>
                <w:kern w:val="0"/>
                <w:sz w:val="24"/>
                <w:szCs w:val="24"/>
                <w:lang w:bidi="ar"/>
              </w:rPr>
            </w:pPr>
          </w:p>
        </w:tc>
      </w:tr>
      <w:tr w14:paraId="5CB9F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9E8F10D">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5C34C686">
            <w:pPr>
              <w:keepNext w:val="0"/>
              <w:keepLines w:val="0"/>
              <w:widowControl/>
              <w:suppressLineNumbers w:val="0"/>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定期巡检</w:t>
            </w:r>
          </w:p>
        </w:tc>
        <w:tc>
          <w:tcPr>
            <w:tcW w:w="5415" w:type="dxa"/>
            <w:gridSpan w:val="3"/>
            <w:shd w:val="clear" w:color="auto" w:fill="auto"/>
            <w:tcMar>
              <w:top w:w="0" w:type="dxa"/>
              <w:left w:w="105" w:type="dxa"/>
              <w:bottom w:w="0" w:type="dxa"/>
              <w:right w:w="105" w:type="dxa"/>
            </w:tcMar>
            <w:vAlign w:val="center"/>
          </w:tcPr>
          <w:p w14:paraId="41380D09">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7503375D">
            <w:pPr>
              <w:keepNext w:val="0"/>
              <w:keepLines w:val="0"/>
              <w:widowControl/>
              <w:suppressLineNumbers w:val="0"/>
              <w:jc w:val="left"/>
              <w:rPr>
                <w:rFonts w:hint="eastAsia" w:ascii="仿宋" w:hAnsi="仿宋" w:eastAsia="仿宋" w:cs="仿宋"/>
                <w:kern w:val="0"/>
                <w:sz w:val="24"/>
                <w:szCs w:val="24"/>
                <w:lang w:bidi="ar"/>
              </w:rPr>
            </w:pPr>
          </w:p>
        </w:tc>
      </w:tr>
      <w:tr w14:paraId="512A3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74DE128">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44A0D9E9">
            <w:pPr>
              <w:keepNext w:val="0"/>
              <w:keepLines w:val="0"/>
              <w:widowControl/>
              <w:suppressLineNumbers w:val="0"/>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培训服务</w:t>
            </w:r>
          </w:p>
        </w:tc>
        <w:tc>
          <w:tcPr>
            <w:tcW w:w="5415" w:type="dxa"/>
            <w:gridSpan w:val="3"/>
            <w:shd w:val="clear" w:color="auto" w:fill="auto"/>
            <w:tcMar>
              <w:top w:w="0" w:type="dxa"/>
              <w:left w:w="105" w:type="dxa"/>
              <w:bottom w:w="0" w:type="dxa"/>
              <w:right w:w="105" w:type="dxa"/>
            </w:tcMar>
            <w:vAlign w:val="center"/>
          </w:tcPr>
          <w:p w14:paraId="136EBE85">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234EA5AF">
            <w:pPr>
              <w:keepNext w:val="0"/>
              <w:keepLines w:val="0"/>
              <w:widowControl/>
              <w:suppressLineNumbers w:val="0"/>
              <w:jc w:val="left"/>
              <w:rPr>
                <w:rFonts w:hint="eastAsia" w:ascii="仿宋" w:hAnsi="仿宋" w:eastAsia="仿宋" w:cs="仿宋"/>
                <w:kern w:val="0"/>
                <w:sz w:val="24"/>
                <w:szCs w:val="24"/>
                <w:lang w:bidi="ar"/>
              </w:rPr>
            </w:pPr>
          </w:p>
        </w:tc>
      </w:tr>
      <w:tr w14:paraId="78381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755C97B">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0FBD21BE">
            <w:pPr>
              <w:keepNext w:val="0"/>
              <w:keepLines w:val="0"/>
              <w:widowControl/>
              <w:suppressLineNumbers w:val="0"/>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技术文档</w:t>
            </w:r>
          </w:p>
        </w:tc>
        <w:tc>
          <w:tcPr>
            <w:tcW w:w="5415" w:type="dxa"/>
            <w:gridSpan w:val="3"/>
            <w:shd w:val="clear" w:color="auto" w:fill="auto"/>
            <w:tcMar>
              <w:top w:w="0" w:type="dxa"/>
              <w:left w:w="105" w:type="dxa"/>
              <w:bottom w:w="0" w:type="dxa"/>
              <w:right w:w="105" w:type="dxa"/>
            </w:tcMar>
            <w:vAlign w:val="center"/>
          </w:tcPr>
          <w:p w14:paraId="25554391">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269CB6FC">
            <w:pPr>
              <w:keepNext w:val="0"/>
              <w:keepLines w:val="0"/>
              <w:widowControl/>
              <w:suppressLineNumbers w:val="0"/>
              <w:jc w:val="left"/>
              <w:rPr>
                <w:rFonts w:hint="eastAsia" w:ascii="仿宋" w:hAnsi="仿宋" w:eastAsia="仿宋" w:cs="仿宋"/>
                <w:kern w:val="0"/>
                <w:sz w:val="24"/>
                <w:szCs w:val="24"/>
                <w:lang w:bidi="ar"/>
              </w:rPr>
            </w:pPr>
          </w:p>
        </w:tc>
      </w:tr>
      <w:tr w14:paraId="563B9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2FB0204E">
            <w:pPr>
              <w:keepNext w:val="0"/>
              <w:keepLines w:val="0"/>
              <w:widowControl/>
              <w:suppressLineNumbers w:val="0"/>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违规违</w:t>
            </w:r>
          </w:p>
          <w:p w14:paraId="5C1CFA5F">
            <w:pPr>
              <w:keepNext w:val="0"/>
              <w:keepLines w:val="0"/>
              <w:widowControl/>
              <w:suppressLineNumbers w:val="0"/>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纪评价</w:t>
            </w:r>
          </w:p>
        </w:tc>
        <w:tc>
          <w:tcPr>
            <w:tcW w:w="1350" w:type="dxa"/>
            <w:shd w:val="clear" w:color="auto" w:fill="auto"/>
            <w:tcMar>
              <w:top w:w="0" w:type="dxa"/>
              <w:left w:w="105" w:type="dxa"/>
              <w:bottom w:w="0" w:type="dxa"/>
              <w:right w:w="105" w:type="dxa"/>
            </w:tcMar>
            <w:vAlign w:val="center"/>
          </w:tcPr>
          <w:p w14:paraId="0E934729">
            <w:pPr>
              <w:keepNext w:val="0"/>
              <w:keepLines w:val="0"/>
              <w:widowControl/>
              <w:suppressLineNumbers w:val="0"/>
              <w:spacing w:before="0" w:beforeAutospacing="1" w:after="195" w:afterAutospacing="0"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廉洁从业</w:t>
            </w:r>
          </w:p>
        </w:tc>
        <w:tc>
          <w:tcPr>
            <w:tcW w:w="5415" w:type="dxa"/>
            <w:gridSpan w:val="3"/>
            <w:shd w:val="clear" w:color="auto" w:fill="auto"/>
            <w:tcMar>
              <w:top w:w="0" w:type="dxa"/>
              <w:left w:w="105" w:type="dxa"/>
              <w:bottom w:w="0" w:type="dxa"/>
              <w:right w:w="105" w:type="dxa"/>
            </w:tcMar>
            <w:vAlign w:val="center"/>
          </w:tcPr>
          <w:p w14:paraId="295041B7">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6920DF3F">
            <w:pPr>
              <w:keepNext w:val="0"/>
              <w:keepLines w:val="0"/>
              <w:widowControl/>
              <w:suppressLineNumbers w:val="0"/>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一票否决</w:t>
            </w:r>
          </w:p>
        </w:tc>
      </w:tr>
      <w:tr w14:paraId="4CA60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B053FF7">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5180D7E8">
            <w:pPr>
              <w:keepNext w:val="0"/>
              <w:keepLines w:val="0"/>
              <w:widowControl/>
              <w:suppressLineNumbers w:val="0"/>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安全规范</w:t>
            </w:r>
          </w:p>
        </w:tc>
        <w:tc>
          <w:tcPr>
            <w:tcW w:w="5415" w:type="dxa"/>
            <w:gridSpan w:val="3"/>
            <w:shd w:val="clear" w:color="auto" w:fill="auto"/>
            <w:tcMar>
              <w:top w:w="0" w:type="dxa"/>
              <w:left w:w="105" w:type="dxa"/>
              <w:bottom w:w="0" w:type="dxa"/>
              <w:right w:w="105" w:type="dxa"/>
            </w:tcMar>
            <w:vAlign w:val="center"/>
          </w:tcPr>
          <w:p w14:paraId="2FCBACBF">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不遵守安全生产规范，每次扣2分；</w:t>
            </w:r>
          </w:p>
        </w:tc>
        <w:tc>
          <w:tcPr>
            <w:tcW w:w="675" w:type="dxa"/>
            <w:shd w:val="clear" w:color="auto" w:fill="auto"/>
            <w:tcMar>
              <w:top w:w="0" w:type="dxa"/>
              <w:left w:w="105" w:type="dxa"/>
              <w:bottom w:w="0" w:type="dxa"/>
              <w:right w:w="105" w:type="dxa"/>
            </w:tcMar>
            <w:vAlign w:val="center"/>
          </w:tcPr>
          <w:p w14:paraId="5097051C">
            <w:pPr>
              <w:keepNext w:val="0"/>
              <w:keepLines w:val="0"/>
              <w:widowControl/>
              <w:suppressLineNumbers w:val="0"/>
              <w:jc w:val="left"/>
              <w:rPr>
                <w:rFonts w:hint="eastAsia" w:ascii="仿宋" w:hAnsi="仿宋" w:eastAsia="仿宋" w:cs="仿宋"/>
                <w:kern w:val="0"/>
                <w:sz w:val="24"/>
                <w:szCs w:val="24"/>
                <w:lang w:bidi="ar"/>
              </w:rPr>
            </w:pPr>
          </w:p>
        </w:tc>
      </w:tr>
      <w:tr w14:paraId="202D0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F12D738">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058DC2C4">
            <w:pPr>
              <w:keepNext w:val="0"/>
              <w:keepLines w:val="0"/>
              <w:widowControl/>
              <w:suppressLineNumbers w:val="0"/>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其他违纪违规</w:t>
            </w:r>
          </w:p>
        </w:tc>
        <w:tc>
          <w:tcPr>
            <w:tcW w:w="5415" w:type="dxa"/>
            <w:gridSpan w:val="3"/>
            <w:shd w:val="clear" w:color="auto" w:fill="auto"/>
            <w:tcMar>
              <w:top w:w="0" w:type="dxa"/>
              <w:left w:w="105" w:type="dxa"/>
              <w:bottom w:w="0" w:type="dxa"/>
              <w:right w:w="105" w:type="dxa"/>
            </w:tcMar>
            <w:vAlign w:val="center"/>
          </w:tcPr>
          <w:p w14:paraId="47A11655">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34E6E382">
            <w:pPr>
              <w:keepNext w:val="0"/>
              <w:keepLines w:val="0"/>
              <w:widowControl/>
              <w:suppressLineNumbers w:val="0"/>
              <w:jc w:val="left"/>
              <w:rPr>
                <w:rFonts w:hint="eastAsia" w:ascii="仿宋" w:hAnsi="仿宋" w:eastAsia="仿宋" w:cs="仿宋"/>
                <w:kern w:val="0"/>
                <w:sz w:val="24"/>
                <w:szCs w:val="24"/>
                <w:lang w:bidi="ar"/>
              </w:rPr>
            </w:pPr>
          </w:p>
        </w:tc>
      </w:tr>
      <w:tr w14:paraId="09DE1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1DF98F19">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扣分合计</w:t>
            </w:r>
          </w:p>
        </w:tc>
        <w:tc>
          <w:tcPr>
            <w:tcW w:w="7425" w:type="dxa"/>
            <w:gridSpan w:val="5"/>
            <w:shd w:val="clear" w:color="auto" w:fill="auto"/>
            <w:tcMar>
              <w:top w:w="0" w:type="dxa"/>
              <w:left w:w="105" w:type="dxa"/>
              <w:bottom w:w="0" w:type="dxa"/>
              <w:right w:w="105" w:type="dxa"/>
            </w:tcMar>
            <w:vAlign w:val="center"/>
          </w:tcPr>
          <w:p w14:paraId="78FB9D21">
            <w:pPr>
              <w:keepNext w:val="0"/>
              <w:keepLines w:val="0"/>
              <w:widowControl/>
              <w:suppressLineNumbers w:val="0"/>
              <w:jc w:val="left"/>
              <w:rPr>
                <w:rFonts w:hint="eastAsia" w:ascii="仿宋" w:hAnsi="仿宋" w:eastAsia="仿宋" w:cs="仿宋"/>
                <w:kern w:val="0"/>
                <w:sz w:val="24"/>
                <w:szCs w:val="24"/>
                <w:lang w:bidi="ar"/>
              </w:rPr>
            </w:pPr>
          </w:p>
        </w:tc>
      </w:tr>
      <w:tr w14:paraId="0736D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4A9B9721">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考核人</w:t>
            </w:r>
          </w:p>
        </w:tc>
        <w:tc>
          <w:tcPr>
            <w:tcW w:w="7425" w:type="dxa"/>
            <w:gridSpan w:val="5"/>
            <w:shd w:val="clear" w:color="auto" w:fill="auto"/>
            <w:tcMar>
              <w:top w:w="0" w:type="dxa"/>
              <w:left w:w="105" w:type="dxa"/>
              <w:bottom w:w="0" w:type="dxa"/>
              <w:right w:w="105" w:type="dxa"/>
            </w:tcMar>
            <w:vAlign w:val="center"/>
          </w:tcPr>
          <w:p w14:paraId="2FBE87BF">
            <w:pPr>
              <w:keepNext w:val="0"/>
              <w:keepLines w:val="0"/>
              <w:widowControl/>
              <w:suppressLineNumbers w:val="0"/>
              <w:spacing w:before="0" w:beforeAutospacing="1" w:after="0" w:afterAutospacing="1" w:line="36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w:t>
            </w:r>
          </w:p>
          <w:p w14:paraId="3A8DDF66">
            <w:pPr>
              <w:keepNext w:val="0"/>
              <w:keepLines w:val="0"/>
              <w:widowControl/>
              <w:suppressLineNumbers w:val="0"/>
              <w:spacing w:before="0" w:beforeAutospacing="1" w:after="0" w:afterAutospacing="1" w:line="36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年    月    日</w:t>
            </w:r>
          </w:p>
        </w:tc>
      </w:tr>
    </w:tbl>
    <w:p w14:paraId="36BC89F5">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备注：</w:t>
      </w:r>
    </w:p>
    <w:p w14:paraId="7B633AA7">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1.服务期内，采购人可按照本项目采购需求内容对应的考核指标对供应商进行考核，具体指标以采购人要求为准；</w:t>
      </w:r>
    </w:p>
    <w:p w14:paraId="0561C308">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1955F75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平均扣分=服务期汇总考核扣分之和÷服务期内考核次数</w:t>
      </w:r>
      <w:r>
        <w:rPr>
          <w:rFonts w:hint="eastAsia" w:ascii="仿宋" w:hAnsi="仿宋" w:eastAsia="仿宋" w:cs="仿宋"/>
          <w:sz w:val="24"/>
          <w:szCs w:val="24"/>
          <w:lang w:eastAsia="zh-CN"/>
        </w:rPr>
        <w:t>；</w:t>
      </w:r>
    </w:p>
    <w:p w14:paraId="7280AA24">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w:t>
      </w:r>
      <w:r>
        <w:rPr>
          <w:rFonts w:hint="eastAsia" w:ascii="仿宋" w:hAnsi="仿宋" w:eastAsia="仿宋" w:cs="仿宋"/>
          <w:sz w:val="24"/>
          <w:szCs w:val="24"/>
          <w:lang w:val="en-US" w:eastAsia="zh-CN"/>
        </w:rPr>
        <w:t>＜</w:t>
      </w:r>
      <w:r>
        <w:rPr>
          <w:rFonts w:hint="eastAsia" w:ascii="仿宋" w:hAnsi="仿宋" w:eastAsia="仿宋" w:cs="仿宋"/>
          <w:sz w:val="24"/>
          <w:szCs w:val="24"/>
        </w:rPr>
        <w:t>平均扣分≤3分，将对供应商进行诫勉谈话；</w:t>
      </w:r>
    </w:p>
    <w:p w14:paraId="4AB484E1">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w:t>
      </w:r>
      <w:r>
        <w:rPr>
          <w:rFonts w:hint="eastAsia" w:ascii="仿宋" w:hAnsi="仿宋" w:eastAsia="仿宋" w:cs="仿宋"/>
          <w:sz w:val="24"/>
          <w:szCs w:val="24"/>
          <w:lang w:val="en-US" w:eastAsia="zh-CN"/>
        </w:rPr>
        <w:t>＜</w:t>
      </w:r>
      <w:r>
        <w:rPr>
          <w:rFonts w:hint="eastAsia" w:ascii="仿宋" w:hAnsi="仿宋" w:eastAsia="仿宋" w:cs="仿宋"/>
          <w:sz w:val="24"/>
          <w:szCs w:val="24"/>
        </w:rPr>
        <w:t>平均扣分≤5分，对供应商提出警告，从履约保证金中扣除合同</w:t>
      </w:r>
      <w:r>
        <w:rPr>
          <w:rFonts w:hint="eastAsia" w:ascii="仿宋" w:hAnsi="仿宋" w:eastAsia="仿宋" w:cs="仿宋"/>
          <w:sz w:val="24"/>
          <w:szCs w:val="24"/>
          <w:lang w:eastAsia="zh-CN"/>
        </w:rPr>
        <w:t>总</w:t>
      </w:r>
      <w:r>
        <w:rPr>
          <w:rFonts w:hint="eastAsia" w:ascii="仿宋" w:hAnsi="仿宋" w:eastAsia="仿宋" w:cs="仿宋"/>
          <w:sz w:val="24"/>
          <w:szCs w:val="24"/>
        </w:rPr>
        <w:t>金额5%费用，扣完为止；</w:t>
      </w:r>
    </w:p>
    <w:p w14:paraId="6FDB8D28">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w:t>
      </w:r>
      <w:r>
        <w:rPr>
          <w:rFonts w:hint="eastAsia" w:ascii="仿宋" w:hAnsi="仿宋" w:eastAsia="仿宋" w:cs="仿宋"/>
          <w:sz w:val="24"/>
          <w:szCs w:val="24"/>
          <w:lang w:val="en-US" w:eastAsia="zh-CN"/>
        </w:rPr>
        <w:t>＜</w:t>
      </w:r>
      <w:r>
        <w:rPr>
          <w:rFonts w:hint="eastAsia" w:ascii="仿宋" w:hAnsi="仿宋" w:eastAsia="仿宋" w:cs="仿宋"/>
          <w:sz w:val="24"/>
          <w:szCs w:val="24"/>
        </w:rPr>
        <w:t>平均扣分≤10分，对供应商提出严重警告，从履约保证金中扣除合同</w:t>
      </w:r>
      <w:r>
        <w:rPr>
          <w:rFonts w:hint="eastAsia" w:ascii="仿宋" w:hAnsi="仿宋" w:eastAsia="仿宋" w:cs="仿宋"/>
          <w:sz w:val="24"/>
          <w:szCs w:val="24"/>
          <w:lang w:eastAsia="zh-CN"/>
        </w:rPr>
        <w:t>总</w:t>
      </w:r>
      <w:r>
        <w:rPr>
          <w:rFonts w:hint="eastAsia" w:ascii="仿宋" w:hAnsi="仿宋" w:eastAsia="仿宋" w:cs="仿宋"/>
          <w:sz w:val="24"/>
          <w:szCs w:val="24"/>
        </w:rPr>
        <w:t>金额10%费用，扣完为止；</w:t>
      </w:r>
    </w:p>
    <w:p w14:paraId="67D6D24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w:t>
      </w:r>
      <w:r>
        <w:rPr>
          <w:rFonts w:hint="eastAsia" w:ascii="仿宋" w:hAnsi="仿宋" w:eastAsia="仿宋" w:cs="仿宋"/>
          <w:sz w:val="24"/>
          <w:szCs w:val="24"/>
          <w:lang w:val="en-US" w:eastAsia="zh-CN"/>
        </w:rPr>
        <w:t>＜</w:t>
      </w:r>
      <w:r>
        <w:rPr>
          <w:rFonts w:hint="eastAsia" w:ascii="仿宋" w:hAnsi="仿宋" w:eastAsia="仿宋" w:cs="仿宋"/>
          <w:sz w:val="24"/>
          <w:szCs w:val="24"/>
        </w:rPr>
        <w:t>平均扣分，视为不合格，终止本项目所有合同（包括续签合同），履约保金不予退还；</w:t>
      </w:r>
    </w:p>
    <w:p w14:paraId="2E51400C">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3.供应商出现一票否决时，将对其违法违纪的相关情况汇报院纪委，同时按供应商违约情况取消本次合作，扣除所有剩余款项，履约保证金不予退还，并保留后续追究供应商责任的权利。</w:t>
      </w:r>
    </w:p>
    <w:p w14:paraId="0706DEDC">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4.如合同待支付金额或履约保证金中无款可扣且考核后出现扣款情况，</w:t>
      </w:r>
      <w:r>
        <w:rPr>
          <w:rFonts w:hint="eastAsia" w:ascii="仿宋" w:hAnsi="仿宋" w:eastAsia="仿宋" w:cs="仿宋"/>
          <w:sz w:val="24"/>
          <w:szCs w:val="24"/>
          <w:lang w:val="en-US" w:eastAsia="zh-CN"/>
        </w:rPr>
        <w:t>供应商</w:t>
      </w:r>
      <w:r>
        <w:rPr>
          <w:rFonts w:hint="eastAsia" w:ascii="仿宋" w:hAnsi="仿宋" w:eastAsia="仿宋" w:cs="仿宋"/>
          <w:sz w:val="24"/>
          <w:szCs w:val="24"/>
        </w:rPr>
        <w:t>承诺在得到</w:t>
      </w:r>
      <w:r>
        <w:rPr>
          <w:rFonts w:hint="eastAsia" w:ascii="仿宋" w:hAnsi="仿宋" w:eastAsia="仿宋" w:cs="仿宋"/>
          <w:sz w:val="24"/>
          <w:szCs w:val="24"/>
          <w:lang w:val="en-US" w:eastAsia="zh-CN"/>
        </w:rPr>
        <w:t>采购人</w:t>
      </w:r>
      <w:r>
        <w:rPr>
          <w:rFonts w:hint="eastAsia" w:ascii="仿宋" w:hAnsi="仿宋" w:eastAsia="仿宋" w:cs="仿宋"/>
          <w:sz w:val="24"/>
          <w:szCs w:val="24"/>
        </w:rPr>
        <w:t>考核结果后的10日内向</w:t>
      </w:r>
      <w:r>
        <w:rPr>
          <w:rFonts w:hint="eastAsia" w:ascii="仿宋" w:hAnsi="仿宋" w:eastAsia="仿宋" w:cs="仿宋"/>
          <w:sz w:val="24"/>
          <w:szCs w:val="24"/>
          <w:lang w:val="en-US" w:eastAsia="zh-CN"/>
        </w:rPr>
        <w:t>采购人</w:t>
      </w:r>
      <w:r>
        <w:rPr>
          <w:rFonts w:hint="eastAsia" w:ascii="仿宋" w:hAnsi="仿宋" w:eastAsia="仿宋" w:cs="仿宋"/>
          <w:sz w:val="24"/>
          <w:szCs w:val="24"/>
        </w:rPr>
        <w:t>缴纳对应的扣款金额。（提供承诺函）</w:t>
      </w:r>
    </w:p>
    <w:p w14:paraId="007D785A">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5.本考核指标最终解释权归四川省精神医学中心。</w:t>
      </w:r>
    </w:p>
    <w:p w14:paraId="4AC6F114">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7C213926">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w:t>
      </w:r>
      <w:r>
        <w:rPr>
          <w:rFonts w:hint="eastAsia" w:ascii="仿宋" w:hAnsi="仿宋" w:eastAsia="仿宋" w:cs="仿宋"/>
          <w:sz w:val="24"/>
          <w:szCs w:val="24"/>
          <w:lang w:eastAsia="zh-CN"/>
        </w:rPr>
        <w:t>，带“▲”项的条款为重要技术参数</w:t>
      </w:r>
      <w:r>
        <w:rPr>
          <w:rFonts w:hint="eastAsia" w:ascii="仿宋" w:hAnsi="仿宋" w:eastAsia="仿宋" w:cs="仿宋"/>
          <w:sz w:val="24"/>
          <w:szCs w:val="24"/>
        </w:rPr>
        <w:t>。</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7" w:name="_Toc28789"/>
      <w:bookmarkStart w:id="18" w:name="_Toc22588"/>
      <w:bookmarkStart w:id="19" w:name="_Toc1376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tbl>
      <w:tblPr>
        <w:tblStyle w:val="18"/>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9"/>
        <w:gridCol w:w="1006"/>
        <w:gridCol w:w="1173"/>
        <w:gridCol w:w="6201"/>
        <w:gridCol w:w="884"/>
      </w:tblGrid>
      <w:tr w14:paraId="1A15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79" w:type="dxa"/>
            <w:tcBorders>
              <w:top w:val="single" w:color="auto" w:sz="4" w:space="0"/>
              <w:left w:val="single" w:color="auto" w:sz="4" w:space="0"/>
              <w:bottom w:val="single" w:color="auto" w:sz="4" w:space="0"/>
              <w:right w:val="single" w:color="auto" w:sz="4" w:space="0"/>
            </w:tcBorders>
            <w:vAlign w:val="center"/>
          </w:tcPr>
          <w:p w14:paraId="74CB590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006" w:type="dxa"/>
            <w:tcBorders>
              <w:top w:val="single" w:color="auto" w:sz="4" w:space="0"/>
              <w:left w:val="single" w:color="auto" w:sz="4" w:space="0"/>
              <w:bottom w:val="single" w:color="auto" w:sz="4" w:space="0"/>
              <w:right w:val="single" w:color="auto" w:sz="4" w:space="0"/>
            </w:tcBorders>
            <w:vAlign w:val="center"/>
          </w:tcPr>
          <w:p w14:paraId="2B1E3535">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173" w:type="dxa"/>
            <w:tcBorders>
              <w:top w:val="single" w:color="auto" w:sz="4" w:space="0"/>
              <w:left w:val="single" w:color="auto" w:sz="4" w:space="0"/>
              <w:bottom w:val="single" w:color="auto" w:sz="4" w:space="0"/>
              <w:right w:val="single" w:color="auto" w:sz="4" w:space="0"/>
            </w:tcBorders>
            <w:vAlign w:val="center"/>
          </w:tcPr>
          <w:p w14:paraId="118738C8">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6203" w:type="dxa"/>
            <w:tcBorders>
              <w:top w:val="single" w:color="auto" w:sz="4" w:space="0"/>
              <w:left w:val="single" w:color="auto" w:sz="4" w:space="0"/>
              <w:bottom w:val="single" w:color="auto" w:sz="4" w:space="0"/>
              <w:right w:val="single" w:color="auto" w:sz="4" w:space="0"/>
            </w:tcBorders>
            <w:vAlign w:val="center"/>
          </w:tcPr>
          <w:p w14:paraId="02F3067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884" w:type="dxa"/>
            <w:tcBorders>
              <w:top w:val="single" w:color="auto" w:sz="4" w:space="0"/>
              <w:left w:val="single" w:color="auto" w:sz="4" w:space="0"/>
              <w:bottom w:val="single" w:color="auto" w:sz="4" w:space="0"/>
              <w:right w:val="single" w:color="auto" w:sz="4" w:space="0"/>
            </w:tcBorders>
            <w:vAlign w:val="center"/>
          </w:tcPr>
          <w:p w14:paraId="358E40E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608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579" w:type="dxa"/>
            <w:tcBorders>
              <w:top w:val="single" w:color="auto" w:sz="4" w:space="0"/>
              <w:left w:val="single" w:color="auto" w:sz="4" w:space="0"/>
              <w:bottom w:val="single" w:color="auto" w:sz="4" w:space="0"/>
              <w:right w:val="single" w:color="auto" w:sz="4" w:space="0"/>
            </w:tcBorders>
            <w:vAlign w:val="center"/>
          </w:tcPr>
          <w:p w14:paraId="70856944">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006" w:type="dxa"/>
            <w:tcBorders>
              <w:top w:val="single" w:color="auto" w:sz="4" w:space="0"/>
              <w:left w:val="single" w:color="auto" w:sz="4" w:space="0"/>
              <w:bottom w:val="single" w:color="auto" w:sz="4" w:space="0"/>
              <w:right w:val="single" w:color="auto" w:sz="4" w:space="0"/>
            </w:tcBorders>
            <w:vAlign w:val="center"/>
          </w:tcPr>
          <w:p w14:paraId="5C8BAA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0%</w:t>
            </w:r>
          </w:p>
        </w:tc>
        <w:tc>
          <w:tcPr>
            <w:tcW w:w="1173" w:type="dxa"/>
            <w:tcBorders>
              <w:top w:val="single" w:color="auto" w:sz="4" w:space="0"/>
              <w:left w:val="single" w:color="auto" w:sz="4" w:space="0"/>
              <w:bottom w:val="single" w:color="auto" w:sz="4" w:space="0"/>
              <w:right w:val="single" w:color="auto" w:sz="4" w:space="0"/>
            </w:tcBorders>
            <w:vAlign w:val="center"/>
          </w:tcPr>
          <w:p w14:paraId="3897279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0分</w:t>
            </w:r>
          </w:p>
        </w:tc>
        <w:tc>
          <w:tcPr>
            <w:tcW w:w="6203" w:type="dxa"/>
            <w:tcBorders>
              <w:top w:val="single" w:color="auto" w:sz="4" w:space="0"/>
              <w:left w:val="single" w:color="auto" w:sz="4" w:space="0"/>
              <w:bottom w:val="single" w:color="auto" w:sz="4" w:space="0"/>
              <w:right w:val="single" w:color="auto" w:sz="4" w:space="0"/>
            </w:tcBorders>
            <w:vAlign w:val="center"/>
          </w:tcPr>
          <w:p w14:paraId="3E29634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0</w:t>
            </w:r>
          </w:p>
        </w:tc>
        <w:tc>
          <w:tcPr>
            <w:tcW w:w="884" w:type="dxa"/>
            <w:tcBorders>
              <w:top w:val="single" w:color="auto" w:sz="4" w:space="0"/>
              <w:left w:val="single" w:color="auto" w:sz="4" w:space="0"/>
              <w:bottom w:val="single" w:color="auto" w:sz="4" w:space="0"/>
              <w:right w:val="single" w:color="auto" w:sz="4" w:space="0"/>
            </w:tcBorders>
            <w:vAlign w:val="center"/>
          </w:tcPr>
          <w:p w14:paraId="152C21F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9F1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579" w:type="dxa"/>
            <w:tcBorders>
              <w:top w:val="single" w:color="auto" w:sz="4" w:space="0"/>
              <w:left w:val="single" w:color="auto" w:sz="4" w:space="0"/>
              <w:right w:val="single" w:color="auto" w:sz="4" w:space="0"/>
            </w:tcBorders>
            <w:vAlign w:val="center"/>
          </w:tcPr>
          <w:p w14:paraId="3BEE9DC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006" w:type="dxa"/>
            <w:tcBorders>
              <w:top w:val="single" w:color="auto" w:sz="4" w:space="0"/>
              <w:left w:val="single" w:color="auto" w:sz="4" w:space="0"/>
              <w:right w:val="single" w:color="auto" w:sz="4" w:space="0"/>
            </w:tcBorders>
            <w:vAlign w:val="center"/>
          </w:tcPr>
          <w:p w14:paraId="5FA06A6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技术参数52</w:t>
            </w:r>
            <w:r>
              <w:rPr>
                <w:rFonts w:hint="eastAsia" w:ascii="仿宋" w:hAnsi="仿宋" w:eastAsia="仿宋" w:cs="仿宋"/>
                <w:color w:val="000000" w:themeColor="text1"/>
                <w:sz w:val="24"/>
                <w:szCs w:val="24"/>
                <w:highlight w:val="none"/>
                <w14:textFill>
                  <w14:solidFill>
                    <w14:schemeClr w14:val="tx1"/>
                  </w14:solidFill>
                </w14:textFill>
              </w:rPr>
              <w:t>%</w:t>
            </w:r>
          </w:p>
        </w:tc>
        <w:tc>
          <w:tcPr>
            <w:tcW w:w="1173" w:type="dxa"/>
            <w:tcBorders>
              <w:top w:val="single" w:color="auto" w:sz="4" w:space="0"/>
              <w:left w:val="single" w:color="auto" w:sz="4" w:space="0"/>
              <w:bottom w:val="single" w:color="auto" w:sz="4" w:space="0"/>
              <w:right w:val="single" w:color="auto" w:sz="4" w:space="0"/>
            </w:tcBorders>
            <w:vAlign w:val="center"/>
          </w:tcPr>
          <w:p w14:paraId="1EDEBBF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52分</w:t>
            </w:r>
          </w:p>
        </w:tc>
        <w:tc>
          <w:tcPr>
            <w:tcW w:w="6203" w:type="dxa"/>
            <w:tcBorders>
              <w:top w:val="single" w:color="auto" w:sz="4" w:space="0"/>
              <w:left w:val="single" w:color="auto" w:sz="4" w:space="0"/>
              <w:bottom w:val="single" w:color="auto" w:sz="4" w:space="0"/>
              <w:right w:val="single" w:color="auto" w:sz="4" w:space="0"/>
            </w:tcBorders>
            <w:vAlign w:val="center"/>
          </w:tcPr>
          <w:p w14:paraId="5452810B">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带“★”的为实质性要求，不允许有负偏离</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不作为评审要求</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带“▲”的为重要技术参数条款，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非“★”</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”的为</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3B9D1FD6">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供应商响应文件</w:t>
            </w:r>
            <w:r>
              <w:rPr>
                <w:rFonts w:hint="eastAsia" w:ascii="仿宋" w:hAnsi="仿宋" w:eastAsia="仿宋" w:cs="仿宋"/>
                <w:color w:val="000000" w:themeColor="text1"/>
                <w:sz w:val="24"/>
                <w:szCs w:val="24"/>
                <w:highlight w:val="none"/>
                <w14:textFill>
                  <w14:solidFill>
                    <w14:schemeClr w14:val="tx1"/>
                  </w14:solidFill>
                </w14:textFill>
              </w:rPr>
              <w:t>完全符合</w:t>
            </w:r>
            <w:r>
              <w:rPr>
                <w:rFonts w:hint="eastAsia" w:ascii="仿宋" w:hAnsi="仿宋" w:eastAsia="仿宋" w:cs="仿宋"/>
                <w:color w:val="000000" w:themeColor="text1"/>
                <w:sz w:val="24"/>
                <w:szCs w:val="24"/>
                <w:highlight w:val="none"/>
                <w:lang w:val="en-US"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文件</w:t>
            </w: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第四章 </w:t>
            </w:r>
            <w:r>
              <w:rPr>
                <w:rFonts w:hint="eastAsia" w:ascii="仿宋" w:hAnsi="仿宋" w:eastAsia="仿宋" w:cs="仿宋"/>
                <w:color w:val="000000" w:themeColor="text1"/>
                <w:sz w:val="24"/>
                <w:szCs w:val="24"/>
                <w:highlight w:val="none"/>
                <w14:textFill>
                  <w14:solidFill>
                    <w14:schemeClr w14:val="tx1"/>
                  </w14:solidFill>
                </w14:textFill>
              </w:rPr>
              <w:t>采购需求“</w:t>
            </w:r>
            <w:r>
              <w:rPr>
                <w:rFonts w:hint="eastAsia" w:ascii="仿宋" w:hAnsi="仿宋" w:eastAsia="仿宋" w:cs="仿宋"/>
                <w:color w:val="000000" w:themeColor="text1"/>
                <w:sz w:val="24"/>
                <w:szCs w:val="24"/>
                <w:highlight w:val="none"/>
                <w:lang w:val="en-US" w:eastAsia="zh-CN"/>
                <w14:textFill>
                  <w14:solidFill>
                    <w14:schemeClr w14:val="tx1"/>
                  </w14:solidFill>
                </w14:textFill>
              </w:rPr>
              <w:t>1.技术要求</w:t>
            </w:r>
            <w:r>
              <w:rPr>
                <w:rFonts w:hint="eastAsia" w:ascii="仿宋" w:hAnsi="仿宋" w:eastAsia="仿宋" w:cs="仿宋"/>
                <w:color w:val="000000" w:themeColor="text1"/>
                <w:sz w:val="24"/>
                <w:szCs w:val="24"/>
                <w:highlight w:val="none"/>
                <w14:textFill>
                  <w14:solidFill>
                    <w14:schemeClr w14:val="tx1"/>
                  </w14:solidFill>
                </w14:textFill>
              </w:rPr>
              <w:t>”的得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52</w:t>
            </w:r>
            <w:r>
              <w:rPr>
                <w:rFonts w:hint="eastAsia" w:ascii="仿宋" w:hAnsi="仿宋" w:eastAsia="仿宋" w:cs="仿宋"/>
                <w:color w:val="000000" w:themeColor="text1"/>
                <w:sz w:val="24"/>
                <w:szCs w:val="24"/>
                <w:highlight w:val="none"/>
                <w14:textFill>
                  <w14:solidFill>
                    <w14:schemeClr w14:val="tx1"/>
                  </w14:solidFill>
                </w14:textFill>
              </w:rPr>
              <w:t>分。</w:t>
            </w:r>
          </w:p>
          <w:p w14:paraId="2BC66D4B">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2.重要技术参数条款的响应得分规则如下：</w:t>
            </w:r>
          </w:p>
          <w:p w14:paraId="66879F37">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重要技术参数条款响应得分=（供应商满足重要技术参数条款的数量÷重要技术参数条款的总数量）×40分。</w:t>
            </w:r>
          </w:p>
          <w:p w14:paraId="3FC494ED">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的响应得分规则如下：</w:t>
            </w:r>
          </w:p>
          <w:p w14:paraId="336E21A2">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响应得分=（供应商满足</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的</w:t>
            </w:r>
            <w:r>
              <w:rPr>
                <w:rFonts w:hint="eastAsia" w:ascii="仿宋" w:hAnsi="仿宋" w:eastAsia="仿宋" w:cs="仿宋"/>
                <w:color w:val="000000" w:themeColor="text1"/>
                <w:sz w:val="24"/>
                <w:szCs w:val="24"/>
                <w:highlight w:val="none"/>
                <w:lang w:eastAsia="zh-CN"/>
                <w14:textFill>
                  <w14:solidFill>
                    <w14:schemeClr w14:val="tx1"/>
                  </w14:solidFill>
                </w14:textFill>
              </w:rPr>
              <w:t>总数量）×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12</w:t>
            </w:r>
            <w:r>
              <w:rPr>
                <w:rFonts w:hint="eastAsia" w:ascii="仿宋" w:hAnsi="仿宋" w:eastAsia="仿宋" w:cs="仿宋"/>
                <w:color w:val="000000" w:themeColor="text1"/>
                <w:sz w:val="24"/>
                <w:szCs w:val="24"/>
                <w:highlight w:val="none"/>
                <w:lang w:eastAsia="zh-CN"/>
                <w14:textFill>
                  <w14:solidFill>
                    <w14:schemeClr w14:val="tx1"/>
                  </w14:solidFill>
                </w14:textFill>
              </w:rPr>
              <w:t>分。</w:t>
            </w:r>
          </w:p>
          <w:p w14:paraId="02CBCC63">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注：①得分保留小数点后两位小数，四舍五入。</w:t>
            </w:r>
          </w:p>
          <w:p w14:paraId="1E64977E">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②以“1</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2</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3......”标识为一项。</w:t>
            </w:r>
          </w:p>
          <w:p w14:paraId="655574E0">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若每一项技术指标项均有负偏离，此处分值应扣完，得0分。</w:t>
            </w:r>
          </w:p>
        </w:tc>
        <w:tc>
          <w:tcPr>
            <w:tcW w:w="884" w:type="dxa"/>
            <w:tcBorders>
              <w:top w:val="single" w:color="auto" w:sz="4" w:space="0"/>
              <w:left w:val="single" w:color="auto" w:sz="4" w:space="0"/>
              <w:bottom w:val="single" w:color="auto" w:sz="4" w:space="0"/>
              <w:right w:val="single" w:color="auto" w:sz="4" w:space="0"/>
            </w:tcBorders>
            <w:vAlign w:val="center"/>
          </w:tcPr>
          <w:p w14:paraId="7A53F8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A88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579" w:type="dxa"/>
            <w:tcBorders>
              <w:left w:val="single" w:color="auto" w:sz="4" w:space="0"/>
              <w:bottom w:val="single" w:color="auto" w:sz="4" w:space="0"/>
              <w:right w:val="single" w:color="auto" w:sz="4" w:space="0"/>
            </w:tcBorders>
            <w:vAlign w:val="center"/>
          </w:tcPr>
          <w:p w14:paraId="58A7F2F2">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p>
        </w:tc>
        <w:tc>
          <w:tcPr>
            <w:tcW w:w="1006" w:type="dxa"/>
            <w:tcBorders>
              <w:left w:val="single" w:color="auto" w:sz="4" w:space="0"/>
              <w:bottom w:val="single" w:color="auto" w:sz="4" w:space="0"/>
              <w:right w:val="single" w:color="auto" w:sz="4" w:space="0"/>
            </w:tcBorders>
            <w:vAlign w:val="center"/>
          </w:tcPr>
          <w:p w14:paraId="59CDD5B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服务团队14%</w:t>
            </w:r>
          </w:p>
        </w:tc>
        <w:tc>
          <w:tcPr>
            <w:tcW w:w="1173" w:type="dxa"/>
            <w:tcBorders>
              <w:top w:val="single" w:color="auto" w:sz="4" w:space="0"/>
              <w:left w:val="single" w:color="auto" w:sz="4" w:space="0"/>
              <w:bottom w:val="single" w:color="auto" w:sz="4" w:space="0"/>
              <w:right w:val="single" w:color="auto" w:sz="4" w:space="0"/>
            </w:tcBorders>
            <w:vAlign w:val="center"/>
          </w:tcPr>
          <w:p w14:paraId="49C88B8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14分</w:t>
            </w:r>
          </w:p>
        </w:tc>
        <w:tc>
          <w:tcPr>
            <w:tcW w:w="6203" w:type="dxa"/>
            <w:tcBorders>
              <w:top w:val="single" w:color="auto" w:sz="4" w:space="0"/>
              <w:left w:val="single" w:color="auto" w:sz="4" w:space="0"/>
              <w:bottom w:val="single" w:color="auto" w:sz="4" w:space="0"/>
              <w:right w:val="single" w:color="auto" w:sz="4" w:space="0"/>
            </w:tcBorders>
            <w:vAlign w:val="center"/>
          </w:tcPr>
          <w:p w14:paraId="6F3B9F0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针对本项目派遣的项目经理（1人）：</w:t>
            </w:r>
          </w:p>
          <w:p w14:paraId="3AF7E38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具备中华人民共和国人力资源和社会保障部、工业和信息化部颁发的系统集成项目管理工程师证书的得2分；</w:t>
            </w:r>
          </w:p>
          <w:p w14:paraId="3FFDE49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具备中华人民共和国人力资源和社会保障部、工业和信息化部颁发的系统规划与管理师证书的得1.5分；</w:t>
            </w:r>
          </w:p>
          <w:p w14:paraId="2CE5AF1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具备中华人民共和国人力资源和社会保障部、工业和信息化部颁发的数据库系统工程师证书的得1.5分；</w:t>
            </w:r>
          </w:p>
          <w:p w14:paraId="0E1B438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具备工业和信息化部直属评价机构颁发的人工智能工程技术人员中级及以上职业技术等级证书的得1.5分；</w:t>
            </w:r>
          </w:p>
          <w:p w14:paraId="2F2289C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本项最多得6.5分。</w:t>
            </w:r>
          </w:p>
          <w:p w14:paraId="166F818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针对本项目派遣的技术负责人（1人）：</w:t>
            </w:r>
            <w:r>
              <w:rPr>
                <w:rFonts w:hint="eastAsia" w:ascii="仿宋" w:hAnsi="仿宋" w:eastAsia="仿宋" w:cs="仿宋"/>
                <w:color w:val="000000" w:themeColor="text1"/>
                <w:sz w:val="24"/>
                <w:szCs w:val="24"/>
                <w:highlight w:val="none"/>
                <w14:textFill>
                  <w14:solidFill>
                    <w14:schemeClr w14:val="tx1"/>
                  </w14:solidFill>
                </w14:textFill>
              </w:rPr>
              <w:br w:type="textWrapping"/>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具备中国信息安全测评中心颁发的注册信息安全管理员(CISP-CISO)证书的得1.5分；</w:t>
            </w:r>
          </w:p>
          <w:p w14:paraId="63EE56F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具备中国网络安全审查技术与认证中心颁发的信息安全保障人员认证(CISAW)证书的得1.5分；</w:t>
            </w:r>
          </w:p>
          <w:p w14:paraId="39E6FFA0">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具备人力资源和社会保障部、工业和信息化部颁发的通信专业技术人员职业资格(初级及以上)证书的得1.5分；</w:t>
            </w:r>
          </w:p>
          <w:p w14:paraId="143B57E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具备国家互联网应急中心颁发的网络安全能力认证(CCSC)证书的得1.5分；</w:t>
            </w:r>
          </w:p>
          <w:p w14:paraId="0D5EB30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工业和信息化部直属中国电子技术标准化研究院（CESI）颁发的数据安全工程师(高级)证书的得1.5分。</w:t>
            </w:r>
          </w:p>
          <w:p w14:paraId="115089C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本项最多得7.5分。</w:t>
            </w:r>
            <w:r>
              <w:rPr>
                <w:rFonts w:hint="eastAsia" w:ascii="仿宋" w:hAnsi="仿宋" w:eastAsia="仿宋" w:cs="仿宋"/>
                <w:color w:val="000000" w:themeColor="text1"/>
                <w:sz w:val="24"/>
                <w:szCs w:val="24"/>
                <w:highlight w:val="none"/>
                <w14:textFill>
                  <w14:solidFill>
                    <w14:schemeClr w14:val="tx1"/>
                  </w14:solidFill>
                </w14:textFill>
              </w:rPr>
              <w:br w:type="textWrapping"/>
            </w:r>
            <w:r>
              <w:rPr>
                <w:rFonts w:hint="eastAsia" w:ascii="仿宋" w:hAnsi="仿宋" w:eastAsia="仿宋" w:cs="仿宋"/>
                <w:color w:val="000000" w:themeColor="text1"/>
                <w:sz w:val="24"/>
                <w:szCs w:val="24"/>
                <w:highlight w:val="none"/>
                <w14:textFill>
                  <w14:solidFill>
                    <w14:schemeClr w14:val="tx1"/>
                  </w14:solidFill>
                </w14:textFill>
              </w:rPr>
              <w:t>注：①以上人员不重复评分；</w:t>
            </w:r>
          </w:p>
          <w:p w14:paraId="307E7E5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②以上三项均需提供人员所持的有效的相关证书复印件、在职证明或承诺成交后提供在职证明（提供承诺函，格式自拟），并加盖供应商公章。</w:t>
            </w:r>
          </w:p>
        </w:tc>
        <w:tc>
          <w:tcPr>
            <w:tcW w:w="884" w:type="dxa"/>
            <w:tcBorders>
              <w:top w:val="single" w:color="auto" w:sz="4" w:space="0"/>
              <w:left w:val="single" w:color="auto" w:sz="4" w:space="0"/>
              <w:bottom w:val="single" w:color="auto" w:sz="4" w:space="0"/>
              <w:right w:val="single" w:color="auto" w:sz="4" w:space="0"/>
            </w:tcBorders>
            <w:vAlign w:val="center"/>
          </w:tcPr>
          <w:p w14:paraId="243C982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BBC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579" w:type="dxa"/>
            <w:tcBorders>
              <w:left w:val="single" w:color="auto" w:sz="4" w:space="0"/>
              <w:bottom w:val="single" w:color="auto" w:sz="4" w:space="0"/>
              <w:right w:val="single" w:color="auto" w:sz="4" w:space="0"/>
            </w:tcBorders>
            <w:vAlign w:val="center"/>
          </w:tcPr>
          <w:p w14:paraId="2445FE33">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006" w:type="dxa"/>
            <w:tcBorders>
              <w:left w:val="single" w:color="auto" w:sz="4" w:space="0"/>
              <w:bottom w:val="single" w:color="auto" w:sz="4" w:space="0"/>
              <w:right w:val="single" w:color="auto" w:sz="4" w:space="0"/>
            </w:tcBorders>
            <w:vAlign w:val="center"/>
          </w:tcPr>
          <w:p w14:paraId="79495A5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项目实施方案15%</w:t>
            </w:r>
          </w:p>
        </w:tc>
        <w:tc>
          <w:tcPr>
            <w:tcW w:w="1173" w:type="dxa"/>
            <w:tcBorders>
              <w:top w:val="single" w:color="auto" w:sz="4" w:space="0"/>
              <w:left w:val="single" w:color="auto" w:sz="4" w:space="0"/>
              <w:bottom w:val="single" w:color="auto" w:sz="4" w:space="0"/>
              <w:right w:val="single" w:color="auto" w:sz="4" w:space="0"/>
            </w:tcBorders>
            <w:vAlign w:val="center"/>
          </w:tcPr>
          <w:p w14:paraId="35228BF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15分</w:t>
            </w:r>
          </w:p>
        </w:tc>
        <w:tc>
          <w:tcPr>
            <w:tcW w:w="6203" w:type="dxa"/>
            <w:tcBorders>
              <w:top w:val="single" w:color="auto" w:sz="4" w:space="0"/>
              <w:left w:val="single" w:color="auto" w:sz="4" w:space="0"/>
              <w:bottom w:val="single" w:color="auto" w:sz="4" w:space="0"/>
              <w:right w:val="single" w:color="auto" w:sz="4" w:space="0"/>
            </w:tcBorders>
            <w:vAlign w:val="center"/>
          </w:tcPr>
          <w:p w14:paraId="7F64D92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需提供针对本项目编制的项目实施方案，包括①需求分析、②整体技术方案、③实施方案、④安全保障措施、⑤项目管理方案。符合采购人需求的得15分；每缺少一项内容扣3分，每有一处内容存在缺陷扣1.5分，扣完为止。</w:t>
            </w:r>
          </w:p>
          <w:p w14:paraId="1AB2727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注：缺陷是指：内容不一致、地点名称错误、内容与本项目实际需求不符、不符合相关规范及标准。</w:t>
            </w:r>
          </w:p>
        </w:tc>
        <w:tc>
          <w:tcPr>
            <w:tcW w:w="884" w:type="dxa"/>
            <w:tcBorders>
              <w:top w:val="single" w:color="auto" w:sz="4" w:space="0"/>
              <w:left w:val="single" w:color="auto" w:sz="4" w:space="0"/>
              <w:bottom w:val="single" w:color="auto" w:sz="4" w:space="0"/>
              <w:right w:val="single" w:color="auto" w:sz="4" w:space="0"/>
            </w:tcBorders>
            <w:vAlign w:val="center"/>
          </w:tcPr>
          <w:p w14:paraId="4530A00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797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579" w:type="dxa"/>
            <w:tcBorders>
              <w:top w:val="single" w:color="auto" w:sz="4" w:space="0"/>
              <w:left w:val="single" w:color="auto" w:sz="4" w:space="0"/>
              <w:bottom w:val="single" w:color="auto" w:sz="4" w:space="0"/>
              <w:right w:val="single" w:color="auto" w:sz="4" w:space="0"/>
            </w:tcBorders>
            <w:vAlign w:val="center"/>
          </w:tcPr>
          <w:p w14:paraId="227AF37E">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1006" w:type="dxa"/>
            <w:tcBorders>
              <w:top w:val="single" w:color="auto" w:sz="4" w:space="0"/>
              <w:left w:val="single" w:color="auto" w:sz="4" w:space="0"/>
              <w:bottom w:val="single" w:color="auto" w:sz="4" w:space="0"/>
              <w:right w:val="single" w:color="auto" w:sz="4" w:space="0"/>
            </w:tcBorders>
            <w:vAlign w:val="center"/>
          </w:tcPr>
          <w:p w14:paraId="5293032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p>
        </w:tc>
        <w:tc>
          <w:tcPr>
            <w:tcW w:w="1173" w:type="dxa"/>
            <w:tcBorders>
              <w:top w:val="single" w:color="auto" w:sz="4" w:space="0"/>
              <w:left w:val="single" w:color="auto" w:sz="4" w:space="0"/>
              <w:bottom w:val="single" w:color="auto" w:sz="4" w:space="0"/>
              <w:right w:val="single" w:color="auto" w:sz="4" w:space="0"/>
            </w:tcBorders>
            <w:vAlign w:val="center"/>
          </w:tcPr>
          <w:p w14:paraId="6E95E8F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9分</w:t>
            </w:r>
          </w:p>
        </w:tc>
        <w:tc>
          <w:tcPr>
            <w:tcW w:w="6203" w:type="dxa"/>
            <w:tcBorders>
              <w:top w:val="single" w:color="auto" w:sz="4" w:space="0"/>
              <w:left w:val="single" w:color="auto" w:sz="4" w:space="0"/>
              <w:bottom w:val="single" w:color="auto" w:sz="4" w:space="0"/>
              <w:right w:val="single" w:color="auto" w:sz="4" w:space="0"/>
            </w:tcBorders>
            <w:vAlign w:val="center"/>
          </w:tcPr>
          <w:p w14:paraId="4F66B8E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供应商提供2024年1月1日（含）以来心理援助热线类项目相关建设、服务的业绩证明。每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96F6925">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注：提供采购合同关键页（合同首页、建设内容、金额、签字盖章页）材料复印件，并加盖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，缺项或不提供的不得分。</w:t>
            </w:r>
          </w:p>
        </w:tc>
        <w:tc>
          <w:tcPr>
            <w:tcW w:w="884" w:type="dxa"/>
            <w:tcBorders>
              <w:top w:val="single" w:color="auto" w:sz="4" w:space="0"/>
              <w:left w:val="single" w:color="auto" w:sz="4" w:space="0"/>
              <w:bottom w:val="single" w:color="auto" w:sz="4" w:space="0"/>
              <w:right w:val="single" w:color="auto" w:sz="4" w:space="0"/>
            </w:tcBorders>
            <w:vAlign w:val="center"/>
          </w:tcPr>
          <w:p w14:paraId="10891AF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75DD339C">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0" w:name="_Toc3094"/>
      <w:bookmarkStart w:id="21" w:name="_Toc28171"/>
      <w:bookmarkStart w:id="22" w:name="_Toc22827"/>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29819"/>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19851"/>
      <w:bookmarkStart w:id="27" w:name="_Toc9428"/>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32352"/>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24859"/>
      <w:bookmarkStart w:id="36" w:name="_Toc32749"/>
      <w:bookmarkStart w:id="37" w:name="_Toc1690"/>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3558"/>
      <w:bookmarkStart w:id="40" w:name="_Toc17905"/>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27526"/>
      <w:bookmarkStart w:id="44" w:name="_Toc2989"/>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2031"/>
      <w:bookmarkStart w:id="48" w:name="_Toc7233"/>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21519"/>
      <w:bookmarkStart w:id="51" w:name="_Toc11352"/>
      <w:bookmarkStart w:id="52" w:name="_Toc16029"/>
      <w:bookmarkStart w:id="53" w:name="_Toc6482"/>
      <w:bookmarkStart w:id="54" w:name="_Toc14829"/>
      <w:bookmarkStart w:id="55" w:name="_Toc3023"/>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w:t>
      </w:r>
      <w:r>
        <w:rPr>
          <w:rFonts w:hint="eastAsia" w:ascii="Times New Roman" w:hAnsi="Times New Roman" w:eastAsia="仿宋" w:cs="Times New Roman"/>
          <w:sz w:val="24"/>
          <w:lang w:eastAsia="zh-CN"/>
        </w:rPr>
        <w:t>四川省精神医学中心</w:t>
      </w:r>
      <w:r>
        <w:rPr>
          <w:rFonts w:ascii="Times New Roman" w:hAnsi="Times New Roman" w:eastAsia="仿宋" w:cs="Times New Roman"/>
          <w:sz w:val="24"/>
        </w:rPr>
        <w:t>：</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0971"/>
      <w:bookmarkStart w:id="57" w:name="_Toc4305"/>
      <w:bookmarkStart w:id="58" w:name="_Toc31838"/>
      <w:bookmarkStart w:id="59" w:name="_Toc22676"/>
      <w:bookmarkStart w:id="60" w:name="_Toc17857"/>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13904"/>
      <w:bookmarkStart w:id="66" w:name="_Toc25357"/>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2015"/>
      <w:bookmarkStart w:id="70" w:name="_Toc20589"/>
      <w:bookmarkStart w:id="71" w:name="_Toc11351"/>
      <w:bookmarkStart w:id="72" w:name="_Toc15526"/>
      <w:bookmarkStart w:id="73" w:name="_Toc27661"/>
      <w:bookmarkStart w:id="74" w:name="_Toc25638"/>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041"/>
      <w:bookmarkStart w:id="76" w:name="_Toc12967"/>
      <w:bookmarkStart w:id="77" w:name="_Toc26969"/>
      <w:bookmarkStart w:id="78" w:name="_Toc16435"/>
      <w:bookmarkStart w:id="79" w:name="_Toc1074"/>
      <w:bookmarkStart w:id="80" w:name="_Toc23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6839"/>
      <w:bookmarkStart w:id="82" w:name="_Toc28634"/>
      <w:bookmarkStart w:id="83" w:name="_Toc31686"/>
      <w:bookmarkStart w:id="84" w:name="_Toc21082"/>
      <w:bookmarkStart w:id="85" w:name="_Toc24806"/>
      <w:bookmarkStart w:id="86" w:name="_Toc1369"/>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24494"/>
      <w:bookmarkStart w:id="89" w:name="_Toc32605"/>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hint="eastAsia" w:ascii="仿宋" w:hAnsi="仿宋" w:eastAsia="仿宋" w:cs="仿宋"/>
          <w:b/>
          <w:bCs/>
          <w:sz w:val="21"/>
          <w:szCs w:val="21"/>
        </w:rPr>
      </w:pPr>
      <w:r>
        <w:rPr>
          <w:rFonts w:hint="eastAsia" w:ascii="仿宋" w:hAnsi="仿宋" w:eastAsia="仿宋" w:cs="仿宋"/>
          <w:b/>
          <w:bCs/>
          <w:sz w:val="21"/>
          <w:szCs w:val="21"/>
        </w:rPr>
        <w:t>1.报价一览表</w:t>
      </w:r>
    </w:p>
    <w:tbl>
      <w:tblPr>
        <w:tblStyle w:val="19"/>
        <w:tblW w:w="50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6"/>
        <w:gridCol w:w="1550"/>
        <w:gridCol w:w="3252"/>
        <w:gridCol w:w="934"/>
        <w:gridCol w:w="1048"/>
        <w:gridCol w:w="1494"/>
        <w:gridCol w:w="750"/>
      </w:tblGrid>
      <w:tr w14:paraId="1C00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358" w:type="pct"/>
            <w:vAlign w:val="center"/>
          </w:tcPr>
          <w:p w14:paraId="17A2EF30">
            <w:pPr>
              <w:spacing w:line="240" w:lineRule="auto"/>
              <w:jc w:val="center"/>
              <w:rPr>
                <w:rFonts w:hint="eastAsia" w:ascii="仿宋" w:hAnsi="仿宋" w:eastAsia="仿宋" w:cs="仿宋"/>
                <w:b/>
                <w:bCs/>
                <w:kern w:val="0"/>
                <w:sz w:val="21"/>
                <w:szCs w:val="21"/>
                <w:highlight w:val="none"/>
                <w:lang w:val="zh-TW" w:eastAsia="zh-TW"/>
              </w:rPr>
            </w:pPr>
            <w:r>
              <w:rPr>
                <w:rFonts w:hint="eastAsia" w:ascii="仿宋" w:hAnsi="仿宋" w:eastAsia="仿宋" w:cs="仿宋"/>
                <w:b/>
                <w:bCs/>
                <w:kern w:val="0"/>
                <w:sz w:val="21"/>
                <w:szCs w:val="21"/>
                <w:highlight w:val="none"/>
                <w:lang w:val="zh-TW" w:eastAsia="zh-TW"/>
              </w:rPr>
              <w:t>序号</w:t>
            </w:r>
          </w:p>
        </w:tc>
        <w:tc>
          <w:tcPr>
            <w:tcW w:w="4798" w:type="dxa"/>
            <w:gridSpan w:val="2"/>
            <w:vAlign w:val="center"/>
          </w:tcPr>
          <w:p w14:paraId="788E4C6C">
            <w:pPr>
              <w:spacing w:beforeAutospacing="1" w:afterAutospacing="1"/>
              <w:jc w:val="center"/>
              <w:rPr>
                <w:rFonts w:hint="eastAsia" w:ascii="仿宋" w:hAnsi="仿宋" w:eastAsia="仿宋" w:cs="仿宋"/>
                <w:b/>
                <w:bCs/>
                <w:kern w:val="0"/>
                <w:sz w:val="21"/>
                <w:szCs w:val="21"/>
                <w:highlight w:val="none"/>
                <w:lang w:val="zh-TW" w:eastAsia="zh-TW"/>
              </w:rPr>
            </w:pPr>
            <w:r>
              <w:rPr>
                <w:rStyle w:val="21"/>
                <w:rFonts w:hint="eastAsia" w:ascii="仿宋" w:hAnsi="仿宋" w:eastAsia="仿宋" w:cs="仿宋"/>
                <w:b/>
                <w:bCs/>
                <w:kern w:val="0"/>
                <w:sz w:val="21"/>
                <w:szCs w:val="21"/>
                <w:lang w:val="en-US" w:eastAsia="zh-CN" w:bidi="ar"/>
              </w:rPr>
              <w:t>采购内容</w:t>
            </w:r>
          </w:p>
        </w:tc>
        <w:tc>
          <w:tcPr>
            <w:tcW w:w="480" w:type="pct"/>
            <w:vAlign w:val="center"/>
          </w:tcPr>
          <w:p w14:paraId="67A62F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1"/>
                <w:szCs w:val="21"/>
                <w:highlight w:val="none"/>
                <w:lang w:val="en-US" w:eastAsia="zh-CN"/>
              </w:rPr>
            </w:pPr>
            <w:r>
              <w:rPr>
                <w:rStyle w:val="21"/>
                <w:rFonts w:hint="eastAsia" w:ascii="仿宋" w:hAnsi="仿宋" w:eastAsia="仿宋" w:cs="仿宋"/>
                <w:b/>
                <w:bCs/>
                <w:sz w:val="21"/>
                <w:szCs w:val="21"/>
                <w:highlight w:val="none"/>
              </w:rPr>
              <w:t>数量</w:t>
            </w:r>
          </w:p>
        </w:tc>
        <w:tc>
          <w:tcPr>
            <w:tcW w:w="539" w:type="pct"/>
            <w:vAlign w:val="center"/>
          </w:tcPr>
          <w:p w14:paraId="429D4B2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1"/>
                <w:szCs w:val="21"/>
                <w:highlight w:val="none"/>
                <w:lang w:val="en-US" w:eastAsia="zh-CN"/>
              </w:rPr>
            </w:pPr>
            <w:r>
              <w:rPr>
                <w:rStyle w:val="21"/>
                <w:rFonts w:hint="eastAsia" w:ascii="仿宋" w:hAnsi="仿宋" w:eastAsia="仿宋" w:cs="仿宋"/>
                <w:b/>
                <w:bCs/>
                <w:sz w:val="21"/>
                <w:szCs w:val="21"/>
                <w:highlight w:val="none"/>
              </w:rPr>
              <w:t>单位</w:t>
            </w:r>
          </w:p>
        </w:tc>
        <w:tc>
          <w:tcPr>
            <w:tcW w:w="768" w:type="pct"/>
            <w:vAlign w:val="center"/>
          </w:tcPr>
          <w:p w14:paraId="4A1E15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1"/>
                <w:szCs w:val="21"/>
                <w:highlight w:val="none"/>
                <w:lang w:val="en-US" w:eastAsia="zh-CN"/>
              </w:rPr>
            </w:pPr>
            <w:r>
              <w:rPr>
                <w:rStyle w:val="21"/>
                <w:rFonts w:hint="eastAsia" w:ascii="仿宋" w:hAnsi="仿宋" w:eastAsia="仿宋" w:cs="仿宋"/>
                <w:b/>
                <w:bCs/>
                <w:sz w:val="21"/>
                <w:szCs w:val="21"/>
                <w:highlight w:val="none"/>
                <w:lang w:val="en-US" w:eastAsia="zh-CN"/>
              </w:rPr>
              <w:t>报价</w:t>
            </w:r>
            <w:r>
              <w:rPr>
                <w:rStyle w:val="21"/>
                <w:rFonts w:hint="eastAsia" w:ascii="仿宋" w:hAnsi="仿宋" w:eastAsia="仿宋" w:cs="仿宋"/>
                <w:b/>
                <w:bCs/>
                <w:sz w:val="21"/>
                <w:szCs w:val="21"/>
                <w:highlight w:val="none"/>
              </w:rPr>
              <w:t>（元）</w:t>
            </w:r>
          </w:p>
        </w:tc>
        <w:tc>
          <w:tcPr>
            <w:tcW w:w="385" w:type="pct"/>
            <w:vAlign w:val="center"/>
          </w:tcPr>
          <w:p w14:paraId="486EEB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bCs/>
                <w:sz w:val="21"/>
                <w:szCs w:val="21"/>
                <w:highlight w:val="none"/>
                <w:lang w:val="en-US" w:eastAsia="zh-CN"/>
              </w:rPr>
            </w:pPr>
            <w:r>
              <w:rPr>
                <w:rStyle w:val="21"/>
                <w:rFonts w:hint="eastAsia" w:ascii="仿宋" w:hAnsi="仿宋" w:eastAsia="仿宋" w:cs="仿宋"/>
                <w:b/>
                <w:bCs/>
                <w:sz w:val="21"/>
                <w:szCs w:val="21"/>
                <w:highlight w:val="none"/>
                <w:lang w:val="en-US" w:eastAsia="zh-CN"/>
              </w:rPr>
              <w:t>备注</w:t>
            </w:r>
          </w:p>
        </w:tc>
      </w:tr>
      <w:tr w14:paraId="7D65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358" w:type="pct"/>
            <w:vAlign w:val="center"/>
          </w:tcPr>
          <w:p w14:paraId="45E5E8F7">
            <w:pPr>
              <w:pStyle w:val="7"/>
              <w:spacing w:line="24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4798" w:type="dxa"/>
            <w:gridSpan w:val="2"/>
            <w:vAlign w:val="center"/>
          </w:tcPr>
          <w:p w14:paraId="17B715F9">
            <w:pPr>
              <w:ind w:left="180"/>
              <w:rPr>
                <w:rFonts w:hint="eastAsia" w:ascii="仿宋" w:hAnsi="仿宋" w:eastAsia="仿宋" w:cs="仿宋"/>
                <w:sz w:val="21"/>
                <w:szCs w:val="21"/>
                <w:highlight w:val="none"/>
                <w:lang w:eastAsia="zh-CN"/>
              </w:rPr>
            </w:pPr>
            <w:r>
              <w:rPr>
                <w:rFonts w:hint="eastAsia" w:ascii="仿宋" w:hAnsi="仿宋" w:eastAsia="仿宋" w:cs="仿宋"/>
                <w:kern w:val="0"/>
                <w:sz w:val="21"/>
                <w:szCs w:val="21"/>
                <w:lang w:val="en-US" w:eastAsia="zh-CN" w:bidi="ar"/>
              </w:rPr>
              <w:t>心理援助热线所需相关管理系统及服务</w:t>
            </w:r>
          </w:p>
        </w:tc>
        <w:tc>
          <w:tcPr>
            <w:tcW w:w="480" w:type="pct"/>
            <w:vAlign w:val="center"/>
          </w:tcPr>
          <w:p w14:paraId="7F83E5F2">
            <w:pPr>
              <w:pStyle w:val="14"/>
              <w:keepNext w:val="0"/>
              <w:keepLines w:val="0"/>
              <w:widowControl/>
              <w:suppressLineNumbers w:val="0"/>
              <w:spacing w:line="240" w:lineRule="auto"/>
              <w:ind w:right="0" w:right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539" w:type="pct"/>
            <w:vAlign w:val="center"/>
          </w:tcPr>
          <w:p w14:paraId="65B2C2A0">
            <w:pPr>
              <w:pStyle w:val="14"/>
              <w:keepNext w:val="0"/>
              <w:keepLines w:val="0"/>
              <w:widowControl/>
              <w:suppressLineNumbers w:val="0"/>
              <w:spacing w:line="240" w:lineRule="auto"/>
              <w:ind w:right="0" w:right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项</w:t>
            </w:r>
          </w:p>
        </w:tc>
        <w:tc>
          <w:tcPr>
            <w:tcW w:w="768" w:type="pct"/>
            <w:vAlign w:val="center"/>
          </w:tcPr>
          <w:p w14:paraId="4748C363">
            <w:pPr>
              <w:pStyle w:val="14"/>
              <w:keepNext w:val="0"/>
              <w:keepLines w:val="0"/>
              <w:widowControl/>
              <w:suppressLineNumbers w:val="0"/>
              <w:spacing w:line="240" w:lineRule="auto"/>
              <w:ind w:left="180" w:leftChars="0" w:right="0" w:rightChars="0"/>
              <w:jc w:val="center"/>
              <w:rPr>
                <w:rFonts w:hint="eastAsia" w:ascii="仿宋" w:hAnsi="仿宋" w:eastAsia="仿宋" w:cs="仿宋"/>
                <w:sz w:val="21"/>
                <w:szCs w:val="21"/>
                <w:highlight w:val="none"/>
              </w:rPr>
            </w:pPr>
          </w:p>
        </w:tc>
        <w:tc>
          <w:tcPr>
            <w:tcW w:w="385" w:type="pct"/>
            <w:vAlign w:val="center"/>
          </w:tcPr>
          <w:p w14:paraId="524976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1"/>
                <w:szCs w:val="21"/>
                <w:highlight w:val="none"/>
              </w:rPr>
            </w:pPr>
          </w:p>
        </w:tc>
      </w:tr>
      <w:tr w14:paraId="50DD3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155" w:type="pct"/>
            <w:gridSpan w:val="2"/>
            <w:vAlign w:val="center"/>
          </w:tcPr>
          <w:p w14:paraId="1EEC05BA">
            <w:pPr>
              <w:spacing w:line="360" w:lineRule="auto"/>
              <w:jc w:val="center"/>
              <w:rPr>
                <w:rFonts w:hint="eastAsia" w:ascii="仿宋" w:hAnsi="仿宋" w:eastAsia="仿宋" w:cs="仿宋"/>
                <w:kern w:val="0"/>
                <w:sz w:val="21"/>
                <w:szCs w:val="21"/>
                <w:highlight w:val="none"/>
                <w:lang w:val="zh-TW" w:eastAsia="zh-TW"/>
              </w:rPr>
            </w:pPr>
            <w:r>
              <w:rPr>
                <w:rFonts w:hint="eastAsia" w:ascii="仿宋" w:hAnsi="仿宋" w:eastAsia="仿宋" w:cs="仿宋"/>
                <w:kern w:val="0"/>
                <w:sz w:val="21"/>
                <w:szCs w:val="21"/>
                <w:highlight w:val="none"/>
                <w:lang w:val="zh-TW" w:eastAsia="zh-TW"/>
              </w:rPr>
              <w:t>报价合计</w:t>
            </w:r>
          </w:p>
        </w:tc>
        <w:tc>
          <w:tcPr>
            <w:tcW w:w="3844" w:type="pct"/>
            <w:gridSpan w:val="5"/>
            <w:vAlign w:val="center"/>
          </w:tcPr>
          <w:p w14:paraId="1CCF3910">
            <w:pPr>
              <w:spacing w:line="360" w:lineRule="auto"/>
              <w:ind w:firstLine="105" w:firstLineChars="50"/>
              <w:jc w:val="left"/>
              <w:rPr>
                <w:rFonts w:hint="eastAsia" w:ascii="仿宋" w:hAnsi="仿宋" w:eastAsia="仿宋" w:cs="仿宋"/>
                <w:kern w:val="0"/>
                <w:sz w:val="21"/>
                <w:szCs w:val="21"/>
                <w:highlight w:val="none"/>
                <w:lang w:val="zh-TW" w:eastAsia="zh-TW"/>
              </w:rPr>
            </w:pPr>
            <w:r>
              <w:rPr>
                <w:rFonts w:hint="eastAsia" w:ascii="仿宋" w:hAnsi="仿宋" w:eastAsia="仿宋" w:cs="仿宋"/>
                <w:kern w:val="0"/>
                <w:sz w:val="21"/>
                <w:szCs w:val="21"/>
                <w:highlight w:val="none"/>
                <w:lang w:val="zh-TW" w:eastAsia="zh-TW"/>
              </w:rPr>
              <w:t xml:space="preserve">大写：       </w:t>
            </w:r>
            <w:r>
              <w:rPr>
                <w:rFonts w:hint="eastAsia" w:ascii="仿宋" w:hAnsi="仿宋" w:eastAsia="仿宋" w:cs="仿宋"/>
                <w:kern w:val="0"/>
                <w:sz w:val="21"/>
                <w:szCs w:val="21"/>
                <w:highlight w:val="none"/>
                <w:lang w:val="zh-TW"/>
              </w:rPr>
              <w:t xml:space="preserve">    </w:t>
            </w:r>
            <w:r>
              <w:rPr>
                <w:rFonts w:hint="eastAsia" w:ascii="仿宋" w:hAnsi="仿宋" w:eastAsia="仿宋" w:cs="仿宋"/>
                <w:kern w:val="0"/>
                <w:sz w:val="21"/>
                <w:szCs w:val="21"/>
                <w:highlight w:val="none"/>
                <w:lang w:val="zh-TW" w:eastAsia="zh-TW"/>
              </w:rPr>
              <w:t>小写：</w:t>
            </w:r>
          </w:p>
        </w:tc>
      </w:tr>
    </w:tbl>
    <w:p w14:paraId="3F0CEA33">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30002"/>
      <w:bookmarkStart w:id="92" w:name="_Toc14685"/>
      <w:bookmarkStart w:id="93" w:name="_Toc2903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5447"/>
      <w:bookmarkStart w:id="95" w:name="_Toc20691"/>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5DABC139">
      <w:pPr>
        <w:widowControl w:val="0"/>
        <w:jc w:val="center"/>
        <w:rPr>
          <w:rFonts w:ascii="Times New Roman" w:hAnsi="Times New Roman" w:eastAsia="黑体" w:cs="Times New Roman"/>
          <w:b/>
          <w:kern w:val="2"/>
          <w:sz w:val="48"/>
          <w:szCs w:val="48"/>
          <w:highlight w:val="none"/>
          <w:lang w:val="en-US" w:eastAsia="zh-CN" w:bidi="ar-SA"/>
        </w:rPr>
      </w:pPr>
      <w:r>
        <w:rPr>
          <w:rFonts w:hint="eastAsia" w:ascii="Times New Roman" w:hAnsi="Times New Roman" w:eastAsia="黑体" w:cs="Times New Roman"/>
          <w:b/>
          <w:kern w:val="2"/>
          <w:sz w:val="48"/>
          <w:szCs w:val="48"/>
          <w:highlight w:val="none"/>
          <w:lang w:val="en-US" w:eastAsia="zh-CN" w:bidi="ar-SA"/>
        </w:rPr>
        <w:t>*</w:t>
      </w:r>
      <w:r>
        <w:rPr>
          <w:rFonts w:ascii="Times New Roman" w:hAnsi="Times New Roman" w:eastAsia="黑体" w:cs="Times New Roman"/>
          <w:b/>
          <w:kern w:val="2"/>
          <w:sz w:val="48"/>
          <w:szCs w:val="48"/>
          <w:highlight w:val="none"/>
          <w:lang w:val="en-US" w:eastAsia="zh-CN" w:bidi="ar-SA"/>
        </w:rPr>
        <w:t>**</w:t>
      </w:r>
      <w:r>
        <w:rPr>
          <w:rFonts w:hint="eastAsia" w:ascii="Times New Roman" w:hAnsi="Times New Roman" w:eastAsia="黑体" w:cs="Times New Roman"/>
          <w:b/>
          <w:kern w:val="2"/>
          <w:sz w:val="48"/>
          <w:szCs w:val="48"/>
          <w:highlight w:val="none"/>
          <w:lang w:val="en-US" w:eastAsia="zh-CN" w:bidi="ar-SA"/>
        </w:rPr>
        <w:t>服务项目</w:t>
      </w:r>
    </w:p>
    <w:p w14:paraId="6DAF8060">
      <w:pPr>
        <w:widowControl w:val="0"/>
        <w:jc w:val="center"/>
        <w:rPr>
          <w:rFonts w:ascii="Times New Roman" w:hAnsi="Times New Roman" w:eastAsia="黑体" w:cs="Times New Roman"/>
          <w:b/>
          <w:kern w:val="2"/>
          <w:sz w:val="48"/>
          <w:szCs w:val="48"/>
          <w:highlight w:val="none"/>
          <w:lang w:val="en-US" w:eastAsia="zh-CN" w:bidi="ar-SA"/>
        </w:rPr>
      </w:pPr>
      <w:r>
        <w:rPr>
          <w:rFonts w:hint="eastAsia" w:ascii="Times New Roman" w:hAnsi="Times New Roman" w:eastAsia="黑体" w:cs="Times New Roman"/>
          <w:b/>
          <w:kern w:val="2"/>
          <w:sz w:val="48"/>
          <w:szCs w:val="48"/>
          <w:highlight w:val="none"/>
          <w:lang w:val="en-US" w:eastAsia="zh-CN" w:bidi="ar-SA"/>
        </w:rPr>
        <w:t>采购</w:t>
      </w:r>
      <w:r>
        <w:rPr>
          <w:rFonts w:ascii="Times New Roman" w:hAnsi="Times New Roman" w:eastAsia="黑体" w:cs="Times New Roman"/>
          <w:b/>
          <w:kern w:val="2"/>
          <w:sz w:val="48"/>
          <w:szCs w:val="48"/>
          <w:highlight w:val="none"/>
          <w:lang w:val="en-US" w:eastAsia="zh-CN" w:bidi="ar-SA"/>
        </w:rPr>
        <w:t>合同</w:t>
      </w:r>
    </w:p>
    <w:p w14:paraId="7211717A">
      <w:pPr>
        <w:adjustRightInd w:val="0"/>
        <w:ind w:firstLine="420" w:firstLineChars="200"/>
        <w:contextualSpacing/>
        <w:jc w:val="left"/>
        <w:rPr>
          <w:rFonts w:ascii="Times New Roman" w:hAnsi="Times New Roman" w:eastAsia="宋体" w:cs="Times New Roman"/>
          <w:color w:val="000000"/>
          <w:szCs w:val="21"/>
          <w:highlight w:val="none"/>
        </w:rPr>
      </w:pPr>
    </w:p>
    <w:p w14:paraId="0A5BBD44">
      <w:pPr>
        <w:adjustRightInd w:val="0"/>
        <w:ind w:firstLine="420" w:firstLineChars="200"/>
        <w:contextualSpacing/>
        <w:jc w:val="left"/>
        <w:rPr>
          <w:rFonts w:ascii="Times New Roman" w:hAnsi="Times New Roman" w:eastAsia="宋体" w:cs="Times New Roman"/>
          <w:color w:val="000000"/>
          <w:szCs w:val="21"/>
          <w:highlight w:val="none"/>
        </w:rPr>
      </w:pPr>
    </w:p>
    <w:tbl>
      <w:tblPr>
        <w:tblStyle w:val="18"/>
        <w:tblW w:w="5000" w:type="pct"/>
        <w:jc w:val="center"/>
        <w:tblLayout w:type="autofit"/>
        <w:tblCellMar>
          <w:top w:w="0" w:type="dxa"/>
          <w:left w:w="0" w:type="dxa"/>
          <w:bottom w:w="0" w:type="dxa"/>
          <w:right w:w="0" w:type="dxa"/>
        </w:tblCellMar>
      </w:tblPr>
      <w:tblGrid>
        <w:gridCol w:w="4687"/>
        <w:gridCol w:w="4950"/>
      </w:tblGrid>
      <w:tr w14:paraId="42FF34D3">
        <w:tblPrEx>
          <w:tblCellMar>
            <w:top w:w="0" w:type="dxa"/>
            <w:left w:w="0" w:type="dxa"/>
            <w:bottom w:w="0" w:type="dxa"/>
            <w:right w:w="0" w:type="dxa"/>
          </w:tblCellMar>
        </w:tblPrEx>
        <w:trPr>
          <w:trHeight w:val="767" w:hRule="atLeast"/>
          <w:jc w:val="center"/>
        </w:trPr>
        <w:tc>
          <w:tcPr>
            <w:tcW w:w="10204" w:type="dxa"/>
            <w:gridSpan w:val="2"/>
          </w:tcPr>
          <w:p w14:paraId="67ABD837">
            <w:pPr>
              <w:contextualSpacing/>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合同编号</w:t>
            </w:r>
            <w:r>
              <w:rPr>
                <w:rFonts w:ascii="Times New Roman" w:hAnsi="Times New Roman" w:eastAsia="宋体" w:cs="Times New Roman"/>
                <w:color w:val="000000"/>
                <w:szCs w:val="21"/>
                <w:highlight w:val="none"/>
              </w:rPr>
              <w:t>：CGZX-***</w:t>
            </w:r>
          </w:p>
          <w:p w14:paraId="2D83087F">
            <w:pPr>
              <w:contextualSpacing/>
              <w:rPr>
                <w:rFonts w:hint="eastAsia" w:ascii="Times New Roman" w:hAnsi="Times New Roman" w:eastAsia="宋体" w:cs="Times New Roman"/>
                <w:color w:val="000000"/>
                <w:szCs w:val="21"/>
                <w:highlight w:val="none"/>
                <w:lang w:eastAsia="zh-CN"/>
              </w:rPr>
            </w:pPr>
            <w:r>
              <w:rPr>
                <w:rFonts w:ascii="Times New Roman" w:hAnsi="Times New Roman" w:eastAsia="宋体" w:cs="Times New Roman"/>
                <w:b/>
                <w:bCs/>
                <w:color w:val="000000"/>
                <w:szCs w:val="21"/>
                <w:highlight w:val="none"/>
              </w:rPr>
              <w:t>签订地点</w:t>
            </w:r>
            <w:r>
              <w:rPr>
                <w:rFonts w:ascii="Times New Roman" w:hAnsi="Times New Roman" w:eastAsia="宋体" w:cs="Times New Roman"/>
                <w:color w:val="000000"/>
                <w:szCs w:val="21"/>
                <w:highlight w:val="none"/>
              </w:rPr>
              <w:t>：</w:t>
            </w:r>
            <w:r>
              <w:rPr>
                <w:rFonts w:hint="eastAsia" w:ascii="Times New Roman" w:hAnsi="Times New Roman" w:eastAsia="宋体" w:cs="Times New Roman"/>
                <w:color w:val="000000"/>
                <w:szCs w:val="21"/>
                <w:highlight w:val="none"/>
                <w:lang w:eastAsia="zh-CN"/>
              </w:rPr>
              <w:t>四川省精神医学中心</w:t>
            </w:r>
          </w:p>
        </w:tc>
      </w:tr>
      <w:tr w14:paraId="4FD1AEB7">
        <w:tblPrEx>
          <w:tblCellMar>
            <w:top w:w="0" w:type="dxa"/>
            <w:left w:w="0" w:type="dxa"/>
            <w:bottom w:w="0" w:type="dxa"/>
            <w:right w:w="0" w:type="dxa"/>
          </w:tblCellMar>
        </w:tblPrEx>
        <w:trPr>
          <w:jc w:val="center"/>
        </w:trPr>
        <w:tc>
          <w:tcPr>
            <w:tcW w:w="4962" w:type="dxa"/>
          </w:tcPr>
          <w:p w14:paraId="668612B3">
            <w:pPr>
              <w:rPr>
                <w:rFonts w:hint="eastAsia" w:ascii="Times New Roman" w:hAnsi="Times New Roman" w:eastAsia="宋体" w:cs="Times New Roman"/>
                <w:szCs w:val="21"/>
                <w:highlight w:val="none"/>
                <w:lang w:eastAsia="zh-CN"/>
              </w:rPr>
            </w:pPr>
            <w:r>
              <w:rPr>
                <w:rFonts w:ascii="Times New Roman" w:hAnsi="Times New Roman" w:eastAsia="宋体" w:cs="Times New Roman"/>
                <w:b/>
                <w:bCs/>
                <w:szCs w:val="21"/>
                <w:highlight w:val="none"/>
              </w:rPr>
              <w:t>采购人（以下简称甲方）</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lang w:eastAsia="zh-CN"/>
              </w:rPr>
              <w:t>四川省精神医学中心</w:t>
            </w:r>
          </w:p>
          <w:p w14:paraId="430A8FF5">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地址</w:t>
            </w:r>
            <w:r>
              <w:rPr>
                <w:rFonts w:ascii="Times New Roman" w:hAnsi="Times New Roman" w:eastAsia="宋体" w:cs="Times New Roman"/>
                <w:szCs w:val="21"/>
                <w:highlight w:val="none"/>
              </w:rPr>
              <w:t>：四川省成都市一环路西二段32号</w:t>
            </w:r>
          </w:p>
          <w:p w14:paraId="2EAEA3DB">
            <w:pPr>
              <w:rPr>
                <w:rFonts w:ascii="Times New Roman" w:hAnsi="Times New Roman" w:eastAsia="宋体" w:cs="Times New Roman"/>
                <w:szCs w:val="21"/>
                <w:highlight w:val="none"/>
              </w:rPr>
            </w:pPr>
            <w:r>
              <w:rPr>
                <w:rFonts w:ascii="Times New Roman" w:hAnsi="Times New Roman" w:eastAsia="宋体" w:cs="Times New Roman"/>
                <w:b/>
                <w:bCs/>
                <w:szCs w:val="21"/>
                <w:highlight w:val="none"/>
              </w:rPr>
              <w:t>项目联系人</w:t>
            </w:r>
            <w:r>
              <w:rPr>
                <w:rFonts w:ascii="Times New Roman" w:hAnsi="Times New Roman" w:eastAsia="宋体" w:cs="Times New Roman"/>
                <w:szCs w:val="21"/>
                <w:highlight w:val="none"/>
              </w:rPr>
              <w:t xml:space="preserve">：*** </w:t>
            </w:r>
            <w:r>
              <w:rPr>
                <w:rFonts w:ascii="Times New Roman" w:hAnsi="Times New Roman" w:eastAsia="宋体" w:cs="Times New Roman"/>
                <w:b/>
                <w:bCs/>
                <w:szCs w:val="21"/>
                <w:highlight w:val="none"/>
              </w:rPr>
              <w:t>电话</w:t>
            </w:r>
            <w:r>
              <w:rPr>
                <w:rFonts w:ascii="Times New Roman" w:hAnsi="Times New Roman" w:eastAsia="宋体" w:cs="Times New Roman"/>
                <w:szCs w:val="21"/>
                <w:highlight w:val="none"/>
              </w:rPr>
              <w:t>：***</w:t>
            </w:r>
          </w:p>
          <w:p w14:paraId="218740B7">
            <w:pPr>
              <w:rPr>
                <w:rFonts w:ascii="Times New Roman" w:hAnsi="Times New Roman" w:eastAsia="宋体" w:cs="Times New Roman"/>
                <w:szCs w:val="20"/>
                <w:highlight w:val="none"/>
              </w:rPr>
            </w:pPr>
            <w:r>
              <w:rPr>
                <w:rFonts w:hint="eastAsia" w:ascii="Times New Roman" w:hAnsi="Times New Roman" w:eastAsia="宋体" w:cs="Times New Roman"/>
                <w:b/>
                <w:bCs/>
                <w:szCs w:val="21"/>
                <w:highlight w:val="none"/>
              </w:rPr>
              <w:t>电子邮件：</w:t>
            </w:r>
            <w:r>
              <w:rPr>
                <w:rFonts w:hint="eastAsia" w:ascii="Times New Roman" w:hAnsi="Times New Roman" w:eastAsia="宋体" w:cs="Times New Roman"/>
                <w:szCs w:val="21"/>
                <w:highlight w:val="none"/>
              </w:rPr>
              <w:t>*</w:t>
            </w:r>
            <w:r>
              <w:rPr>
                <w:rFonts w:ascii="Times New Roman" w:hAnsi="Times New Roman" w:eastAsia="宋体" w:cs="Times New Roman"/>
                <w:szCs w:val="21"/>
                <w:highlight w:val="none"/>
              </w:rPr>
              <w:t>**</w:t>
            </w:r>
          </w:p>
        </w:tc>
        <w:tc>
          <w:tcPr>
            <w:tcW w:w="5242" w:type="dxa"/>
          </w:tcPr>
          <w:p w14:paraId="505A9AD5">
            <w:pP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供应商（以下简称乙方）：***</w:t>
            </w:r>
          </w:p>
          <w:p w14:paraId="56C19443">
            <w:pP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地址：***</w:t>
            </w:r>
          </w:p>
          <w:p w14:paraId="43C15BFF">
            <w:pP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移动电话：***</w:t>
            </w:r>
          </w:p>
          <w:p w14:paraId="14BEC32D">
            <w:pPr>
              <w:contextualSpacing/>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联系人：***</w:t>
            </w:r>
          </w:p>
          <w:p w14:paraId="5EFEEA8C">
            <w:pPr>
              <w:rPr>
                <w:rFonts w:ascii="Times New Roman" w:hAnsi="Times New Roman" w:eastAsia="宋体" w:cs="Times New Roman"/>
                <w:bCs/>
                <w:szCs w:val="21"/>
                <w:highlight w:val="none"/>
              </w:rPr>
            </w:pPr>
            <w:r>
              <w:rPr>
                <w:rFonts w:hint="eastAsia" w:ascii="Times New Roman" w:hAnsi="Times New Roman" w:eastAsia="宋体" w:cs="Times New Roman"/>
                <w:b/>
                <w:bCs/>
                <w:szCs w:val="21"/>
                <w:highlight w:val="none"/>
              </w:rPr>
              <w:t>电子邮件：</w:t>
            </w:r>
            <w:r>
              <w:rPr>
                <w:rFonts w:hint="eastAsia" w:ascii="Times New Roman" w:hAnsi="Times New Roman" w:eastAsia="宋体" w:cs="Times New Roman"/>
                <w:szCs w:val="21"/>
                <w:highlight w:val="none"/>
              </w:rPr>
              <w:t>*</w:t>
            </w:r>
            <w:r>
              <w:rPr>
                <w:rFonts w:ascii="Times New Roman" w:hAnsi="Times New Roman" w:eastAsia="宋体" w:cs="Times New Roman"/>
                <w:szCs w:val="21"/>
                <w:highlight w:val="none"/>
              </w:rPr>
              <w:t>**</w:t>
            </w:r>
          </w:p>
        </w:tc>
      </w:tr>
    </w:tbl>
    <w:p w14:paraId="61FC91DE">
      <w:pPr>
        <w:ind w:firstLine="420" w:firstLineChars="200"/>
        <w:contextualSpacing/>
        <w:jc w:val="left"/>
        <w:rPr>
          <w:rFonts w:ascii="Times New Roman" w:hAnsi="Times New Roman" w:eastAsia="宋体" w:cs="Times New Roman"/>
          <w:color w:val="000000"/>
          <w:szCs w:val="21"/>
          <w:highlight w:val="none"/>
        </w:rPr>
      </w:pPr>
    </w:p>
    <w:p w14:paraId="4477BB11">
      <w:pPr>
        <w:adjustRightInd w:val="0"/>
        <w:ind w:firstLine="420" w:firstLineChars="200"/>
        <w:contextualSpacing/>
        <w:jc w:val="left"/>
        <w:rPr>
          <w:rFonts w:ascii="Times New Roman" w:hAnsi="Times New Roman" w:eastAsia="宋体" w:cs="Times New Roman"/>
          <w:b/>
          <w:szCs w:val="21"/>
          <w:highlight w:val="none"/>
        </w:rPr>
      </w:pPr>
      <w:r>
        <w:rPr>
          <w:rFonts w:hint="eastAsia" w:ascii="Times New Roman" w:hAnsi="Times New Roman" w:eastAsia="宋体" w:cs="Times New Roman"/>
          <w:color w:val="000000"/>
          <w:szCs w:val="21"/>
          <w:highlight w:val="none"/>
        </w:rPr>
        <w:t>根</w:t>
      </w:r>
      <w:r>
        <w:rPr>
          <w:rFonts w:ascii="Times New Roman" w:hAnsi="Times New Roman" w:eastAsia="宋体" w:cs="Times New Roman"/>
          <w:color w:val="000000"/>
          <w:szCs w:val="21"/>
          <w:highlight w:val="none"/>
        </w:rPr>
        <w:t>据《中华人民共和国民法典》及甲方发布的***项目（项目编号</w:t>
      </w:r>
      <w:permStart w:id="0" w:edGrp="everyone"/>
      <w:r>
        <w:rPr>
          <w:rFonts w:ascii="Times New Roman" w:hAnsi="Times New Roman" w:eastAsia="宋体" w:cs="Times New Roman"/>
          <w:color w:val="000000"/>
          <w:szCs w:val="21"/>
          <w:highlight w:val="none"/>
        </w:rPr>
        <w:t>：</w:t>
      </w:r>
      <w:r>
        <w:rPr>
          <w:rFonts w:ascii="Times New Roman" w:hAnsi="Times New Roman" w:eastAsia="宋体" w:cs="Times New Roman"/>
          <w:szCs w:val="21"/>
          <w:highlight w:val="none"/>
        </w:rPr>
        <w:t>***</w:t>
      </w:r>
      <w:permEnd w:id="0"/>
      <w:r>
        <w:rPr>
          <w:rFonts w:ascii="Times New Roman" w:hAnsi="Times New Roman" w:eastAsia="宋体" w:cs="Times New Roman"/>
          <w:color w:val="000000"/>
          <w:szCs w:val="21"/>
          <w:highlight w:val="none"/>
        </w:rPr>
        <w:t>）《采购文件》、乙方的《</w:t>
      </w:r>
      <w:r>
        <w:rPr>
          <w:rFonts w:hint="eastAsia" w:ascii="Times New Roman" w:hAnsi="Times New Roman" w:eastAsia="宋体" w:cs="Times New Roman"/>
          <w:color w:val="000000"/>
          <w:szCs w:val="21"/>
          <w:highlight w:val="none"/>
        </w:rPr>
        <w:t>响应</w:t>
      </w:r>
      <w:r>
        <w:rPr>
          <w:rFonts w:ascii="Times New Roman" w:hAnsi="Times New Roman" w:eastAsia="宋体" w:cs="Times New Roman"/>
          <w:color w:val="000000"/>
          <w:szCs w:val="21"/>
          <w:highlight w:val="none"/>
        </w:rPr>
        <w:t>文件》，甲、乙双方同意签订本合同。详细技术说明及其他有关合同项目的特定信息可由合同附件予以说明，合同附件及本项目的《采购文件》、《</w:t>
      </w:r>
      <w:r>
        <w:rPr>
          <w:rFonts w:hint="eastAsia" w:ascii="Times New Roman" w:hAnsi="Times New Roman" w:eastAsia="宋体" w:cs="Times New Roman"/>
          <w:color w:val="000000"/>
          <w:szCs w:val="21"/>
          <w:highlight w:val="none"/>
        </w:rPr>
        <w:t>响应</w:t>
      </w:r>
      <w:r>
        <w:rPr>
          <w:rFonts w:ascii="Times New Roman" w:hAnsi="Times New Roman" w:eastAsia="宋体" w:cs="Times New Roman"/>
          <w:color w:val="000000"/>
          <w:szCs w:val="21"/>
          <w:highlight w:val="none"/>
        </w:rPr>
        <w:t>文件》等均为本合同不可分割的部分。双方同意共同遵守以下条款：</w:t>
      </w:r>
    </w:p>
    <w:p w14:paraId="69DCCDB7">
      <w:pPr>
        <w:contextualSpacing/>
        <w:jc w:val="left"/>
        <w:rPr>
          <w:rFonts w:ascii="Times New Roman" w:hAnsi="Times New Roman" w:eastAsia="宋体" w:cs="Times New Roman"/>
          <w:b/>
          <w:szCs w:val="21"/>
          <w:highlight w:val="none"/>
        </w:rPr>
      </w:pPr>
    </w:p>
    <w:p w14:paraId="403E37A4">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合同标的</w:t>
      </w:r>
    </w:p>
    <w:p w14:paraId="7DDE49CC">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标的名称：</w:t>
      </w:r>
      <w:permStart w:id="1" w:edGrp="everyone"/>
      <w:r>
        <w:rPr>
          <w:rFonts w:ascii="Times New Roman" w:hAnsi="Times New Roman" w:eastAsia="宋体" w:cs="Times New Roman"/>
          <w:kern w:val="2"/>
          <w:sz w:val="21"/>
          <w:szCs w:val="21"/>
          <w:highlight w:val="none"/>
          <w:lang w:val="en-US" w:eastAsia="zh-CN" w:bidi="ar-SA"/>
        </w:rPr>
        <w:t>***</w:t>
      </w:r>
      <w:permEnd w:id="1"/>
      <w:r>
        <w:rPr>
          <w:rFonts w:ascii="Times New Roman" w:hAnsi="Times New Roman" w:eastAsia="宋体" w:cs="Times New Roman"/>
          <w:kern w:val="2"/>
          <w:sz w:val="21"/>
          <w:szCs w:val="21"/>
          <w:highlight w:val="none"/>
          <w:lang w:val="en-US" w:eastAsia="zh-CN" w:bidi="ar-SA"/>
        </w:rPr>
        <w:t>。</w:t>
      </w:r>
    </w:p>
    <w:p w14:paraId="752ED0D5">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乙方向甲方提供服务的主要内容：*</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w:t>
      </w:r>
    </w:p>
    <w:p w14:paraId="3B5C9CC0">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服务分项明细：</w:t>
      </w:r>
      <w:r>
        <w:rPr>
          <w:rFonts w:hint="eastAsia" w:ascii="Times New Roman" w:hAnsi="Times New Roman" w:eastAsia="宋体" w:cs="Times New Roman"/>
          <w:i/>
          <w:iCs/>
          <w:color w:val="000000"/>
          <w:kern w:val="2"/>
          <w:sz w:val="21"/>
          <w:szCs w:val="21"/>
          <w:highlight w:val="none"/>
          <w:lang w:val="zh-CN" w:eastAsia="zh-CN" w:bidi="ar-SA"/>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29451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249E70CF">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序号</w:t>
            </w:r>
          </w:p>
        </w:tc>
        <w:tc>
          <w:tcPr>
            <w:tcW w:w="2977" w:type="dxa"/>
            <w:vAlign w:val="center"/>
          </w:tcPr>
          <w:p w14:paraId="65E8EE2B">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分项</w:t>
            </w:r>
            <w:r>
              <w:rPr>
                <w:rFonts w:hint="eastAsia" w:ascii="Times New Roman" w:hAnsi="Times New Roman" w:eastAsia="宋体" w:cs="Times New Roman"/>
                <w:color w:val="000000"/>
                <w:kern w:val="2"/>
                <w:sz w:val="21"/>
                <w:szCs w:val="21"/>
                <w:highlight w:val="none"/>
                <w:lang w:val="en-US" w:eastAsia="zh-CN" w:bidi="ar-SA"/>
              </w:rPr>
              <w:t>服务</w:t>
            </w:r>
            <w:r>
              <w:rPr>
                <w:rFonts w:ascii="Times New Roman" w:hAnsi="Times New Roman" w:eastAsia="宋体" w:cs="Times New Roman"/>
                <w:color w:val="000000"/>
                <w:kern w:val="2"/>
                <w:sz w:val="21"/>
                <w:szCs w:val="21"/>
                <w:highlight w:val="none"/>
                <w:lang w:val="en-US" w:eastAsia="zh-CN" w:bidi="ar-SA"/>
              </w:rPr>
              <w:t>名称</w:t>
            </w:r>
          </w:p>
        </w:tc>
        <w:tc>
          <w:tcPr>
            <w:tcW w:w="3686" w:type="dxa"/>
            <w:vAlign w:val="center"/>
          </w:tcPr>
          <w:p w14:paraId="2BA7AD3E">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具体内容</w:t>
            </w:r>
          </w:p>
        </w:tc>
        <w:tc>
          <w:tcPr>
            <w:tcW w:w="963" w:type="dxa"/>
            <w:vAlign w:val="center"/>
          </w:tcPr>
          <w:p w14:paraId="5DE1FB13">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分项价格（万元）</w:t>
            </w:r>
          </w:p>
        </w:tc>
        <w:tc>
          <w:tcPr>
            <w:tcW w:w="2016" w:type="dxa"/>
          </w:tcPr>
          <w:p w14:paraId="06ADCD21">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备注</w:t>
            </w:r>
          </w:p>
        </w:tc>
      </w:tr>
      <w:tr w14:paraId="7B789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33C0E3F0">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1</w:t>
            </w:r>
          </w:p>
        </w:tc>
        <w:tc>
          <w:tcPr>
            <w:tcW w:w="2977" w:type="dxa"/>
            <w:vAlign w:val="center"/>
          </w:tcPr>
          <w:p w14:paraId="4ADD2B19">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3686" w:type="dxa"/>
            <w:vAlign w:val="center"/>
          </w:tcPr>
          <w:p w14:paraId="24AC263A">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963" w:type="dxa"/>
            <w:vAlign w:val="center"/>
          </w:tcPr>
          <w:p w14:paraId="463D2F7D">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2016" w:type="dxa"/>
          </w:tcPr>
          <w:p w14:paraId="56555B9B">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r w14:paraId="7558C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334D214">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2</w:t>
            </w:r>
          </w:p>
        </w:tc>
        <w:tc>
          <w:tcPr>
            <w:tcW w:w="2977" w:type="dxa"/>
            <w:vAlign w:val="center"/>
          </w:tcPr>
          <w:p w14:paraId="0182B745">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3686" w:type="dxa"/>
            <w:vAlign w:val="center"/>
          </w:tcPr>
          <w:p w14:paraId="3C728ABF">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963" w:type="dxa"/>
            <w:vAlign w:val="center"/>
          </w:tcPr>
          <w:p w14:paraId="69566579">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2016" w:type="dxa"/>
          </w:tcPr>
          <w:p w14:paraId="2CE30963">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r w14:paraId="3A2F4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3B77EB6">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3</w:t>
            </w:r>
          </w:p>
        </w:tc>
        <w:tc>
          <w:tcPr>
            <w:tcW w:w="2977" w:type="dxa"/>
            <w:vAlign w:val="center"/>
          </w:tcPr>
          <w:p w14:paraId="61A2AA15">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3686" w:type="dxa"/>
            <w:vAlign w:val="center"/>
          </w:tcPr>
          <w:p w14:paraId="5B3E33A5">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963" w:type="dxa"/>
            <w:vAlign w:val="center"/>
          </w:tcPr>
          <w:p w14:paraId="1691F5D9">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2016" w:type="dxa"/>
          </w:tcPr>
          <w:p w14:paraId="537C79A6">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r w14:paraId="02C02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2AAE3170">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w:t>
            </w:r>
          </w:p>
        </w:tc>
        <w:tc>
          <w:tcPr>
            <w:tcW w:w="2977" w:type="dxa"/>
            <w:vAlign w:val="center"/>
          </w:tcPr>
          <w:p w14:paraId="6054E75E">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3686" w:type="dxa"/>
            <w:vAlign w:val="center"/>
          </w:tcPr>
          <w:p w14:paraId="69944447">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963" w:type="dxa"/>
            <w:vAlign w:val="center"/>
          </w:tcPr>
          <w:p w14:paraId="10D20887">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2016" w:type="dxa"/>
          </w:tcPr>
          <w:p w14:paraId="04BD4D5B">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bl>
    <w:p w14:paraId="660310C3">
      <w:pPr>
        <w:widowControl w:val="0"/>
        <w:numPr>
          <w:ilvl w:val="0"/>
          <w:numId w:val="12"/>
        </w:numPr>
        <w:ind w:left="480" w:hanging="480" w:firstLineChars="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w:t>
      </w:r>
      <w:r>
        <w:rPr>
          <w:rFonts w:hint="eastAsia" w:ascii="Times New Roman" w:hAnsi="Times New Roman" w:eastAsia="宋体" w:cs="Times New Roman"/>
          <w:b/>
          <w:kern w:val="2"/>
          <w:sz w:val="21"/>
          <w:szCs w:val="21"/>
          <w:highlight w:val="none"/>
          <w:lang w:val="en-US" w:eastAsia="zh-CN" w:bidi="ar-SA"/>
        </w:rPr>
        <w:t>价款</w:t>
      </w:r>
    </w:p>
    <w:p w14:paraId="654FEF31">
      <w:pPr>
        <w:ind w:firstLine="480"/>
        <w:contextualSpacing/>
        <w:jc w:val="left"/>
        <w:rPr>
          <w:rFonts w:ascii="Times New Roman" w:hAnsi="Times New Roman" w:eastAsia="宋体" w:cs="Times New Roman"/>
          <w:szCs w:val="21"/>
          <w:highlight w:val="none"/>
        </w:rPr>
      </w:pPr>
      <w:bookmarkStart w:id="97" w:name="OLE_LINK1"/>
      <w:bookmarkStart w:id="98" w:name="OLE_LINK2"/>
      <w:r>
        <w:rPr>
          <w:rFonts w:ascii="Times New Roman" w:hAnsi="Times New Roman" w:eastAsia="宋体" w:cs="Times New Roman"/>
          <w:color w:val="000000"/>
          <w:szCs w:val="21"/>
          <w:highlight w:val="none"/>
        </w:rPr>
        <w:sym w:font="Wingdings 2" w:char="F052"/>
      </w:r>
      <w:r>
        <w:rPr>
          <w:rFonts w:hint="eastAsia" w:ascii="Times New Roman" w:hAnsi="Times New Roman" w:eastAsia="宋体" w:cs="Times New Roman"/>
          <w:szCs w:val="21"/>
          <w:highlight w:val="none"/>
        </w:rPr>
        <w:t>全包服务</w:t>
      </w:r>
    </w:p>
    <w:p w14:paraId="75EA7E8E">
      <w:pPr>
        <w:ind w:left="420" w:leftChars="200" w:firstLine="420" w:firstLineChars="200"/>
        <w:contextualSpacing/>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合同总价（含税）为人民币大写：*** 圆整，即RMB *** 元</w:t>
      </w:r>
      <w:r>
        <w:rPr>
          <w:rFonts w:hint="eastAsia" w:ascii="Times New Roman" w:hAnsi="Times New Roman" w:eastAsia="宋体" w:cs="Times New Roman"/>
          <w:szCs w:val="21"/>
          <w:highlight w:val="none"/>
        </w:rPr>
        <w:t>，</w:t>
      </w:r>
      <w:r>
        <w:rPr>
          <w:rFonts w:ascii="Times New Roman" w:hAnsi="Times New Roman" w:eastAsia="宋体" w:cs="Times New Roman"/>
          <w:szCs w:val="21"/>
          <w:highlight w:val="none"/>
        </w:rPr>
        <w:t>该合同总价已包括本合同标的所涉及的所有相关费用（包括但不限于技术服务、差旅</w:t>
      </w:r>
      <w:r>
        <w:rPr>
          <w:rFonts w:hint="eastAsia" w:ascii="Times New Roman" w:hAnsi="Times New Roman" w:eastAsia="宋体" w:cs="Times New Roman"/>
          <w:szCs w:val="21"/>
          <w:highlight w:val="none"/>
        </w:rPr>
        <w:t>交通</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rPr>
        <w:t>原材料、备品备件及</w:t>
      </w:r>
      <w:r>
        <w:rPr>
          <w:rFonts w:ascii="Times New Roman" w:hAnsi="Times New Roman" w:eastAsia="宋体" w:cs="Times New Roman"/>
          <w:szCs w:val="21"/>
          <w:highlight w:val="none"/>
        </w:rPr>
        <w:t>税费</w:t>
      </w:r>
      <w:r>
        <w:rPr>
          <w:rFonts w:hint="eastAsia" w:ascii="Times New Roman" w:hAnsi="Times New Roman" w:eastAsia="宋体" w:cs="Times New Roman"/>
          <w:szCs w:val="21"/>
          <w:highlight w:val="none"/>
        </w:rPr>
        <w:t>等在内</w:t>
      </w:r>
      <w:r>
        <w:rPr>
          <w:rFonts w:ascii="Times New Roman" w:hAnsi="Times New Roman" w:eastAsia="宋体" w:cs="Times New Roman"/>
          <w:szCs w:val="21"/>
          <w:highlight w:val="none"/>
        </w:rPr>
        <w:t>的全部含税费用）。本合同执行期间合同总价不变，甲方无须另向乙方支付本合同规定之外的其他任何费用。</w:t>
      </w:r>
    </w:p>
    <w:p w14:paraId="03CCCB6F">
      <w:pPr>
        <w:ind w:firstLine="480"/>
        <w:contextualSpacing/>
        <w:jc w:val="left"/>
        <w:rPr>
          <w:rFonts w:ascii="Times New Roman" w:hAnsi="Times New Roman" w:eastAsia="宋体" w:cs="Times New Roman"/>
          <w:szCs w:val="20"/>
          <w:highlight w:val="none"/>
        </w:rPr>
      </w:pPr>
      <w:r>
        <w:rPr>
          <w:rFonts w:ascii="Times New Roman" w:hAnsi="Times New Roman" w:eastAsia="宋体" w:cs="Times New Roman"/>
          <w:color w:val="000000"/>
          <w:szCs w:val="21"/>
          <w:highlight w:val="none"/>
          <w:shd w:val="clear" w:color="auto" w:fill="FFFFFF"/>
        </w:rPr>
        <w:sym w:font="Wingdings" w:char="F0A8"/>
      </w:r>
      <w:r>
        <w:rPr>
          <w:rFonts w:hint="eastAsia" w:ascii="Times New Roman" w:hAnsi="Times New Roman" w:eastAsia="宋体" w:cs="Times New Roman"/>
          <w:szCs w:val="20"/>
          <w:highlight w:val="none"/>
        </w:rPr>
        <w:t>半包服务</w:t>
      </w:r>
    </w:p>
    <w:p w14:paraId="15AE65BE">
      <w:pPr>
        <w:ind w:left="420" w:leftChars="200" w:firstLine="420" w:firstLineChars="200"/>
        <w:contextualSpacing/>
        <w:jc w:val="lef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rPr>
        <w:t>本合同固定部分价款为</w:t>
      </w:r>
      <w:bookmarkStart w:id="99" w:name="OLE_LINK28"/>
      <w:r>
        <w:rPr>
          <w:rFonts w:ascii="Times New Roman" w:hAnsi="Times New Roman" w:eastAsia="宋体" w:cs="Times New Roman"/>
          <w:szCs w:val="21"/>
          <w:highlight w:val="none"/>
        </w:rPr>
        <w:t>人民币大写：*** 圆整，即RMB *** 元</w:t>
      </w:r>
      <w:bookmarkEnd w:id="99"/>
      <w:r>
        <w:rPr>
          <w:rFonts w:hint="eastAsia" w:ascii="Times New Roman" w:hAnsi="Times New Roman" w:eastAsia="宋体" w:cs="Times New Roman"/>
          <w:szCs w:val="21"/>
          <w:highlight w:val="none"/>
        </w:rPr>
        <w:t>，</w:t>
      </w:r>
      <w:r>
        <w:rPr>
          <w:rFonts w:ascii="Times New Roman" w:hAnsi="Times New Roman" w:eastAsia="宋体" w:cs="Times New Roman"/>
          <w:szCs w:val="21"/>
          <w:highlight w:val="none"/>
        </w:rPr>
        <w:t>该</w:t>
      </w:r>
      <w:r>
        <w:rPr>
          <w:rFonts w:hint="eastAsia" w:ascii="Times New Roman" w:hAnsi="Times New Roman" w:eastAsia="宋体" w:cs="Times New Roman"/>
          <w:szCs w:val="21"/>
          <w:highlight w:val="none"/>
        </w:rPr>
        <w:t>部分价款</w:t>
      </w:r>
      <w:r>
        <w:rPr>
          <w:rFonts w:ascii="Times New Roman" w:hAnsi="Times New Roman" w:eastAsia="宋体" w:cs="Times New Roman"/>
          <w:szCs w:val="21"/>
          <w:highlight w:val="none"/>
        </w:rPr>
        <w:t>已包括</w:t>
      </w:r>
      <w:r>
        <w:rPr>
          <w:rFonts w:hint="eastAsia" w:ascii="Times New Roman" w:hAnsi="Times New Roman" w:eastAsia="宋体" w:cs="Times New Roman"/>
          <w:szCs w:val="21"/>
          <w:highlight w:val="none"/>
        </w:rPr>
        <w:t>*</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rPr>
        <w:t>及</w:t>
      </w:r>
      <w:r>
        <w:rPr>
          <w:rFonts w:ascii="Times New Roman" w:hAnsi="Times New Roman" w:eastAsia="宋体" w:cs="Times New Roman"/>
          <w:szCs w:val="21"/>
          <w:highlight w:val="none"/>
        </w:rPr>
        <w:t>税费</w:t>
      </w:r>
      <w:r>
        <w:rPr>
          <w:rFonts w:hint="eastAsia" w:ascii="Times New Roman" w:hAnsi="Times New Roman" w:eastAsia="宋体" w:cs="Times New Roman"/>
          <w:szCs w:val="21"/>
          <w:highlight w:val="none"/>
        </w:rPr>
        <w:t>在内</w:t>
      </w:r>
      <w:r>
        <w:rPr>
          <w:rFonts w:ascii="Times New Roman" w:hAnsi="Times New Roman" w:eastAsia="宋体" w:cs="Times New Roman"/>
          <w:szCs w:val="21"/>
          <w:highlight w:val="none"/>
        </w:rPr>
        <w:t>的全部含税费用。本合同执行期间</w:t>
      </w:r>
      <w:r>
        <w:rPr>
          <w:rFonts w:hint="eastAsia" w:ascii="Times New Roman" w:hAnsi="Times New Roman" w:eastAsia="宋体" w:cs="Times New Roman"/>
          <w:szCs w:val="21"/>
          <w:highlight w:val="none"/>
        </w:rPr>
        <w:t>该部分</w:t>
      </w:r>
      <w:r>
        <w:rPr>
          <w:rFonts w:ascii="Times New Roman" w:hAnsi="Times New Roman" w:eastAsia="宋体" w:cs="Times New Roman"/>
          <w:szCs w:val="21"/>
          <w:highlight w:val="none"/>
        </w:rPr>
        <w:t>合同</w:t>
      </w:r>
      <w:r>
        <w:rPr>
          <w:rFonts w:hint="eastAsia" w:ascii="Times New Roman" w:hAnsi="Times New Roman" w:eastAsia="宋体" w:cs="Times New Roman"/>
          <w:szCs w:val="21"/>
          <w:highlight w:val="none"/>
        </w:rPr>
        <w:t>价款</w:t>
      </w:r>
      <w:r>
        <w:rPr>
          <w:rFonts w:ascii="Times New Roman" w:hAnsi="Times New Roman" w:eastAsia="宋体" w:cs="Times New Roman"/>
          <w:szCs w:val="21"/>
          <w:highlight w:val="none"/>
        </w:rPr>
        <w:t>不变，甲方无须向乙方支付本合同规定之外的其他任何费用。</w:t>
      </w:r>
    </w:p>
    <w:p w14:paraId="794D464D">
      <w:pPr>
        <w:ind w:left="420" w:leftChars="200" w:firstLine="420" w:firstLineChars="200"/>
        <w:contextualSpacing/>
        <w:jc w:val="lef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2</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rPr>
        <w:t>本合同按实结算部分支付总额不超过</w:t>
      </w:r>
      <w:r>
        <w:rPr>
          <w:rFonts w:ascii="Times New Roman" w:hAnsi="Times New Roman" w:eastAsia="宋体" w:cs="Times New Roman"/>
          <w:szCs w:val="21"/>
          <w:highlight w:val="none"/>
        </w:rPr>
        <w:t>人民币大写：*** 圆整，即RMB *** 元</w:t>
      </w:r>
      <w:r>
        <w:rPr>
          <w:rFonts w:hint="eastAsia" w:ascii="Times New Roman" w:hAnsi="Times New Roman" w:eastAsia="宋体" w:cs="Times New Roman"/>
          <w:szCs w:val="21"/>
          <w:highlight w:val="none"/>
        </w:rPr>
        <w:t>，依据本合同单价进行结算，结算依据及标准为：*</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rPr>
        <w:t>，结算单价详见附件1《结算单价清单》。</w:t>
      </w:r>
      <w:r>
        <w:rPr>
          <w:rFonts w:ascii="Times New Roman" w:hAnsi="Times New Roman" w:eastAsia="宋体" w:cs="Times New Roman"/>
          <w:i/>
          <w:iCs/>
          <w:szCs w:val="21"/>
          <w:highlight w:val="none"/>
        </w:rPr>
        <w:t>&lt;根据项目实际情况</w:t>
      </w:r>
      <w:r>
        <w:rPr>
          <w:rFonts w:hint="eastAsia" w:ascii="Times New Roman" w:hAnsi="Times New Roman" w:eastAsia="宋体" w:cs="Times New Roman"/>
          <w:i/>
          <w:iCs/>
          <w:szCs w:val="21"/>
          <w:highlight w:val="none"/>
        </w:rPr>
        <w:t>编制结算依据、标准等必要内容</w:t>
      </w:r>
      <w:r>
        <w:rPr>
          <w:rFonts w:ascii="Times New Roman" w:hAnsi="Times New Roman" w:eastAsia="宋体" w:cs="Times New Roman"/>
          <w:i/>
          <w:iCs/>
          <w:szCs w:val="21"/>
          <w:highlight w:val="none"/>
        </w:rPr>
        <w:t>&gt;</w:t>
      </w:r>
    </w:p>
    <w:p w14:paraId="3AF90279">
      <w:pPr>
        <w:ind w:firstLine="480"/>
        <w:contextualSpacing/>
        <w:jc w:val="left"/>
        <w:rPr>
          <w:rFonts w:ascii="Times New Roman" w:hAnsi="Times New Roman" w:eastAsia="宋体" w:cs="Times New Roman"/>
          <w:szCs w:val="20"/>
          <w:highlight w:val="none"/>
        </w:rPr>
      </w:pPr>
      <w:r>
        <w:rPr>
          <w:rFonts w:ascii="Times New Roman" w:hAnsi="Times New Roman" w:eastAsia="宋体" w:cs="Times New Roman"/>
          <w:color w:val="000000"/>
          <w:szCs w:val="21"/>
          <w:highlight w:val="none"/>
          <w:shd w:val="clear" w:color="auto" w:fill="FFFFFF"/>
        </w:rPr>
        <w:sym w:font="Wingdings" w:char="F0A8"/>
      </w:r>
      <w:r>
        <w:rPr>
          <w:rFonts w:hint="eastAsia" w:ascii="Times New Roman" w:hAnsi="Times New Roman" w:eastAsia="宋体" w:cs="Times New Roman"/>
          <w:szCs w:val="20"/>
          <w:highlight w:val="none"/>
        </w:rPr>
        <w:t>按实结算</w:t>
      </w:r>
    </w:p>
    <w:p w14:paraId="02B6938D">
      <w:pPr>
        <w:ind w:left="420" w:leftChars="200" w:firstLine="420" w:firstLineChars="200"/>
        <w:contextualSpacing/>
        <w:jc w:val="lef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本合同支付总额不超过</w:t>
      </w:r>
      <w:r>
        <w:rPr>
          <w:rFonts w:ascii="Times New Roman" w:hAnsi="Times New Roman" w:eastAsia="宋体" w:cs="Times New Roman"/>
          <w:szCs w:val="21"/>
          <w:highlight w:val="none"/>
        </w:rPr>
        <w:t>人民币大写：*** 圆整，即RMB *** 元</w:t>
      </w:r>
      <w:r>
        <w:rPr>
          <w:rFonts w:hint="eastAsia" w:ascii="Times New Roman" w:hAnsi="Times New Roman" w:eastAsia="宋体" w:cs="Times New Roman"/>
          <w:szCs w:val="21"/>
          <w:highlight w:val="none"/>
        </w:rPr>
        <w:t>，依据本合同单价进行结算，结算单价详见附件1《结算单价清单》。</w:t>
      </w:r>
    </w:p>
    <w:bookmarkEnd w:id="97"/>
    <w:bookmarkEnd w:id="98"/>
    <w:p w14:paraId="108A792D">
      <w:pPr>
        <w:widowControl w:val="0"/>
        <w:numPr>
          <w:ilvl w:val="0"/>
          <w:numId w:val="12"/>
        </w:numPr>
        <w:ind w:left="480" w:hanging="480" w:firstLineChars="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服务期限</w:t>
      </w:r>
      <w:r>
        <w:rPr>
          <w:rFonts w:ascii="Times New Roman" w:hAnsi="Times New Roman" w:eastAsia="宋体" w:cs="Times New Roman"/>
          <w:i/>
          <w:iCs/>
          <w:kern w:val="2"/>
          <w:sz w:val="21"/>
          <w:szCs w:val="21"/>
          <w:highlight w:val="none"/>
          <w:lang w:val="en-US" w:eastAsia="zh-CN" w:bidi="ar-SA"/>
        </w:rPr>
        <w:t>&lt;根据项目实际情况选择&gt;</w:t>
      </w:r>
    </w:p>
    <w:p w14:paraId="09F21CE9">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hint="eastAsia" w:ascii="Times New Roman" w:hAnsi="Times New Roman" w:eastAsia="宋体" w:cs="Times New Roman"/>
          <w:color w:val="000000"/>
          <w:kern w:val="2"/>
          <w:sz w:val="21"/>
          <w:szCs w:val="21"/>
          <w:highlight w:val="none"/>
          <w:lang w:val="en-US" w:eastAsia="zh-CN" w:bidi="ar-SA"/>
        </w:rPr>
        <w:t>本</w:t>
      </w:r>
      <w:r>
        <w:rPr>
          <w:rFonts w:ascii="Times New Roman" w:hAnsi="Times New Roman" w:eastAsia="宋体" w:cs="Times New Roman"/>
          <w:bCs/>
          <w:kern w:val="2"/>
          <w:sz w:val="21"/>
          <w:szCs w:val="21"/>
          <w:highlight w:val="none"/>
          <w:lang w:val="en-US" w:eastAsia="zh-CN" w:bidi="ar-SA"/>
        </w:rPr>
        <w:t>合同服务期限为 *** 年，自 202* 年 *** 月 *** 日起至 202* 年 *** 月 *** 日。</w:t>
      </w:r>
    </w:p>
    <w:p w14:paraId="089CE2A9">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p>
    <w:p w14:paraId="04FFBA9B">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bCs/>
          <w:kern w:val="2"/>
          <w:sz w:val="21"/>
          <w:szCs w:val="21"/>
          <w:highlight w:val="none"/>
          <w:lang w:val="en-US" w:eastAsia="zh-CN" w:bidi="ar-SA"/>
        </w:rPr>
        <w:t>本合同服务期限为</w:t>
      </w:r>
      <w:r>
        <w:rPr>
          <w:rFonts w:hint="eastAsia" w:ascii="Times New Roman" w:hAnsi="Times New Roman" w:eastAsia="宋体" w:cs="Times New Roman"/>
          <w:bCs/>
          <w:kern w:val="2"/>
          <w:sz w:val="21"/>
          <w:szCs w:val="21"/>
          <w:highlight w:val="none"/>
          <w:lang w:val="en-US" w:eastAsia="zh-CN" w:bidi="ar-SA"/>
        </w:rPr>
        <w:t xml:space="preserve">双方签字盖章生效之日起 </w:t>
      </w:r>
      <w:r>
        <w:rPr>
          <w:rFonts w:ascii="Times New Roman" w:hAnsi="Times New Roman" w:eastAsia="宋体" w:cs="Times New Roman"/>
          <w:bCs/>
          <w:kern w:val="2"/>
          <w:sz w:val="21"/>
          <w:szCs w:val="21"/>
          <w:highlight w:val="none"/>
          <w:lang w:val="en-US" w:eastAsia="zh-CN" w:bidi="ar-SA"/>
        </w:rPr>
        <w:t>*** 年，</w:t>
      </w:r>
      <w:r>
        <w:rPr>
          <w:rFonts w:hint="eastAsia" w:ascii="Times New Roman" w:hAnsi="Times New Roman" w:eastAsia="宋体" w:cs="Times New Roman"/>
          <w:bCs/>
          <w:kern w:val="2"/>
          <w:sz w:val="21"/>
          <w:szCs w:val="21"/>
          <w:highlight w:val="none"/>
          <w:lang w:val="en-US" w:eastAsia="zh-CN" w:bidi="ar-SA"/>
        </w:rPr>
        <w:t>即</w:t>
      </w:r>
      <w:r>
        <w:rPr>
          <w:rFonts w:ascii="Times New Roman" w:hAnsi="Times New Roman" w:eastAsia="宋体" w:cs="Times New Roman"/>
          <w:bCs/>
          <w:kern w:val="2"/>
          <w:sz w:val="21"/>
          <w:szCs w:val="21"/>
          <w:highlight w:val="none"/>
          <w:lang w:val="en-US" w:eastAsia="zh-CN" w:bidi="ar-SA"/>
        </w:rPr>
        <w:t>自 202* 年 *** 月 *** 日起至 202* 年 *** 月 *** 日。</w:t>
      </w:r>
    </w:p>
    <w:p w14:paraId="2C4D5D6F">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p>
    <w:p w14:paraId="7C34CC74">
      <w:pPr>
        <w:widowControl w:val="0"/>
        <w:ind w:left="105" w:leftChars="50" w:firstLine="315" w:firstLineChars="15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bCs/>
          <w:kern w:val="2"/>
          <w:sz w:val="21"/>
          <w:szCs w:val="21"/>
          <w:highlight w:val="none"/>
          <w:lang w:val="en-US" w:eastAsia="zh-CN" w:bidi="ar-SA"/>
        </w:rPr>
        <w:t>本项目服务期为</w:t>
      </w:r>
      <w:r>
        <w:rPr>
          <w:rFonts w:ascii="Times New Roman" w:hAnsi="Times New Roman" w:eastAsia="宋体" w:cs="Times New Roman"/>
          <w:bCs/>
          <w:kern w:val="2"/>
          <w:sz w:val="21"/>
          <w:szCs w:val="21"/>
          <w:highlight w:val="none"/>
          <w:u w:val="single"/>
          <w:lang w:val="en-US" w:eastAsia="zh-CN" w:bidi="ar-SA"/>
        </w:rPr>
        <w:t>叁</w:t>
      </w:r>
      <w:r>
        <w:rPr>
          <w:rFonts w:ascii="Times New Roman" w:hAnsi="Times New Roman" w:eastAsia="宋体" w:cs="Times New Roman"/>
          <w:bCs/>
          <w:kern w:val="2"/>
          <w:sz w:val="21"/>
          <w:szCs w:val="21"/>
          <w:highlight w:val="none"/>
          <w:lang w:val="en-US" w:eastAsia="zh-CN" w:bidi="ar-SA"/>
        </w:rPr>
        <w:t>年（自202*年**月**日到202*年**月**日），合同一年一签，每年服务费为人民币 *** 元（大写：*** 圆整）。本合同为第***期，服务期为自202*年***月***日至202*年**月**日</w:t>
      </w:r>
      <w:r>
        <w:rPr>
          <w:rFonts w:ascii="Times New Roman" w:hAnsi="Times New Roman" w:eastAsia="宋体" w:cs="Times New Roman"/>
          <w:bCs/>
          <w:kern w:val="2"/>
          <w:sz w:val="21"/>
          <w:szCs w:val="21"/>
          <w:highlight w:val="none"/>
          <w:u w:val="single"/>
          <w:lang w:val="en-US" w:eastAsia="zh-CN" w:bidi="ar-SA"/>
        </w:rPr>
        <w:t>，经甲方考核合格后续签下一年合同</w:t>
      </w:r>
      <w:bookmarkStart w:id="100" w:name="OLE_LINK29"/>
      <w:r>
        <w:rPr>
          <w:rFonts w:hint="eastAsia" w:ascii="Times New Roman" w:hAnsi="Times New Roman" w:eastAsia="宋体" w:cs="Times New Roman"/>
          <w:bCs/>
          <w:kern w:val="2"/>
          <w:sz w:val="21"/>
          <w:szCs w:val="21"/>
          <w:highlight w:val="none"/>
          <w:lang w:val="en-US" w:eastAsia="zh-CN" w:bidi="ar-SA"/>
        </w:rPr>
        <w:t>，考核标准详见附件</w:t>
      </w:r>
      <w:r>
        <w:rPr>
          <w:rFonts w:hint="eastAsia" w:ascii="Times New Roman" w:hAnsi="Times New Roman" w:eastAsia="宋体" w:cs="Times New Roman"/>
          <w:bCs/>
          <w:kern w:val="2"/>
          <w:sz w:val="21"/>
          <w:szCs w:val="21"/>
          <w:highlight w:val="none"/>
          <w:u w:val="single"/>
          <w:lang w:val="en-US" w:eastAsia="zh-CN" w:bidi="ar-SA"/>
        </w:rPr>
        <w:t>2</w:t>
      </w:r>
      <w:r>
        <w:rPr>
          <w:rFonts w:hint="eastAsia" w:ascii="Times New Roman" w:hAnsi="Times New Roman" w:eastAsia="宋体" w:cs="Times New Roman"/>
          <w:bCs/>
          <w:kern w:val="2"/>
          <w:sz w:val="21"/>
          <w:szCs w:val="21"/>
          <w:highlight w:val="none"/>
          <w:lang w:val="en-US" w:eastAsia="zh-CN" w:bidi="ar-SA"/>
        </w:rPr>
        <w:t>《考核标准》</w:t>
      </w:r>
      <w:bookmarkEnd w:id="100"/>
      <w:r>
        <w:rPr>
          <w:rFonts w:ascii="Times New Roman" w:hAnsi="Times New Roman" w:eastAsia="宋体" w:cs="Times New Roman"/>
          <w:bCs/>
          <w:kern w:val="2"/>
          <w:sz w:val="21"/>
          <w:szCs w:val="21"/>
          <w:highlight w:val="none"/>
          <w:lang w:val="en-US" w:eastAsia="zh-CN" w:bidi="ar-SA"/>
        </w:rPr>
        <w:t>。</w:t>
      </w:r>
    </w:p>
    <w:p w14:paraId="28F30E53">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服务</w:t>
      </w:r>
      <w:r>
        <w:rPr>
          <w:rFonts w:hint="eastAsia" w:ascii="Times New Roman" w:hAnsi="Times New Roman" w:eastAsia="宋体" w:cs="Times New Roman"/>
          <w:b/>
          <w:kern w:val="2"/>
          <w:sz w:val="21"/>
          <w:szCs w:val="21"/>
          <w:highlight w:val="none"/>
          <w:lang w:val="en-US" w:eastAsia="zh-CN" w:bidi="ar-SA"/>
        </w:rPr>
        <w:t>方案</w:t>
      </w:r>
    </w:p>
    <w:p w14:paraId="0320ECF1">
      <w:pPr>
        <w:ind w:firstLine="420" w:firstLineChars="200"/>
        <w:contextualSpacing/>
        <w:jc w:val="left"/>
        <w:rPr>
          <w:rFonts w:ascii="Times New Roman" w:hAnsi="Times New Roman" w:eastAsia="宋体" w:cs="Times New Roman"/>
          <w:szCs w:val="21"/>
          <w:highlight w:val="none"/>
        </w:rPr>
      </w:pPr>
      <w:r>
        <w:rPr>
          <w:rFonts w:hint="eastAsia" w:ascii="Times New Roman" w:hAnsi="Times New Roman" w:eastAsia="宋体" w:cs="Times New Roman"/>
          <w:bCs/>
          <w:szCs w:val="21"/>
          <w:highlight w:val="none"/>
        </w:rPr>
        <w:t>乙方应严格按照本合同服务方案和甲方要求提供服务，服务方案</w:t>
      </w:r>
      <w:r>
        <w:rPr>
          <w:rFonts w:ascii="Times New Roman" w:hAnsi="Times New Roman" w:eastAsia="宋体" w:cs="Times New Roman"/>
          <w:bCs/>
          <w:szCs w:val="21"/>
          <w:highlight w:val="none"/>
        </w:rPr>
        <w:t>详见附件3《服务</w:t>
      </w:r>
      <w:r>
        <w:rPr>
          <w:rFonts w:hint="eastAsia" w:ascii="Times New Roman" w:hAnsi="Times New Roman" w:eastAsia="宋体" w:cs="Times New Roman"/>
          <w:bCs/>
          <w:szCs w:val="21"/>
          <w:highlight w:val="none"/>
        </w:rPr>
        <w:t>方案</w:t>
      </w:r>
      <w:r>
        <w:rPr>
          <w:rFonts w:ascii="Times New Roman" w:hAnsi="Times New Roman" w:eastAsia="宋体" w:cs="Times New Roman"/>
          <w:bCs/>
          <w:szCs w:val="21"/>
          <w:highlight w:val="none"/>
        </w:rPr>
        <w:t>》</w:t>
      </w:r>
      <w:r>
        <w:rPr>
          <w:rFonts w:hint="eastAsia" w:ascii="Times New Roman" w:hAnsi="Times New Roman" w:eastAsia="宋体" w:cs="Times New Roman"/>
          <w:bCs/>
          <w:szCs w:val="21"/>
          <w:highlight w:val="none"/>
        </w:rPr>
        <w:t>。</w:t>
      </w:r>
    </w:p>
    <w:p w14:paraId="7E18E0B3">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验收</w:t>
      </w:r>
    </w:p>
    <w:p w14:paraId="1572B319">
      <w:pPr>
        <w:widowControl w:val="0"/>
        <w:numPr>
          <w:ilvl w:val="0"/>
          <w:numId w:val="14"/>
        </w:numPr>
        <w:ind w:left="420" w:hanging="42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甲、乙双方确定，按照本合同约定的验收方案对乙方按本合同约定所提供的服务进行验收。</w:t>
      </w:r>
    </w:p>
    <w:p w14:paraId="47DFB536">
      <w:pPr>
        <w:widowControl w:val="0"/>
        <w:numPr>
          <w:ilvl w:val="0"/>
          <w:numId w:val="14"/>
        </w:numPr>
        <w:ind w:left="420" w:hanging="42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验收方案：</w:t>
      </w:r>
    </w:p>
    <w:p w14:paraId="782D0C91">
      <w:pPr>
        <w:widowControl w:val="0"/>
        <w:numPr>
          <w:ilvl w:val="0"/>
          <w:numId w:val="15"/>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验收主体：甲方</w:t>
      </w:r>
    </w:p>
    <w:p w14:paraId="6B3937CC">
      <w:pPr>
        <w:widowControl w:val="0"/>
        <w:numPr>
          <w:ilvl w:val="0"/>
          <w:numId w:val="15"/>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验收组织方式：自行验收</w:t>
      </w:r>
    </w:p>
    <w:p w14:paraId="5562A12C">
      <w:pPr>
        <w:widowControl w:val="0"/>
        <w:numPr>
          <w:ilvl w:val="0"/>
          <w:numId w:val="15"/>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验收程序：</w:t>
      </w:r>
      <w:r>
        <w:rPr>
          <w:rFonts w:ascii="Times New Roman" w:hAnsi="Times New Roman" w:eastAsia="宋体" w:cs="Times New Roman"/>
          <w:kern w:val="2"/>
          <w:sz w:val="21"/>
          <w:szCs w:val="20"/>
          <w:highlight w:val="none"/>
          <w:lang w:val="en-US" w:eastAsia="zh-CN" w:bidi="ar-SA"/>
        </w:rPr>
        <w:sym w:font="Wingdings 2" w:char="F052"/>
      </w:r>
      <w:r>
        <w:rPr>
          <w:rFonts w:hint="eastAsia" w:ascii="Times New Roman" w:hAnsi="Times New Roman" w:eastAsia="宋体" w:cs="Times New Roman"/>
          <w:color w:val="000000"/>
          <w:kern w:val="2"/>
          <w:sz w:val="21"/>
          <w:szCs w:val="21"/>
          <w:highlight w:val="none"/>
          <w:lang w:val="en-US" w:eastAsia="zh-CN" w:bidi="ar-SA"/>
        </w:rPr>
        <w:t>一次性验收</w:t>
      </w:r>
      <w:r>
        <w:rPr>
          <w:rFonts w:ascii="Times New Roman" w:hAnsi="Times New Roman" w:eastAsia="宋体" w:cs="Times New Roman"/>
          <w:color w:val="000000"/>
          <w:kern w:val="2"/>
          <w:sz w:val="21"/>
          <w:szCs w:val="21"/>
          <w:highlight w:val="none"/>
          <w:lang w:val="en-US" w:eastAsia="zh-CN" w:bidi="ar-SA"/>
        </w:rPr>
        <w:t xml:space="preserve">   </w:t>
      </w:r>
      <w:r>
        <w:rPr>
          <w:rFonts w:ascii="Times New Roman" w:hAnsi="Times New Roman" w:eastAsia="宋体" w:cs="Times New Roman"/>
          <w:kern w:val="2"/>
          <w:sz w:val="21"/>
          <w:szCs w:val="20"/>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分段</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分期验收</w:t>
      </w:r>
    </w:p>
    <w:p w14:paraId="7AF32651">
      <w:pPr>
        <w:widowControl w:val="0"/>
        <w:numPr>
          <w:ilvl w:val="0"/>
          <w:numId w:val="15"/>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验收方式：</w:t>
      </w:r>
      <w:r>
        <w:rPr>
          <w:rFonts w:ascii="Times New Roman" w:hAnsi="Times New Roman" w:eastAsia="宋体" w:cs="Times New Roman"/>
          <w:color w:val="000000"/>
          <w:kern w:val="2"/>
          <w:sz w:val="21"/>
          <w:szCs w:val="20"/>
          <w:highlight w:val="none"/>
          <w:lang w:val="en-US" w:eastAsia="zh-CN" w:bidi="ar-SA"/>
        </w:rPr>
        <w:sym w:font="Wingdings 2" w:char="F052"/>
      </w:r>
      <w:r>
        <w:rPr>
          <w:rFonts w:hint="eastAsia" w:ascii="Times New Roman" w:hAnsi="Times New Roman" w:eastAsia="宋体" w:cs="Times New Roman"/>
          <w:color w:val="000000"/>
          <w:kern w:val="2"/>
          <w:sz w:val="21"/>
          <w:szCs w:val="20"/>
          <w:highlight w:val="none"/>
          <w:lang w:val="en-US" w:eastAsia="zh-CN" w:bidi="ar-SA"/>
        </w:rPr>
        <w:t>现场整体验收</w:t>
      </w:r>
      <w:r>
        <w:rPr>
          <w:rFonts w:ascii="Times New Roman" w:hAnsi="Times New Roman" w:eastAsia="宋体" w:cs="Times New Roman"/>
          <w:color w:val="000000"/>
          <w:kern w:val="0"/>
          <w:sz w:val="21"/>
          <w:szCs w:val="21"/>
          <w:highlight w:val="none"/>
          <w:shd w:val="clear" w:color="auto" w:fill="FFFFFF"/>
          <w:lang w:val="en-US" w:eastAsia="zh-CN" w:bidi="ar-SA"/>
        </w:rPr>
        <w:t xml:space="preserve">   </w:t>
      </w:r>
      <w:r>
        <w:rPr>
          <w:rFonts w:ascii="Times New Roman" w:hAnsi="Times New Roman" w:eastAsia="宋体" w:cs="Times New Roman"/>
          <w:color w:val="000000"/>
          <w:kern w:val="2"/>
          <w:sz w:val="21"/>
          <w:szCs w:val="20"/>
          <w:highlight w:val="none"/>
          <w:shd w:val="clear" w:color="auto" w:fill="FFFFFF"/>
          <w:lang w:val="en-US" w:eastAsia="zh-CN" w:bidi="ar-SA"/>
        </w:rPr>
        <w:sym w:font="Wingdings" w:char="F0A8"/>
      </w:r>
      <w:r>
        <w:rPr>
          <w:rFonts w:hint="eastAsia" w:ascii="Times New Roman" w:hAnsi="Times New Roman" w:eastAsia="宋体" w:cs="Times New Roman"/>
          <w:color w:val="000000"/>
          <w:kern w:val="2"/>
          <w:sz w:val="21"/>
          <w:szCs w:val="20"/>
          <w:highlight w:val="none"/>
          <w:shd w:val="clear" w:color="auto" w:fill="FFFFFF"/>
          <w:lang w:val="en-US" w:eastAsia="zh-CN" w:bidi="ar-SA"/>
        </w:rPr>
        <w:t>考核验收</w:t>
      </w:r>
      <w:r>
        <w:rPr>
          <w:rFonts w:ascii="Times New Roman" w:hAnsi="Times New Roman" w:eastAsia="宋体" w:cs="Times New Roman"/>
          <w:color w:val="000000"/>
          <w:kern w:val="0"/>
          <w:sz w:val="21"/>
          <w:szCs w:val="21"/>
          <w:highlight w:val="none"/>
          <w:shd w:val="clear" w:color="auto" w:fill="FFFFFF"/>
          <w:lang w:val="en-US" w:eastAsia="zh-CN" w:bidi="ar-SA"/>
        </w:rPr>
        <w:t xml:space="preserve">   </w:t>
      </w:r>
      <w:r>
        <w:rPr>
          <w:rFonts w:ascii="Times New Roman" w:hAnsi="Times New Roman" w:eastAsia="宋体" w:cs="Times New Roman"/>
          <w:color w:val="000000"/>
          <w:kern w:val="2"/>
          <w:sz w:val="21"/>
          <w:szCs w:val="20"/>
          <w:highlight w:val="none"/>
          <w:shd w:val="clear" w:color="auto" w:fill="FFFFFF"/>
          <w:lang w:val="en-US" w:eastAsia="zh-CN" w:bidi="ar-SA"/>
        </w:rPr>
        <w:sym w:font="Wingdings" w:char="F0A8"/>
      </w:r>
      <w:r>
        <w:rPr>
          <w:rFonts w:hint="eastAsia" w:ascii="Times New Roman" w:hAnsi="Times New Roman" w:eastAsia="宋体" w:cs="Times New Roman"/>
          <w:color w:val="000000"/>
          <w:kern w:val="2"/>
          <w:sz w:val="21"/>
          <w:szCs w:val="20"/>
          <w:highlight w:val="none"/>
          <w:shd w:val="clear" w:color="auto" w:fill="FFFFFF"/>
          <w:lang w:val="en-US" w:eastAsia="zh-CN" w:bidi="ar-SA"/>
        </w:rPr>
        <w:t>其它验收方式：</w:t>
      </w:r>
      <w:r>
        <w:rPr>
          <w:rFonts w:ascii="Times New Roman" w:hAnsi="Times New Roman" w:eastAsia="宋体" w:cs="Times New Roman"/>
          <w:color w:val="000000"/>
          <w:kern w:val="2"/>
          <w:sz w:val="21"/>
          <w:szCs w:val="20"/>
          <w:highlight w:val="none"/>
          <w:u w:val="single"/>
          <w:shd w:val="clear" w:color="auto" w:fill="FFFFFF"/>
          <w:lang w:val="en-US" w:eastAsia="zh-CN" w:bidi="ar-SA"/>
        </w:rPr>
        <w:t>***</w:t>
      </w:r>
    </w:p>
    <w:p w14:paraId="462B8D68">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履约</w:t>
      </w:r>
      <w:r>
        <w:rPr>
          <w:rFonts w:ascii="Times New Roman" w:hAnsi="Times New Roman" w:eastAsia="宋体" w:cs="Times New Roman"/>
          <w:kern w:val="2"/>
          <w:sz w:val="21"/>
          <w:szCs w:val="21"/>
          <w:highlight w:val="none"/>
          <w:lang w:val="en-US" w:eastAsia="zh-CN" w:bidi="ar-SA"/>
        </w:rPr>
        <w:t>验收内容：</w:t>
      </w:r>
      <w:r>
        <w:rPr>
          <w:rFonts w:hint="eastAsia" w:ascii="Times New Roman" w:hAnsi="Times New Roman" w:eastAsia="宋体" w:cs="Times New Roman"/>
          <w:kern w:val="2"/>
          <w:sz w:val="21"/>
          <w:szCs w:val="21"/>
          <w:highlight w:val="none"/>
          <w:lang w:val="en-US" w:eastAsia="zh-CN" w:bidi="ar-SA"/>
        </w:rPr>
        <w:t>按照甲方的采购文件要求及乙方响应文件响应情况，由乙方向甲方提供的</w:t>
      </w:r>
      <w:r>
        <w:rPr>
          <w:rFonts w:hint="eastAsia" w:ascii="Times New Roman" w:hAnsi="Times New Roman" w:eastAsia="宋体" w:cs="Times New Roman"/>
          <w:kern w:val="2"/>
          <w:sz w:val="21"/>
          <w:szCs w:val="21"/>
          <w:highlight w:val="none"/>
          <w:u w:val="single"/>
          <w:lang w:val="en-US" w:eastAsia="zh-CN" w:bidi="ar-SA"/>
        </w:rPr>
        <w:t>全部服务</w:t>
      </w:r>
      <w:r>
        <w:rPr>
          <w:rFonts w:hint="eastAsia" w:ascii="Times New Roman" w:hAnsi="Times New Roman" w:eastAsia="宋体" w:cs="Times New Roman"/>
          <w:kern w:val="2"/>
          <w:sz w:val="21"/>
          <w:szCs w:val="21"/>
          <w:highlight w:val="none"/>
          <w:lang w:val="en-US" w:eastAsia="zh-CN" w:bidi="ar-SA"/>
        </w:rPr>
        <w:t>的履约情况。</w:t>
      </w:r>
    </w:p>
    <w:p w14:paraId="0E4B9C11">
      <w:pPr>
        <w:widowControl w:val="0"/>
        <w:numPr>
          <w:ilvl w:val="0"/>
          <w:numId w:val="15"/>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履约</w:t>
      </w:r>
      <w:r>
        <w:rPr>
          <w:rFonts w:ascii="Times New Roman" w:hAnsi="Times New Roman" w:eastAsia="宋体" w:cs="Times New Roman"/>
          <w:color w:val="000000"/>
          <w:kern w:val="2"/>
          <w:sz w:val="21"/>
          <w:szCs w:val="21"/>
          <w:highlight w:val="none"/>
          <w:lang w:val="en-US" w:eastAsia="zh-CN" w:bidi="ar-SA"/>
        </w:rPr>
        <w:t>验收时间：</w:t>
      </w:r>
    </w:p>
    <w:p w14:paraId="160B36CF">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服务期满且</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完成所有服务内容后X日内通知</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验收，</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接</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通知后X日内组织验收</w:t>
      </w:r>
    </w:p>
    <w:p w14:paraId="1772030F">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完成每一阶段或轮次服务内容后X日内通知</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验收，</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接</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通知后X日内组织验收</w:t>
      </w:r>
    </w:p>
    <w:p w14:paraId="4D6817A2">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甲</w:t>
      </w:r>
      <w:r>
        <w:rPr>
          <w:rFonts w:hint="eastAsia" w:ascii="Times New Roman" w:hAnsi="Times New Roman" w:eastAsia="宋体" w:cs="Times New Roman"/>
          <w:color w:val="000000"/>
          <w:kern w:val="2"/>
          <w:sz w:val="21"/>
          <w:szCs w:val="21"/>
          <w:highlight w:val="none"/>
          <w:lang w:val="en-US" w:eastAsia="zh-CN" w:bidi="ar-SA"/>
        </w:rPr>
        <w:t>方</w:t>
      </w:r>
      <w:r>
        <w:rPr>
          <w:rFonts w:ascii="Times New Roman" w:hAnsi="Times New Roman" w:eastAsia="宋体" w:cs="Times New Roman"/>
          <w:color w:val="000000"/>
          <w:kern w:val="2"/>
          <w:sz w:val="21"/>
          <w:szCs w:val="21"/>
          <w:highlight w:val="none"/>
          <w:lang w:val="en-US" w:eastAsia="zh-CN" w:bidi="ar-SA"/>
        </w:rPr>
        <w:t>完成考核后X日内组织验收</w:t>
      </w:r>
    </w:p>
    <w:p w14:paraId="283017B6">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shd w:val="clear" w:color="auto" w:fill="FFFFFF"/>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 xml:space="preserve">其它验收时间：            </w:t>
      </w:r>
    </w:p>
    <w:p w14:paraId="12B3CD33">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是否邀请本项目的其他供应商： </w:t>
      </w:r>
      <w:r>
        <w:rPr>
          <w:rFonts w:ascii="Times New Roman" w:hAnsi="Times New Roman" w:eastAsia="宋体" w:cs="Times New Roman"/>
          <w:kern w:val="0"/>
          <w:sz w:val="21"/>
          <w:szCs w:val="20"/>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szCs w:val="20"/>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0864CC31">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是否邀请专家： </w:t>
      </w:r>
      <w:r>
        <w:rPr>
          <w:rFonts w:ascii="Times New Roman" w:hAnsi="Times New Roman" w:eastAsia="宋体" w:cs="Times New Roman"/>
          <w:kern w:val="0"/>
          <w:sz w:val="21"/>
          <w:szCs w:val="20"/>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szCs w:val="20"/>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48DAD434">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是否邀请服务对象： </w:t>
      </w:r>
      <w:r>
        <w:rPr>
          <w:rFonts w:ascii="Times New Roman" w:hAnsi="Times New Roman" w:eastAsia="宋体" w:cs="Times New Roman"/>
          <w:kern w:val="0"/>
          <w:sz w:val="21"/>
          <w:szCs w:val="20"/>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szCs w:val="20"/>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6B7EBD9C">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是否</w:t>
      </w:r>
      <w:r>
        <w:rPr>
          <w:rFonts w:hint="eastAsia" w:ascii="Times New Roman" w:hAnsi="Times New Roman" w:eastAsia="宋体" w:cs="Times New Roman"/>
          <w:kern w:val="2"/>
          <w:sz w:val="21"/>
          <w:szCs w:val="21"/>
          <w:highlight w:val="none"/>
          <w:lang w:val="en-US" w:eastAsia="zh-CN" w:bidi="ar-SA"/>
        </w:rPr>
        <w:t>邀请</w:t>
      </w:r>
      <w:r>
        <w:rPr>
          <w:rFonts w:ascii="Times New Roman" w:hAnsi="Times New Roman" w:eastAsia="宋体" w:cs="Times New Roman"/>
          <w:kern w:val="2"/>
          <w:sz w:val="21"/>
          <w:szCs w:val="21"/>
          <w:highlight w:val="none"/>
          <w:lang w:val="en-US" w:eastAsia="zh-CN" w:bidi="ar-SA"/>
        </w:rPr>
        <w:t>第三方检测机构：</w:t>
      </w:r>
      <w:r>
        <w:rPr>
          <w:rFonts w:ascii="Times New Roman" w:hAnsi="Times New Roman" w:eastAsia="宋体" w:cs="Times New Roman"/>
          <w:kern w:val="0"/>
          <w:sz w:val="21"/>
          <w:szCs w:val="20"/>
          <w:highlight w:val="none"/>
          <w:shd w:val="clear" w:color="auto" w:fill="FFFFFF"/>
          <w:lang w:val="en-US" w:eastAsia="zh-CN" w:bidi="ar-SA"/>
        </w:rPr>
        <w:t xml:space="preserve"> </w:t>
      </w:r>
      <w:r>
        <w:rPr>
          <w:rFonts w:ascii="Times New Roman" w:hAnsi="Times New Roman" w:eastAsia="宋体" w:cs="Times New Roman"/>
          <w:kern w:val="0"/>
          <w:sz w:val="21"/>
          <w:szCs w:val="20"/>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szCs w:val="20"/>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17F7322D">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验收标准：</w:t>
      </w:r>
    </w:p>
    <w:p w14:paraId="0198129E">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bookmarkStart w:id="101" w:name="OLE_LINK4"/>
      <w:r>
        <w:rPr>
          <w:rFonts w:ascii="Times New Roman" w:hAnsi="Times New Roman" w:eastAsia="宋体" w:cs="Times New Roman"/>
          <w:kern w:val="2"/>
          <w:sz w:val="21"/>
          <w:szCs w:val="21"/>
          <w:highlight w:val="none"/>
          <w:shd w:val="clear" w:color="auto" w:fill="FFFFFF"/>
          <w:lang w:val="en-US" w:eastAsia="zh-CN" w:bidi="ar-SA"/>
        </w:rPr>
        <w:t>国家相关法律法规、行业标准、技术规范。</w:t>
      </w:r>
    </w:p>
    <w:p w14:paraId="24309B46">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甲方采购</w:t>
      </w:r>
      <w:r>
        <w:rPr>
          <w:rFonts w:ascii="Times New Roman" w:hAnsi="Times New Roman" w:eastAsia="宋体" w:cs="Times New Roman"/>
          <w:kern w:val="2"/>
          <w:sz w:val="21"/>
          <w:szCs w:val="21"/>
          <w:highlight w:val="none"/>
          <w:lang w:val="en-US" w:eastAsia="zh-CN" w:bidi="ar-SA"/>
        </w:rPr>
        <w:t>文件相关技术、服务要求、</w:t>
      </w:r>
      <w:r>
        <w:rPr>
          <w:rFonts w:hint="eastAsia" w:ascii="Times New Roman" w:hAnsi="Times New Roman" w:eastAsia="宋体" w:cs="Times New Roman"/>
          <w:kern w:val="2"/>
          <w:sz w:val="21"/>
          <w:szCs w:val="21"/>
          <w:highlight w:val="none"/>
          <w:lang w:val="en-US" w:eastAsia="zh-CN" w:bidi="ar-SA"/>
        </w:rPr>
        <w:t>乙方响应</w:t>
      </w:r>
      <w:r>
        <w:rPr>
          <w:rFonts w:ascii="Times New Roman" w:hAnsi="Times New Roman" w:eastAsia="宋体" w:cs="Times New Roman"/>
          <w:kern w:val="2"/>
          <w:sz w:val="21"/>
          <w:szCs w:val="21"/>
          <w:highlight w:val="none"/>
          <w:lang w:val="en-US" w:eastAsia="zh-CN" w:bidi="ar-SA"/>
        </w:rPr>
        <w:t>文件相关响应内容。</w:t>
      </w:r>
    </w:p>
    <w:p w14:paraId="1D649B66">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如本项目验收方式为考核验收，则考核结果须为合格。</w:t>
      </w:r>
    </w:p>
    <w:bookmarkEnd w:id="101"/>
    <w:p w14:paraId="49E1592C">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如验收时，</w:t>
      </w:r>
      <w:r>
        <w:rPr>
          <w:rFonts w:hint="eastAsia" w:ascii="Times New Roman" w:hAnsi="Times New Roman" w:eastAsia="宋体" w:cs="Times New Roman"/>
          <w:kern w:val="2"/>
          <w:sz w:val="21"/>
          <w:szCs w:val="21"/>
          <w:highlight w:val="none"/>
          <w:lang w:val="en-US" w:eastAsia="zh-CN" w:bidi="ar-SA"/>
        </w:rPr>
        <w:t>甲方</w:t>
      </w:r>
      <w:r>
        <w:rPr>
          <w:rFonts w:ascii="Times New Roman" w:hAnsi="Times New Roman" w:eastAsia="宋体" w:cs="Times New Roman"/>
          <w:kern w:val="2"/>
          <w:sz w:val="21"/>
          <w:szCs w:val="21"/>
          <w:highlight w:val="none"/>
          <w:lang w:val="en-US" w:eastAsia="zh-CN" w:bidi="ar-SA"/>
        </w:rPr>
        <w:t>与</w:t>
      </w:r>
      <w:r>
        <w:rPr>
          <w:rFonts w:hint="eastAsia" w:ascii="Times New Roman" w:hAnsi="Times New Roman" w:eastAsia="宋体" w:cs="Times New Roman"/>
          <w:kern w:val="2"/>
          <w:sz w:val="21"/>
          <w:szCs w:val="21"/>
          <w:highlight w:val="none"/>
          <w:lang w:val="en-US" w:eastAsia="zh-CN" w:bidi="ar-SA"/>
        </w:rPr>
        <w:t>乙方</w:t>
      </w:r>
      <w:r>
        <w:rPr>
          <w:rFonts w:ascii="Times New Roman" w:hAnsi="Times New Roman" w:eastAsia="宋体" w:cs="Times New Roman"/>
          <w:kern w:val="2"/>
          <w:sz w:val="21"/>
          <w:szCs w:val="21"/>
          <w:highlight w:val="none"/>
          <w:lang w:val="en-US" w:eastAsia="zh-CN" w:bidi="ar-SA"/>
        </w:rPr>
        <w:t>认为本项目验收标准中的技术指标、质量要求等内容存在相互抵触或对其理解存在异议，应按照其中更严格的要求、标准等进行验收。</w:t>
      </w:r>
    </w:p>
    <w:p w14:paraId="1B1D27A4">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参照</w:t>
      </w:r>
      <w:r>
        <w:rPr>
          <w:rFonts w:ascii="Times New Roman" w:hAnsi="Times New Roman" w:eastAsia="宋体" w:cs="Times New Roman"/>
          <w:kern w:val="2"/>
          <w:sz w:val="21"/>
          <w:szCs w:val="21"/>
          <w:highlight w:val="none"/>
          <w:lang w:val="en-US" w:eastAsia="zh-CN" w:bidi="ar-SA"/>
        </w:rPr>
        <w:t>《财政部关于进一步加强政府采购需求和履约验收管理的指导意见》（财库〔2016〕205号）的要求进行验收。</w:t>
      </w:r>
    </w:p>
    <w:p w14:paraId="537FB9F1">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其它标准：</w:t>
      </w:r>
      <w:r>
        <w:rPr>
          <w:rFonts w:hint="eastAsia" w:ascii="Times New Roman" w:hAnsi="Times New Roman" w:eastAsia="宋体" w:cs="Times New Roman"/>
          <w:kern w:val="2"/>
          <w:sz w:val="21"/>
          <w:szCs w:val="21"/>
          <w:highlight w:val="none"/>
          <w:u w:val="single"/>
          <w:lang w:val="en-US" w:eastAsia="zh-CN" w:bidi="ar-SA"/>
        </w:rPr>
        <w:t>无。</w:t>
      </w:r>
    </w:p>
    <w:p w14:paraId="4AE73CF2">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其它验收要求：</w:t>
      </w:r>
      <w:r>
        <w:rPr>
          <w:rFonts w:ascii="Times New Roman" w:hAnsi="Times New Roman" w:eastAsia="宋体" w:cs="Times New Roman"/>
          <w:color w:val="000000"/>
          <w:kern w:val="0"/>
          <w:sz w:val="21"/>
          <w:szCs w:val="21"/>
          <w:highlight w:val="none"/>
          <w:u w:val="single"/>
          <w:lang w:val="en-US" w:eastAsia="zh-CN" w:bidi="ar-SA"/>
        </w:rPr>
        <w:t>无</w:t>
      </w:r>
      <w:r>
        <w:rPr>
          <w:rFonts w:ascii="Times New Roman" w:hAnsi="Times New Roman" w:eastAsia="宋体" w:cs="Times New Roman"/>
          <w:i/>
          <w:iCs/>
          <w:color w:val="000000"/>
          <w:kern w:val="0"/>
          <w:sz w:val="21"/>
          <w:szCs w:val="21"/>
          <w:highlight w:val="none"/>
          <w:lang w:val="en-US" w:eastAsia="zh-CN" w:bidi="ar-SA"/>
        </w:rPr>
        <w:t>&lt;如有请填写&gt;</w:t>
      </w:r>
    </w:p>
    <w:p w14:paraId="3BAFFFCB">
      <w:pPr>
        <w:widowControl w:val="0"/>
        <w:numPr>
          <w:ilvl w:val="0"/>
          <w:numId w:val="14"/>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ascii="Times New Roman" w:hAnsi="Times New Roman" w:eastAsia="宋体" w:cs="Times New Roman"/>
          <w:kern w:val="2"/>
          <w:sz w:val="21"/>
          <w:szCs w:val="21"/>
          <w:highlight w:val="none"/>
          <w:lang w:val="en-US" w:eastAsia="zh-CN" w:bidi="ar-SA"/>
        </w:rPr>
        <w:t>10</w:t>
      </w:r>
      <w:r>
        <w:rPr>
          <w:rFonts w:ascii="Times New Roman" w:hAnsi="Times New Roman" w:eastAsia="宋体" w:cs="Times New Roman"/>
          <w:kern w:val="2"/>
          <w:sz w:val="21"/>
          <w:szCs w:val="21"/>
          <w:highlight w:val="none"/>
          <w:lang w:val="en-US" w:eastAsia="zh-CN" w:bidi="ar-SA"/>
        </w:rPr>
        <w:t>%的违约金给甲方，违约金不能弥补甲方损失的，乙方应全额赔偿。</w:t>
      </w:r>
    </w:p>
    <w:p w14:paraId="18E8DE98">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付款方式</w:t>
      </w:r>
    </w:p>
    <w:p w14:paraId="65BEA591">
      <w:pPr>
        <w:widowControl w:val="0"/>
        <w:numPr>
          <w:ilvl w:val="0"/>
          <w:numId w:val="17"/>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履约保证金：</w:t>
      </w:r>
    </w:p>
    <w:p w14:paraId="231C5918">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乙方在合同签订生效之日起的</w:t>
      </w:r>
      <w:r>
        <w:rPr>
          <w:rFonts w:ascii="Times New Roman" w:hAnsi="Times New Roman" w:eastAsia="宋体" w:cs="Times New Roman"/>
          <w:color w:val="000000"/>
          <w:kern w:val="2"/>
          <w:sz w:val="21"/>
          <w:szCs w:val="21"/>
          <w:highlight w:val="none"/>
          <w:u w:val="single"/>
          <w:lang w:val="en-US" w:eastAsia="zh-CN" w:bidi="ar-SA"/>
        </w:rPr>
        <w:t>***</w:t>
      </w:r>
      <w:r>
        <w:rPr>
          <w:rFonts w:ascii="Times New Roman" w:hAnsi="Times New Roman" w:eastAsia="宋体" w:cs="Times New Roman"/>
          <w:color w:val="000000"/>
          <w:kern w:val="2"/>
          <w:sz w:val="21"/>
          <w:szCs w:val="21"/>
          <w:highlight w:val="none"/>
          <w:lang w:val="en-US" w:eastAsia="zh-CN" w:bidi="ar-SA"/>
        </w:rPr>
        <w:t>个工作日内，按合同总价</w:t>
      </w:r>
      <w:r>
        <w:rPr>
          <w:rFonts w:ascii="Times New Roman" w:hAnsi="Times New Roman" w:eastAsia="宋体" w:cs="Times New Roman"/>
          <w:color w:val="000000"/>
          <w:kern w:val="2"/>
          <w:sz w:val="21"/>
          <w:szCs w:val="21"/>
          <w:highlight w:val="none"/>
          <w:u w:val="single"/>
          <w:lang w:val="en-US" w:eastAsia="zh-CN" w:bidi="ar-SA"/>
        </w:rPr>
        <w:t>***</w:t>
      </w:r>
      <w:r>
        <w:rPr>
          <w:rFonts w:ascii="Times New Roman" w:hAnsi="Times New Roman" w:eastAsia="宋体" w:cs="Times New Roman"/>
          <w:color w:val="000000"/>
          <w:kern w:val="2"/>
          <w:sz w:val="21"/>
          <w:szCs w:val="21"/>
          <w:highlight w:val="none"/>
          <w:lang w:val="en-US" w:eastAsia="zh-CN" w:bidi="ar-SA"/>
        </w:rPr>
        <w:t>%支付履约保证金；本合同</w:t>
      </w:r>
      <w:r>
        <w:rPr>
          <w:rFonts w:hint="eastAsia" w:ascii="Times New Roman" w:hAnsi="Times New Roman" w:eastAsia="宋体" w:cs="Times New Roman"/>
          <w:color w:val="000000"/>
          <w:kern w:val="2"/>
          <w:sz w:val="21"/>
          <w:szCs w:val="21"/>
          <w:highlight w:val="none"/>
          <w:lang w:val="en-US" w:eastAsia="zh-CN" w:bidi="ar-SA"/>
        </w:rPr>
        <w:t>服务期满且验收合格</w:t>
      </w:r>
      <w:r>
        <w:rPr>
          <w:rFonts w:ascii="Times New Roman" w:hAnsi="Times New Roman" w:eastAsia="宋体" w:cs="Times New Roman"/>
          <w:color w:val="000000"/>
          <w:kern w:val="2"/>
          <w:sz w:val="21"/>
          <w:szCs w:val="21"/>
          <w:highlight w:val="none"/>
          <w:lang w:val="en-US" w:eastAsia="zh-CN" w:bidi="ar-SA"/>
        </w:rPr>
        <w:t>后，甲方接到乙方付款申请后</w:t>
      </w:r>
      <w:r>
        <w:rPr>
          <w:rFonts w:ascii="Times New Roman" w:hAnsi="Times New Roman" w:eastAsia="宋体" w:cs="Times New Roman"/>
          <w:color w:val="000000"/>
          <w:kern w:val="2"/>
          <w:sz w:val="21"/>
          <w:szCs w:val="21"/>
          <w:highlight w:val="none"/>
          <w:u w:val="single"/>
          <w:lang w:val="en-US" w:eastAsia="zh-CN" w:bidi="ar-SA"/>
        </w:rPr>
        <w:t>30</w:t>
      </w:r>
      <w:r>
        <w:rPr>
          <w:rFonts w:ascii="Times New Roman" w:hAnsi="Times New Roman" w:eastAsia="宋体" w:cs="Times New Roman"/>
          <w:color w:val="000000"/>
          <w:kern w:val="2"/>
          <w:sz w:val="21"/>
          <w:szCs w:val="21"/>
          <w:highlight w:val="none"/>
          <w:lang w:val="en-US" w:eastAsia="zh-CN" w:bidi="ar-SA"/>
        </w:rPr>
        <w:t>个工作日内，甲方一次性无息退还乙方的履约保证金；经验收后乙方履约不合格的，履约保证金不予退还。</w:t>
      </w:r>
    </w:p>
    <w:p w14:paraId="5014848E">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本合同不涉及履约保证金。</w:t>
      </w:r>
    </w:p>
    <w:p w14:paraId="28E448C6">
      <w:pPr>
        <w:widowControl w:val="0"/>
        <w:numPr>
          <w:ilvl w:val="0"/>
          <w:numId w:val="17"/>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w:t>
      </w:r>
      <w:r>
        <w:rPr>
          <w:rFonts w:hint="eastAsia" w:ascii="Times New Roman" w:hAnsi="Times New Roman" w:eastAsia="宋体" w:cs="Times New Roman"/>
          <w:kern w:val="2"/>
          <w:sz w:val="21"/>
          <w:szCs w:val="21"/>
          <w:highlight w:val="none"/>
          <w:lang w:val="en-US" w:eastAsia="zh-CN" w:bidi="ar-SA"/>
        </w:rPr>
        <w:t>合同</w:t>
      </w:r>
      <w:r>
        <w:rPr>
          <w:rFonts w:ascii="Times New Roman" w:hAnsi="Times New Roman" w:eastAsia="宋体" w:cs="Times New Roman"/>
          <w:kern w:val="2"/>
          <w:sz w:val="21"/>
          <w:szCs w:val="21"/>
          <w:highlight w:val="none"/>
          <w:lang w:val="en-US" w:eastAsia="zh-CN" w:bidi="ar-SA"/>
        </w:rPr>
        <w:t>价款采用以下方式支付，以人民币结算：</w:t>
      </w:r>
    </w:p>
    <w:p w14:paraId="6D25CC75">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一次性支付：</w:t>
      </w:r>
    </w:p>
    <w:p w14:paraId="00015D50">
      <w:pPr>
        <w:widowControl w:val="0"/>
        <w:spacing w:after="0"/>
        <w:ind w:left="840" w:leftChars="400" w:firstLine="420" w:firstLineChars="20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w:t>
      </w:r>
      <w:r>
        <w:rPr>
          <w:rFonts w:hint="eastAsia" w:ascii="Times New Roman" w:hAnsi="Times New Roman" w:eastAsia="宋体" w:cs="Times New Roman"/>
          <w:kern w:val="2"/>
          <w:sz w:val="21"/>
          <w:szCs w:val="21"/>
          <w:highlight w:val="none"/>
          <w:lang w:val="en-US" w:eastAsia="zh-CN" w:bidi="ar-SA"/>
        </w:rPr>
        <w:t>服务期满且经甲方验收合格后</w:t>
      </w:r>
      <w:r>
        <w:rPr>
          <w:rFonts w:ascii="Times New Roman" w:hAnsi="Times New Roman" w:eastAsia="宋体" w:cs="Times New Roman"/>
          <w:kern w:val="2"/>
          <w:sz w:val="21"/>
          <w:szCs w:val="21"/>
          <w:highlight w:val="none"/>
          <w:u w:val="single"/>
          <w:lang w:val="en-US" w:eastAsia="zh-CN" w:bidi="ar-SA"/>
        </w:rPr>
        <w:t>5</w:t>
      </w:r>
      <w:r>
        <w:rPr>
          <w:rFonts w:ascii="Times New Roman" w:hAnsi="Times New Roman" w:eastAsia="宋体" w:cs="Times New Roman"/>
          <w:kern w:val="2"/>
          <w:sz w:val="21"/>
          <w:szCs w:val="21"/>
          <w:highlight w:val="none"/>
          <w:lang w:val="en-US" w:eastAsia="zh-CN" w:bidi="ar-SA"/>
        </w:rPr>
        <w:t>日内</w:t>
      </w:r>
      <w:r>
        <w:rPr>
          <w:rFonts w:ascii="Times New Roman" w:hAnsi="Times New Roman" w:eastAsia="宋体" w:cs="Times New Roman"/>
          <w:color w:val="000000"/>
          <w:kern w:val="2"/>
          <w:sz w:val="21"/>
          <w:szCs w:val="21"/>
          <w:highlight w:val="none"/>
          <w:lang w:val="en-US" w:eastAsia="zh-CN" w:bidi="ar-SA"/>
        </w:rPr>
        <w:t>，乙方须向甲方</w:t>
      </w:r>
      <w:r>
        <w:rPr>
          <w:rFonts w:hint="eastAsia" w:ascii="Times New Roman" w:hAnsi="Times New Roman" w:eastAsia="宋体" w:cs="Times New Roman"/>
          <w:color w:val="000000"/>
          <w:kern w:val="2"/>
          <w:sz w:val="21"/>
          <w:szCs w:val="21"/>
          <w:highlight w:val="none"/>
          <w:lang w:val="en-US" w:eastAsia="zh-CN" w:bidi="ar-SA"/>
        </w:rPr>
        <w:t>提供合法有效票据及其他相关请款资料</w:t>
      </w:r>
      <w:r>
        <w:rPr>
          <w:rFonts w:ascii="Times New Roman" w:hAnsi="Times New Roman" w:eastAsia="宋体" w:cs="Times New Roman"/>
          <w:color w:val="000000"/>
          <w:kern w:val="2"/>
          <w:sz w:val="21"/>
          <w:szCs w:val="21"/>
          <w:highlight w:val="none"/>
          <w:lang w:val="en-US" w:eastAsia="zh-CN" w:bidi="ar-SA"/>
        </w:rPr>
        <w:t>，甲方自收到</w:t>
      </w:r>
      <w:r>
        <w:rPr>
          <w:rFonts w:hint="eastAsia" w:ascii="Times New Roman" w:hAnsi="Times New Roman" w:eastAsia="宋体" w:cs="Times New Roman"/>
          <w:color w:val="000000"/>
          <w:kern w:val="2"/>
          <w:sz w:val="21"/>
          <w:szCs w:val="21"/>
          <w:highlight w:val="none"/>
          <w:lang w:val="en-US" w:eastAsia="zh-CN" w:bidi="ar-SA"/>
        </w:rPr>
        <w:t>乙方请款</w:t>
      </w:r>
      <w:r>
        <w:rPr>
          <w:rFonts w:ascii="Times New Roman" w:hAnsi="Times New Roman" w:eastAsia="宋体" w:cs="Times New Roman"/>
          <w:color w:val="000000"/>
          <w:kern w:val="2"/>
          <w:sz w:val="21"/>
          <w:szCs w:val="21"/>
          <w:highlight w:val="none"/>
          <w:lang w:val="en-US" w:eastAsia="zh-CN" w:bidi="ar-SA"/>
        </w:rPr>
        <w:t>资料后</w:t>
      </w:r>
      <w:r>
        <w:rPr>
          <w:rFonts w:ascii="Times New Roman" w:hAnsi="Times New Roman" w:eastAsia="宋体" w:cs="Times New Roman"/>
          <w:color w:val="000000"/>
          <w:kern w:val="2"/>
          <w:sz w:val="21"/>
          <w:szCs w:val="21"/>
          <w:highlight w:val="none"/>
          <w:u w:val="single"/>
          <w:lang w:val="en-US" w:eastAsia="zh-CN" w:bidi="ar-SA"/>
        </w:rPr>
        <w:t>55</w:t>
      </w:r>
      <w:r>
        <w:rPr>
          <w:rFonts w:ascii="Times New Roman" w:hAnsi="Times New Roman" w:eastAsia="宋体" w:cs="Times New Roman"/>
          <w:color w:val="000000"/>
          <w:kern w:val="2"/>
          <w:sz w:val="21"/>
          <w:szCs w:val="21"/>
          <w:highlight w:val="none"/>
          <w:lang w:val="en-US" w:eastAsia="zh-CN" w:bidi="ar-SA"/>
        </w:rPr>
        <w:t>日内支付合同总价100%的</w:t>
      </w:r>
      <w:r>
        <w:rPr>
          <w:rFonts w:hint="eastAsia" w:ascii="Times New Roman" w:hAnsi="Times New Roman" w:eastAsia="宋体" w:cs="Times New Roman"/>
          <w:color w:val="000000"/>
          <w:kern w:val="2"/>
          <w:sz w:val="21"/>
          <w:szCs w:val="21"/>
          <w:highlight w:val="none"/>
          <w:lang w:val="en-US" w:eastAsia="zh-CN" w:bidi="ar-SA"/>
        </w:rPr>
        <w:t>金额</w:t>
      </w:r>
      <w:r>
        <w:rPr>
          <w:rFonts w:ascii="Times New Roman" w:hAnsi="Times New Roman" w:eastAsia="宋体" w:cs="Times New Roman"/>
          <w:color w:val="000000"/>
          <w:kern w:val="2"/>
          <w:sz w:val="21"/>
          <w:szCs w:val="21"/>
          <w:highlight w:val="none"/>
          <w:lang w:val="en-US" w:eastAsia="zh-CN" w:bidi="ar-SA"/>
        </w:rPr>
        <w:t>给乙方。</w:t>
      </w:r>
    </w:p>
    <w:p w14:paraId="53A8C9EB">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分阶段支付，支付期限</w:t>
      </w:r>
      <w:r>
        <w:rPr>
          <w:rFonts w:hint="eastAsia" w:ascii="Times New Roman" w:hAnsi="Times New Roman" w:eastAsia="宋体" w:cs="Times New Roman"/>
          <w:color w:val="000000"/>
          <w:kern w:val="2"/>
          <w:sz w:val="21"/>
          <w:szCs w:val="21"/>
          <w:highlight w:val="none"/>
          <w:lang w:val="en-US" w:eastAsia="zh-CN" w:bidi="ar-SA"/>
        </w:rPr>
        <w:t>、方式</w:t>
      </w:r>
      <w:r>
        <w:rPr>
          <w:rFonts w:ascii="Times New Roman" w:hAnsi="Times New Roman" w:eastAsia="宋体" w:cs="Times New Roman"/>
          <w:color w:val="000000"/>
          <w:kern w:val="2"/>
          <w:sz w:val="21"/>
          <w:szCs w:val="21"/>
          <w:highlight w:val="none"/>
          <w:lang w:val="en-US" w:eastAsia="zh-CN" w:bidi="ar-SA"/>
        </w:rPr>
        <w:t>及额度如下：</w:t>
      </w:r>
    </w:p>
    <w:p w14:paraId="24DA4986">
      <w:pPr>
        <w:widowControl w:val="0"/>
        <w:spacing w:after="0"/>
        <w:ind w:left="840" w:leftChars="400" w:firstLine="420" w:firstLineChars="20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（1）</w:t>
      </w:r>
      <w:bookmarkStart w:id="102" w:name="OLE_LINK30"/>
      <w:r>
        <w:rPr>
          <w:rFonts w:hint="eastAsia" w:ascii="Calibri" w:hAnsi="Calibri" w:eastAsia="宋体" w:cs="Times New Roman"/>
          <w:kern w:val="2"/>
          <w:sz w:val="21"/>
          <w:szCs w:val="21"/>
          <w:highlight w:val="none"/>
          <w:lang w:val="en-US" w:eastAsia="zh-CN" w:bidi="ar-SA"/>
        </w:rPr>
        <w:t>固定部分价款</w:t>
      </w:r>
      <w:bookmarkEnd w:id="102"/>
      <w:r>
        <w:rPr>
          <w:rFonts w:ascii="Times New Roman" w:hAnsi="Times New Roman" w:eastAsia="宋体" w:cs="Times New Roman"/>
          <w:color w:val="000000"/>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本合同</w:t>
      </w:r>
      <w:r>
        <w:rPr>
          <w:rFonts w:hint="eastAsia" w:ascii="Times New Roman" w:hAnsi="Times New Roman" w:eastAsia="宋体" w:cs="Times New Roman"/>
          <w:kern w:val="2"/>
          <w:sz w:val="21"/>
          <w:szCs w:val="21"/>
          <w:highlight w:val="none"/>
          <w:lang w:val="en-US" w:eastAsia="zh-CN" w:bidi="ar-SA"/>
        </w:rPr>
        <w:t>服务期满且经甲方验收合格后</w:t>
      </w:r>
      <w:r>
        <w:rPr>
          <w:rFonts w:ascii="Times New Roman" w:hAnsi="Times New Roman" w:eastAsia="宋体" w:cs="Times New Roman"/>
          <w:kern w:val="2"/>
          <w:sz w:val="21"/>
          <w:szCs w:val="21"/>
          <w:highlight w:val="none"/>
          <w:lang w:val="en-US" w:eastAsia="zh-CN" w:bidi="ar-SA"/>
        </w:rPr>
        <w:t>5日内</w:t>
      </w:r>
      <w:r>
        <w:rPr>
          <w:rFonts w:ascii="Times New Roman" w:hAnsi="Times New Roman" w:eastAsia="宋体" w:cs="Times New Roman"/>
          <w:color w:val="000000"/>
          <w:kern w:val="2"/>
          <w:sz w:val="21"/>
          <w:szCs w:val="21"/>
          <w:highlight w:val="none"/>
          <w:lang w:val="en-US" w:eastAsia="zh-CN" w:bidi="ar-SA"/>
        </w:rPr>
        <w:t>，乙方须向甲方</w:t>
      </w:r>
      <w:r>
        <w:rPr>
          <w:rFonts w:hint="eastAsia" w:ascii="Times New Roman" w:hAnsi="Times New Roman" w:eastAsia="宋体" w:cs="Times New Roman"/>
          <w:color w:val="000000"/>
          <w:kern w:val="2"/>
          <w:sz w:val="21"/>
          <w:szCs w:val="21"/>
          <w:highlight w:val="none"/>
          <w:lang w:val="en-US" w:eastAsia="zh-CN" w:bidi="ar-SA"/>
        </w:rPr>
        <w:t>提供合法有效票据及其他相关请款资料</w:t>
      </w:r>
      <w:r>
        <w:rPr>
          <w:rFonts w:ascii="Times New Roman" w:hAnsi="Times New Roman" w:eastAsia="宋体" w:cs="Times New Roman"/>
          <w:color w:val="000000"/>
          <w:kern w:val="2"/>
          <w:sz w:val="21"/>
          <w:szCs w:val="21"/>
          <w:highlight w:val="none"/>
          <w:lang w:val="en-US" w:eastAsia="zh-CN" w:bidi="ar-SA"/>
        </w:rPr>
        <w:t>，甲方自收到</w:t>
      </w:r>
      <w:r>
        <w:rPr>
          <w:rFonts w:hint="eastAsia" w:ascii="Times New Roman" w:hAnsi="Times New Roman" w:eastAsia="宋体" w:cs="Times New Roman"/>
          <w:color w:val="000000"/>
          <w:kern w:val="2"/>
          <w:sz w:val="21"/>
          <w:szCs w:val="21"/>
          <w:highlight w:val="none"/>
          <w:lang w:val="en-US" w:eastAsia="zh-CN" w:bidi="ar-SA"/>
        </w:rPr>
        <w:t>乙方请款</w:t>
      </w:r>
      <w:r>
        <w:rPr>
          <w:rFonts w:ascii="Times New Roman" w:hAnsi="Times New Roman" w:eastAsia="宋体" w:cs="Times New Roman"/>
          <w:color w:val="000000"/>
          <w:kern w:val="2"/>
          <w:sz w:val="21"/>
          <w:szCs w:val="21"/>
          <w:highlight w:val="none"/>
          <w:lang w:val="en-US" w:eastAsia="zh-CN" w:bidi="ar-SA"/>
        </w:rPr>
        <w:t>资料后55日内</w:t>
      </w:r>
      <w:r>
        <w:rPr>
          <w:rFonts w:hint="eastAsia" w:ascii="Times New Roman" w:hAnsi="Times New Roman" w:eastAsia="宋体" w:cs="Times New Roman"/>
          <w:color w:val="000000"/>
          <w:kern w:val="2"/>
          <w:sz w:val="21"/>
          <w:szCs w:val="21"/>
          <w:highlight w:val="none"/>
          <w:lang w:val="en-US" w:eastAsia="zh-CN" w:bidi="ar-SA"/>
        </w:rPr>
        <w:t>向乙方</w:t>
      </w:r>
      <w:r>
        <w:rPr>
          <w:rFonts w:ascii="Times New Roman" w:hAnsi="Times New Roman" w:eastAsia="宋体" w:cs="Times New Roman"/>
          <w:color w:val="000000"/>
          <w:kern w:val="2"/>
          <w:sz w:val="21"/>
          <w:szCs w:val="21"/>
          <w:highlight w:val="none"/>
          <w:lang w:val="en-US" w:eastAsia="zh-CN" w:bidi="ar-SA"/>
        </w:rPr>
        <w:t>支付</w:t>
      </w:r>
      <w:r>
        <w:rPr>
          <w:rFonts w:hint="eastAsia" w:ascii="Times New Roman" w:hAnsi="Times New Roman" w:eastAsia="宋体" w:cs="Times New Roman"/>
          <w:color w:val="000000"/>
          <w:kern w:val="2"/>
          <w:sz w:val="21"/>
          <w:szCs w:val="21"/>
          <w:highlight w:val="none"/>
          <w:lang w:val="en-US" w:eastAsia="zh-CN" w:bidi="ar-SA"/>
        </w:rPr>
        <w:t>本合同</w:t>
      </w:r>
      <w:r>
        <w:rPr>
          <w:rFonts w:hint="eastAsia" w:ascii="Times New Roman" w:hAnsi="Times New Roman" w:eastAsia="宋体" w:cs="Times New Roman"/>
          <w:color w:val="000000"/>
          <w:kern w:val="2"/>
          <w:sz w:val="21"/>
          <w:szCs w:val="21"/>
          <w:highlight w:val="none"/>
          <w:u w:val="single"/>
          <w:lang w:val="en-US" w:eastAsia="zh-CN" w:bidi="ar-SA"/>
        </w:rPr>
        <w:t>第二条</w:t>
      </w:r>
      <w:r>
        <w:rPr>
          <w:rFonts w:hint="eastAsia" w:ascii="Times New Roman" w:hAnsi="Times New Roman" w:eastAsia="宋体" w:cs="Times New Roman"/>
          <w:color w:val="000000"/>
          <w:kern w:val="2"/>
          <w:sz w:val="21"/>
          <w:szCs w:val="21"/>
          <w:highlight w:val="none"/>
          <w:lang w:val="en-US" w:eastAsia="zh-CN" w:bidi="ar-SA"/>
        </w:rPr>
        <w:t>写明的全部</w:t>
      </w:r>
      <w:r>
        <w:rPr>
          <w:rFonts w:hint="eastAsia" w:ascii="Calibri" w:hAnsi="Calibri" w:eastAsia="宋体" w:cs="Times New Roman"/>
          <w:kern w:val="2"/>
          <w:sz w:val="21"/>
          <w:szCs w:val="21"/>
          <w:highlight w:val="none"/>
          <w:lang w:val="en-US" w:eastAsia="zh-CN" w:bidi="ar-SA"/>
        </w:rPr>
        <w:t>固定部分价款</w:t>
      </w:r>
      <w:r>
        <w:rPr>
          <w:rFonts w:ascii="Times New Roman" w:hAnsi="Times New Roman" w:eastAsia="宋体" w:cs="Times New Roman"/>
          <w:color w:val="000000"/>
          <w:kern w:val="2"/>
          <w:sz w:val="21"/>
          <w:szCs w:val="21"/>
          <w:highlight w:val="none"/>
          <w:lang w:val="en-US" w:eastAsia="zh-CN" w:bidi="ar-SA"/>
        </w:rPr>
        <w:t>。</w:t>
      </w:r>
    </w:p>
    <w:p w14:paraId="102B0895">
      <w:pPr>
        <w:widowControl w:val="0"/>
        <w:spacing w:after="0"/>
        <w:ind w:left="840" w:leftChars="400" w:firstLine="420" w:firstLineChars="20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（2）</w:t>
      </w:r>
      <w:r>
        <w:rPr>
          <w:rFonts w:hint="eastAsia" w:ascii="Times New Roman" w:hAnsi="Times New Roman" w:eastAsia="宋体" w:cs="Times New Roman"/>
          <w:color w:val="000000"/>
          <w:kern w:val="2"/>
          <w:sz w:val="21"/>
          <w:szCs w:val="21"/>
          <w:highlight w:val="none"/>
          <w:lang w:val="en-US" w:eastAsia="zh-CN" w:bidi="ar-SA"/>
        </w:rPr>
        <w:t>按实结算部分：每</w:t>
      </w:r>
      <w:r>
        <w:rPr>
          <w:rFonts w:hint="eastAsia" w:ascii="Times New Roman" w:hAnsi="Times New Roman" w:eastAsia="宋体" w:cs="Times New Roman"/>
          <w:color w:val="000000"/>
          <w:kern w:val="2"/>
          <w:sz w:val="21"/>
          <w:szCs w:val="21"/>
          <w:highlight w:val="none"/>
          <w:u w:val="single"/>
          <w:lang w:val="en-US" w:eastAsia="zh-CN" w:bidi="ar-SA"/>
        </w:rPr>
        <w:t>XX</w:t>
      </w:r>
      <w:r>
        <w:rPr>
          <w:rFonts w:ascii="Times New Roman" w:hAnsi="Times New Roman" w:eastAsia="宋体" w:cs="Times New Roman"/>
          <w:i/>
          <w:iCs/>
          <w:kern w:val="2"/>
          <w:sz w:val="21"/>
          <w:szCs w:val="21"/>
          <w:highlight w:val="none"/>
          <w:lang w:val="en-US" w:eastAsia="zh-CN" w:bidi="ar-SA"/>
        </w:rPr>
        <w:t>&lt;</w:t>
      </w:r>
      <w:r>
        <w:rPr>
          <w:rFonts w:hint="eastAsia" w:ascii="Times New Roman" w:hAnsi="Times New Roman" w:eastAsia="宋体" w:cs="Times New Roman"/>
          <w:i/>
          <w:iCs/>
          <w:kern w:val="2"/>
          <w:sz w:val="21"/>
          <w:szCs w:val="21"/>
          <w:highlight w:val="none"/>
          <w:lang w:val="en-US" w:eastAsia="zh-CN" w:bidi="ar-SA"/>
        </w:rPr>
        <w:t>约定按固定周期支付的（如每季度），</w:t>
      </w:r>
      <w:r>
        <w:rPr>
          <w:rFonts w:ascii="Times New Roman" w:hAnsi="Times New Roman" w:eastAsia="宋体" w:cs="Times New Roman"/>
          <w:i/>
          <w:iCs/>
          <w:kern w:val="2"/>
          <w:sz w:val="21"/>
          <w:szCs w:val="21"/>
          <w:highlight w:val="none"/>
          <w:lang w:val="en-US" w:eastAsia="zh-CN" w:bidi="ar-SA"/>
        </w:rPr>
        <w:t>可根据项目具体情况编制</w:t>
      </w:r>
      <w:r>
        <w:rPr>
          <w:rFonts w:hint="eastAsia" w:ascii="Times New Roman" w:hAnsi="Times New Roman" w:eastAsia="宋体" w:cs="Times New Roman"/>
          <w:i/>
          <w:iCs/>
          <w:kern w:val="2"/>
          <w:sz w:val="21"/>
          <w:szCs w:val="21"/>
          <w:highlight w:val="none"/>
          <w:lang w:val="en-US" w:eastAsia="zh-CN" w:bidi="ar-SA"/>
        </w:rPr>
        <w:t>本条款</w:t>
      </w:r>
      <w:r>
        <w:rPr>
          <w:rFonts w:ascii="Times New Roman" w:hAnsi="Times New Roman" w:eastAsia="宋体" w:cs="Times New Roman"/>
          <w:i/>
          <w:iCs/>
          <w:kern w:val="2"/>
          <w:sz w:val="21"/>
          <w:szCs w:val="21"/>
          <w:highlight w:val="none"/>
          <w:lang w:val="en-US" w:eastAsia="zh-CN" w:bidi="ar-SA"/>
        </w:rPr>
        <w:t>&gt;</w:t>
      </w:r>
      <w:r>
        <w:rPr>
          <w:rFonts w:hint="eastAsia" w:ascii="Times New Roman" w:hAnsi="Times New Roman" w:eastAsia="宋体" w:cs="Times New Roman"/>
          <w:color w:val="000000"/>
          <w:kern w:val="2"/>
          <w:sz w:val="21"/>
          <w:szCs w:val="21"/>
          <w:highlight w:val="none"/>
          <w:lang w:val="en-US" w:eastAsia="zh-CN" w:bidi="ar-SA"/>
        </w:rPr>
        <w:t>结算一次费用，结算单价以</w:t>
      </w:r>
      <w:r>
        <w:rPr>
          <w:rFonts w:hint="eastAsia" w:ascii="Calibri" w:hAnsi="Calibri" w:eastAsia="宋体" w:cs="Times New Roman"/>
          <w:kern w:val="2"/>
          <w:sz w:val="21"/>
          <w:szCs w:val="21"/>
          <w:highlight w:val="none"/>
          <w:lang w:val="en-US" w:eastAsia="zh-CN" w:bidi="ar-SA"/>
        </w:rPr>
        <w:t>《结算单价清单》</w:t>
      </w:r>
      <w:r>
        <w:rPr>
          <w:rFonts w:hint="eastAsia" w:ascii="Times New Roman" w:hAnsi="Times New Roman" w:eastAsia="宋体" w:cs="Times New Roman"/>
          <w:color w:val="000000"/>
          <w:kern w:val="2"/>
          <w:sz w:val="21"/>
          <w:szCs w:val="21"/>
          <w:highlight w:val="none"/>
          <w:lang w:val="en-US" w:eastAsia="zh-CN" w:bidi="ar-SA"/>
        </w:rPr>
        <w:t>为准。</w:t>
      </w:r>
      <w:r>
        <w:rPr>
          <w:rFonts w:hint="eastAsia" w:ascii="Calibri" w:hAnsi="Calibri" w:eastAsia="宋体" w:cs="Times New Roman"/>
          <w:kern w:val="2"/>
          <w:sz w:val="21"/>
          <w:szCs w:val="22"/>
          <w:highlight w:val="none"/>
          <w:lang w:val="en-US" w:eastAsia="zh-CN" w:bidi="ar"/>
        </w:rPr>
        <w:t>结算前，乙方须向甲方提供结算费用清单进行确认，并在确认后 5 日内按清单金额向甲方提供合法有效票据及其他相关请款资料，甲方接到乙方请款资料后的</w:t>
      </w:r>
      <w:r>
        <w:rPr>
          <w:rFonts w:hint="eastAsia" w:ascii="Calibri" w:hAnsi="Calibri" w:eastAsia="宋体" w:cs="Times New Roman"/>
          <w:kern w:val="2"/>
          <w:sz w:val="21"/>
          <w:szCs w:val="22"/>
          <w:highlight w:val="none"/>
          <w:u w:val="single"/>
          <w:lang w:val="en-US" w:eastAsia="zh-CN" w:bidi="ar"/>
        </w:rPr>
        <w:t>55</w:t>
      </w:r>
      <w:r>
        <w:rPr>
          <w:rFonts w:hint="eastAsia" w:ascii="Calibri" w:hAnsi="Calibri" w:eastAsia="宋体" w:cs="Times New Roman"/>
          <w:kern w:val="2"/>
          <w:sz w:val="21"/>
          <w:szCs w:val="22"/>
          <w:highlight w:val="none"/>
          <w:lang w:val="en-US" w:eastAsia="zh-CN" w:bidi="ar"/>
        </w:rPr>
        <w:t>日内，向乙方全额支付上述结算费用。</w:t>
      </w:r>
    </w:p>
    <w:p w14:paraId="6396CD2E">
      <w:pPr>
        <w:widowControl w:val="0"/>
        <w:numPr>
          <w:ilvl w:val="0"/>
          <w:numId w:val="17"/>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甲方付款前，乙方需</w:t>
      </w:r>
      <w:r>
        <w:rPr>
          <w:rFonts w:hint="eastAsia" w:ascii="Times New Roman" w:hAnsi="Times New Roman" w:eastAsia="宋体" w:cs="Times New Roman"/>
          <w:kern w:val="2"/>
          <w:sz w:val="21"/>
          <w:szCs w:val="20"/>
          <w:highlight w:val="none"/>
          <w:lang w:val="en-US" w:eastAsia="zh-CN" w:bidi="ar"/>
        </w:rPr>
        <w:t>提供合法有效票据及其他相关请款资料</w:t>
      </w:r>
      <w:r>
        <w:rPr>
          <w:rFonts w:ascii="Times New Roman" w:hAnsi="Times New Roman" w:eastAsia="宋体" w:cs="Times New Roman"/>
          <w:kern w:val="2"/>
          <w:sz w:val="21"/>
          <w:szCs w:val="21"/>
          <w:highlight w:val="none"/>
          <w:lang w:val="en-US" w:eastAsia="zh-CN" w:bidi="ar-SA"/>
        </w:rPr>
        <w:t>，否则甲方有权拒绝支付且不承担任何违约责任，且乙方不得因此停止</w:t>
      </w:r>
      <w:r>
        <w:rPr>
          <w:rFonts w:hint="eastAsia" w:ascii="Times New Roman" w:hAnsi="Times New Roman" w:eastAsia="宋体" w:cs="Times New Roman"/>
          <w:kern w:val="2"/>
          <w:sz w:val="21"/>
          <w:szCs w:val="21"/>
          <w:highlight w:val="none"/>
          <w:lang w:val="en-US" w:eastAsia="zh-CN" w:bidi="ar-SA"/>
        </w:rPr>
        <w:t>服务</w:t>
      </w:r>
      <w:r>
        <w:rPr>
          <w:rFonts w:ascii="Times New Roman" w:hAnsi="Times New Roman" w:eastAsia="宋体" w:cs="Times New Roman"/>
          <w:kern w:val="2"/>
          <w:sz w:val="21"/>
          <w:szCs w:val="21"/>
          <w:highlight w:val="none"/>
          <w:lang w:val="en-US" w:eastAsia="zh-CN" w:bidi="ar-SA"/>
        </w:rPr>
        <w:t>。</w:t>
      </w:r>
    </w:p>
    <w:p w14:paraId="7BF4D460">
      <w:pPr>
        <w:widowControl w:val="0"/>
        <w:numPr>
          <w:ilvl w:val="0"/>
          <w:numId w:val="17"/>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乙方开票信息应与合同预留账户信息一致。如有变更，乙方应当在变更后3日内通知甲方。否则，由此造成的损失由乙方自行承担。</w:t>
      </w:r>
    </w:p>
    <w:p w14:paraId="77EDBCE2">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双方权利与义务</w:t>
      </w:r>
    </w:p>
    <w:p w14:paraId="7C30B76C">
      <w:pPr>
        <w:widowControl w:val="0"/>
        <w:numPr>
          <w:ilvl w:val="0"/>
          <w:numId w:val="18"/>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甲方权利与义务</w:t>
      </w:r>
    </w:p>
    <w:p w14:paraId="78D6DEA9">
      <w:pPr>
        <w:widowControl w:val="0"/>
        <w:numPr>
          <w:ilvl w:val="0"/>
          <w:numId w:val="19"/>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按合同约定向乙方支付费用。</w:t>
      </w:r>
    </w:p>
    <w:p w14:paraId="363846AB">
      <w:pPr>
        <w:widowControl w:val="0"/>
        <w:numPr>
          <w:ilvl w:val="0"/>
          <w:numId w:val="19"/>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保证乙方实施服务所必须的外部条件如电源、水源的正常供应及开启、关闭等。</w:t>
      </w:r>
    </w:p>
    <w:p w14:paraId="02AE86A8">
      <w:pPr>
        <w:widowControl w:val="0"/>
        <w:numPr>
          <w:ilvl w:val="0"/>
          <w:numId w:val="19"/>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对于乙方在提供</w:t>
      </w:r>
      <w:r>
        <w:rPr>
          <w:rFonts w:hint="eastAsia" w:ascii="Times New Roman" w:hAnsi="Times New Roman" w:eastAsia="宋体" w:cs="Times New Roman"/>
          <w:kern w:val="2"/>
          <w:sz w:val="21"/>
          <w:szCs w:val="21"/>
          <w:highlight w:val="none"/>
          <w:lang w:val="en-US" w:eastAsia="zh-CN" w:bidi="ar-SA"/>
        </w:rPr>
        <w:t>服务</w:t>
      </w:r>
      <w:r>
        <w:rPr>
          <w:rFonts w:ascii="Times New Roman" w:hAnsi="Times New Roman" w:eastAsia="宋体" w:cs="Times New Roman"/>
          <w:kern w:val="2"/>
          <w:sz w:val="21"/>
          <w:szCs w:val="21"/>
          <w:highlight w:val="none"/>
          <w:lang w:val="en-US" w:eastAsia="zh-CN" w:bidi="ar-SA"/>
        </w:rPr>
        <w:t>期间所提供的信息，甲方应予保密，未经乙方书面同意，甲方不得擅自使用或透露给第三方。</w:t>
      </w:r>
    </w:p>
    <w:p w14:paraId="2F37054C">
      <w:pPr>
        <w:widowControl w:val="0"/>
        <w:numPr>
          <w:ilvl w:val="0"/>
          <w:numId w:val="19"/>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甲方对服务人员不满意的，有权要求乙方在7日内更换相关服务人员。</w:t>
      </w:r>
    </w:p>
    <w:p w14:paraId="508CCE25">
      <w:pPr>
        <w:widowControl w:val="0"/>
        <w:numPr>
          <w:ilvl w:val="0"/>
          <w:numId w:val="18"/>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乙方权利与义务</w:t>
      </w:r>
    </w:p>
    <w:p w14:paraId="1210C1C9">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按本合同约定向甲方提供服务</w:t>
      </w:r>
      <w:r>
        <w:rPr>
          <w:rFonts w:hint="eastAsia" w:ascii="Times New Roman" w:hAnsi="Times New Roman" w:eastAsia="宋体" w:cs="Times New Roman"/>
          <w:kern w:val="2"/>
          <w:sz w:val="21"/>
          <w:szCs w:val="21"/>
          <w:highlight w:val="none"/>
          <w:lang w:val="en-US" w:eastAsia="zh-CN" w:bidi="ar-SA"/>
        </w:rPr>
        <w:t>。</w:t>
      </w:r>
    </w:p>
    <w:p w14:paraId="348F4C5E">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乙方应保证提供的服务人员具备相应的服务能力和服务资质（如涉及）</w:t>
      </w:r>
      <w:r>
        <w:rPr>
          <w:rFonts w:ascii="Times New Roman" w:hAnsi="Times New Roman" w:eastAsia="宋体" w:cs="Times New Roman"/>
          <w:kern w:val="2"/>
          <w:sz w:val="21"/>
          <w:szCs w:val="21"/>
          <w:highlight w:val="none"/>
          <w:lang w:val="en-US" w:eastAsia="zh-CN" w:bidi="ar-SA"/>
        </w:rPr>
        <w:t>。</w:t>
      </w:r>
    </w:p>
    <w:p w14:paraId="57BEED33">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如服务涉及更换备品备件、材料等，</w:t>
      </w:r>
      <w:r>
        <w:rPr>
          <w:rFonts w:ascii="Times New Roman" w:hAnsi="Times New Roman" w:eastAsia="宋体" w:cs="Times New Roman"/>
          <w:kern w:val="2"/>
          <w:sz w:val="21"/>
          <w:szCs w:val="21"/>
          <w:highlight w:val="none"/>
          <w:lang w:val="en-US" w:eastAsia="zh-CN" w:bidi="ar-SA"/>
        </w:rPr>
        <w:t>乙方应保证服务中更换的</w:t>
      </w:r>
      <w:r>
        <w:rPr>
          <w:rFonts w:hint="eastAsia" w:ascii="Times New Roman" w:hAnsi="Times New Roman" w:eastAsia="宋体" w:cs="Times New Roman"/>
          <w:kern w:val="2"/>
          <w:sz w:val="21"/>
          <w:szCs w:val="21"/>
          <w:highlight w:val="none"/>
          <w:lang w:val="en-US" w:eastAsia="zh-CN" w:bidi="ar-SA"/>
        </w:rPr>
        <w:t>备品</w:t>
      </w:r>
      <w:r>
        <w:rPr>
          <w:rFonts w:ascii="Times New Roman" w:hAnsi="Times New Roman" w:eastAsia="宋体" w:cs="Times New Roman"/>
          <w:kern w:val="2"/>
          <w:sz w:val="21"/>
          <w:szCs w:val="21"/>
          <w:highlight w:val="none"/>
          <w:lang w:val="en-US" w:eastAsia="zh-CN" w:bidi="ar-SA"/>
        </w:rPr>
        <w:t>备件、材料</w:t>
      </w:r>
      <w:r>
        <w:rPr>
          <w:rFonts w:hint="eastAsia" w:ascii="Times New Roman" w:hAnsi="Times New Roman" w:eastAsia="宋体" w:cs="Times New Roman"/>
          <w:kern w:val="2"/>
          <w:sz w:val="21"/>
          <w:szCs w:val="21"/>
          <w:highlight w:val="none"/>
          <w:lang w:val="en-US" w:eastAsia="zh-CN" w:bidi="ar-SA"/>
        </w:rPr>
        <w:t>达到本项目采购文件及乙方响应文件中的技术要求和质量标准，</w:t>
      </w:r>
      <w:r>
        <w:rPr>
          <w:rFonts w:ascii="Times New Roman" w:hAnsi="Times New Roman" w:eastAsia="宋体" w:cs="Times New Roman"/>
          <w:kern w:val="2"/>
          <w:sz w:val="21"/>
          <w:szCs w:val="21"/>
          <w:highlight w:val="none"/>
          <w:lang w:val="en-US" w:eastAsia="zh-CN" w:bidi="ar-SA"/>
        </w:rPr>
        <w:t>符合或优于国家（行业）标准，并保证所更换的</w:t>
      </w:r>
      <w:r>
        <w:rPr>
          <w:rFonts w:hint="eastAsia" w:ascii="Times New Roman" w:hAnsi="Times New Roman" w:eastAsia="宋体" w:cs="Times New Roman"/>
          <w:kern w:val="2"/>
          <w:sz w:val="21"/>
          <w:szCs w:val="21"/>
          <w:highlight w:val="none"/>
          <w:lang w:val="en-US" w:eastAsia="zh-CN" w:bidi="ar-SA"/>
        </w:rPr>
        <w:t>备品</w:t>
      </w:r>
      <w:r>
        <w:rPr>
          <w:rFonts w:ascii="Times New Roman" w:hAnsi="Times New Roman" w:eastAsia="宋体" w:cs="Times New Roman"/>
          <w:kern w:val="2"/>
          <w:sz w:val="21"/>
          <w:szCs w:val="21"/>
          <w:highlight w:val="none"/>
          <w:lang w:val="en-US" w:eastAsia="zh-CN" w:bidi="ar-SA"/>
        </w:rPr>
        <w:t>备件、</w:t>
      </w:r>
      <w:r>
        <w:rPr>
          <w:rFonts w:hint="eastAsia" w:ascii="Times New Roman" w:hAnsi="Times New Roman" w:eastAsia="宋体" w:cs="Times New Roman"/>
          <w:kern w:val="2"/>
          <w:sz w:val="21"/>
          <w:szCs w:val="21"/>
          <w:highlight w:val="none"/>
          <w:lang w:val="en-US" w:eastAsia="zh-CN" w:bidi="ar-SA"/>
        </w:rPr>
        <w:t>原</w:t>
      </w:r>
      <w:r>
        <w:rPr>
          <w:rFonts w:ascii="Times New Roman" w:hAnsi="Times New Roman" w:eastAsia="宋体" w:cs="Times New Roman"/>
          <w:kern w:val="2"/>
          <w:sz w:val="21"/>
          <w:szCs w:val="21"/>
          <w:highlight w:val="none"/>
          <w:lang w:val="en-US" w:eastAsia="zh-CN" w:bidi="ar-SA"/>
        </w:rPr>
        <w:t>材料在正确安装及正常使用和保养条件下，于其使用寿命期内性能</w:t>
      </w:r>
      <w:r>
        <w:rPr>
          <w:rFonts w:hint="eastAsia" w:ascii="Times New Roman" w:hAnsi="Times New Roman" w:eastAsia="宋体" w:cs="Times New Roman"/>
          <w:kern w:val="2"/>
          <w:sz w:val="21"/>
          <w:szCs w:val="21"/>
          <w:highlight w:val="none"/>
          <w:lang w:val="en-US" w:eastAsia="zh-CN" w:bidi="ar-SA"/>
        </w:rPr>
        <w:t>满足甲方需求</w:t>
      </w:r>
      <w:r>
        <w:rPr>
          <w:rFonts w:ascii="Times New Roman" w:hAnsi="Times New Roman" w:eastAsia="宋体" w:cs="Times New Roman"/>
          <w:kern w:val="2"/>
          <w:sz w:val="21"/>
          <w:szCs w:val="21"/>
          <w:highlight w:val="none"/>
          <w:lang w:val="en-US" w:eastAsia="zh-CN" w:bidi="ar-SA"/>
        </w:rPr>
        <w:t>。</w:t>
      </w:r>
    </w:p>
    <w:p w14:paraId="0C36BD74">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如服务涉及计算机软件产品的，乙方须承诺在服务中设备安装的软件已获得软件厂商的正规授权。</w:t>
      </w:r>
    </w:p>
    <w:p w14:paraId="2A100BD5">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乙方对在按本合同约定向甲方提供服务过程中所获得的所有数据、商业秘密或其它技术及经营信息负有保密的义务，不得向任何第三方透露或泄露。</w:t>
      </w:r>
    </w:p>
    <w:p w14:paraId="29E93DD6">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违约责任</w:t>
      </w:r>
      <w:r>
        <w:rPr>
          <w:rFonts w:ascii="Times New Roman" w:hAnsi="Times New Roman" w:eastAsia="宋体" w:cs="Times New Roman"/>
          <w:bCs/>
          <w:i/>
          <w:iCs/>
          <w:kern w:val="2"/>
          <w:sz w:val="21"/>
          <w:szCs w:val="21"/>
          <w:highlight w:val="none"/>
          <w:lang w:val="en-US" w:eastAsia="zh-CN" w:bidi="ar-SA"/>
        </w:rPr>
        <w:t>&lt;本条款中违约金比例可根据项目实际情况确定</w:t>
      </w:r>
      <w:r>
        <w:rPr>
          <w:rFonts w:hint="eastAsia" w:ascii="Times New Roman" w:hAnsi="Times New Roman" w:eastAsia="宋体" w:cs="Times New Roman"/>
          <w:bCs/>
          <w:i/>
          <w:iCs/>
          <w:kern w:val="2"/>
          <w:sz w:val="21"/>
          <w:szCs w:val="21"/>
          <w:highlight w:val="none"/>
          <w:lang w:val="en-US" w:eastAsia="zh-CN" w:bidi="ar-SA"/>
        </w:rPr>
        <w:t>，如合同无固定总金额的，请按实际需求调整表述</w:t>
      </w:r>
      <w:r>
        <w:rPr>
          <w:rFonts w:ascii="Times New Roman" w:hAnsi="Times New Roman" w:eastAsia="宋体" w:cs="Times New Roman"/>
          <w:bCs/>
          <w:i/>
          <w:iCs/>
          <w:kern w:val="2"/>
          <w:sz w:val="21"/>
          <w:szCs w:val="21"/>
          <w:highlight w:val="none"/>
          <w:lang w:val="en-US" w:eastAsia="zh-CN" w:bidi="ar-SA"/>
        </w:rPr>
        <w:t>&gt;</w:t>
      </w:r>
    </w:p>
    <w:p w14:paraId="2AEB5983">
      <w:pPr>
        <w:widowControl w:val="0"/>
        <w:numPr>
          <w:ilvl w:val="0"/>
          <w:numId w:val="21"/>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甲方违约责任：甲方无正当理由拒绝乙方按本合同约定提供服务的，甲方应偿付合同总</w:t>
      </w:r>
      <w:r>
        <w:rPr>
          <w:rFonts w:hint="eastAsia" w:ascii="Times New Roman" w:hAnsi="Times New Roman" w:eastAsia="宋体" w:cs="Times New Roman"/>
          <w:kern w:val="2"/>
          <w:sz w:val="21"/>
          <w:szCs w:val="21"/>
          <w:highlight w:val="none"/>
          <w:lang w:val="en-US" w:eastAsia="zh-CN" w:bidi="ar-SA"/>
        </w:rPr>
        <w:t>金额的</w:t>
      </w:r>
      <w:r>
        <w:rPr>
          <w:rFonts w:ascii="Times New Roman" w:hAnsi="Times New Roman" w:eastAsia="宋体" w:cs="Times New Roman"/>
          <w:kern w:val="2"/>
          <w:sz w:val="21"/>
          <w:szCs w:val="21"/>
          <w:highlight w:val="none"/>
          <w:u w:val="single"/>
          <w:lang w:val="en-US" w:eastAsia="zh-CN" w:bidi="ar-SA"/>
        </w:rPr>
        <w:t>10%</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p w14:paraId="7E58B8A0">
      <w:pPr>
        <w:widowControl w:val="0"/>
        <w:numPr>
          <w:ilvl w:val="0"/>
          <w:numId w:val="21"/>
        </w:numPr>
        <w:ind w:left="480" w:hanging="48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乙方违约责任：</w:t>
      </w:r>
    </w:p>
    <w:p w14:paraId="32920D54">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bookmarkStart w:id="103" w:name="OLE_LINK18"/>
      <w:bookmarkStart w:id="104" w:name="OLE_LINK17"/>
      <w:r>
        <w:rPr>
          <w:rFonts w:ascii="Times New Roman" w:hAnsi="Times New Roman" w:eastAsia="宋体" w:cs="Times New Roman"/>
          <w:kern w:val="2"/>
          <w:sz w:val="21"/>
          <w:szCs w:val="21"/>
          <w:highlight w:val="none"/>
          <w:lang w:val="en-US" w:eastAsia="zh-CN" w:bidi="ar-SA"/>
        </w:rPr>
        <w:t>乙方应派遣具备相关资质的技术人员为甲方提供服务，服务过程中，乙方技术人员因操作不当、未采取必要的安全防范措施等原因导致安全责任事故的，由乙方承担由此造成的全部法律责任。</w:t>
      </w:r>
    </w:p>
    <w:p w14:paraId="55992797">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因乙方在服务中更换的</w:t>
      </w:r>
      <w:r>
        <w:rPr>
          <w:rFonts w:hint="eastAsia" w:ascii="Times New Roman" w:hAnsi="Times New Roman" w:eastAsia="宋体" w:cs="Times New Roman"/>
          <w:kern w:val="2"/>
          <w:sz w:val="21"/>
          <w:szCs w:val="21"/>
          <w:highlight w:val="none"/>
          <w:lang w:val="en-US" w:eastAsia="zh-CN" w:bidi="ar-SA"/>
        </w:rPr>
        <w:t>备品</w:t>
      </w:r>
      <w:r>
        <w:rPr>
          <w:rFonts w:ascii="Times New Roman" w:hAnsi="Times New Roman" w:eastAsia="宋体" w:cs="Times New Roman"/>
          <w:kern w:val="2"/>
          <w:sz w:val="21"/>
          <w:szCs w:val="21"/>
          <w:highlight w:val="none"/>
          <w:lang w:val="en-US" w:eastAsia="zh-CN" w:bidi="ar-SA"/>
        </w:rPr>
        <w:t>备件</w:t>
      </w:r>
      <w:r>
        <w:rPr>
          <w:rFonts w:hint="eastAsia" w:ascii="Times New Roman" w:hAnsi="Times New Roman" w:eastAsia="宋体" w:cs="Times New Roman"/>
          <w:kern w:val="2"/>
          <w:sz w:val="21"/>
          <w:szCs w:val="21"/>
          <w:highlight w:val="none"/>
          <w:lang w:val="en-US" w:eastAsia="zh-CN" w:bidi="ar-SA"/>
        </w:rPr>
        <w:t>或原</w:t>
      </w:r>
      <w:r>
        <w:rPr>
          <w:rFonts w:ascii="Times New Roman" w:hAnsi="Times New Roman" w:eastAsia="宋体" w:cs="Times New Roman"/>
          <w:kern w:val="2"/>
          <w:sz w:val="21"/>
          <w:szCs w:val="21"/>
          <w:highlight w:val="none"/>
          <w:lang w:val="en-US" w:eastAsia="zh-CN" w:bidi="ar-SA"/>
        </w:rPr>
        <w:t>材料在质保期内并在正常使用情况下出现质量原因导致甲方或第三方财产或人身损害的，由乙方承担赔偿责任。</w:t>
      </w:r>
    </w:p>
    <w:p w14:paraId="6E5E9E4F">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在本合同的履行中，</w:t>
      </w:r>
      <w:r>
        <w:rPr>
          <w:rFonts w:hint="eastAsia" w:ascii="Times New Roman" w:hAnsi="Times New Roman" w:eastAsia="宋体" w:cs="Times New Roman"/>
          <w:kern w:val="2"/>
          <w:sz w:val="21"/>
          <w:szCs w:val="21"/>
          <w:highlight w:val="none"/>
          <w:lang w:val="en-US" w:eastAsia="zh-CN" w:bidi="ar-SA"/>
        </w:rPr>
        <w:t>如</w:t>
      </w:r>
      <w:r>
        <w:rPr>
          <w:rFonts w:ascii="Times New Roman" w:hAnsi="Times New Roman" w:eastAsia="宋体" w:cs="Times New Roman"/>
          <w:kern w:val="2"/>
          <w:sz w:val="21"/>
          <w:szCs w:val="21"/>
          <w:highlight w:val="none"/>
          <w:lang w:val="en-US" w:eastAsia="zh-CN" w:bidi="ar-SA"/>
        </w:rPr>
        <w:t>乙方提供的服务存在设计、工艺或材料缺陷（包括潜在缺陷），乙方应当对由于上述缺陷造成的损失负责。</w:t>
      </w:r>
    </w:p>
    <w:p w14:paraId="62A81771">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在本合同履行中，</w:t>
      </w:r>
      <w:r>
        <w:rPr>
          <w:rFonts w:hint="eastAsia" w:ascii="Times New Roman" w:hAnsi="Times New Roman" w:eastAsia="宋体" w:cs="Times New Roman"/>
          <w:kern w:val="2"/>
          <w:sz w:val="21"/>
          <w:szCs w:val="21"/>
          <w:highlight w:val="none"/>
          <w:lang w:val="en-US" w:eastAsia="zh-CN" w:bidi="ar-SA"/>
        </w:rPr>
        <w:t>如</w:t>
      </w:r>
      <w:r>
        <w:rPr>
          <w:rFonts w:ascii="Times New Roman" w:hAnsi="Times New Roman" w:eastAsia="宋体" w:cs="Times New Roman"/>
          <w:kern w:val="2"/>
          <w:sz w:val="21"/>
          <w:szCs w:val="21"/>
          <w:highlight w:val="none"/>
          <w:lang w:val="en-US" w:eastAsia="zh-CN" w:bidi="ar-SA"/>
        </w:rPr>
        <w:t>乙方</w:t>
      </w:r>
      <w:r>
        <w:rPr>
          <w:rFonts w:hint="eastAsia" w:ascii="Times New Roman" w:hAnsi="Times New Roman" w:eastAsia="宋体" w:cs="Times New Roman"/>
          <w:kern w:val="2"/>
          <w:sz w:val="21"/>
          <w:szCs w:val="21"/>
          <w:highlight w:val="none"/>
          <w:lang w:val="en-US" w:eastAsia="zh-CN" w:bidi="ar-SA"/>
        </w:rPr>
        <w:t>未按本合同约定及时向甲方提供服务</w:t>
      </w:r>
      <w:r>
        <w:rPr>
          <w:rFonts w:ascii="Times New Roman" w:hAnsi="Times New Roman" w:eastAsia="宋体" w:cs="Times New Roman"/>
          <w:kern w:val="2"/>
          <w:sz w:val="21"/>
          <w:szCs w:val="21"/>
          <w:highlight w:val="none"/>
          <w:lang w:val="en-US" w:eastAsia="zh-CN" w:bidi="ar-SA"/>
        </w:rPr>
        <w:t>，每发生一次，乙方应按</w:t>
      </w:r>
      <w:r>
        <w:rPr>
          <w:rFonts w:hint="eastAsia" w:ascii="Times New Roman" w:hAnsi="Times New Roman" w:eastAsia="宋体" w:cs="Times New Roman"/>
          <w:kern w:val="2"/>
          <w:sz w:val="21"/>
          <w:szCs w:val="21"/>
          <w:highlight w:val="none"/>
          <w:u w:val="single"/>
          <w:lang w:val="en-US" w:eastAsia="zh-CN" w:bidi="ar-SA"/>
        </w:rPr>
        <w:t>合同总金额</w:t>
      </w:r>
      <w:r>
        <w:rPr>
          <w:rFonts w:ascii="Times New Roman" w:hAnsi="Times New Roman" w:eastAsia="宋体" w:cs="Times New Roman"/>
          <w:kern w:val="2"/>
          <w:sz w:val="21"/>
          <w:szCs w:val="21"/>
          <w:highlight w:val="none"/>
          <w:lang w:val="en-US" w:eastAsia="zh-CN" w:bidi="ar-SA"/>
        </w:rPr>
        <w:t>的</w:t>
      </w:r>
      <w:r>
        <w:rPr>
          <w:rFonts w:hint="eastAsia" w:ascii="Times New Roman" w:hAnsi="Times New Roman" w:eastAsia="宋体" w:cs="Times New Roman"/>
          <w:kern w:val="2"/>
          <w:sz w:val="21"/>
          <w:szCs w:val="21"/>
          <w:highlight w:val="none"/>
          <w:u w:val="single"/>
          <w:lang w:val="en-US" w:eastAsia="zh-CN" w:bidi="ar-SA"/>
        </w:rPr>
        <w:t>***</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向甲方支付违约金。甲方可采取必要的补救措施，但由此而产生的风险责任和费用将由乙方负担，甲方根据合同规定对乙方行使的其他权利不受影响。</w:t>
      </w:r>
    </w:p>
    <w:p w14:paraId="221FB475">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乙方在</w:t>
      </w:r>
      <w:r>
        <w:rPr>
          <w:rFonts w:hint="eastAsia" w:ascii="Times New Roman" w:hAnsi="Times New Roman" w:eastAsia="宋体" w:cs="Times New Roman"/>
          <w:kern w:val="2"/>
          <w:sz w:val="21"/>
          <w:szCs w:val="21"/>
          <w:highlight w:val="none"/>
          <w:lang w:val="en-US" w:eastAsia="zh-CN" w:bidi="ar-SA"/>
        </w:rPr>
        <w:t>提供服务</w:t>
      </w:r>
      <w:r>
        <w:rPr>
          <w:rFonts w:ascii="Times New Roman" w:hAnsi="Times New Roman" w:eastAsia="宋体" w:cs="Times New Roman"/>
          <w:kern w:val="2"/>
          <w:sz w:val="21"/>
          <w:szCs w:val="21"/>
          <w:highlight w:val="none"/>
          <w:lang w:val="en-US" w:eastAsia="zh-CN" w:bidi="ar-SA"/>
        </w:rPr>
        <w:t>过程</w:t>
      </w:r>
      <w:r>
        <w:rPr>
          <w:rFonts w:hint="eastAsia" w:ascii="Times New Roman" w:hAnsi="Times New Roman" w:eastAsia="宋体" w:cs="Times New Roman"/>
          <w:kern w:val="2"/>
          <w:sz w:val="21"/>
          <w:szCs w:val="21"/>
          <w:highlight w:val="none"/>
          <w:lang w:val="en-US" w:eastAsia="zh-CN" w:bidi="ar-SA"/>
        </w:rPr>
        <w:t>中</w:t>
      </w:r>
      <w:r>
        <w:rPr>
          <w:rFonts w:ascii="Times New Roman" w:hAnsi="Times New Roman" w:eastAsia="宋体" w:cs="Times New Roman"/>
          <w:kern w:val="2"/>
          <w:sz w:val="21"/>
          <w:szCs w:val="21"/>
          <w:highlight w:val="none"/>
          <w:lang w:val="en-US" w:eastAsia="zh-CN" w:bidi="ar-SA"/>
        </w:rPr>
        <w:t>侵犯他人知识产权，甲方有权单方解除合同，并要求乙方赔偿所造成的损失，同时甲方有权要求对方按照</w:t>
      </w:r>
      <w:r>
        <w:rPr>
          <w:rFonts w:ascii="Times New Roman" w:hAnsi="Times New Roman" w:eastAsia="宋体" w:cs="Times New Roman"/>
          <w:kern w:val="2"/>
          <w:sz w:val="21"/>
          <w:szCs w:val="21"/>
          <w:highlight w:val="none"/>
          <w:u w:val="single"/>
          <w:lang w:val="en-US" w:eastAsia="zh-CN" w:bidi="ar-SA"/>
        </w:rPr>
        <w:t>合同总金额</w:t>
      </w:r>
      <w:r>
        <w:rPr>
          <w:rFonts w:ascii="Times New Roman" w:hAnsi="Times New Roman" w:eastAsia="宋体" w:cs="Times New Roman"/>
          <w:kern w:val="2"/>
          <w:sz w:val="21"/>
          <w:szCs w:val="21"/>
          <w:highlight w:val="none"/>
          <w:lang w:val="en-US" w:eastAsia="zh-CN" w:bidi="ar-SA"/>
        </w:rPr>
        <w:t>的</w:t>
      </w:r>
      <w:r>
        <w:rPr>
          <w:rFonts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支付</w:t>
      </w:r>
      <w:r>
        <w:rPr>
          <w:rFonts w:ascii="Times New Roman" w:hAnsi="Times New Roman" w:eastAsia="宋体" w:cs="Times New Roman"/>
          <w:kern w:val="2"/>
          <w:sz w:val="21"/>
          <w:szCs w:val="21"/>
          <w:highlight w:val="none"/>
          <w:lang w:val="en-US" w:eastAsia="zh-CN" w:bidi="ar-SA"/>
        </w:rPr>
        <w:t>违约金。</w:t>
      </w:r>
    </w:p>
    <w:p w14:paraId="5F7507B2">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乙方违反保密义务，甲方有权单方解除合同，乙方应按甲方实际损失向甲方进行赔偿并向甲方支付</w:t>
      </w:r>
      <w:r>
        <w:rPr>
          <w:rFonts w:hint="eastAsia" w:ascii="Times New Roman" w:hAnsi="Times New Roman" w:eastAsia="宋体" w:cs="Times New Roman"/>
          <w:kern w:val="2"/>
          <w:sz w:val="21"/>
          <w:szCs w:val="21"/>
          <w:highlight w:val="none"/>
          <w:u w:val="single"/>
          <w:lang w:val="en-US" w:eastAsia="zh-CN" w:bidi="ar-SA"/>
        </w:rPr>
        <w:t>合同总金额</w:t>
      </w:r>
      <w:r>
        <w:rPr>
          <w:rFonts w:hint="eastAsia" w:ascii="Times New Roman" w:hAnsi="Times New Roman" w:eastAsia="宋体" w:cs="Times New Roman"/>
          <w:kern w:val="2"/>
          <w:sz w:val="21"/>
          <w:szCs w:val="21"/>
          <w:highlight w:val="none"/>
          <w:lang w:val="en-US" w:eastAsia="zh-CN" w:bidi="ar-SA"/>
        </w:rPr>
        <w:t>的</w:t>
      </w:r>
      <w:r>
        <w:rPr>
          <w:rFonts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bookmarkEnd w:id="103"/>
    <w:bookmarkEnd w:id="104"/>
    <w:p w14:paraId="034DA885">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乙方偿付的违约金不足以弥补甲方损失的，还应按甲方损失尚未弥补的部分，支付赔偿金给甲方。</w:t>
      </w:r>
    </w:p>
    <w:p w14:paraId="1481DA7D">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乙方未按照本合同约定的时限提供合法发票或提供发票瑕疵（包括但不限于发票种类有误、发票金额有误等），甲方付款时限相应顺延并不承担任何延期支付的违约责任。</w:t>
      </w:r>
    </w:p>
    <w:p w14:paraId="51BBC56C">
      <w:pPr>
        <w:widowControl w:val="0"/>
        <w:numPr>
          <w:ilvl w:val="0"/>
          <w:numId w:val="22"/>
        </w:numPr>
        <w:snapToGrid w:val="0"/>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如本</w:t>
      </w:r>
      <w:r>
        <w:rPr>
          <w:rFonts w:ascii="宋体" w:hAnsi="宋体" w:eastAsia="宋体" w:cs="微软雅黑"/>
          <w:kern w:val="2"/>
          <w:sz w:val="21"/>
          <w:szCs w:val="21"/>
          <w:highlight w:val="none"/>
          <w:lang w:val="en-US" w:eastAsia="zh-CN" w:bidi="ar-SA"/>
        </w:rPr>
        <w:t>合同</w:t>
      </w:r>
      <w:r>
        <w:rPr>
          <w:rFonts w:hint="cs" w:ascii="宋体" w:hAnsi="宋体" w:eastAsia="宋体" w:cs="Times New Roman"/>
          <w:kern w:val="2"/>
          <w:sz w:val="21"/>
          <w:szCs w:val="21"/>
          <w:highlight w:val="none"/>
          <w:lang w:val="en-US" w:eastAsia="zh-CN" w:bidi="ar-SA"/>
        </w:rPr>
        <w:t>要</w:t>
      </w:r>
      <w:r>
        <w:rPr>
          <w:rFonts w:ascii="Times New Roman" w:hAnsi="Times New Roman" w:eastAsia="宋体" w:cs="Times New Roman"/>
          <w:kern w:val="2"/>
          <w:sz w:val="21"/>
          <w:szCs w:val="21"/>
          <w:highlight w:val="none"/>
          <w:lang w:val="en-US" w:eastAsia="zh-CN" w:bidi="ar-SA"/>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61A2C9EE">
      <w:pPr>
        <w:widowControl w:val="0"/>
        <w:spacing w:after="0" w:line="240" w:lineRule="auto"/>
        <w:ind w:left="0" w:leftChars="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3.本合同履行中如有任何一方违约，那么守约方为保障自己合法权益而产生的律师费、诉讼费、差旅费、公告费等，均由违约方承担。</w:t>
      </w:r>
    </w:p>
    <w:p w14:paraId="7E668DEE">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不可抗力</w:t>
      </w:r>
    </w:p>
    <w:p w14:paraId="11DE0B32">
      <w:pPr>
        <w:widowControl w:val="0"/>
        <w:snapToGrid w:val="0"/>
        <w:ind w:firstLine="420" w:firstLineChars="200"/>
        <w:jc w:val="both"/>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bCs/>
          <w:kern w:val="2"/>
          <w:sz w:val="21"/>
          <w:szCs w:val="21"/>
          <w:highlight w:val="none"/>
          <w:lang w:val="en-US" w:eastAsia="zh-CN" w:bidi="ar-SA"/>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kern w:val="2"/>
          <w:sz w:val="21"/>
          <w:szCs w:val="21"/>
          <w:highlight w:val="none"/>
          <w:lang w:val="en-US" w:eastAsia="zh-CN" w:bidi="ar-SA"/>
        </w:rPr>
        <w:t>日</w:t>
      </w:r>
      <w:r>
        <w:rPr>
          <w:rFonts w:ascii="Times New Roman" w:hAnsi="Times New Roman" w:eastAsia="宋体" w:cs="Times New Roman"/>
          <w:bCs/>
          <w:kern w:val="2"/>
          <w:sz w:val="21"/>
          <w:szCs w:val="21"/>
          <w:highlight w:val="none"/>
          <w:lang w:val="en-US" w:eastAsia="zh-CN" w:bidi="ar-SA"/>
        </w:rPr>
        <w:t>，甲方有权解除合同，双方互不承担违约责任。</w:t>
      </w:r>
    </w:p>
    <w:p w14:paraId="4C0079E2">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合同终止及解除</w:t>
      </w:r>
    </w:p>
    <w:p w14:paraId="44F71E9D">
      <w:pPr>
        <w:widowControl w:val="0"/>
        <w:numPr>
          <w:ilvl w:val="0"/>
          <w:numId w:val="23"/>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合同一方发现可能致使本合同无法按约定继续履行的情形时，应当及时通知另一方并采取适当措施减少损失；没有及时通知并采取适当措施，致使损失扩大的，应当就扩大的损失承担责任。</w:t>
      </w:r>
    </w:p>
    <w:p w14:paraId="345549C1">
      <w:pPr>
        <w:widowControl w:val="0"/>
        <w:numPr>
          <w:ilvl w:val="0"/>
          <w:numId w:val="23"/>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在甲、乙任何一方有严重违约行为时，另一方有权单方解除合同。</w:t>
      </w:r>
    </w:p>
    <w:p w14:paraId="1D571074">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争议解决办法</w:t>
      </w:r>
    </w:p>
    <w:p w14:paraId="03C3B85F">
      <w:pPr>
        <w:widowControl w:val="0"/>
        <w:numPr>
          <w:ilvl w:val="0"/>
          <w:numId w:val="24"/>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因服务质量问题发生争议，由质量技术监督部门或其指定的质量鉴定机构进行质量鉴定，结果符合标准的，鉴定费由甲方承担；不符合标准的，鉴定费由乙方承担。</w:t>
      </w:r>
    </w:p>
    <w:p w14:paraId="0CA8A6F7">
      <w:pPr>
        <w:widowControl w:val="0"/>
        <w:numPr>
          <w:ilvl w:val="0"/>
          <w:numId w:val="24"/>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合同履行期间,若双方发生争议，可协商或由有关部门调解解决，协商或调解不成的，任何一方均有权向甲方所在地具有管辖权的人民法院起诉。</w:t>
      </w:r>
    </w:p>
    <w:p w14:paraId="49435039">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送达（送达地址是司法机关、执法机关和仲裁机关将法律文书送达给当事人的收件地址）</w:t>
      </w:r>
    </w:p>
    <w:p w14:paraId="1D0A1131">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甲方送达地址：四川省成都市青羊区一环路西二段32号。</w:t>
      </w:r>
    </w:p>
    <w:p w14:paraId="376B67E9">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乙方送达地址：***</w:t>
      </w:r>
    </w:p>
    <w:p w14:paraId="28E05166">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1F96CF5D">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其他</w:t>
      </w:r>
    </w:p>
    <w:p w14:paraId="47BCF717">
      <w:pPr>
        <w:widowControl w:val="0"/>
        <w:numPr>
          <w:ilvl w:val="0"/>
          <w:numId w:val="26"/>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如有未尽事宜，由双方依法订立补充合同。补充合同及本合同附件均为本合同的组成部分，与本合同具有同等法律效力。</w:t>
      </w:r>
    </w:p>
    <w:p w14:paraId="79392D77">
      <w:pPr>
        <w:widowControl w:val="0"/>
        <w:numPr>
          <w:ilvl w:val="0"/>
          <w:numId w:val="26"/>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本合同一式四份，自双方</w:t>
      </w:r>
      <w:r>
        <w:rPr>
          <w:rFonts w:hint="eastAsia" w:ascii="Times New Roman" w:hAnsi="Times New Roman" w:eastAsia="宋体" w:cs="Times New Roman"/>
          <w:kern w:val="2"/>
          <w:sz w:val="21"/>
          <w:szCs w:val="21"/>
          <w:highlight w:val="none"/>
          <w:lang w:val="en-US" w:eastAsia="zh-CN" w:bidi="ar-SA"/>
        </w:rPr>
        <w:t>签字且盖章之</w:t>
      </w:r>
      <w:r>
        <w:rPr>
          <w:rFonts w:ascii="Times New Roman" w:hAnsi="Times New Roman" w:eastAsia="宋体" w:cs="Times New Roman"/>
          <w:kern w:val="2"/>
          <w:sz w:val="21"/>
          <w:szCs w:val="21"/>
          <w:highlight w:val="none"/>
          <w:lang w:val="en-US" w:eastAsia="zh-CN" w:bidi="ar-SA"/>
        </w:rPr>
        <w:t>日起生效。甲方三份，乙方一份。</w:t>
      </w:r>
    </w:p>
    <w:p w14:paraId="678E421A">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合同附件</w:t>
      </w:r>
    </w:p>
    <w:p w14:paraId="6CDF4281">
      <w:pPr>
        <w:rPr>
          <w:rFonts w:ascii="Times New Roman" w:hAnsi="Times New Roman" w:eastAsia="宋体" w:cs="Times New Roman"/>
          <w:szCs w:val="21"/>
          <w:highlight w:val="none"/>
        </w:rPr>
      </w:pPr>
      <w:r>
        <w:rPr>
          <w:rFonts w:ascii="Times New Roman" w:hAnsi="Times New Roman" w:eastAsia="宋体" w:cs="Times New Roman"/>
          <w:szCs w:val="21"/>
          <w:highlight w:val="none"/>
        </w:rPr>
        <w:t>本合同为</w:t>
      </w:r>
      <w:r>
        <w:rPr>
          <w:rFonts w:hint="eastAsia" w:ascii="Times New Roman" w:hAnsi="Times New Roman" w:eastAsia="宋体" w:cs="Times New Roman"/>
          <w:szCs w:val="21"/>
          <w:highlight w:val="none"/>
          <w:u w:val="single"/>
        </w:rPr>
        <w:t>有</w:t>
      </w:r>
      <w:r>
        <w:rPr>
          <w:rFonts w:ascii="Times New Roman" w:hAnsi="Times New Roman" w:eastAsia="宋体" w:cs="Times New Roman"/>
          <w:szCs w:val="21"/>
          <w:highlight w:val="none"/>
        </w:rPr>
        <w:t>附件合同</w:t>
      </w:r>
      <w:r>
        <w:rPr>
          <w:rFonts w:hint="eastAsia" w:ascii="Times New Roman" w:hAnsi="Times New Roman" w:eastAsia="宋体" w:cs="Times New Roman"/>
          <w:szCs w:val="21"/>
          <w:highlight w:val="none"/>
        </w:rPr>
        <w:t>，附件如下：</w:t>
      </w:r>
      <w:r>
        <w:rPr>
          <w:rFonts w:ascii="Times New Roman" w:hAnsi="Times New Roman" w:eastAsia="宋体" w:cs="Times New Roman"/>
          <w:i/>
          <w:iCs/>
          <w:szCs w:val="21"/>
          <w:highlight w:val="none"/>
        </w:rPr>
        <w:t>&lt;根据项目实际情况编制&gt;</w:t>
      </w:r>
    </w:p>
    <w:p w14:paraId="0AFB6E0E">
      <w:pPr>
        <w:jc w:val="left"/>
        <w:outlineLvl w:val="0"/>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附件1《</w:t>
      </w:r>
      <w:bookmarkStart w:id="105" w:name="OLE_LINK32"/>
      <w:r>
        <w:rPr>
          <w:rFonts w:hint="eastAsia" w:ascii="Times New Roman" w:hAnsi="Times New Roman" w:eastAsia="宋体" w:cs="Times New Roman"/>
          <w:szCs w:val="21"/>
          <w:highlight w:val="none"/>
        </w:rPr>
        <w:t>结算单价清单</w:t>
      </w:r>
      <w:bookmarkEnd w:id="105"/>
      <w:r>
        <w:rPr>
          <w:rFonts w:hint="eastAsia" w:ascii="Times New Roman" w:hAnsi="Times New Roman" w:eastAsia="宋体" w:cs="Times New Roman"/>
          <w:szCs w:val="21"/>
          <w:highlight w:val="none"/>
        </w:rPr>
        <w:t>》</w:t>
      </w:r>
    </w:p>
    <w:p w14:paraId="31316B86">
      <w:pPr>
        <w:jc w:val="left"/>
        <w:outlineLvl w:val="0"/>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附件2《考核标准》</w:t>
      </w:r>
    </w:p>
    <w:p w14:paraId="52BE461B">
      <w:pPr>
        <w:jc w:val="left"/>
        <w:outlineLvl w:val="0"/>
        <w:rPr>
          <w:rFonts w:ascii="Times New Roman" w:hAnsi="Times New Roman" w:eastAsia="宋体" w:cs="Times New Roman"/>
          <w:szCs w:val="21"/>
          <w:highlight w:val="none"/>
        </w:rPr>
      </w:pPr>
      <w:r>
        <w:rPr>
          <w:rFonts w:ascii="Times New Roman" w:hAnsi="Times New Roman" w:eastAsia="宋体" w:cs="Times New Roman"/>
          <w:szCs w:val="21"/>
          <w:highlight w:val="none"/>
        </w:rPr>
        <w:t>附件3《服务</w:t>
      </w:r>
      <w:r>
        <w:rPr>
          <w:rFonts w:hint="eastAsia" w:ascii="Times New Roman" w:hAnsi="Times New Roman" w:eastAsia="宋体" w:cs="Times New Roman"/>
          <w:szCs w:val="21"/>
          <w:highlight w:val="none"/>
        </w:rPr>
        <w:t>方案</w:t>
      </w:r>
      <w:r>
        <w:rPr>
          <w:rFonts w:ascii="Times New Roman" w:hAnsi="Times New Roman" w:eastAsia="宋体" w:cs="Times New Roman"/>
          <w:szCs w:val="21"/>
          <w:highlight w:val="none"/>
        </w:rPr>
        <w:t>》</w:t>
      </w:r>
    </w:p>
    <w:p w14:paraId="3A55ABA7">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w:t>
      </w:r>
      <w:r>
        <w:rPr>
          <w:rFonts w:ascii="Times New Roman" w:hAnsi="Times New Roman" w:eastAsia="宋体" w:cs="Times New Roman"/>
          <w:sz w:val="18"/>
          <w:szCs w:val="18"/>
          <w:highlight w:val="none"/>
        </w:rPr>
        <w:t>以下无正文</w:t>
      </w:r>
      <w:r>
        <w:rPr>
          <w:rFonts w:ascii="Times New Roman" w:hAnsi="Times New Roman" w:eastAsia="宋体" w:cs="Times New Roman"/>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49"/>
      </w:tblGrid>
      <w:tr w14:paraId="65501E34">
        <w:tblPrEx>
          <w:tblCellMar>
            <w:top w:w="0" w:type="dxa"/>
            <w:left w:w="0" w:type="dxa"/>
            <w:bottom w:w="0" w:type="dxa"/>
            <w:right w:w="0" w:type="dxa"/>
          </w:tblCellMar>
        </w:tblPrEx>
        <w:trPr>
          <w:trHeight w:val="519" w:hRule="atLeast"/>
          <w:jc w:val="center"/>
        </w:trPr>
        <w:tc>
          <w:tcPr>
            <w:tcW w:w="10214" w:type="dxa"/>
            <w:gridSpan w:val="2"/>
          </w:tcPr>
          <w:p w14:paraId="7332069A">
            <w:pPr>
              <w:rPr>
                <w:rFonts w:ascii="Times New Roman" w:hAnsi="Times New Roman" w:eastAsia="宋体" w:cs="Times New Roman"/>
                <w:szCs w:val="21"/>
                <w:highlight w:val="none"/>
              </w:rPr>
            </w:pPr>
            <w:r>
              <w:rPr>
                <w:rFonts w:ascii="Times New Roman" w:hAnsi="Times New Roman" w:eastAsia="宋体" w:cs="Times New Roman"/>
                <w:szCs w:val="21"/>
                <w:highlight w:val="none"/>
              </w:rPr>
              <w:t>签订时间：</w:t>
            </w:r>
            <w:r>
              <w:rPr>
                <w:rFonts w:ascii="Times New Roman" w:hAnsi="Times New Roman" w:eastAsia="宋体" w:cs="Times New Roman"/>
                <w:szCs w:val="20"/>
                <w:highlight w:val="none"/>
              </w:rPr>
              <w:t>202*</w:t>
            </w:r>
            <w:r>
              <w:rPr>
                <w:rFonts w:ascii="Times New Roman" w:hAnsi="Times New Roman" w:eastAsia="宋体" w:cs="Times New Roman"/>
                <w:szCs w:val="21"/>
                <w:highlight w:val="none"/>
              </w:rPr>
              <w:t>年***月***日</w:t>
            </w:r>
          </w:p>
        </w:tc>
      </w:tr>
      <w:tr w14:paraId="2D490634">
        <w:tblPrEx>
          <w:tblCellMar>
            <w:top w:w="0" w:type="dxa"/>
            <w:left w:w="0" w:type="dxa"/>
            <w:bottom w:w="0" w:type="dxa"/>
            <w:right w:w="0" w:type="dxa"/>
          </w:tblCellMar>
        </w:tblPrEx>
        <w:trPr>
          <w:jc w:val="center"/>
        </w:trPr>
        <w:tc>
          <w:tcPr>
            <w:tcW w:w="4967" w:type="dxa"/>
          </w:tcPr>
          <w:p w14:paraId="2FF18460">
            <w:pPr>
              <w:rPr>
                <w:rFonts w:ascii="Times New Roman" w:hAnsi="Times New Roman" w:eastAsia="宋体" w:cs="Times New Roman"/>
                <w:szCs w:val="21"/>
                <w:highlight w:val="none"/>
              </w:rPr>
            </w:pPr>
            <w:r>
              <w:rPr>
                <w:rFonts w:ascii="Times New Roman" w:hAnsi="Times New Roman" w:eastAsia="宋体" w:cs="Times New Roman"/>
                <w:szCs w:val="21"/>
                <w:highlight w:val="none"/>
              </w:rPr>
              <w:t>甲方：</w:t>
            </w:r>
            <w:r>
              <w:rPr>
                <w:rFonts w:hint="eastAsia" w:ascii="Times New Roman" w:hAnsi="Times New Roman" w:eastAsia="宋体" w:cs="Times New Roman"/>
                <w:szCs w:val="21"/>
                <w:highlight w:val="none"/>
                <w:lang w:eastAsia="zh-CN"/>
              </w:rPr>
              <w:t>四川省精神医学中心</w:t>
            </w:r>
            <w:r>
              <w:rPr>
                <w:rFonts w:ascii="Times New Roman" w:hAnsi="Times New Roman" w:eastAsia="宋体" w:cs="Times New Roman"/>
                <w:szCs w:val="21"/>
                <w:highlight w:val="none"/>
              </w:rPr>
              <w:t>（盖章）</w:t>
            </w:r>
          </w:p>
          <w:p w14:paraId="1E0932E9">
            <w:pPr>
              <w:rPr>
                <w:rFonts w:ascii="Times New Roman" w:hAnsi="Times New Roman" w:eastAsia="宋体" w:cs="Times New Roman"/>
                <w:szCs w:val="21"/>
                <w:highlight w:val="none"/>
              </w:rPr>
            </w:pPr>
            <w:r>
              <w:rPr>
                <w:rFonts w:ascii="Times New Roman" w:hAnsi="Times New Roman" w:eastAsia="宋体" w:cs="Times New Roman"/>
                <w:szCs w:val="21"/>
                <w:highlight w:val="none"/>
              </w:rPr>
              <w:t>法定代表人（授权代表签字）：</w:t>
            </w:r>
          </w:p>
          <w:p w14:paraId="29799065">
            <w:pPr>
              <w:rPr>
                <w:rFonts w:ascii="Times New Roman" w:hAnsi="Times New Roman" w:eastAsia="宋体" w:cs="Times New Roman"/>
                <w:szCs w:val="21"/>
                <w:highlight w:val="none"/>
              </w:rPr>
            </w:pPr>
            <w:r>
              <w:rPr>
                <w:rFonts w:ascii="Times New Roman" w:hAnsi="Times New Roman" w:eastAsia="宋体" w:cs="Times New Roman"/>
                <w:szCs w:val="21"/>
                <w:highlight w:val="none"/>
              </w:rPr>
              <w:t>地    址：四川省成都市一环路西二段32号</w:t>
            </w:r>
          </w:p>
          <w:p w14:paraId="10E34F3B">
            <w:pPr>
              <w:rPr>
                <w:rFonts w:ascii="Times New Roman" w:hAnsi="Times New Roman" w:eastAsia="宋体" w:cs="Times New Roman"/>
                <w:szCs w:val="21"/>
                <w:highlight w:val="none"/>
              </w:rPr>
            </w:pPr>
            <w:r>
              <w:rPr>
                <w:rFonts w:ascii="Times New Roman" w:hAnsi="Times New Roman" w:eastAsia="宋体" w:cs="Times New Roman"/>
                <w:szCs w:val="21"/>
                <w:highlight w:val="none"/>
              </w:rPr>
              <w:t>开户银行：建设银行成都青羊支行</w:t>
            </w:r>
          </w:p>
          <w:p w14:paraId="32276B78">
            <w:pPr>
              <w:rPr>
                <w:rFonts w:ascii="Times New Roman" w:hAnsi="Times New Roman" w:eastAsia="宋体" w:cs="Times New Roman"/>
                <w:szCs w:val="21"/>
                <w:highlight w:val="none"/>
              </w:rPr>
            </w:pPr>
            <w:r>
              <w:rPr>
                <w:rFonts w:ascii="Times New Roman" w:hAnsi="Times New Roman" w:eastAsia="宋体" w:cs="Times New Roman"/>
                <w:szCs w:val="21"/>
                <w:highlight w:val="none"/>
              </w:rPr>
              <w:t>账号：5100 1446 4360 5037 4282</w:t>
            </w:r>
          </w:p>
        </w:tc>
        <w:tc>
          <w:tcPr>
            <w:tcW w:w="5247" w:type="dxa"/>
          </w:tcPr>
          <w:p w14:paraId="4E27744B">
            <w:pPr>
              <w:rPr>
                <w:rFonts w:ascii="Times New Roman" w:hAnsi="Times New Roman" w:eastAsia="宋体" w:cs="Times New Roman"/>
                <w:szCs w:val="21"/>
                <w:highlight w:val="none"/>
              </w:rPr>
            </w:pPr>
            <w:r>
              <w:rPr>
                <w:rFonts w:ascii="Times New Roman" w:hAnsi="Times New Roman" w:eastAsia="宋体" w:cs="Times New Roman"/>
                <w:szCs w:val="21"/>
                <w:highlight w:val="none"/>
              </w:rPr>
              <w:t>乙方：</w:t>
            </w:r>
            <w:permStart w:id="2" w:edGrp="everyone"/>
            <w:r>
              <w:rPr>
                <w:rFonts w:ascii="Times New Roman" w:hAnsi="Times New Roman" w:eastAsia="宋体" w:cs="Times New Roman"/>
                <w:szCs w:val="21"/>
                <w:highlight w:val="none"/>
              </w:rPr>
              <w:t>***</w:t>
            </w:r>
            <w:permEnd w:id="2"/>
            <w:r>
              <w:rPr>
                <w:rFonts w:ascii="Times New Roman" w:hAnsi="Times New Roman" w:eastAsia="宋体" w:cs="Times New Roman"/>
                <w:szCs w:val="21"/>
                <w:highlight w:val="none"/>
              </w:rPr>
              <w:t>（盖章）</w:t>
            </w:r>
          </w:p>
          <w:p w14:paraId="43D24785">
            <w:pPr>
              <w:rPr>
                <w:rFonts w:ascii="Times New Roman" w:hAnsi="Times New Roman" w:eastAsia="宋体" w:cs="Times New Roman"/>
                <w:szCs w:val="21"/>
                <w:highlight w:val="none"/>
              </w:rPr>
            </w:pPr>
            <w:r>
              <w:rPr>
                <w:rFonts w:ascii="Times New Roman" w:hAnsi="Times New Roman" w:eastAsia="宋体" w:cs="Times New Roman"/>
                <w:szCs w:val="21"/>
                <w:highlight w:val="none"/>
              </w:rPr>
              <w:t>法定代表人（授权代表签字）：</w:t>
            </w:r>
          </w:p>
          <w:p w14:paraId="7704219F">
            <w:pPr>
              <w:rPr>
                <w:rFonts w:ascii="Times New Roman" w:hAnsi="Times New Roman" w:eastAsia="宋体" w:cs="Times New Roman"/>
                <w:szCs w:val="21"/>
                <w:highlight w:val="none"/>
              </w:rPr>
            </w:pPr>
            <w:r>
              <w:rPr>
                <w:rFonts w:ascii="Times New Roman" w:hAnsi="Times New Roman" w:eastAsia="宋体" w:cs="Times New Roman"/>
                <w:szCs w:val="21"/>
                <w:highlight w:val="none"/>
              </w:rPr>
              <w:t>地址：</w:t>
            </w:r>
            <w:permStart w:id="3" w:edGrp="everyone"/>
            <w:r>
              <w:rPr>
                <w:rFonts w:ascii="Times New Roman" w:hAnsi="Times New Roman" w:eastAsia="宋体" w:cs="Times New Roman"/>
                <w:szCs w:val="21"/>
                <w:highlight w:val="none"/>
              </w:rPr>
              <w:t>***</w:t>
            </w:r>
            <w:permEnd w:id="3"/>
          </w:p>
          <w:p w14:paraId="1CE49F98">
            <w:pPr>
              <w:rPr>
                <w:rFonts w:ascii="Times New Roman" w:hAnsi="Times New Roman" w:eastAsia="宋体" w:cs="Times New Roman"/>
                <w:szCs w:val="21"/>
                <w:highlight w:val="none"/>
              </w:rPr>
            </w:pPr>
            <w:r>
              <w:rPr>
                <w:rFonts w:ascii="Times New Roman" w:hAnsi="Times New Roman" w:eastAsia="宋体" w:cs="Times New Roman"/>
                <w:szCs w:val="21"/>
                <w:highlight w:val="none"/>
              </w:rPr>
              <w:t>开户银行：</w:t>
            </w:r>
            <w:permStart w:id="4" w:edGrp="everyone"/>
            <w:r>
              <w:rPr>
                <w:rFonts w:ascii="Times New Roman" w:hAnsi="Times New Roman" w:eastAsia="宋体" w:cs="Times New Roman"/>
                <w:szCs w:val="21"/>
                <w:highlight w:val="none"/>
              </w:rPr>
              <w:t>***</w:t>
            </w:r>
          </w:p>
          <w:permEnd w:id="4"/>
          <w:p w14:paraId="58DF1FB9">
            <w:pPr>
              <w:widowControl/>
              <w:jc w:val="left"/>
              <w:rPr>
                <w:rFonts w:ascii="Times New Roman" w:hAnsi="Times New Roman" w:eastAsia="宋体" w:cs="Times New Roman"/>
                <w:szCs w:val="20"/>
                <w:highlight w:val="none"/>
              </w:rPr>
            </w:pPr>
            <w:r>
              <w:rPr>
                <w:rFonts w:ascii="Times New Roman" w:hAnsi="Times New Roman" w:eastAsia="宋体" w:cs="Times New Roman"/>
                <w:szCs w:val="21"/>
                <w:highlight w:val="none"/>
              </w:rPr>
              <w:t>账号：</w:t>
            </w:r>
            <w:permStart w:id="5" w:edGrp="everyone"/>
            <w:r>
              <w:rPr>
                <w:rFonts w:ascii="Times New Roman" w:hAnsi="Times New Roman" w:eastAsia="宋体" w:cs="Times New Roman"/>
                <w:szCs w:val="21"/>
                <w:highlight w:val="none"/>
              </w:rPr>
              <w:t>***</w:t>
            </w:r>
            <w:permEnd w:id="5"/>
          </w:p>
        </w:tc>
      </w:tr>
    </w:tbl>
    <w:p w14:paraId="123C16AE">
      <w:pP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br w:type="page"/>
      </w:r>
    </w:p>
    <w:p w14:paraId="0B370006">
      <w:pPr>
        <w:widowControl/>
        <w:jc w:val="left"/>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附件</w:t>
      </w:r>
      <w:r>
        <w:rPr>
          <w:rFonts w:hint="eastAsia" w:ascii="Times New Roman" w:hAnsi="Times New Roman" w:eastAsia="宋体" w:cs="Times New Roman"/>
          <w:b/>
          <w:bCs/>
          <w:szCs w:val="21"/>
          <w:highlight w:val="none"/>
        </w:rPr>
        <w:t>1</w:t>
      </w:r>
      <w:r>
        <w:rPr>
          <w:rFonts w:ascii="Times New Roman" w:hAnsi="Times New Roman" w:eastAsia="宋体" w:cs="Times New Roman"/>
          <w:b/>
          <w:bCs/>
          <w:szCs w:val="21"/>
          <w:highlight w:val="none"/>
        </w:rPr>
        <w:t>：</w:t>
      </w:r>
      <w:r>
        <w:rPr>
          <w:rFonts w:hint="eastAsia" w:ascii="Times New Roman" w:hAnsi="Times New Roman" w:eastAsia="宋体" w:cs="Times New Roman"/>
          <w:b/>
          <w:bCs/>
          <w:szCs w:val="21"/>
          <w:highlight w:val="none"/>
        </w:rPr>
        <w:t>结算单价清单（人民币：元）</w:t>
      </w:r>
      <w:r>
        <w:rPr>
          <w:rFonts w:hint="eastAsia" w:ascii="Times New Roman" w:hAnsi="Times New Roman" w:eastAsia="宋体" w:cs="Times New Roman"/>
          <w:b/>
          <w:bCs/>
          <w:i/>
          <w:iCs/>
          <w:szCs w:val="21"/>
          <w:highlight w:val="none"/>
        </w:rPr>
        <w:t>&lt;根据项目实际情况编制</w:t>
      </w:r>
      <w:r>
        <w:rPr>
          <w:rFonts w:ascii="Times New Roman" w:hAnsi="Times New Roman" w:eastAsia="宋体" w:cs="Times New Roman"/>
          <w:b/>
          <w:bCs/>
          <w:i/>
          <w:iCs/>
          <w:szCs w:val="21"/>
          <w:highlight w:val="none"/>
        </w:rPr>
        <w:t>&gt;</w:t>
      </w:r>
    </w:p>
    <w:p w14:paraId="3A78B44D">
      <w:pPr>
        <w:widowControl/>
        <w:jc w:val="left"/>
        <w:rPr>
          <w:rFonts w:ascii="Times New Roman" w:hAnsi="Times New Roman" w:eastAsia="宋体" w:cs="Times New Roman"/>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6173B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84A5C0A">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序号</w:t>
            </w:r>
          </w:p>
        </w:tc>
        <w:tc>
          <w:tcPr>
            <w:tcW w:w="3686" w:type="dxa"/>
            <w:vAlign w:val="center"/>
          </w:tcPr>
          <w:p w14:paraId="184664B2">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结算项目名称</w:t>
            </w:r>
          </w:p>
        </w:tc>
        <w:tc>
          <w:tcPr>
            <w:tcW w:w="3402" w:type="dxa"/>
            <w:vAlign w:val="center"/>
          </w:tcPr>
          <w:p w14:paraId="7C8A7D7B">
            <w:pPr>
              <w:widowControl/>
              <w:jc w:val="center"/>
              <w:rPr>
                <w:rFonts w:ascii="Times New Roman" w:hAnsi="Times New Roman" w:eastAsia="宋体" w:cs="Times New Roman"/>
                <w:b/>
                <w:bCs/>
                <w:i/>
                <w:iCs/>
                <w:szCs w:val="21"/>
                <w:highlight w:val="none"/>
              </w:rPr>
            </w:pPr>
            <w:r>
              <w:rPr>
                <w:rFonts w:hint="eastAsia" w:ascii="Times New Roman" w:hAnsi="Times New Roman" w:eastAsia="宋体" w:cs="Times New Roman"/>
                <w:b/>
                <w:bCs/>
                <w:szCs w:val="21"/>
                <w:highlight w:val="none"/>
              </w:rPr>
              <w:t>项目信息</w:t>
            </w:r>
            <w:r>
              <w:rPr>
                <w:rFonts w:hint="eastAsia" w:ascii="Times New Roman" w:hAnsi="Times New Roman" w:eastAsia="宋体" w:cs="Times New Roman"/>
                <w:b/>
                <w:bCs/>
                <w:i/>
                <w:iCs/>
                <w:szCs w:val="21"/>
                <w:highlight w:val="none"/>
              </w:rPr>
              <w:t>&lt;生产厂商、品牌、型号规格等</w:t>
            </w:r>
            <w:r>
              <w:rPr>
                <w:rFonts w:ascii="Times New Roman" w:hAnsi="Times New Roman" w:eastAsia="宋体" w:cs="Times New Roman"/>
                <w:b/>
                <w:bCs/>
                <w:i/>
                <w:iCs/>
                <w:szCs w:val="21"/>
                <w:highlight w:val="none"/>
              </w:rPr>
              <w:t>&gt;</w:t>
            </w:r>
          </w:p>
        </w:tc>
        <w:tc>
          <w:tcPr>
            <w:tcW w:w="992" w:type="dxa"/>
            <w:vAlign w:val="center"/>
          </w:tcPr>
          <w:p w14:paraId="4CADD0FB">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结算单位</w:t>
            </w:r>
            <w:r>
              <w:rPr>
                <w:rFonts w:hint="eastAsia" w:ascii="Times New Roman" w:hAnsi="Times New Roman" w:eastAsia="宋体" w:cs="Times New Roman"/>
                <w:b/>
                <w:bCs/>
                <w:i/>
                <w:iCs/>
                <w:szCs w:val="21"/>
                <w:highlight w:val="none"/>
              </w:rPr>
              <w:t>&lt;指货物的单位</w:t>
            </w:r>
            <w:r>
              <w:rPr>
                <w:rFonts w:ascii="Times New Roman" w:hAnsi="Times New Roman" w:eastAsia="宋体" w:cs="Times New Roman"/>
                <w:b/>
                <w:bCs/>
                <w:i/>
                <w:iCs/>
                <w:szCs w:val="21"/>
                <w:highlight w:val="none"/>
              </w:rPr>
              <w:t>&gt;</w:t>
            </w:r>
          </w:p>
        </w:tc>
        <w:tc>
          <w:tcPr>
            <w:tcW w:w="986" w:type="dxa"/>
            <w:vAlign w:val="center"/>
          </w:tcPr>
          <w:p w14:paraId="13CB01C1">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结算单价</w:t>
            </w:r>
          </w:p>
        </w:tc>
      </w:tr>
      <w:tr w14:paraId="4DAAA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7D75D96">
            <w:pPr>
              <w:widowControl/>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p>
        </w:tc>
        <w:tc>
          <w:tcPr>
            <w:tcW w:w="3686" w:type="dxa"/>
            <w:vAlign w:val="center"/>
          </w:tcPr>
          <w:p w14:paraId="15580C90">
            <w:pPr>
              <w:widowControl/>
              <w:jc w:val="left"/>
              <w:rPr>
                <w:rFonts w:ascii="Times New Roman" w:hAnsi="Times New Roman" w:eastAsia="宋体" w:cs="Times New Roman"/>
                <w:szCs w:val="21"/>
                <w:highlight w:val="none"/>
              </w:rPr>
            </w:pPr>
          </w:p>
        </w:tc>
        <w:tc>
          <w:tcPr>
            <w:tcW w:w="3402" w:type="dxa"/>
            <w:vAlign w:val="center"/>
          </w:tcPr>
          <w:p w14:paraId="7436FFF4">
            <w:pPr>
              <w:widowControl/>
              <w:jc w:val="left"/>
              <w:rPr>
                <w:rFonts w:ascii="Times New Roman" w:hAnsi="Times New Roman" w:eastAsia="宋体" w:cs="Times New Roman"/>
                <w:szCs w:val="21"/>
                <w:highlight w:val="none"/>
              </w:rPr>
            </w:pPr>
          </w:p>
        </w:tc>
        <w:tc>
          <w:tcPr>
            <w:tcW w:w="992" w:type="dxa"/>
            <w:vAlign w:val="center"/>
          </w:tcPr>
          <w:p w14:paraId="359DF90F">
            <w:pPr>
              <w:widowControl/>
              <w:jc w:val="center"/>
              <w:rPr>
                <w:rFonts w:ascii="Times New Roman" w:hAnsi="Times New Roman" w:eastAsia="宋体" w:cs="Times New Roman"/>
                <w:szCs w:val="21"/>
                <w:highlight w:val="none"/>
              </w:rPr>
            </w:pPr>
          </w:p>
        </w:tc>
        <w:tc>
          <w:tcPr>
            <w:tcW w:w="986" w:type="dxa"/>
            <w:vAlign w:val="center"/>
          </w:tcPr>
          <w:p w14:paraId="77DFB39D">
            <w:pPr>
              <w:widowControl/>
              <w:jc w:val="center"/>
              <w:rPr>
                <w:rFonts w:ascii="Times New Roman" w:hAnsi="Times New Roman" w:eastAsia="宋体" w:cs="Times New Roman"/>
                <w:szCs w:val="21"/>
                <w:highlight w:val="none"/>
              </w:rPr>
            </w:pPr>
          </w:p>
        </w:tc>
      </w:tr>
      <w:tr w14:paraId="2608B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1C8B8A">
            <w:pPr>
              <w:widowControl/>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2</w:t>
            </w:r>
          </w:p>
        </w:tc>
        <w:tc>
          <w:tcPr>
            <w:tcW w:w="3686" w:type="dxa"/>
            <w:vAlign w:val="center"/>
          </w:tcPr>
          <w:p w14:paraId="67645F15">
            <w:pPr>
              <w:widowControl/>
              <w:jc w:val="left"/>
              <w:rPr>
                <w:rFonts w:ascii="Times New Roman" w:hAnsi="Times New Roman" w:eastAsia="宋体" w:cs="Times New Roman"/>
                <w:szCs w:val="21"/>
                <w:highlight w:val="none"/>
              </w:rPr>
            </w:pPr>
          </w:p>
        </w:tc>
        <w:tc>
          <w:tcPr>
            <w:tcW w:w="3402" w:type="dxa"/>
            <w:vAlign w:val="center"/>
          </w:tcPr>
          <w:p w14:paraId="1C841453">
            <w:pPr>
              <w:widowControl/>
              <w:jc w:val="left"/>
              <w:rPr>
                <w:rFonts w:ascii="Times New Roman" w:hAnsi="Times New Roman" w:eastAsia="宋体" w:cs="Times New Roman"/>
                <w:szCs w:val="21"/>
                <w:highlight w:val="none"/>
              </w:rPr>
            </w:pPr>
          </w:p>
        </w:tc>
        <w:tc>
          <w:tcPr>
            <w:tcW w:w="992" w:type="dxa"/>
            <w:vAlign w:val="center"/>
          </w:tcPr>
          <w:p w14:paraId="0B031FC8">
            <w:pPr>
              <w:widowControl/>
              <w:jc w:val="center"/>
              <w:rPr>
                <w:rFonts w:ascii="Times New Roman" w:hAnsi="Times New Roman" w:eastAsia="宋体" w:cs="Times New Roman"/>
                <w:szCs w:val="21"/>
                <w:highlight w:val="none"/>
              </w:rPr>
            </w:pPr>
          </w:p>
        </w:tc>
        <w:tc>
          <w:tcPr>
            <w:tcW w:w="986" w:type="dxa"/>
            <w:vAlign w:val="center"/>
          </w:tcPr>
          <w:p w14:paraId="598D1AA4">
            <w:pPr>
              <w:widowControl/>
              <w:jc w:val="center"/>
              <w:rPr>
                <w:rFonts w:ascii="Times New Roman" w:hAnsi="Times New Roman" w:eastAsia="宋体" w:cs="Times New Roman"/>
                <w:szCs w:val="21"/>
                <w:highlight w:val="none"/>
              </w:rPr>
            </w:pPr>
          </w:p>
        </w:tc>
      </w:tr>
      <w:tr w14:paraId="4D063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21A496B">
            <w:pPr>
              <w:widowControl/>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w:t>
            </w:r>
          </w:p>
        </w:tc>
        <w:tc>
          <w:tcPr>
            <w:tcW w:w="3686" w:type="dxa"/>
            <w:vAlign w:val="center"/>
          </w:tcPr>
          <w:p w14:paraId="63C9848B">
            <w:pPr>
              <w:widowControl/>
              <w:jc w:val="left"/>
              <w:rPr>
                <w:rFonts w:ascii="Times New Roman" w:hAnsi="Times New Roman" w:eastAsia="宋体" w:cs="Times New Roman"/>
                <w:szCs w:val="21"/>
                <w:highlight w:val="none"/>
              </w:rPr>
            </w:pPr>
          </w:p>
        </w:tc>
        <w:tc>
          <w:tcPr>
            <w:tcW w:w="3402" w:type="dxa"/>
            <w:vAlign w:val="center"/>
          </w:tcPr>
          <w:p w14:paraId="15B152BC">
            <w:pPr>
              <w:widowControl/>
              <w:jc w:val="left"/>
              <w:rPr>
                <w:rFonts w:ascii="Times New Roman" w:hAnsi="Times New Roman" w:eastAsia="宋体" w:cs="Times New Roman"/>
                <w:szCs w:val="21"/>
                <w:highlight w:val="none"/>
              </w:rPr>
            </w:pPr>
          </w:p>
        </w:tc>
        <w:tc>
          <w:tcPr>
            <w:tcW w:w="992" w:type="dxa"/>
            <w:vAlign w:val="center"/>
          </w:tcPr>
          <w:p w14:paraId="5A3B993E">
            <w:pPr>
              <w:widowControl/>
              <w:jc w:val="center"/>
              <w:rPr>
                <w:rFonts w:ascii="Times New Roman" w:hAnsi="Times New Roman" w:eastAsia="宋体" w:cs="Times New Roman"/>
                <w:szCs w:val="21"/>
                <w:highlight w:val="none"/>
              </w:rPr>
            </w:pPr>
          </w:p>
        </w:tc>
        <w:tc>
          <w:tcPr>
            <w:tcW w:w="986" w:type="dxa"/>
            <w:vAlign w:val="center"/>
          </w:tcPr>
          <w:p w14:paraId="042861C6">
            <w:pPr>
              <w:widowControl/>
              <w:jc w:val="center"/>
              <w:rPr>
                <w:rFonts w:ascii="Times New Roman" w:hAnsi="Times New Roman" w:eastAsia="宋体" w:cs="Times New Roman"/>
                <w:szCs w:val="21"/>
                <w:highlight w:val="none"/>
              </w:rPr>
            </w:pPr>
          </w:p>
        </w:tc>
      </w:tr>
    </w:tbl>
    <w:p w14:paraId="19658591">
      <w:pPr>
        <w:rPr>
          <w:rFonts w:hint="eastAsia" w:ascii="宋体" w:hAnsi="宋体" w:eastAsia="宋体" w:cs="Times New Roman"/>
          <w:b/>
          <w:bCs/>
          <w:szCs w:val="21"/>
          <w:highlight w:val="none"/>
        </w:rPr>
      </w:pPr>
      <w:r>
        <w:rPr>
          <w:rFonts w:hint="eastAsia" w:ascii="宋体" w:hAnsi="宋体" w:eastAsia="宋体" w:cs="Times New Roman"/>
          <w:b/>
          <w:bCs/>
          <w:szCs w:val="21"/>
          <w:highlight w:val="none"/>
        </w:rPr>
        <w:br w:type="page"/>
      </w:r>
    </w:p>
    <w:p w14:paraId="6A9BD981">
      <w:pPr>
        <w:widowControl/>
        <w:jc w:val="left"/>
        <w:rPr>
          <w:rFonts w:ascii="宋体" w:hAnsi="宋体" w:eastAsia="宋体" w:cs="Times New Roman"/>
          <w:b/>
          <w:bCs/>
          <w:szCs w:val="21"/>
          <w:highlight w:val="none"/>
        </w:rPr>
      </w:pPr>
      <w:r>
        <w:rPr>
          <w:rFonts w:hint="eastAsia" w:ascii="宋体" w:hAnsi="宋体" w:eastAsia="宋体" w:cs="Times New Roman"/>
          <w:b/>
          <w:bCs/>
          <w:szCs w:val="21"/>
          <w:highlight w:val="none"/>
        </w:rPr>
        <w:t>附件2：考核标准</w:t>
      </w:r>
    </w:p>
    <w:p w14:paraId="1C4818E2">
      <w:pPr>
        <w:rPr>
          <w:rFonts w:ascii="Times New Roman" w:hAnsi="Times New Roman" w:eastAsia="宋体" w:cs="Times New Roman"/>
          <w:szCs w:val="20"/>
          <w:highlight w:val="none"/>
        </w:rPr>
      </w:pPr>
    </w:p>
    <w:p w14:paraId="6D733B7F">
      <w:pPr>
        <w:rPr>
          <w:rFonts w:ascii="Times New Roman" w:hAnsi="Times New Roman" w:eastAsia="宋体" w:cs="Times New Roman"/>
          <w:szCs w:val="20"/>
          <w:highlight w:val="none"/>
        </w:rPr>
      </w:pPr>
      <w:r>
        <w:rPr>
          <w:rFonts w:hint="eastAsia" w:ascii="Times New Roman" w:hAnsi="Times New Roman" w:eastAsia="宋体" w:cs="Times New Roman"/>
          <w:szCs w:val="20"/>
          <w:highlight w:val="none"/>
        </w:rPr>
        <w:t>*</w:t>
      </w:r>
      <w:r>
        <w:rPr>
          <w:rFonts w:ascii="Times New Roman" w:hAnsi="Times New Roman" w:eastAsia="宋体" w:cs="Times New Roman"/>
          <w:szCs w:val="20"/>
          <w:highlight w:val="none"/>
        </w:rPr>
        <w:t>**</w:t>
      </w:r>
    </w:p>
    <w:p w14:paraId="048ABA59">
      <w:pPr>
        <w:rPr>
          <w:rFonts w:ascii="Times New Roman" w:hAnsi="Times New Roman" w:eastAsia="宋体" w:cs="Times New Roman"/>
          <w:szCs w:val="20"/>
          <w:highlight w:val="none"/>
        </w:rPr>
      </w:pPr>
      <w:r>
        <w:rPr>
          <w:rFonts w:ascii="Times New Roman" w:hAnsi="Times New Roman" w:eastAsia="宋体" w:cs="Times New Roman"/>
          <w:szCs w:val="20"/>
          <w:highlight w:val="none"/>
        </w:rPr>
        <w:br w:type="page"/>
      </w:r>
    </w:p>
    <w:p w14:paraId="24221DE2">
      <w:pPr>
        <w:rPr>
          <w:rFonts w:ascii="宋体" w:hAnsi="宋体" w:eastAsia="宋体" w:cs="Times New Roman"/>
          <w:b/>
          <w:bCs/>
          <w:szCs w:val="21"/>
          <w:highlight w:val="none"/>
        </w:rPr>
      </w:pPr>
      <w:r>
        <w:rPr>
          <w:rFonts w:hint="eastAsia" w:ascii="宋体" w:hAnsi="宋体" w:eastAsia="宋体" w:cs="Times New Roman"/>
          <w:b/>
          <w:bCs/>
          <w:szCs w:val="21"/>
          <w:highlight w:val="none"/>
        </w:rPr>
        <w:t>附件</w:t>
      </w:r>
      <w:r>
        <w:rPr>
          <w:rFonts w:ascii="宋体" w:hAnsi="宋体" w:eastAsia="宋体" w:cs="Times New Roman"/>
          <w:b/>
          <w:bCs/>
          <w:szCs w:val="21"/>
          <w:highlight w:val="none"/>
        </w:rPr>
        <w:t>3</w:t>
      </w:r>
      <w:r>
        <w:rPr>
          <w:rFonts w:hint="eastAsia" w:ascii="宋体" w:hAnsi="宋体" w:eastAsia="宋体" w:cs="Times New Roman"/>
          <w:b/>
          <w:bCs/>
          <w:szCs w:val="21"/>
          <w:highlight w:val="none"/>
        </w:rPr>
        <w:t>：</w:t>
      </w:r>
      <w:r>
        <w:rPr>
          <w:rFonts w:ascii="宋体" w:hAnsi="宋体" w:eastAsia="宋体" w:cs="Times New Roman"/>
          <w:b/>
          <w:bCs/>
          <w:szCs w:val="21"/>
          <w:highlight w:val="none"/>
        </w:rPr>
        <w:t>服务</w:t>
      </w:r>
      <w:r>
        <w:rPr>
          <w:rFonts w:hint="eastAsia" w:ascii="宋体" w:hAnsi="宋体" w:eastAsia="宋体" w:cs="Times New Roman"/>
          <w:b/>
          <w:bCs/>
          <w:szCs w:val="21"/>
          <w:highlight w:val="none"/>
        </w:rPr>
        <w:t>方案</w:t>
      </w:r>
    </w:p>
    <w:p w14:paraId="11725DD0">
      <w:pPr>
        <w:rPr>
          <w:rFonts w:ascii="Times New Roman" w:hAnsi="Times New Roman" w:eastAsia="宋体" w:cs="Times New Roman"/>
          <w:szCs w:val="20"/>
          <w:highlight w:val="none"/>
        </w:rPr>
      </w:pPr>
    </w:p>
    <w:p w14:paraId="6799168E">
      <w:pPr>
        <w:rPr>
          <w:rFonts w:ascii="Times New Roman" w:hAnsi="Times New Roman" w:eastAsia="宋体" w:cs="Times New Roman"/>
          <w:szCs w:val="20"/>
          <w:highlight w:val="none"/>
        </w:rPr>
      </w:pPr>
      <w:r>
        <w:rPr>
          <w:rFonts w:hint="eastAsia" w:ascii="Times New Roman" w:hAnsi="Times New Roman" w:eastAsia="宋体" w:cs="Times New Roman"/>
          <w:szCs w:val="20"/>
          <w:highlight w:val="none"/>
        </w:rPr>
        <w:t>*</w:t>
      </w:r>
      <w:r>
        <w:rPr>
          <w:rFonts w:ascii="Times New Roman" w:hAnsi="Times New Roman" w:eastAsia="宋体" w:cs="Times New Roman"/>
          <w:szCs w:val="20"/>
          <w:highlight w:val="none"/>
        </w:rPr>
        <w:t>**</w:t>
      </w:r>
    </w:p>
    <w:p w14:paraId="4203A9E4">
      <w:pPr>
        <w:rPr>
          <w:rFonts w:ascii="Times New Roman" w:hAnsi="Times New Roman" w:eastAsia="宋体" w:cs="Times New Roman"/>
          <w:szCs w:val="20"/>
          <w:highlight w:val="none"/>
        </w:rPr>
      </w:pPr>
    </w:p>
    <w:p w14:paraId="0D8553B4">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hint="eastAsia" w:ascii="Times New Roman" w:hAnsi="Times New Roman" w:eastAsia="仿宋" w:cs="Times New Roman"/>
          <w:sz w:val="28"/>
          <w:szCs w:val="28"/>
          <w:lang w:eastAsia="zh-CN"/>
        </w:rPr>
      </w:pPr>
      <w:r>
        <w:rPr>
          <w:rFonts w:ascii="Times New Roman" w:hAnsi="Times New Roman" w:eastAsia="仿宋" w:cs="Times New Roman"/>
          <w:sz w:val="28"/>
          <w:szCs w:val="28"/>
        </w:rPr>
        <w:t>甲方：</w:t>
      </w:r>
      <w:r>
        <w:rPr>
          <w:rFonts w:hint="eastAsia" w:ascii="Times New Roman" w:hAnsi="Times New Roman" w:eastAsia="仿宋" w:cs="Times New Roman"/>
          <w:sz w:val="28"/>
          <w:szCs w:val="28"/>
          <w:lang w:eastAsia="zh-CN"/>
        </w:rPr>
        <w:t>四川省精神医学中心</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w:t>
      </w:r>
      <w:r>
        <w:rPr>
          <w:rFonts w:hint="eastAsia" w:ascii="Times New Roman" w:hAnsi="Times New Roman" w:eastAsia="仿宋" w:cs="Times New Roman"/>
          <w:sz w:val="28"/>
          <w:szCs w:val="28"/>
          <w:lang w:eastAsia="zh-CN"/>
        </w:rPr>
        <w:t>四川省精神医学中心（</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4B8EAC1-2B3B-480C-B08E-A3F26F2C5B3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3A96787-A971-4221-AFE4-0E1D626FA29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814370E8-2EB8-4CA9-9193-2BCB75D8DA5D}"/>
  </w:font>
  <w:font w:name="仿宋">
    <w:panose1 w:val="02010609060101010101"/>
    <w:charset w:val="86"/>
    <w:family w:val="modern"/>
    <w:pitch w:val="default"/>
    <w:sig w:usb0="800002BF" w:usb1="38CF7CFA" w:usb2="00000016" w:usb3="00000000" w:csb0="00040001" w:csb1="00000000"/>
    <w:embedRegular r:id="rId4" w:fontKey="{957CE6F3-1508-41C8-9F59-A829E68E6B4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5" w:fontKey="{A21691C7-F245-4E38-8E34-AA19A2A7E8AC}"/>
  </w:font>
  <w:font w:name="Segoe UI Symbol">
    <w:panose1 w:val="020B0502040204020203"/>
    <w:charset w:val="00"/>
    <w:family w:val="swiss"/>
    <w:pitch w:val="default"/>
    <w:sig w:usb0="800001E3" w:usb1="1200FFEF" w:usb2="00040000" w:usb3="04000000" w:csb0="00000001" w:csb1="40000000"/>
    <w:embedRegular r:id="rId6" w:fontKey="{2C808CC5-4931-4289-A690-FB019F9E2B04}"/>
  </w:font>
  <w:font w:name="Wingdings 2">
    <w:altName w:val="Wingdings"/>
    <w:panose1 w:val="05020102010507070707"/>
    <w:charset w:val="4D"/>
    <w:family w:val="decorative"/>
    <w:pitch w:val="default"/>
    <w:sig w:usb0="00000000" w:usb1="00000000" w:usb2="00000000" w:usb3="00000000" w:csb0="80000001" w:csb1="00000000"/>
    <w:embedRegular r:id="rId7" w:fontKey="{202D6A91-EEA6-42D9-ADB7-4DFD5631380D}"/>
  </w:font>
  <w:font w:name="微软雅黑">
    <w:panose1 w:val="020B0503020204020204"/>
    <w:charset w:val="86"/>
    <w:family w:val="auto"/>
    <w:pitch w:val="default"/>
    <w:sig w:usb0="80000287" w:usb1="2ACF3C50" w:usb2="00000016" w:usb3="00000000" w:csb0="0004001F" w:csb1="00000000"/>
    <w:embedRegular r:id="rId8" w:fontKey="{1ECB00A4-24A8-44A9-856F-46645249E9FF}"/>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D44007">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DD44007">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46</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87402D"/>
    <w:rsid w:val="01A1683A"/>
    <w:rsid w:val="01AC5842"/>
    <w:rsid w:val="01D50A7C"/>
    <w:rsid w:val="01EA636A"/>
    <w:rsid w:val="01FF7230"/>
    <w:rsid w:val="023C235A"/>
    <w:rsid w:val="024C0DD3"/>
    <w:rsid w:val="028E13EB"/>
    <w:rsid w:val="038A150C"/>
    <w:rsid w:val="03AC1F79"/>
    <w:rsid w:val="03BB6210"/>
    <w:rsid w:val="03BE2679"/>
    <w:rsid w:val="03D1158F"/>
    <w:rsid w:val="03D13D53"/>
    <w:rsid w:val="03FD7AD1"/>
    <w:rsid w:val="041F679F"/>
    <w:rsid w:val="048E715A"/>
    <w:rsid w:val="049531C8"/>
    <w:rsid w:val="04BC1856"/>
    <w:rsid w:val="058C78B0"/>
    <w:rsid w:val="05E13064"/>
    <w:rsid w:val="05E51322"/>
    <w:rsid w:val="05FD48BE"/>
    <w:rsid w:val="06897EFF"/>
    <w:rsid w:val="078A573C"/>
    <w:rsid w:val="07A11004"/>
    <w:rsid w:val="0802440D"/>
    <w:rsid w:val="082425D6"/>
    <w:rsid w:val="083251D0"/>
    <w:rsid w:val="08326375"/>
    <w:rsid w:val="0837398B"/>
    <w:rsid w:val="083A1BBD"/>
    <w:rsid w:val="08745B19"/>
    <w:rsid w:val="08EE39BE"/>
    <w:rsid w:val="093A3733"/>
    <w:rsid w:val="0A220AAD"/>
    <w:rsid w:val="0A5151D8"/>
    <w:rsid w:val="0A726EFC"/>
    <w:rsid w:val="0B4508AE"/>
    <w:rsid w:val="0BD22349"/>
    <w:rsid w:val="0C120997"/>
    <w:rsid w:val="0C774C9E"/>
    <w:rsid w:val="0C965124"/>
    <w:rsid w:val="0CAE6912"/>
    <w:rsid w:val="0CF161C9"/>
    <w:rsid w:val="0D26294C"/>
    <w:rsid w:val="0D5C636E"/>
    <w:rsid w:val="0D7D4536"/>
    <w:rsid w:val="0DF742E8"/>
    <w:rsid w:val="0E0B7FF0"/>
    <w:rsid w:val="0E5B6625"/>
    <w:rsid w:val="0EAC189D"/>
    <w:rsid w:val="0F5D2ECD"/>
    <w:rsid w:val="0FC14BAE"/>
    <w:rsid w:val="101A497B"/>
    <w:rsid w:val="10432B4B"/>
    <w:rsid w:val="10A15B58"/>
    <w:rsid w:val="110E1F50"/>
    <w:rsid w:val="117A5014"/>
    <w:rsid w:val="119B7E58"/>
    <w:rsid w:val="12786986"/>
    <w:rsid w:val="127F05A0"/>
    <w:rsid w:val="1299771C"/>
    <w:rsid w:val="12BC165D"/>
    <w:rsid w:val="12D04177"/>
    <w:rsid w:val="130A5001"/>
    <w:rsid w:val="136D78F8"/>
    <w:rsid w:val="13806B2E"/>
    <w:rsid w:val="13AC16D1"/>
    <w:rsid w:val="13F76DF0"/>
    <w:rsid w:val="14221993"/>
    <w:rsid w:val="144B0EEA"/>
    <w:rsid w:val="14A32AD4"/>
    <w:rsid w:val="15567E5A"/>
    <w:rsid w:val="15CC4977"/>
    <w:rsid w:val="16077093"/>
    <w:rsid w:val="162A4F7D"/>
    <w:rsid w:val="1641578F"/>
    <w:rsid w:val="16A82A66"/>
    <w:rsid w:val="16DE614F"/>
    <w:rsid w:val="17233056"/>
    <w:rsid w:val="17826121"/>
    <w:rsid w:val="18316649"/>
    <w:rsid w:val="1844637C"/>
    <w:rsid w:val="185F31B6"/>
    <w:rsid w:val="18733D49"/>
    <w:rsid w:val="18CA54A8"/>
    <w:rsid w:val="18E216F1"/>
    <w:rsid w:val="1954595C"/>
    <w:rsid w:val="1994787E"/>
    <w:rsid w:val="1A82318C"/>
    <w:rsid w:val="1AB1581F"/>
    <w:rsid w:val="1B0B27A2"/>
    <w:rsid w:val="1B531365"/>
    <w:rsid w:val="1B634D6B"/>
    <w:rsid w:val="1B642891"/>
    <w:rsid w:val="1BC9751D"/>
    <w:rsid w:val="1C625023"/>
    <w:rsid w:val="1C746B04"/>
    <w:rsid w:val="1CB3762C"/>
    <w:rsid w:val="1D2642A2"/>
    <w:rsid w:val="1D2821E4"/>
    <w:rsid w:val="1D8C2C2E"/>
    <w:rsid w:val="1DB4365C"/>
    <w:rsid w:val="1DC35F95"/>
    <w:rsid w:val="1DD000AF"/>
    <w:rsid w:val="1E087E4C"/>
    <w:rsid w:val="1E09745A"/>
    <w:rsid w:val="1E0D2131"/>
    <w:rsid w:val="1E114F52"/>
    <w:rsid w:val="1E176351"/>
    <w:rsid w:val="1E5A2645"/>
    <w:rsid w:val="1ECD615C"/>
    <w:rsid w:val="1FE21EC2"/>
    <w:rsid w:val="1FF95C9E"/>
    <w:rsid w:val="208B4554"/>
    <w:rsid w:val="209239FD"/>
    <w:rsid w:val="20CF13CE"/>
    <w:rsid w:val="21037B2A"/>
    <w:rsid w:val="21535882"/>
    <w:rsid w:val="215D225D"/>
    <w:rsid w:val="21B53E47"/>
    <w:rsid w:val="22105252"/>
    <w:rsid w:val="22935D1D"/>
    <w:rsid w:val="23147CF0"/>
    <w:rsid w:val="2393373D"/>
    <w:rsid w:val="23B24AE2"/>
    <w:rsid w:val="23D4489F"/>
    <w:rsid w:val="23D83E1C"/>
    <w:rsid w:val="24184829"/>
    <w:rsid w:val="24466FD8"/>
    <w:rsid w:val="24727DCD"/>
    <w:rsid w:val="25186BC6"/>
    <w:rsid w:val="252B6033"/>
    <w:rsid w:val="25537BFE"/>
    <w:rsid w:val="259A3A7F"/>
    <w:rsid w:val="25F95EEC"/>
    <w:rsid w:val="262001B9"/>
    <w:rsid w:val="264F486A"/>
    <w:rsid w:val="271635BC"/>
    <w:rsid w:val="272730F1"/>
    <w:rsid w:val="27750300"/>
    <w:rsid w:val="27B87AF9"/>
    <w:rsid w:val="27DA0163"/>
    <w:rsid w:val="27E80EA9"/>
    <w:rsid w:val="280414A1"/>
    <w:rsid w:val="28570368"/>
    <w:rsid w:val="2893258F"/>
    <w:rsid w:val="28A27020"/>
    <w:rsid w:val="28E14F1E"/>
    <w:rsid w:val="29C5318E"/>
    <w:rsid w:val="2A142F93"/>
    <w:rsid w:val="2A81391B"/>
    <w:rsid w:val="2B502F98"/>
    <w:rsid w:val="2BE05F64"/>
    <w:rsid w:val="2C9A0A9E"/>
    <w:rsid w:val="2CB72433"/>
    <w:rsid w:val="2D2F2FAF"/>
    <w:rsid w:val="2DA70D65"/>
    <w:rsid w:val="2DBC4548"/>
    <w:rsid w:val="2E3D31FA"/>
    <w:rsid w:val="2E693FEF"/>
    <w:rsid w:val="2E7035CF"/>
    <w:rsid w:val="2E9C2616"/>
    <w:rsid w:val="2F575E37"/>
    <w:rsid w:val="2FEF6776"/>
    <w:rsid w:val="30136908"/>
    <w:rsid w:val="30E31FB7"/>
    <w:rsid w:val="31322DBE"/>
    <w:rsid w:val="314927BD"/>
    <w:rsid w:val="32165D3B"/>
    <w:rsid w:val="325356E2"/>
    <w:rsid w:val="332B5D17"/>
    <w:rsid w:val="333F7A14"/>
    <w:rsid w:val="335D7E9A"/>
    <w:rsid w:val="3427766B"/>
    <w:rsid w:val="343706EB"/>
    <w:rsid w:val="34713BFD"/>
    <w:rsid w:val="34830DA6"/>
    <w:rsid w:val="35154C31"/>
    <w:rsid w:val="351A08D0"/>
    <w:rsid w:val="35805CB0"/>
    <w:rsid w:val="35A26038"/>
    <w:rsid w:val="35A41DB0"/>
    <w:rsid w:val="35BC70FA"/>
    <w:rsid w:val="36237179"/>
    <w:rsid w:val="36334CE5"/>
    <w:rsid w:val="3701395E"/>
    <w:rsid w:val="37920A5A"/>
    <w:rsid w:val="37BE35FD"/>
    <w:rsid w:val="380A6843"/>
    <w:rsid w:val="382B5F8F"/>
    <w:rsid w:val="38433B03"/>
    <w:rsid w:val="386A108F"/>
    <w:rsid w:val="391E6AEA"/>
    <w:rsid w:val="393671C3"/>
    <w:rsid w:val="39AB2E16"/>
    <w:rsid w:val="3A3F1B1E"/>
    <w:rsid w:val="3A551407"/>
    <w:rsid w:val="3B033C36"/>
    <w:rsid w:val="3B9C7486"/>
    <w:rsid w:val="3BA23236"/>
    <w:rsid w:val="3C333E8E"/>
    <w:rsid w:val="3C384E8C"/>
    <w:rsid w:val="3C8A61A4"/>
    <w:rsid w:val="3CB90F2D"/>
    <w:rsid w:val="3CE05DC4"/>
    <w:rsid w:val="3CEE6201"/>
    <w:rsid w:val="3D385C00"/>
    <w:rsid w:val="3DBF7BA4"/>
    <w:rsid w:val="3DCA4DE4"/>
    <w:rsid w:val="3E57579A"/>
    <w:rsid w:val="3E5D4E8E"/>
    <w:rsid w:val="3EF618CF"/>
    <w:rsid w:val="3FE25336"/>
    <w:rsid w:val="40073668"/>
    <w:rsid w:val="403764C5"/>
    <w:rsid w:val="40866C82"/>
    <w:rsid w:val="40C31C84"/>
    <w:rsid w:val="41076015"/>
    <w:rsid w:val="42075FF8"/>
    <w:rsid w:val="422C3859"/>
    <w:rsid w:val="42842020"/>
    <w:rsid w:val="42876CE2"/>
    <w:rsid w:val="438E06EE"/>
    <w:rsid w:val="44103433"/>
    <w:rsid w:val="44150A49"/>
    <w:rsid w:val="444340B2"/>
    <w:rsid w:val="447E374E"/>
    <w:rsid w:val="44E81B7F"/>
    <w:rsid w:val="4513485D"/>
    <w:rsid w:val="468567BB"/>
    <w:rsid w:val="4734568A"/>
    <w:rsid w:val="476060E7"/>
    <w:rsid w:val="4782487D"/>
    <w:rsid w:val="47B71E17"/>
    <w:rsid w:val="491C4628"/>
    <w:rsid w:val="49995C78"/>
    <w:rsid w:val="49A10689"/>
    <w:rsid w:val="49D56585"/>
    <w:rsid w:val="49FC25C6"/>
    <w:rsid w:val="4A052D2B"/>
    <w:rsid w:val="4A3D2AA8"/>
    <w:rsid w:val="4A475610"/>
    <w:rsid w:val="4A5A7AAC"/>
    <w:rsid w:val="4ABD5996"/>
    <w:rsid w:val="4B31068E"/>
    <w:rsid w:val="4B410375"/>
    <w:rsid w:val="4BA55220"/>
    <w:rsid w:val="4BAD0151"/>
    <w:rsid w:val="4BCA036B"/>
    <w:rsid w:val="4BF453E8"/>
    <w:rsid w:val="4C184E09"/>
    <w:rsid w:val="4C2757BD"/>
    <w:rsid w:val="4C5B5467"/>
    <w:rsid w:val="4C7E73A7"/>
    <w:rsid w:val="4C8F75A2"/>
    <w:rsid w:val="4DAD4403"/>
    <w:rsid w:val="4E0336C0"/>
    <w:rsid w:val="4E6F0D56"/>
    <w:rsid w:val="4E734BC1"/>
    <w:rsid w:val="4E8C008E"/>
    <w:rsid w:val="4E9B1B4B"/>
    <w:rsid w:val="4EA312FE"/>
    <w:rsid w:val="4EDC5ADC"/>
    <w:rsid w:val="4EE002CE"/>
    <w:rsid w:val="4F2002A2"/>
    <w:rsid w:val="4FEF758C"/>
    <w:rsid w:val="501A6E72"/>
    <w:rsid w:val="501C4F0D"/>
    <w:rsid w:val="50201D6B"/>
    <w:rsid w:val="503A2AB3"/>
    <w:rsid w:val="50593A6B"/>
    <w:rsid w:val="50771A9C"/>
    <w:rsid w:val="51AE428B"/>
    <w:rsid w:val="51C47F6D"/>
    <w:rsid w:val="522602C5"/>
    <w:rsid w:val="522E0F28"/>
    <w:rsid w:val="52B256B5"/>
    <w:rsid w:val="52FB52AE"/>
    <w:rsid w:val="53C03E02"/>
    <w:rsid w:val="54063F0A"/>
    <w:rsid w:val="54065CB8"/>
    <w:rsid w:val="5455382C"/>
    <w:rsid w:val="54603722"/>
    <w:rsid w:val="547F7727"/>
    <w:rsid w:val="54A84FC1"/>
    <w:rsid w:val="55342CF9"/>
    <w:rsid w:val="554674F7"/>
    <w:rsid w:val="560662B2"/>
    <w:rsid w:val="589C07F4"/>
    <w:rsid w:val="58CD149A"/>
    <w:rsid w:val="59357973"/>
    <w:rsid w:val="59965D30"/>
    <w:rsid w:val="59FD262F"/>
    <w:rsid w:val="5A3727CC"/>
    <w:rsid w:val="5A6307F6"/>
    <w:rsid w:val="5A7636CA"/>
    <w:rsid w:val="5AA47FD9"/>
    <w:rsid w:val="5ACB40C5"/>
    <w:rsid w:val="5B655008"/>
    <w:rsid w:val="5B8B6988"/>
    <w:rsid w:val="5BA529F7"/>
    <w:rsid w:val="5C205D85"/>
    <w:rsid w:val="5C6043D4"/>
    <w:rsid w:val="5C69772C"/>
    <w:rsid w:val="5D0A3490"/>
    <w:rsid w:val="5D7E0D39"/>
    <w:rsid w:val="5DDF2DD1"/>
    <w:rsid w:val="5DE057CC"/>
    <w:rsid w:val="5E2E5CB0"/>
    <w:rsid w:val="5E490A40"/>
    <w:rsid w:val="5E9D3F29"/>
    <w:rsid w:val="5EDF45D6"/>
    <w:rsid w:val="5F353859"/>
    <w:rsid w:val="5F3B6A32"/>
    <w:rsid w:val="5F64242D"/>
    <w:rsid w:val="5FB63195"/>
    <w:rsid w:val="601B093B"/>
    <w:rsid w:val="60384CD1"/>
    <w:rsid w:val="60557590"/>
    <w:rsid w:val="60655808"/>
    <w:rsid w:val="606C7EF8"/>
    <w:rsid w:val="608E1541"/>
    <w:rsid w:val="60E76D8A"/>
    <w:rsid w:val="60F86CEE"/>
    <w:rsid w:val="617D1584"/>
    <w:rsid w:val="6220263B"/>
    <w:rsid w:val="632E6FDA"/>
    <w:rsid w:val="63A578CC"/>
    <w:rsid w:val="63A9427A"/>
    <w:rsid w:val="63D462B1"/>
    <w:rsid w:val="63E678B4"/>
    <w:rsid w:val="63FF44D2"/>
    <w:rsid w:val="641A3596"/>
    <w:rsid w:val="64C00105"/>
    <w:rsid w:val="64C36D7E"/>
    <w:rsid w:val="64D96647"/>
    <w:rsid w:val="64F90F01"/>
    <w:rsid w:val="655B51E5"/>
    <w:rsid w:val="65E40ADA"/>
    <w:rsid w:val="65EB7404"/>
    <w:rsid w:val="660C4E9E"/>
    <w:rsid w:val="66330B86"/>
    <w:rsid w:val="66E22203"/>
    <w:rsid w:val="677B6565"/>
    <w:rsid w:val="67AB0BF9"/>
    <w:rsid w:val="68712BE1"/>
    <w:rsid w:val="68B812C9"/>
    <w:rsid w:val="68DB3760"/>
    <w:rsid w:val="694A4441"/>
    <w:rsid w:val="69643755"/>
    <w:rsid w:val="698536CB"/>
    <w:rsid w:val="69D50CF4"/>
    <w:rsid w:val="69D73D89"/>
    <w:rsid w:val="69FF522C"/>
    <w:rsid w:val="6A535578"/>
    <w:rsid w:val="6AE34B4E"/>
    <w:rsid w:val="6BBB1173"/>
    <w:rsid w:val="6C487AFD"/>
    <w:rsid w:val="6C8664BC"/>
    <w:rsid w:val="6CB24363"/>
    <w:rsid w:val="6D3E7C18"/>
    <w:rsid w:val="6DBB3A8B"/>
    <w:rsid w:val="6DCD7D1E"/>
    <w:rsid w:val="6DE573D0"/>
    <w:rsid w:val="6E721F63"/>
    <w:rsid w:val="6EA93466"/>
    <w:rsid w:val="6EBE56B6"/>
    <w:rsid w:val="6EFF37D8"/>
    <w:rsid w:val="6F146151"/>
    <w:rsid w:val="6F276F27"/>
    <w:rsid w:val="6F7D4948"/>
    <w:rsid w:val="6F960C48"/>
    <w:rsid w:val="6FCF0795"/>
    <w:rsid w:val="6FE70C3C"/>
    <w:rsid w:val="700560CB"/>
    <w:rsid w:val="70494955"/>
    <w:rsid w:val="70643A4D"/>
    <w:rsid w:val="70C90342"/>
    <w:rsid w:val="70F10A19"/>
    <w:rsid w:val="71381023"/>
    <w:rsid w:val="714B1E7B"/>
    <w:rsid w:val="71973F9C"/>
    <w:rsid w:val="732B6917"/>
    <w:rsid w:val="735465E8"/>
    <w:rsid w:val="73714961"/>
    <w:rsid w:val="74060F7A"/>
    <w:rsid w:val="74D27DA9"/>
    <w:rsid w:val="74D925D0"/>
    <w:rsid w:val="754825D6"/>
    <w:rsid w:val="754D1D92"/>
    <w:rsid w:val="75676A2A"/>
    <w:rsid w:val="758350A9"/>
    <w:rsid w:val="75AB44BA"/>
    <w:rsid w:val="75DE488F"/>
    <w:rsid w:val="76EE55AC"/>
    <w:rsid w:val="773521BD"/>
    <w:rsid w:val="77367FC0"/>
    <w:rsid w:val="77445EF3"/>
    <w:rsid w:val="77BE6726"/>
    <w:rsid w:val="77EE068E"/>
    <w:rsid w:val="782567A5"/>
    <w:rsid w:val="78412EB3"/>
    <w:rsid w:val="788B412F"/>
    <w:rsid w:val="78AA2807"/>
    <w:rsid w:val="79687E1D"/>
    <w:rsid w:val="798B6F10"/>
    <w:rsid w:val="7A6A4943"/>
    <w:rsid w:val="7B560FD7"/>
    <w:rsid w:val="7B5F74F8"/>
    <w:rsid w:val="7B690630"/>
    <w:rsid w:val="7BC01667"/>
    <w:rsid w:val="7BD0027A"/>
    <w:rsid w:val="7C5123F4"/>
    <w:rsid w:val="7C6B49A3"/>
    <w:rsid w:val="7C7E6FA2"/>
    <w:rsid w:val="7CB8546E"/>
    <w:rsid w:val="7D040AB6"/>
    <w:rsid w:val="7D4119E6"/>
    <w:rsid w:val="7D4F6073"/>
    <w:rsid w:val="7DAF162B"/>
    <w:rsid w:val="7DB303AF"/>
    <w:rsid w:val="7DC42B41"/>
    <w:rsid w:val="7DEB7B49"/>
    <w:rsid w:val="7E5971A9"/>
    <w:rsid w:val="7EE36A72"/>
    <w:rsid w:val="7F2A25AD"/>
    <w:rsid w:val="7F4D1F29"/>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48</Pages>
  <Words>1287</Words>
  <Characters>1367</Characters>
  <Lines>72</Lines>
  <Paragraphs>20</Paragraphs>
  <TotalTime>6</TotalTime>
  <ScaleCrop>false</ScaleCrop>
  <LinksUpToDate>false</LinksUpToDate>
  <CharactersWithSpaces>1432</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2026-10-26T08:50:28Z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