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四川省人民医院全院消防灭火器材、救援器材及其配套设施购置采购项目（</w:t>
      </w:r>
      <w:r>
        <w:rPr>
          <w:rFonts w:hint="eastAsia" w:ascii="Times New Roman" w:hAnsi="Times New Roman" w:eastAsia="黑体" w:cs="Times New Roman"/>
          <w:b/>
          <w:spacing w:val="24"/>
          <w:sz w:val="56"/>
          <w:szCs w:val="56"/>
          <w:lang w:val="en-US" w:eastAsia="zh-CN"/>
        </w:rPr>
        <w:t>4）</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3"/>
        <w:rPr>
          <w:rFonts w:ascii="Times New Roman" w:hAnsi="Times New Roman" w:cs="Times New Roman"/>
        </w:rPr>
      </w:pPr>
      <w:bookmarkStart w:id="0" w:name="_Toc20358"/>
      <w:bookmarkStart w:id="1" w:name="_Toc471310326"/>
      <w:bookmarkStart w:id="2" w:name="_Toc1907"/>
      <w:bookmarkStart w:id="3" w:name="_Toc21919"/>
      <w:bookmarkStart w:id="4" w:name="_Toc62832406"/>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4"/>
        <w:gridCol w:w="1998"/>
        <w:gridCol w:w="7695"/>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default" w:ascii="Times New Roman" w:hAnsi="Times New Roman" w:eastAsia="仿宋" w:cs="Times New Roman"/>
                <w:sz w:val="22"/>
                <w:lang w:val="en-US"/>
              </w:rPr>
            </w:pPr>
            <w:r>
              <w:rPr>
                <w:rFonts w:hint="eastAsia" w:ascii="Times New Roman" w:hAnsi="Times New Roman" w:eastAsia="仿宋" w:cs="Times New Roman"/>
                <w:sz w:val="22"/>
                <w:lang w:eastAsia="zh-CN"/>
              </w:rPr>
              <w:t>四川省人民医院全院消防灭火器材、救援器材及其配套设施购置采购项目（</w:t>
            </w:r>
            <w:r>
              <w:rPr>
                <w:rFonts w:hint="eastAsia" w:ascii="Times New Roman" w:hAnsi="Times New Roman" w:eastAsia="仿宋" w:cs="Times New Roman"/>
                <w:sz w:val="22"/>
                <w:lang w:val="en-US" w:eastAsia="zh-CN"/>
              </w:rPr>
              <w:t>4）</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CGZX-BWB20260536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56F6904">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本项目为据实结算项目，支付上限为</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30万</w:t>
            </w:r>
            <w:r>
              <w:rPr>
                <w:rFonts w:ascii="Times New Roman" w:hAnsi="Times New Roman" w:eastAsia="仿宋" w:cs="Times New Roman"/>
                <w:sz w:val="22"/>
              </w:rPr>
              <w:t>元</w:t>
            </w:r>
            <w:r>
              <w:rPr>
                <w:rFonts w:hint="eastAsia" w:ascii="Times New Roman" w:hAnsi="Times New Roman" w:eastAsia="仿宋" w:cs="Times New Roman"/>
                <w:sz w:val="22"/>
                <w:lang w:eastAsia="zh-CN"/>
              </w:rPr>
              <w:t>。本项目报价根据第四章《清单及技术要求》各项</w:t>
            </w:r>
            <w:r>
              <w:rPr>
                <w:rFonts w:hint="eastAsia" w:ascii="Times New Roman" w:hAnsi="Times New Roman" w:eastAsia="仿宋" w:cs="Times New Roman"/>
                <w:sz w:val="22"/>
                <w:lang w:val="en-US" w:eastAsia="zh-CN"/>
              </w:rPr>
              <w:t>限高单价</w:t>
            </w:r>
            <w:r>
              <w:rPr>
                <w:rFonts w:hint="eastAsia" w:ascii="Times New Roman" w:hAnsi="Times New Roman" w:eastAsia="仿宋" w:cs="Times New Roman"/>
                <w:sz w:val="22"/>
                <w:lang w:eastAsia="zh-CN"/>
              </w:rPr>
              <w:t>要求填报下浮率，下浮率为负数或者≥100%的，其响应文件按无效文件处理。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2"/>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2"/>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2"/>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人民币15000元</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供应商应当以支票、汇票、本票或金融机构保函等非现金形式（含网银转账、电汇）</w:t>
            </w:r>
            <w:r>
              <w:rPr>
                <w:rFonts w:hint="eastAsia" w:ascii="Times New Roman" w:hAnsi="Times New Roman" w:eastAsia="仿宋" w:cs="Times New Roman"/>
                <w:sz w:val="22"/>
                <w:szCs w:val="22"/>
                <w:lang w:val="en-US" w:eastAsia="zh-CN"/>
              </w:rPr>
              <w:t>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hint="eastAsia" w:ascii="Times New Roman" w:hAnsi="Times New Roman" w:eastAsia="仿宋" w:cs="Times New Roman"/>
                <w:sz w:val="22"/>
                <w:szCs w:val="22"/>
                <w:lang w:val="en-US" w:eastAsia="zh-CN"/>
              </w:rPr>
              <w:t>10</w:t>
            </w:r>
            <w:r>
              <w:rPr>
                <w:rFonts w:ascii="Times New Roman" w:hAnsi="Times New Roman" w:eastAsia="仿宋" w:cs="Times New Roman"/>
                <w:sz w:val="22"/>
                <w:szCs w:val="22"/>
                <w:lang w:val="zh-CN"/>
              </w:rPr>
              <w:t>个工作日内</w:t>
            </w:r>
            <w:r>
              <w:rPr>
                <w:rFonts w:hint="eastAsia" w:ascii="Times New Roman" w:hAnsi="Times New Roman" w:eastAsia="仿宋" w:cs="Times New Roman"/>
                <w:sz w:val="22"/>
                <w:szCs w:val="22"/>
                <w:lang w:val="zh-CN"/>
              </w:rPr>
              <w:t>，逾期未缴纳的，视为自动放弃中标资格</w:t>
            </w:r>
            <w:r>
              <w:rPr>
                <w:rFonts w:ascii="Times New Roman" w:hAnsi="Times New Roman" w:eastAsia="仿宋" w:cs="Times New Roman"/>
                <w:sz w:val="22"/>
                <w:szCs w:val="22"/>
                <w:lang w:val="zh-CN"/>
              </w:rPr>
              <w:t>；</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服务期满且验收合格，供应商提交完整请款资料后，采购人在55个工作日内一次性无息退还</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375605F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供应商因自身原因逾期交货的，逾期超过10天的，采购人有权单方面解除合同，不予退还履约保证金，并要求供应商支付不低于履约保证金50%的额外违约金，承担采购人全部损失。</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甘</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87393665</w:t>
            </w:r>
          </w:p>
          <w:p w14:paraId="2BA80911">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保卫部</w:t>
            </w:r>
          </w:p>
          <w:p w14:paraId="6870918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刘老师 028-87393273</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3"/>
        <w:rPr>
          <w:rFonts w:ascii="Times New Roman" w:hAnsi="Times New Roman" w:cs="Times New Roman"/>
        </w:rPr>
      </w:pPr>
      <w:bookmarkStart w:id="6" w:name="_Toc22329"/>
      <w:bookmarkStart w:id="7" w:name="_Toc14460"/>
      <w:bookmarkStart w:id="8" w:name="_Toc24154"/>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3"/>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6407"/>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9"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9"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9"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9" w:type="dxa"/>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9" w:type="dxa"/>
            <w:vAlign w:val="center"/>
          </w:tcPr>
          <w:p w14:paraId="6FB4F345">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17F92DF2">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A815D49">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9" w:type="dxa"/>
            <w:vAlign w:val="center"/>
          </w:tcPr>
          <w:p w14:paraId="719554D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646370F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30E2AD6B">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9" w:type="dxa"/>
            <w:vAlign w:val="center"/>
          </w:tcPr>
          <w:p w14:paraId="3768BD1D">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7D0F9434">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4114081">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9" w:type="dxa"/>
            <w:vAlign w:val="center"/>
          </w:tcPr>
          <w:p w14:paraId="7150CAA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EAE5FD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2CAAD4C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9" w:type="dxa"/>
            <w:vAlign w:val="center"/>
          </w:tcPr>
          <w:p w14:paraId="76555182">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5799B5E">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367E115">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6059" w:type="dxa"/>
            <w:vAlign w:val="center"/>
          </w:tcPr>
          <w:p w14:paraId="2F64669A">
            <w:pPr>
              <w:jc w:val="left"/>
              <w:rPr>
                <w:rFonts w:ascii="Times New Roman" w:hAnsi="Times New Roman" w:eastAsia="仿宋" w:cs="Times New Roman"/>
                <w:bCs/>
                <w:kern w:val="0"/>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2484"/>
        <w:gridCol w:w="6974"/>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3"/>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68FC2F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一、项目简介</w:t>
      </w:r>
    </w:p>
    <w:p w14:paraId="6CD5B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满足四川省人民医院本部及龙泉院区、草堂院区、皮研所院区、温江院区、中和科研基地的消防灭火器材、救援器材及配套设施零星增加需求，保障器材质量与供应时效，防范消防安全风险，拟确定一家供应商，承接本项目全部产品的购置、配送、安装及售后服务等事宜。</w:t>
      </w:r>
    </w:p>
    <w:p w14:paraId="030E50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★二、采购内容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94"/>
        <w:gridCol w:w="6269"/>
        <w:gridCol w:w="1476"/>
        <w:gridCol w:w="1375"/>
      </w:tblGrid>
      <w:tr w14:paraId="6E938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450" w:hRule="atLeast"/>
        </w:trPr>
        <w:tc>
          <w:tcPr>
            <w:tcW w:w="9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43B8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46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B8CE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采购标的</w:t>
            </w:r>
          </w:p>
        </w:tc>
        <w:tc>
          <w:tcPr>
            <w:tcW w:w="10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7F55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102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A00E7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r>
      <w:tr w14:paraId="54AA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0" w:hRule="atLeast"/>
        </w:trPr>
        <w:tc>
          <w:tcPr>
            <w:tcW w:w="9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EA24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6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AAF0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消防系统零星设备及其配套设施购置</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972C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批</w:t>
            </w:r>
          </w:p>
        </w:tc>
        <w:tc>
          <w:tcPr>
            <w:tcW w:w="102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C936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r>
    </w:tbl>
    <w:p w14:paraId="7CF9E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61D0A3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★三、清单及技术要求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75"/>
        <w:gridCol w:w="1128"/>
        <w:gridCol w:w="1934"/>
        <w:gridCol w:w="4893"/>
        <w:gridCol w:w="1308"/>
        <w:gridCol w:w="575"/>
      </w:tblGrid>
      <w:tr w14:paraId="61203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9D6C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06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1DAD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产品名称</w:t>
            </w:r>
          </w:p>
        </w:tc>
        <w:tc>
          <w:tcPr>
            <w:tcW w:w="1829"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F1F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规格型号</w:t>
            </w:r>
          </w:p>
        </w:tc>
        <w:tc>
          <w:tcPr>
            <w:tcW w:w="462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A3B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技术要求</w:t>
            </w:r>
          </w:p>
        </w:tc>
        <w:tc>
          <w:tcPr>
            <w:tcW w:w="123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DEC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限高单价</w:t>
            </w:r>
          </w:p>
          <w:p w14:paraId="6D7E90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（元）</w:t>
            </w:r>
          </w:p>
        </w:tc>
        <w:tc>
          <w:tcPr>
            <w:tcW w:w="544"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F785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r>
      <w:tr w14:paraId="1796E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0149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A746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A22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与DN65mm消防水带连接使用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B359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压铸铝合金，与DN65mm消防水带连接使用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5584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24.15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3FE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79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6BC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6F7B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E0C2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与DN50mm消防水带连接使用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ABE2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压铸铝合金，与DN50mm消防水带连接使用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70A6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CB8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47C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80B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6E2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0BBE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C66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重量：5KG，喷射时间≥15s，喷射距离≥4m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4255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BD47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1AD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CA38B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F7A7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D84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MFZ/ABC4</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C53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重量：4KG，喷射时间≥13s，喷射距离≥3.5m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9D59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B339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5AF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41E1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6E22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7452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37C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重量：2KG，喷射时间≥8s，喷射距离≥2m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67BD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35.88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450E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455C0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FB6DA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638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78B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A544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5kg四支装，板材厚度≥0.6mm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9333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46.92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8843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0B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D40E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AC6B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1A85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28CC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5kg两支装，板材厚度≥0.6mm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3A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FB6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32BC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B0F9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6B5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3D7C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3DCA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灭火剂重量：≥3KG，</w:t>
            </w:r>
          </w:p>
          <w:p w14:paraId="29563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喷射时间：≥11s，</w:t>
            </w:r>
          </w:p>
          <w:p w14:paraId="5BF3E3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30EA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E5D9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BBF1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1899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1AF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B34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37AF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灭火剂重量：≥2KG，</w:t>
            </w:r>
          </w:p>
          <w:p w14:paraId="1211B0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5D3919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喷射距离：≥1.5m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9260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CDC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FABD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A5D9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0AA0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1B18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CE8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容量：6L，</w:t>
            </w:r>
          </w:p>
          <w:p w14:paraId="403439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4395B6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1183C6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24443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有效喷射距离：≥3.5 米；</w:t>
            </w:r>
          </w:p>
          <w:p w14:paraId="5F1274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喷射时间≥40s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F07E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112.47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07DD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DDF9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13A5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44FB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CD82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8C7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容量：3L；</w:t>
            </w:r>
          </w:p>
          <w:p w14:paraId="427B4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72AD26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0193E3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635FBD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产品喷射距离≥3m；</w:t>
            </w:r>
          </w:p>
          <w:p w14:paraId="74F944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喷射时间≥30s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6529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70.38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E8B6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398EE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E45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563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B68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35KG</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600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重量：35KG，</w:t>
            </w:r>
          </w:p>
          <w:p w14:paraId="57D6E4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喷射时间≥60s，</w:t>
            </w:r>
          </w:p>
          <w:p w14:paraId="7D2259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喷射距离≥8m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DCD5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296.7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74D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E711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D368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AB98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F0A7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MFJ950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A0A7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车载用，≥950g干粉灭火药剂，筒体直径≥85mm，</w:t>
            </w:r>
          </w:p>
          <w:p w14:paraId="2B053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7F1B7C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AAA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68.31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7942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398E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B1F3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6760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E7D1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5BCE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1.5m*1.5m,双层符合XF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2C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F332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2ABD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F274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BDE5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F4CE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59A2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2m*2m,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E7DE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B0DF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6AD98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FCF3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E86B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728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E50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6m*6m,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1F72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593.4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7D26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54A2D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1E38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D41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111C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7672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手提式、防水、防爆、可充电；</w:t>
            </w:r>
          </w:p>
          <w:p w14:paraId="35D387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最高亮度：350流明及以上；</w:t>
            </w:r>
          </w:p>
          <w:p w14:paraId="6E5B03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最大射程:500m及以上</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15F7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193.2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CE6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76BDD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A20D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F7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6AB3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10－65－25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652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2B13CB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口径：65mm；</w:t>
            </w:r>
          </w:p>
          <w:p w14:paraId="227E72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7D55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175.95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EC61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1CB23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553C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FFA5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78BE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10－50－25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ED3F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026F18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口径：50mm；</w:t>
            </w:r>
          </w:p>
          <w:p w14:paraId="190318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97AA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165.6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809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55B9D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C1068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1B3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5163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FII65/6×*2-1.6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D8BB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FII65/65*2-1.6（65mm口径一进二出分水器，可承受压力≥1.6MPa）</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3844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110.4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4C0F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595D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E669A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B4D1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47D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011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消防梯长度≥3米</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9514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CF98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r>
      <w:tr w14:paraId="2084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7319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C3EB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906B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5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额定防护时间≥30分钟，</w:t>
            </w:r>
          </w:p>
          <w:p w14:paraId="7E5867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滤烟率≥95%，</w:t>
            </w:r>
          </w:p>
          <w:p w14:paraId="76565F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吸气阻力≤800Pa，</w:t>
            </w:r>
          </w:p>
          <w:p w14:paraId="253118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呼气阻力≤300Pa</w:t>
            </w:r>
          </w:p>
          <w:p w14:paraId="2B1006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视窗透光率≥85%</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8575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F19BD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r>
      <w:tr w14:paraId="4DC45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C036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A874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BB2C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定制铁质货架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85F4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四层；</w:t>
            </w:r>
          </w:p>
          <w:p w14:paraId="61C992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承重≥180KG，</w:t>
            </w:r>
          </w:p>
          <w:p w14:paraId="3BCD1B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长*宽*高：1.5*2*0.5m±1%</w:t>
            </w:r>
          </w:p>
          <w:p w14:paraId="3A5A6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C44E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427.8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23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953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A15D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B7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C1E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FEDD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逃生应急包套装，绳长50米±1%</w:t>
            </w:r>
          </w:p>
          <w:p w14:paraId="4D6F39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118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579.6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971F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A33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2B41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F1FC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7FE3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TMF-03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48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钢制，墙壁挂置</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110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13.662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5AF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D32B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78EF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EB9E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233D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184C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 200(含)-500m(不含)；充电模式: 有线充电</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D52C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44.85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63D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4608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0671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1773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BE2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1143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汽油，锯链速度：≥400m/min，输入功率≥1600W，导板长度≥400mm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5E03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28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E6F7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685D6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D1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B72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3F01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汽油，双轮异向，排量≥60cc，切割深度≥100mm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A36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5313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134E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3CDD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D00D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790F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58F7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D736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长*宽*高：70*30*110cm±1%（玻璃+304不锈钢），框架式，管材、板材厚度≥0.8mm，含破玻锤1把</w:t>
            </w:r>
          </w:p>
          <w:p w14:paraId="52B8F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8BF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565.8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0500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5D79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C9CF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E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393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25F9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LED寿命≥5000小时、</w:t>
            </w:r>
          </w:p>
          <w:p w14:paraId="3B9CCB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尺寸：54cm（±1cm），</w:t>
            </w:r>
          </w:p>
          <w:p w14:paraId="566AC9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材质：灯体PC、手柄ABS，供电方式：充电电池，红色</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3E5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A06F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42F34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03B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27B9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BF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1737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面料柔软贴身，颜色：荧光绿，拉链穿戴方式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A7DD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2C4D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r>
      <w:tr w14:paraId="76D11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519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FD18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1D42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消防专用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1525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防水、防爆、</w:t>
            </w:r>
          </w:p>
          <w:p w14:paraId="08E4C5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声级强度：80dB-105dB，</w:t>
            </w:r>
          </w:p>
          <w:p w14:paraId="3F8435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静止时间：30±1s，</w:t>
            </w:r>
          </w:p>
          <w:p w14:paraId="569F99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报警时间：≥240min，</w:t>
            </w:r>
          </w:p>
          <w:p w14:paraId="128565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开机时间≥20h，</w:t>
            </w:r>
          </w:p>
          <w:p w14:paraId="0D8116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佩戴质量≤200g，</w:t>
            </w:r>
          </w:p>
          <w:p w14:paraId="624E5D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防护等级≥IP68</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41D1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248.4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1B7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72B0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8377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DA51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8E87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A14B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材质：胶把，钢制；</w:t>
            </w:r>
          </w:p>
          <w:p w14:paraId="2233C5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长度1m（±1cm）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71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E070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r>
      <w:tr w14:paraId="12991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EB9F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B4EB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6238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DFD5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规格：5cm宽*125m长，允许误差范围±1cm，材质：涤纶布；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6F0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D3AA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r>
      <w:tr w14:paraId="02815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B6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06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E266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1829"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665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10-2014《消防员灭火防护服》；CCCF-CPRZ-27:2019《消防类产品认证实施规则 消防装备产品：消防员个人防护装备产品》的相关要求</w:t>
            </w:r>
          </w:p>
        </w:tc>
        <w:tc>
          <w:tcPr>
            <w:tcW w:w="462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520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val="en-US" w:eastAsia="zh-CN"/>
              </w:rPr>
              <w:t xml:space="preserve">阻燃性能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外层损毁长度≤25mm，续燃时间0秒，无熔融滴落现象；</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隔热层与舒适层损毁长度≤35-50mm，续燃时间≤2秒。</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2. 热防护性能（TPP值）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整体热防护性能普遍≥33-35 cal/cm²。</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3. 机械强度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外层断裂强力≥1900-2350N（经纬向），撕破强力≥600-1550N；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救生拖拉带断裂强力≥14000N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4. 防水与透气性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防水层耐静水压≥50kPa，水蒸气透过量≥5000g/㎡·24h；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洗涤后拒油性能达≥4级。 </w:t>
            </w:r>
          </w:p>
          <w:p w14:paraId="59E5E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5.多层复合面料       </w:t>
            </w:r>
          </w:p>
          <w:p w14:paraId="138568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防护服由外层、防水透气层、隔热层和舒适层组成</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外层：采用原液染色芳纶纤维，兼具阻燃、防静电、抗撕裂性能；</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中间层：芳纶毡复合PTFE膜，提供防水、透气功能（耐静水压≥50kPa，水蒸气透过量≥7850g/㎡·24h）；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舒适层：芳纶与阻燃粘胶混纺材料。 </w:t>
            </w:r>
          </w:p>
          <w:p w14:paraId="5E37BC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6.人体工学与防护要求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肩、肘、膝部耐磨处理：</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反光标识：胸部、腰部、袖口及小腿部配置“黄银黄”反光带（宽度50-50.8mm），提升暗光环境下的可见性；</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功能性口袋：上衣左胸设电台立体口袋，大腿外侧配工具袋，所有外口袋均设漏水孔。</w:t>
            </w:r>
          </w:p>
        </w:tc>
        <w:tc>
          <w:tcPr>
            <w:tcW w:w="123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B061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2829</w:t>
            </w:r>
          </w:p>
        </w:tc>
        <w:tc>
          <w:tcPr>
            <w:tcW w:w="544"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3D5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A08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56D35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CE29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F57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E07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15BF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70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CED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612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353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D32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A9A4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155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C73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3170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1A63F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0805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502C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673C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944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B0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88A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8021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0BD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856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98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F4A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DB7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0DBD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F35D8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77FE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A2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F52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31BF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34F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5A7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2216D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100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299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符合XF7-2004消防员灭火防护手套CCCF-CPRZ-27:2019《消防类产品认证实施规则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92F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CB59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73A9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310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7A89D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0F48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96E6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符合XF494-2023《消防用防坠落装备》、CCCF-CPRZ-27:2019《消防类产品认证实施规则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92C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26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A44F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D8D1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EE49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FF5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1014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6-2004消防员灭火防护靴、CCCF-CPRZ-27:2019《消防类产品认证实施规则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8477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8583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86C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354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ABD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99E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6063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符合XF44-2015消防头盔、CCCF-CPRZ-27:2019《消防类产品认证实施规则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E9C4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17式全盔消防头盔</w:t>
            </w:r>
          </w:p>
          <w:p w14:paraId="2F9269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配外部强光手电支架1个</w:t>
            </w:r>
          </w:p>
          <w:p w14:paraId="30CAB2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配防爆战术手电筒1只</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A045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662.4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A4E5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F54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DA390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168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92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D7FE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材质：304不锈钢，玻璃门，</w:t>
            </w:r>
          </w:p>
          <w:p w14:paraId="5E333E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62F4D3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0A2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1380</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D499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2714E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59E9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117F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E509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DF56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材质：铁皮，玻璃门，红色，</w:t>
            </w:r>
          </w:p>
          <w:p w14:paraId="6AF3D8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04F35D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A24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6AB6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FDE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7B108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C3C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F193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4CC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65mm转50mm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2CF5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19A2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0E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4E925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E0F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E6F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0ED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65内扣转快速活接65雌</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07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62.1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50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70221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73E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3E53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C5C1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1E5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挎肩式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40A1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144.9</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FD3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1E91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DE2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7962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EC1A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铝箔袋款单个30*30cm</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053B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防火铝箔包装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24EA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6BF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r>
      <w:tr w14:paraId="6A96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B4182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8A45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5F37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9L碳纤维瓶呼吸器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275C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材质：碳纤维复合材料</w:t>
            </w:r>
          </w:p>
          <w:p w14:paraId="7AE331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容积：≥9L</w:t>
            </w:r>
          </w:p>
          <w:p w14:paraId="58ADF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额定工作压力：30Mpa</w:t>
            </w:r>
          </w:p>
          <w:p w14:paraId="512011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使用时间：≥60分钟（30L/min呼吸时），减压器输出压力稳定，气瓶压力在30MPa、20MPa、10MPa时，分别经过5min测试后，试样减压器输出压力没有变化             </w:t>
            </w:r>
          </w:p>
          <w:p w14:paraId="627462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供气阀应为360°快速插接，供气流量≥500L/min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右肩带应缝制有挂钩，左肩带应缝制有挂绳。可以放置呼救器、对讲机。腰带上应配有供气阀放置支架。</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注：（1）供应商所提供的正压式消防空气呼吸器在响应时须符合 GB/T 16556-2007 或 GB 16556-2025。响应时提供国家认可的检测机构出具的评测报告复印件加盖公章。</w:t>
            </w:r>
          </w:p>
          <w:p w14:paraId="1D60CC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（2）供应商须承诺，本项目服务期（2026.9.15–2027.9.16）内所交付的正压式消防空气呼吸器均按 GB 16556-2025《呼吸防护 自给开路式压缩空气呼吸器》生产、检验合格，并提供对应检测报告。</w:t>
            </w:r>
            <w:r>
              <w:rPr>
                <w:rFonts w:hint="eastAsia" w:ascii="仿宋" w:hAnsi="仿宋" w:eastAsia="仿宋" w:cs="仿宋"/>
                <w:b/>
                <w:bCs/>
                <w:color w:val="auto"/>
                <w:sz w:val="24"/>
                <w:szCs w:val="24"/>
                <w:highlight w:val="none"/>
                <w:lang w:val="en-US" w:eastAsia="zh-CN"/>
              </w:rPr>
              <w:t>提供承诺函并加盖供应商公章。</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223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3036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85B8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7BBD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1125"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27C4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E031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E74A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9164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电池容量：≥3500mAh</w:t>
            </w:r>
          </w:p>
          <w:p w14:paraId="7AAAA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传送距离：≥500m(顺风)</w:t>
            </w:r>
          </w:p>
          <w:p w14:paraId="7CA579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待机时间：≥18小时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录音时长：≥240秒</w:t>
            </w:r>
          </w:p>
          <w:p w14:paraId="33A3D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产品材质：ABS优质塑料,具有喊话、报警、录音功能</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33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4094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9203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9D0D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BE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305F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029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标称电压：3.7V（放电平均电压）</w:t>
            </w:r>
          </w:p>
          <w:p w14:paraId="5780A7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循环寿命：普通 300–500 次（80% 容量）</w:t>
            </w:r>
          </w:p>
          <w:p w14:paraId="4EF9FA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规格与选型</w:t>
            </w:r>
          </w:p>
          <w:p w14:paraId="387903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18650 圆柱：容量 2000–3500mAh，持续放电 1C–10C，适合手电、储能、小设备。</w:t>
            </w:r>
          </w:p>
          <w:p w14:paraId="44A75E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执行 GB/T 18287-2013《移动电话用锂离子蓄电池及蓄电池组总规范》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C03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6488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r>
      <w:tr w14:paraId="642D7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22ED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DF8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B5A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D94E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材质：铝合金材质</w:t>
            </w:r>
          </w:p>
          <w:p w14:paraId="25F059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整体重量：≤12KG</w:t>
            </w:r>
          </w:p>
          <w:p w14:paraId="37CAB3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工作长度：≥4M（±10㎝）</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0A6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372.6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375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3260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D7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68F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C52E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82C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材质：聚碳酸酯防化护目镜；</w:t>
            </w:r>
          </w:p>
          <w:p w14:paraId="2D3F42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防雾、防冲击、防腐蚀，具有化学雾滴防护性能及耐热性性能；符合GB 14866-2023《眼面防护具通用技术规范》。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82A0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FA2E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9D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CCD4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DC9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2C4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4FEF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机体为25mm（±1mm）粉末涂层钢架≥5个方位快速便捷定位调节设置性能参数；</w:t>
            </w:r>
          </w:p>
          <w:p w14:paraId="5FFE0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涡轮风叶≤φ400mmX17片，运行时间≥58min(全速运行)；重量≤27KG；</w:t>
            </w:r>
          </w:p>
          <w:p w14:paraId="1183F4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体积≤533h*508w*432dmm；</w:t>
            </w:r>
          </w:p>
          <w:p w14:paraId="57202A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排烟量≥13000m3/hr；</w:t>
            </w:r>
          </w:p>
          <w:p w14:paraId="62B180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响应时提供国家认可的检测机构出具的评测报告复印件加盖公章</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63CC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7935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24BD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0F41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4328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8F9A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9EE4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7C11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长度：≥600mm，</w:t>
            </w:r>
          </w:p>
          <w:p w14:paraId="6B4D6B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材质：碳钢</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DAC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A2A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r>
      <w:tr w14:paraId="4E696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B6991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80A7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708F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EC0E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材质：不锈钢</w:t>
            </w:r>
          </w:p>
          <w:p w14:paraId="227598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其他：含挂绳</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3A00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E3D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B991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A55D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26C4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A1E3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JBQ5.0/8.6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09C5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发动机功率：≥6.8KW                       </w:t>
            </w:r>
          </w:p>
          <w:p w14:paraId="6AA45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吸深：≥7M</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扬程：≥50米，</w:t>
            </w:r>
          </w:p>
          <w:p w14:paraId="178E8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出水压力：≥0.5MPa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外形尺寸：620*590*525MM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926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6693</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C2FE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71496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905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7C97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47DB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3-DG-210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C9E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容量：210AH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尺寸：260MM*182MM*303MM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490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638.25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32B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D7D1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C620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5288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57D8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3-EVF-170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1FCA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  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容量：170AH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尺寸：261MM*180MM*245MM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979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E86B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7535F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D744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A89C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9564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M2AL 12-18 CFR</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7B66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电压：12V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容量：18AH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尺寸：181.5MM*77MM*167.5MM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B6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251.85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B882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5A8E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45" w:hRule="atLeast"/>
        </w:trPr>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D6E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D35C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E798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通过消防产品型式检验，部分地区采购要求 CCCF 认证</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9047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发动机类型：单缸风冷二冲程</w:t>
            </w:r>
          </w:p>
          <w:p w14:paraId="1BDF76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锯片直径：≥350 mm（切割深≥125 mm</w:t>
            </w:r>
          </w:p>
          <w:p w14:paraId="1373A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整备重量（不含燃油）：≤18 kg</w:t>
            </w:r>
          </w:p>
          <w:p w14:paraId="59DF99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砂轮锯片：可切割钢筋、钢材、防盗门</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D358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183A1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364D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334A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A724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25F0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651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基材：PVC压敏胶，强粘且部分可移除不留残胶</w:t>
            </w:r>
          </w:p>
          <w:p w14:paraId="026534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颜色样式：标准红白相间，斜纹、直条；符合国标安全色，白天醒目、夜间灯光照射下高亮反光</w:t>
            </w:r>
          </w:p>
          <w:p w14:paraId="0B684D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标准规格：常用宽度 50mm，长度50m</w:t>
            </w:r>
          </w:p>
          <w:p w14:paraId="13EBE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性能与标准：逆反射系数达标，视角范围广；耐水、耐晒、耐温（-30℃~80℃）使用寿命≥ 3年</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9FD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28B3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r>
      <w:tr w14:paraId="5BCF3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C23E3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89D4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89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4KG支架式</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E71F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药剂类型：ABC 超细干粉（可灭 A/B/C/E 类火）</w:t>
            </w:r>
          </w:p>
          <w:p w14:paraId="3D89E4D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含水率≤0.25%、吸湿率≤3.00%、电绝缘性≥4.00kV、灭火效能≤150g/m³</w:t>
            </w:r>
          </w:p>
          <w:p w14:paraId="5789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适用温度：-20℃~+60℃。</w:t>
            </w:r>
          </w:p>
          <w:p w14:paraId="26C03E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认证要求:3C 消防认证、CCCF 强制检验</w:t>
            </w:r>
          </w:p>
          <w:p w14:paraId="78F8ED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8531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266.57</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7932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bl>
    <w:p w14:paraId="379682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717FA7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（二）其他要求</w:t>
      </w:r>
    </w:p>
    <w:p w14:paraId="3741F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1、质保要求</w:t>
      </w:r>
    </w:p>
    <w:p w14:paraId="61E38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（1）灭火器类产品质保期不低于3年；其余所有消防器材及配套设施质保期不低于1年；质保期内，产品出现质量问题，供应商须更换、维修，由此产生的费用由供应商承担，采购人不再另行支付。</w:t>
      </w:r>
    </w:p>
    <w:p w14:paraId="2661B2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（2）质保范围：含所有货物（质保期内涉及维修、产品更换、人工费用等一切费用包含在本项目报价中）</w:t>
      </w:r>
    </w:p>
    <w:p w14:paraId="2B18C9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2、核心技术标准要求</w:t>
      </w:r>
    </w:p>
    <w:p w14:paraId="425E16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供应商提供的产品产品须满足以下国家标准，包括但不限于：</w:t>
      </w:r>
    </w:p>
    <w:p w14:paraId="5BC603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灭火器类：GB 4351-2023《手提式灭火器 第 1 部分：性能和结构要求》、GB 8109-2023《推车式灭火器》；</w:t>
      </w:r>
    </w:p>
    <w:p w14:paraId="7A120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消防水带类：GB 6246-2011《消防水带》；</w:t>
      </w:r>
    </w:p>
    <w:p w14:paraId="6284AE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逃生避难器材类：GB/T 21976.1-2008《建筑火灾逃生避难器材 第 1 部分：配备指南》；</w:t>
      </w:r>
    </w:p>
    <w:p w14:paraId="7BD86A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个人防护装备类：XF 10-2014《消防员灭火防护服》、XF 44-2015《消防头盔》、XF 124-2013《正压式消防空气呼吸器》；</w:t>
      </w:r>
    </w:p>
    <w:p w14:paraId="1E65AF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其他器材：XF 1295-2014《灭火毯》、GB 14866-2023《眼面防护具通用技术规范》。</w:t>
      </w:r>
    </w:p>
    <w:p w14:paraId="6D3F1F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注：本项目涉及国家标准、行业标准等描述与国家最新要求不一致时以国家最新要求为准。</w:t>
      </w:r>
    </w:p>
    <w:p w14:paraId="2A426E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3、产品通用要求</w:t>
      </w:r>
    </w:p>
    <w:p w14:paraId="3E78F7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（1）资质合规：涉及国家强制3C认证、CCCF认证的产品（如灭火器、17式消防战斗服、消防头盔等），供货时必须随货提供完整的认证证书、检验报告原件的复印件；</w:t>
      </w:r>
    </w:p>
    <w:p w14:paraId="0821B5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（2）出厂时效：灭火器、消防湿毛巾的出厂日期不得超过采购人供货通知发出后3个月，其余器材出厂日期不得超过6个月；</w:t>
      </w:r>
    </w:p>
    <w:p w14:paraId="30FB0D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（3）质量承诺：供应商须单独出具《产品标准符合性承诺函》（加盖公章），承诺所有产品为全新原厂正品，无假冒伪劣、以次充好情况，若违反承诺，采购人有权解除合同并追究全部责任。</w:t>
      </w:r>
    </w:p>
    <w:p w14:paraId="7372E2B9">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售后服务要求</w:t>
      </w:r>
    </w:p>
    <w:p w14:paraId="4B2F71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（1）培训服务：为采购人工作人员提供产品使用、日常维护、故障处理的专业培训，确保熟练操作；</w:t>
      </w:r>
    </w:p>
    <w:p w14:paraId="6C6653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（2）退换货服务：产品验收不合格的，供应商须在5日内无条件更换合格产品，承担全部运输及相关费用；</w:t>
      </w:r>
    </w:p>
    <w:p w14:paraId="2F3C6E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（3）质保期内，供应商接到采购人售后需求后，须24小时内响应，现场处理或解决问题。</w:t>
      </w:r>
    </w:p>
    <w:p w14:paraId="5C6B5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5、经验要求：供应商自2023年1月1日（含）起，须具有1个大型企事业单位消防器材购置类项目的履约经验，供应商需提供合同或中标(成交)通知书复印件并加盖公章。</w:t>
      </w:r>
    </w:p>
    <w:p w14:paraId="796F5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四、服务方案</w:t>
      </w:r>
    </w:p>
    <w:p w14:paraId="7B5E9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供应商针对本项目制定完整的项目实施方案，包括但不限于以下内容：</w:t>
      </w:r>
    </w:p>
    <w:p w14:paraId="20DDF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1、进度保障：建立快速响应机制，明确需求对接、采购、配送各环节时限，确保满足交付要求；</w:t>
      </w:r>
    </w:p>
    <w:p w14:paraId="673542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2、质量管控：建立产品采购审核、到货检验、运输防护全流程质量控制体系；</w:t>
      </w:r>
    </w:p>
    <w:p w14:paraId="32FFC7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3、人员配置：配备专职项目负责人、配送人员及售后人员，提供24小时联系渠道；</w:t>
      </w:r>
    </w:p>
    <w:p w14:paraId="37CD8C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4、运输配送：制定适配医院多院区零星供货的运输方案，确保产品安全、无损送达采购人指定地点，不影响医院正常诊疗秩序。</w:t>
      </w:r>
    </w:p>
    <w:p w14:paraId="3B5C6D9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leftChars="200"/>
        <w:contextualSpacing/>
        <w:textAlignment w:val="auto"/>
        <w:rPr>
          <w:rFonts w:hint="eastAsia" w:ascii="仿宋" w:hAnsi="仿宋" w:eastAsia="仿宋" w:cs="仿宋"/>
          <w:b/>
          <w:bCs/>
          <w:color w:val="000000"/>
          <w:kern w:val="0"/>
          <w:sz w:val="24"/>
          <w:szCs w:val="24"/>
          <w:lang w:val="en-US" w:eastAsia="zh-CN"/>
        </w:rPr>
      </w:pPr>
      <w:r>
        <w:rPr>
          <w:rFonts w:hint="eastAsia" w:ascii="仿宋" w:hAnsi="仿宋" w:eastAsia="仿宋" w:cs="仿宋"/>
          <w:b/>
          <w:bCs/>
          <w:color w:val="000000"/>
          <w:kern w:val="0"/>
          <w:sz w:val="24"/>
          <w:szCs w:val="24"/>
          <w:lang w:val="en-US" w:eastAsia="zh-CN"/>
        </w:rPr>
        <w:t>五、样品要求</w:t>
      </w:r>
    </w:p>
    <w:p w14:paraId="3D98E8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（1）样品提供：5kg手提式干粉灭火器1具、3kg手提式二氧化碳灭火器1具；6L手提式水基型灭火器1具；消防头盔1顶；17式消防战斗服1套；过滤式消防呼吸器1只。</w:t>
      </w:r>
    </w:p>
    <w:p w14:paraId="0096143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）送样时间：</w:t>
      </w:r>
      <w:r>
        <w:rPr>
          <w:rFonts w:hint="eastAsia" w:ascii="仿宋" w:hAnsi="仿宋" w:eastAsia="仿宋" w:cs="仿宋"/>
          <w:sz w:val="24"/>
          <w:szCs w:val="24"/>
          <w:lang w:val="en-US" w:eastAsia="zh-CN"/>
        </w:rPr>
        <w:t>2026年6月18日14:10-14:30</w:t>
      </w:r>
      <w:r>
        <w:rPr>
          <w:rFonts w:hint="eastAsia" w:ascii="仿宋" w:hAnsi="仿宋" w:eastAsia="仿宋" w:cs="仿宋"/>
          <w:sz w:val="24"/>
          <w:szCs w:val="24"/>
          <w:lang w:eastAsia="zh-CN"/>
        </w:rPr>
        <w:t>。地点：四川省人民医院招标采购中心41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会议室（成都市青羊区浣花北路18号附1号4楼</w:t>
      </w:r>
      <w:r>
        <w:rPr>
          <w:rFonts w:hint="eastAsia" w:ascii="仿宋" w:hAnsi="仿宋" w:eastAsia="仿宋" w:cs="仿宋"/>
          <w:sz w:val="24"/>
          <w:szCs w:val="24"/>
          <w:lang w:val="en-US" w:eastAsia="zh-CN"/>
        </w:rPr>
        <w:t>412</w:t>
      </w:r>
      <w:r>
        <w:rPr>
          <w:rFonts w:hint="eastAsia" w:ascii="仿宋" w:hAnsi="仿宋" w:eastAsia="仿宋" w:cs="仿宋"/>
          <w:sz w:val="24"/>
          <w:szCs w:val="24"/>
          <w:lang w:eastAsia="zh-CN"/>
        </w:rPr>
        <w:t>）。</w:t>
      </w:r>
    </w:p>
    <w:p w14:paraId="0632344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的样品制作、搬运、安装、拆除等相关费用由</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承担。采购人对</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所递交样品的包装和污损不负任何责任。</w:t>
      </w:r>
    </w:p>
    <w:p w14:paraId="18DE8B3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）送达样品时，必须提供样品清单，注明项目名称、项目编号、样品名称及数量与所投样品摆放在一起。</w:t>
      </w:r>
    </w:p>
    <w:p w14:paraId="4DA3DF1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）退还：</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的样品用于验收比对（所供货物必须与样品完全一致）。其余</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应在项目结果公告之日起3个工作日内自行取回样品。3个工作日后不取回样品，则视为自动放弃样品的所有权，采购人有权自行处置相关样品。（取样联系人：</w:t>
      </w:r>
      <w:r>
        <w:rPr>
          <w:rFonts w:hint="eastAsia" w:ascii="仿宋" w:hAnsi="仿宋" w:eastAsia="仿宋" w:cs="仿宋"/>
          <w:sz w:val="24"/>
          <w:szCs w:val="24"/>
          <w:lang w:val="en-US" w:eastAsia="zh-CN"/>
        </w:rPr>
        <w:t>甘</w:t>
      </w:r>
      <w:r>
        <w:rPr>
          <w:rFonts w:hint="eastAsia" w:ascii="仿宋" w:hAnsi="仿宋" w:eastAsia="仿宋" w:cs="仿宋"/>
          <w:sz w:val="24"/>
          <w:szCs w:val="24"/>
          <w:lang w:eastAsia="zh-CN"/>
        </w:rPr>
        <w:t>老师，联系方式028-87393</w:t>
      </w:r>
      <w:r>
        <w:rPr>
          <w:rFonts w:hint="eastAsia" w:ascii="仿宋" w:hAnsi="仿宋" w:eastAsia="仿宋" w:cs="仿宋"/>
          <w:sz w:val="24"/>
          <w:szCs w:val="24"/>
          <w:lang w:val="en-US" w:eastAsia="zh-CN"/>
        </w:rPr>
        <w:t>665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p>
    <w:p w14:paraId="7587483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）本项目样品评审采用盲样，在样品包装及样品上均不能出现</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及生产厂家企业名称、品牌商标等可能导致识别</w:t>
      </w:r>
      <w:r>
        <w:rPr>
          <w:rFonts w:hint="eastAsia" w:ascii="仿宋" w:hAnsi="仿宋" w:eastAsia="仿宋" w:cs="仿宋"/>
          <w:sz w:val="24"/>
          <w:szCs w:val="24"/>
          <w:lang w:val="en-US" w:eastAsia="zh-CN"/>
        </w:rPr>
        <w:t>响应</w:t>
      </w:r>
      <w:r>
        <w:rPr>
          <w:rFonts w:hint="eastAsia" w:ascii="仿宋" w:hAnsi="仿宋" w:eastAsia="仿宋" w:cs="仿宋"/>
          <w:sz w:val="24"/>
          <w:szCs w:val="24"/>
          <w:lang w:eastAsia="zh-CN"/>
        </w:rPr>
        <w:t>产品的相关信息。</w:t>
      </w:r>
    </w:p>
    <w:p w14:paraId="458707B6">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未按要求提供实物样品的，少送样品的，错送样品的其样品不得分。</w:t>
      </w:r>
    </w:p>
    <w:p w14:paraId="40DC46F9">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根据供应商提供的样品，未出现以下情况进行综合评定：</w:t>
      </w:r>
    </w:p>
    <w:p w14:paraId="20FB86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1）手提式灭火器：</w:t>
      </w:r>
      <w:r>
        <w:rPr>
          <w:rFonts w:hint="eastAsia" w:ascii="仿宋" w:hAnsi="仿宋" w:eastAsia="仿宋" w:cs="仿宋"/>
          <w:sz w:val="24"/>
          <w:szCs w:val="24"/>
          <w:highlight w:val="none"/>
          <w:lang w:val="en-US" w:eastAsia="zh-CN"/>
        </w:rPr>
        <w:t>①灭火器外观字体模糊不清、难以辨认；②缺灭火器名称、型号、规格、灭火剂类型和主成分及含量；③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w:t>
      </w:r>
    </w:p>
    <w:p w14:paraId="1CC315E1">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17式消防战斗服：①面料表面不平整或有明显织纹缺陷、褪色（如断丝、跳线、污渍、破损等）；②反光条表面不平整、反光不均匀，有气泡、起皱或脱落；③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w:t>
      </w:r>
    </w:p>
    <w:p w14:paraId="225FB65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kern w:val="0"/>
          <w:sz w:val="24"/>
          <w:szCs w:val="24"/>
          <w:lang w:val="en-US" w:eastAsia="zh-CN"/>
        </w:rPr>
        <w:t>3</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lang w:val="en-US" w:eastAsia="zh-CN"/>
        </w:rPr>
        <w:t>消防头盔：</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w:t>
      </w:r>
    </w:p>
    <w:p w14:paraId="54A4ED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2"/>
          <w:sz w:val="24"/>
          <w:szCs w:val="24"/>
          <w:highlight w:val="none"/>
          <w:lang w:val="en-US" w:eastAsia="zh-CN" w:bidi="ar-SA"/>
        </w:rPr>
        <w:t>4）过滤式消防呼吸器：</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w:t>
      </w:r>
    </w:p>
    <w:p w14:paraId="1C099F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★六、商务要求：</w:t>
      </w:r>
    </w:p>
    <w:p w14:paraId="3AF235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（一）服务期：2026年9月15日至2027年9月16日。</w:t>
      </w:r>
    </w:p>
    <w:p w14:paraId="3F960B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（二）交付时间与地点：</w:t>
      </w:r>
    </w:p>
    <w:p w14:paraId="7F7FDA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1.交付时间：每次接到采购人供货通知后，15日内完成产品配送、安装及调试；</w:t>
      </w:r>
    </w:p>
    <w:p w14:paraId="01BAC0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2.交付地点：四川省人民医院所有院区（具体地点按采购人通知执行）。</w:t>
      </w:r>
    </w:p>
    <w:p w14:paraId="296624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（三）资金支付条款：                                  </w:t>
      </w:r>
    </w:p>
    <w:p w14:paraId="3B0CA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实际供货数量、成交单价据实结算，单次供货验收合格后，供应商在5日内提交合法有效票据及其他相关请款资料；采购人收到上述票据及资料后55日内，通过银行转账支付当次货款的100%。供应商因自身原因逾期交货的，按逾期天数支付违约金（违约金=履约保证金×10%/天），累计不超过履约保证金总额。</w:t>
      </w:r>
    </w:p>
    <w:p w14:paraId="5091D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（四）验收：</w:t>
      </w:r>
    </w:p>
    <w:p w14:paraId="7B58D3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4.1验收时间：供应商完成单次交付工作后5日内通知采购人验收，采购人接供应商通知后10日内组织验收。     </w:t>
      </w:r>
    </w:p>
    <w:p w14:paraId="766A0E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4.2验收主体：采购人       </w:t>
      </w:r>
    </w:p>
    <w:p w14:paraId="5C1DE0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4.3验收方式：现场整体验收</w:t>
      </w:r>
    </w:p>
    <w:p w14:paraId="77B53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4.4验收程序：分期/分段验收</w:t>
      </w:r>
    </w:p>
    <w:p w14:paraId="0E21F7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4.5验收内容：按照基于本项目采购需求编制的采购文件要求及供应商响应文件情况，由供应商向采购人单次交付的全部内容。</w:t>
      </w:r>
    </w:p>
    <w:p w14:paraId="589F5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4.6验收标准：</w:t>
      </w:r>
    </w:p>
    <w:p w14:paraId="1BF304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734832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（2）基于本项目采购需求编制的采购文件相关技术、服务要求、成交供应商响应文件相关响应内容。</w:t>
      </w:r>
    </w:p>
    <w:p w14:paraId="25A7C0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（3）产品生产厂家出具的产品说明书、技术白皮书、医疗器械注册证或备案凭证等技术资料（如涉及）。</w:t>
      </w:r>
    </w:p>
    <w:p w14:paraId="5A5A7C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109DB9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5BAB49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（6）其他标准：无</w:t>
      </w:r>
    </w:p>
    <w:p w14:paraId="6F4358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4.7是否邀请本项目的其它潜在供应商：否</w:t>
      </w:r>
    </w:p>
    <w:p w14:paraId="4320B0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4.8是否邀请专家：否</w:t>
      </w:r>
    </w:p>
    <w:p w14:paraId="05C74C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4.9是否邀请第三方检测机构：否</w:t>
      </w:r>
    </w:p>
    <w:p w14:paraId="4C2572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4.10是否邀请服务对象：否</w:t>
      </w:r>
    </w:p>
    <w:p w14:paraId="53615C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4.11其它验收要求：</w:t>
      </w:r>
    </w:p>
    <w:p w14:paraId="78D8B9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一般器材须随货出具合格证、3C认证、检测报告等完整资质文件；供应商成交后送货至指定地点，采购人将对产品的规格、数量、外观、质量、出厂日期、资质文件及性能等进行全面核验。若产品与采购文件要求、供应商响应文件承诺不符，供应商须在5日内无条件更换合格产品，并承担全部运输及相关费用。</w:t>
      </w:r>
    </w:p>
    <w:p w14:paraId="34D95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消防装备（含ABC干粉灭火器、二氧化碳灭火器、水基灭火器、推车式干粉灭火器、水带含接口、一进二出分水器等）及消防员个人防护装备（17式消防战斗服、消防头盔等），交货时必须出具检验报告及强制性产品认证证书，缺一不可。</w:t>
      </w:r>
    </w:p>
    <w:p w14:paraId="0A53D5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针对项目中涉及国家强制认证（CCC）或前置许可、认证的产品，供应商须在响应文件中提交加盖公章的承诺函，承诺所投产品符合国家强制认证（CCC）及相关前置许可、认证要求，并在供货时一并提供相关许可、认证材料，确保资质合规。</w:t>
      </w:r>
    </w:p>
    <w:p w14:paraId="1660F3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BC2D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1E53B04C">
      <w:pPr>
        <w:pStyle w:val="3"/>
        <w:rPr>
          <w:rFonts w:ascii="Times New Roman" w:hAnsi="Times New Roman" w:cs="Times New Roman"/>
        </w:rPr>
      </w:pPr>
      <w:bookmarkStart w:id="15" w:name="_Toc22588"/>
      <w:bookmarkStart w:id="16" w:name="_Toc28789"/>
      <w:bookmarkStart w:id="17" w:name="_Toc13768"/>
      <w:r>
        <w:rPr>
          <w:rFonts w:ascii="Times New Roman" w:hAnsi="Times New Roman" w:cs="Times New Roman"/>
        </w:rPr>
        <w:t>评分标准</w:t>
      </w:r>
      <w:bookmarkEnd w:id="15"/>
      <w:bookmarkEnd w:id="16"/>
      <w:bookmarkEnd w:id="17"/>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1989"/>
        <w:gridCol w:w="1036"/>
        <w:gridCol w:w="4703"/>
        <w:gridCol w:w="1743"/>
      </w:tblGrid>
      <w:tr w14:paraId="64D3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6B6FEDE4">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序号</w:t>
            </w:r>
          </w:p>
        </w:tc>
        <w:tc>
          <w:tcPr>
            <w:tcW w:w="1881" w:type="dxa"/>
            <w:tcBorders>
              <w:top w:val="single" w:color="auto" w:sz="4" w:space="0"/>
              <w:left w:val="single" w:color="auto" w:sz="4" w:space="0"/>
              <w:bottom w:val="single" w:color="auto" w:sz="4" w:space="0"/>
              <w:right w:val="single" w:color="auto" w:sz="4" w:space="0"/>
            </w:tcBorders>
            <w:vAlign w:val="center"/>
          </w:tcPr>
          <w:p w14:paraId="15756B6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评审因素</w:t>
            </w:r>
          </w:p>
        </w:tc>
        <w:tc>
          <w:tcPr>
            <w:tcW w:w="980" w:type="dxa"/>
            <w:tcBorders>
              <w:top w:val="single" w:color="auto" w:sz="4" w:space="0"/>
              <w:left w:val="single" w:color="auto" w:sz="4" w:space="0"/>
              <w:bottom w:val="single" w:color="auto" w:sz="4" w:space="0"/>
              <w:right w:val="single" w:color="auto" w:sz="4" w:space="0"/>
            </w:tcBorders>
            <w:vAlign w:val="center"/>
          </w:tcPr>
          <w:p w14:paraId="28E6633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分值</w:t>
            </w:r>
          </w:p>
        </w:tc>
        <w:tc>
          <w:tcPr>
            <w:tcW w:w="4448" w:type="dxa"/>
            <w:tcBorders>
              <w:top w:val="single" w:color="auto" w:sz="4" w:space="0"/>
              <w:left w:val="single" w:color="auto" w:sz="4" w:space="0"/>
              <w:bottom w:val="single" w:color="auto" w:sz="4" w:space="0"/>
              <w:right w:val="single" w:color="auto" w:sz="4" w:space="0"/>
            </w:tcBorders>
            <w:vAlign w:val="center"/>
          </w:tcPr>
          <w:p w14:paraId="1A4CB11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评分标准</w:t>
            </w:r>
          </w:p>
        </w:tc>
        <w:tc>
          <w:tcPr>
            <w:tcW w:w="1648" w:type="dxa"/>
            <w:tcBorders>
              <w:top w:val="single" w:color="auto" w:sz="4" w:space="0"/>
              <w:left w:val="single" w:color="auto" w:sz="4" w:space="0"/>
              <w:bottom w:val="single" w:color="auto" w:sz="4" w:space="0"/>
              <w:right w:val="single" w:color="auto" w:sz="4" w:space="0"/>
            </w:tcBorders>
            <w:vAlign w:val="center"/>
          </w:tcPr>
          <w:p w14:paraId="0E7AD5BC">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说明</w:t>
            </w:r>
          </w:p>
        </w:tc>
      </w:tr>
      <w:tr w14:paraId="7933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4B204B08">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1</w:t>
            </w:r>
          </w:p>
        </w:tc>
        <w:tc>
          <w:tcPr>
            <w:tcW w:w="1881" w:type="dxa"/>
            <w:tcBorders>
              <w:top w:val="single" w:color="auto" w:sz="4" w:space="0"/>
              <w:left w:val="single" w:color="auto" w:sz="4" w:space="0"/>
              <w:bottom w:val="single" w:color="auto" w:sz="4" w:space="0"/>
              <w:right w:val="single" w:color="auto" w:sz="4" w:space="0"/>
            </w:tcBorders>
            <w:vAlign w:val="center"/>
          </w:tcPr>
          <w:p w14:paraId="753C8817">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报价</w:t>
            </w:r>
            <w:r>
              <w:rPr>
                <w:rFonts w:hint="eastAsia" w:ascii="仿宋" w:hAnsi="仿宋" w:eastAsia="仿宋" w:cs="仿宋"/>
                <w:sz w:val="24"/>
                <w:szCs w:val="24"/>
                <w:highlight w:val="none"/>
                <w:u w:val="none"/>
                <w:lang w:val="en-US" w:eastAsia="zh-CN"/>
              </w:rPr>
              <w:t>30</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7F8634BE">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bCs/>
                <w:sz w:val="24"/>
                <w:szCs w:val="24"/>
                <w:highlight w:val="none"/>
                <w:u w:val="none"/>
                <w:lang w:val="en-US" w:eastAsia="zh-CN"/>
              </w:rPr>
              <w:t>30</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727F165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文件要求且有效下浮率最高的为评审基准价，其价格分为满分。其他供应商的报价得分按照下列公式计算：报价得分= (1-基准价）／（1-下浮率)*</w:t>
            </w:r>
            <w:r>
              <w:rPr>
                <w:rFonts w:hint="eastAsia" w:ascii="仿宋" w:eastAsia="仿宋" w:cs="仿宋"/>
                <w:sz w:val="24"/>
                <w:szCs w:val="24"/>
                <w:lang w:val="en-US" w:eastAsia="zh-CN"/>
              </w:rPr>
              <w:t>30</w:t>
            </w:r>
            <w:r>
              <w:rPr>
                <w:rFonts w:hint="eastAsia" w:ascii="仿宋" w:eastAsia="仿宋" w:cs="仿宋"/>
                <w:sz w:val="24"/>
                <w:szCs w:val="24"/>
                <w:lang w:eastAsia="zh-CN"/>
              </w:rPr>
              <w:t>。</w:t>
            </w:r>
          </w:p>
        </w:tc>
        <w:tc>
          <w:tcPr>
            <w:tcW w:w="1648" w:type="dxa"/>
            <w:tcBorders>
              <w:top w:val="single" w:color="auto" w:sz="4" w:space="0"/>
              <w:left w:val="single" w:color="auto" w:sz="4" w:space="0"/>
              <w:bottom w:val="single" w:color="auto" w:sz="4" w:space="0"/>
              <w:right w:val="single" w:color="auto" w:sz="4" w:space="0"/>
            </w:tcBorders>
            <w:vAlign w:val="center"/>
          </w:tcPr>
          <w:p w14:paraId="7A39BA2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4482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right w:val="single" w:color="auto" w:sz="4" w:space="0"/>
            </w:tcBorders>
            <w:vAlign w:val="center"/>
          </w:tcPr>
          <w:p w14:paraId="412A54F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2</w:t>
            </w:r>
          </w:p>
        </w:tc>
        <w:tc>
          <w:tcPr>
            <w:tcW w:w="1881" w:type="dxa"/>
            <w:tcBorders>
              <w:top w:val="single" w:color="auto" w:sz="4" w:space="0"/>
              <w:left w:val="single" w:color="auto" w:sz="4" w:space="0"/>
              <w:right w:val="single" w:color="auto" w:sz="4" w:space="0"/>
            </w:tcBorders>
            <w:vAlign w:val="center"/>
          </w:tcPr>
          <w:p w14:paraId="54600586">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lang w:val="en-US" w:eastAsia="zh-CN"/>
              </w:rPr>
              <w:t>样品48</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149466CA">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48</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65D481A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供应商按采购文件要求提供样品，有下列情形的样品其对应评分项不得分：（1）少送样品的；（2）错送样品的。</w:t>
            </w:r>
          </w:p>
          <w:p w14:paraId="15D17648">
            <w:pPr>
              <w:numPr>
                <w:ilvl w:val="0"/>
                <w:numId w:val="13"/>
              </w:numPr>
              <w:spacing w:line="360" w:lineRule="auto"/>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手提式灭火器：样品无缺陷得14分，每有1处缺陷扣2分，扣完为止。（缺陷是</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灭火器外观字体模糊不清、难以辨认；</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缺灭火器名称、型号、规格、灭火剂类型和主成分及含量；</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以上任意一种情形）</w:t>
            </w:r>
          </w:p>
          <w:p w14:paraId="343ABE3B">
            <w:pPr>
              <w:numPr>
                <w:ilvl w:val="0"/>
                <w:numId w:val="13"/>
              </w:numPr>
              <w:spacing w:line="360" w:lineRule="auto"/>
              <w:ind w:left="0" w:lef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17式消防战斗服：样品无缺陷得14分，每有一处缺陷扣2分，扣完为止。（缺陷是指：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面料表面不平整或有明显织纹缺陷、褪色（如断丝、跳线、污渍、破损等）；</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反光条表面不平整、反光不均匀，有气泡、起皱或脱落；</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以上任意一种情形）</w:t>
            </w:r>
          </w:p>
          <w:p w14:paraId="3BA71DA5">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ascii="仿宋" w:hAnsi="仿宋" w:eastAsia="仿宋" w:cs="仿宋"/>
                <w:kern w:val="2"/>
                <w:sz w:val="24"/>
                <w:szCs w:val="24"/>
                <w:highlight w:val="none"/>
                <w:lang w:val="en-US" w:eastAsia="zh-CN" w:bidi="ar-SA"/>
              </w:rPr>
              <w:t>3.消防头盔：样品无缺陷得10分，每有一处缺陷扣2分，扣完为止。（缺陷是指：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缺型号规格、生产日期（批号）等永久性标志以上任意一种情形）</w:t>
            </w:r>
          </w:p>
          <w:p w14:paraId="6CA0AAA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kern w:val="2"/>
                <w:sz w:val="24"/>
                <w:szCs w:val="24"/>
                <w:highlight w:val="none"/>
                <w:lang w:val="en-US" w:eastAsia="zh-CN" w:bidi="ar-SA"/>
              </w:rPr>
              <w:t>4.过滤式消防呼吸器：满分10分，每有一处缺陷扣2分，扣完为止。（缺陷是指：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佩戴繁琐不便、系带不能快速放松拉紧以上任意一种情形）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709C4EE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0F3D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167ACB42">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3</w:t>
            </w:r>
          </w:p>
        </w:tc>
        <w:tc>
          <w:tcPr>
            <w:tcW w:w="1881" w:type="dxa"/>
            <w:tcBorders>
              <w:left w:val="single" w:color="auto" w:sz="4" w:space="0"/>
              <w:bottom w:val="single" w:color="auto" w:sz="4" w:space="0"/>
              <w:right w:val="single" w:color="auto" w:sz="4" w:space="0"/>
            </w:tcBorders>
            <w:vAlign w:val="center"/>
          </w:tcPr>
          <w:p w14:paraId="3C4DABD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服务方案10%</w:t>
            </w:r>
          </w:p>
        </w:tc>
        <w:tc>
          <w:tcPr>
            <w:tcW w:w="980" w:type="dxa"/>
            <w:tcBorders>
              <w:top w:val="single" w:color="auto" w:sz="4" w:space="0"/>
              <w:left w:val="single" w:color="auto" w:sz="4" w:space="0"/>
              <w:bottom w:val="single" w:color="auto" w:sz="4" w:space="0"/>
              <w:right w:val="single" w:color="auto" w:sz="4" w:space="0"/>
            </w:tcBorders>
            <w:vAlign w:val="center"/>
          </w:tcPr>
          <w:p w14:paraId="31E0EC8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10分</w:t>
            </w:r>
          </w:p>
        </w:tc>
        <w:tc>
          <w:tcPr>
            <w:tcW w:w="4448" w:type="dxa"/>
            <w:tcBorders>
              <w:top w:val="single" w:color="auto" w:sz="4" w:space="0"/>
              <w:left w:val="single" w:color="auto" w:sz="4" w:space="0"/>
              <w:bottom w:val="single" w:color="auto" w:sz="4" w:space="0"/>
              <w:right w:val="single" w:color="auto" w:sz="4" w:space="0"/>
            </w:tcBorders>
            <w:vAlign w:val="center"/>
          </w:tcPr>
          <w:p w14:paraId="6A6E27F5">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供应商针对本项目制定完整的项目实施方案，包括但不限于以下内容：</w:t>
            </w:r>
          </w:p>
          <w:p w14:paraId="6F2431F1">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1、进度保障：建立快速响应机制，明确需求对接、采购、配送各环节时限，确保满足交付要求；</w:t>
            </w:r>
          </w:p>
          <w:p w14:paraId="53D8575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2、质量管控：建立产品采购审核、到货检验、运输防护全流程质量控制体系；</w:t>
            </w:r>
          </w:p>
          <w:p w14:paraId="3367483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3、人员配置：配备专职项目负责人、配送人员及售后人员，提供24小时联系渠道；</w:t>
            </w:r>
          </w:p>
          <w:p w14:paraId="75D9460C">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4、运输配送：制定适配医院多院区零星供货的运输方案，确保产品安全、无损送达采购人指定地点，不影响医院正常诊疗秩序。</w:t>
            </w:r>
          </w:p>
          <w:p w14:paraId="4DD83DBD">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rPr>
              <w:t>每有一项内容缺失扣</w:t>
            </w:r>
            <w:r>
              <w:rPr>
                <w:rFonts w:hint="eastAsia" w:ascii="仿宋" w:hAnsi="仿宋" w:eastAsia="仿宋" w:cs="仿宋"/>
                <w:bCs/>
                <w:sz w:val="24"/>
                <w:szCs w:val="24"/>
                <w:highlight w:val="none"/>
                <w:u w:val="none"/>
                <w:lang w:val="en-US" w:eastAsia="zh-CN"/>
              </w:rPr>
              <w:t>2.5</w:t>
            </w:r>
            <w:r>
              <w:rPr>
                <w:rFonts w:hint="eastAsia" w:ascii="仿宋" w:hAnsi="仿宋" w:eastAsia="仿宋" w:cs="仿宋"/>
                <w:bCs/>
                <w:sz w:val="24"/>
                <w:szCs w:val="24"/>
                <w:highlight w:val="none"/>
                <w:u w:val="none"/>
              </w:rPr>
              <w:t>分，每有一处内容有缺陷的扣</w:t>
            </w:r>
            <w:r>
              <w:rPr>
                <w:rFonts w:hint="eastAsia" w:ascii="仿宋" w:hAnsi="仿宋" w:eastAsia="仿宋" w:cs="仿宋"/>
                <w:bCs/>
                <w:sz w:val="24"/>
                <w:szCs w:val="24"/>
                <w:highlight w:val="none"/>
                <w:u w:val="none"/>
                <w:lang w:val="en-US" w:eastAsia="zh-CN"/>
              </w:rPr>
              <w:t>1.25</w:t>
            </w:r>
            <w:r>
              <w:rPr>
                <w:rFonts w:hint="eastAsia" w:ascii="仿宋" w:hAnsi="仿宋" w:eastAsia="仿宋" w:cs="仿宋"/>
                <w:bCs/>
                <w:sz w:val="24"/>
                <w:szCs w:val="24"/>
                <w:highlight w:val="none"/>
                <w:u w:val="none"/>
              </w:rPr>
              <w:t>分，直至本项分值扣完为止。</w:t>
            </w:r>
          </w:p>
          <w:p w14:paraId="33CA1CA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eastAsia="zh-CN"/>
              </w:rPr>
            </w:pPr>
            <w:r>
              <w:rPr>
                <w:rFonts w:hint="eastAsia" w:ascii="仿宋" w:hAnsi="仿宋" w:eastAsia="仿宋" w:cs="仿宋"/>
                <w:sz w:val="24"/>
                <w:szCs w:val="24"/>
                <w:highlight w:val="none"/>
                <w:u w:val="none"/>
                <w:lang w:val="en-US" w:eastAsia="zh-CN"/>
              </w:rPr>
              <w:t>注：缺陷</w:t>
            </w:r>
            <w:r>
              <w:rPr>
                <w:rFonts w:hint="eastAsia" w:ascii="仿宋" w:hAnsi="仿宋" w:eastAsia="仿宋" w:cs="仿宋"/>
                <w:sz w:val="24"/>
                <w:szCs w:val="24"/>
                <w:highlight w:val="none"/>
                <w:u w:val="none"/>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3ED77F14">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37D3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3B400C89">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4</w:t>
            </w:r>
          </w:p>
        </w:tc>
        <w:tc>
          <w:tcPr>
            <w:tcW w:w="1881" w:type="dxa"/>
            <w:tcBorders>
              <w:left w:val="single" w:color="auto" w:sz="4" w:space="0"/>
              <w:bottom w:val="single" w:color="auto" w:sz="4" w:space="0"/>
              <w:right w:val="single" w:color="auto" w:sz="4" w:space="0"/>
            </w:tcBorders>
            <w:vAlign w:val="center"/>
          </w:tcPr>
          <w:p w14:paraId="1A718BE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w:t>
            </w:r>
            <w:r>
              <w:rPr>
                <w:rFonts w:hint="eastAsia" w:ascii="仿宋" w:hAnsi="仿宋" w:eastAsia="仿宋" w:cs="仿宋"/>
                <w:sz w:val="24"/>
                <w:szCs w:val="24"/>
                <w:highlight w:val="none"/>
                <w:u w:val="none"/>
                <w:lang w:val="en-US" w:eastAsia="zh-CN"/>
              </w:rPr>
              <w:t>12</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0184E26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12</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1A3DCA1F">
            <w:pPr>
              <w:keepNext w:val="0"/>
              <w:keepLines w:val="0"/>
              <w:pageBreakBefore w:val="0"/>
              <w:widowControl w:val="0"/>
              <w:kinsoku/>
              <w:wordWrap/>
              <w:overflowPunct/>
              <w:topLinePunct w:val="0"/>
              <w:autoSpaceDE/>
              <w:autoSpaceDN/>
              <w:bidi w:val="0"/>
              <w:adjustRightInd/>
              <w:snapToGrid/>
              <w:ind w:left="0"/>
              <w:jc w:val="both"/>
              <w:textAlignment w:val="auto"/>
              <w:rPr>
                <w:rFonts w:hint="default" w:ascii="仿宋" w:hAnsi="仿宋" w:eastAsia="仿宋" w:cs="仿宋"/>
                <w:sz w:val="24"/>
                <w:szCs w:val="24"/>
                <w:highlight w:val="none"/>
                <w:u w:val="none"/>
                <w:lang w:val="en-US"/>
              </w:rPr>
            </w:pPr>
            <w:r>
              <w:rPr>
                <w:rFonts w:hint="eastAsia" w:ascii="仿宋" w:hAnsi="仿宋" w:eastAsia="仿宋" w:cs="仿宋"/>
                <w:color w:val="auto"/>
                <w:sz w:val="24"/>
                <w:szCs w:val="24"/>
                <w:highlight w:val="none"/>
                <w:lang w:val="en-US" w:eastAsia="zh-CN"/>
              </w:rPr>
              <w:t>供应商提供自2023年1月1日（含）起，大型企事业单位消防器材购置类项目的履约经验，在满足1个的基础上，每多提交1个得3分，本项最多得12分</w:t>
            </w:r>
          </w:p>
          <w:p w14:paraId="642903D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业绩需提供合同或中标(成交)通知书复印件并加盖公章。</w:t>
            </w:r>
          </w:p>
        </w:tc>
        <w:tc>
          <w:tcPr>
            <w:tcW w:w="1648" w:type="dxa"/>
            <w:tcBorders>
              <w:top w:val="single" w:color="auto" w:sz="4" w:space="0"/>
              <w:left w:val="single" w:color="auto" w:sz="4" w:space="0"/>
              <w:bottom w:val="single" w:color="auto" w:sz="4" w:space="0"/>
              <w:right w:val="single" w:color="auto" w:sz="4" w:space="0"/>
            </w:tcBorders>
            <w:vAlign w:val="center"/>
          </w:tcPr>
          <w:p w14:paraId="4F9F9A2A">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bl>
    <w:p w14:paraId="7E701686">
      <w:pPr>
        <w:rPr>
          <w:rFonts w:ascii="Times New Roman" w:hAnsi="Times New Roman" w:cs="Times New Roman"/>
        </w:rPr>
      </w:pPr>
    </w:p>
    <w:p w14:paraId="5F7AF94B">
      <w:r>
        <w:br w:type="page"/>
      </w:r>
    </w:p>
    <w:p w14:paraId="0B9F1C4B">
      <w:pPr>
        <w:pStyle w:val="3"/>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19851"/>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9041"/>
      <w:bookmarkStart w:id="29" w:name="_Toc1544"/>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24859"/>
      <w:bookmarkStart w:id="33" w:name="_Toc1690"/>
      <w:bookmarkStart w:id="34" w:name="_Toc3274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3558"/>
      <w:bookmarkStart w:id="37" w:name="_Toc6803"/>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526"/>
      <w:bookmarkStart w:id="41" w:name="_Toc2989"/>
      <w:bookmarkStart w:id="42" w:name="_Toc599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5056"/>
      <w:bookmarkStart w:id="45" w:name="_Toc19987"/>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6482"/>
      <w:bookmarkStart w:id="49" w:name="_Toc21519"/>
      <w:bookmarkStart w:id="50" w:name="_Toc14829"/>
      <w:bookmarkStart w:id="51" w:name="_Toc16029"/>
      <w:bookmarkStart w:id="52" w:name="_Toc11352"/>
      <w:bookmarkStart w:id="53" w:name="_Toc3023"/>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4"/>
        <w:ind w:firstLine="0"/>
      </w:pPr>
      <w:r>
        <w:t>承诺函</w:t>
      </w:r>
      <w:bookmarkEnd w:id="48"/>
      <w:bookmarkEnd w:id="49"/>
      <w:bookmarkEnd w:id="50"/>
      <w:bookmarkEnd w:id="51"/>
      <w:bookmarkEnd w:id="52"/>
      <w:bookmarkEnd w:id="53"/>
    </w:p>
    <w:p w14:paraId="023F6D54">
      <w:pPr>
        <w:pStyle w:val="2"/>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31838"/>
      <w:bookmarkStart w:id="56" w:name="_Toc30971"/>
      <w:bookmarkStart w:id="57" w:name="_Toc4305"/>
      <w:bookmarkStart w:id="58" w:name="_Toc22676"/>
      <w:r>
        <w:rPr>
          <w:rFonts w:ascii="Times New Roman" w:hAnsi="Times New Roman" w:cs="Times New Roman"/>
        </w:rPr>
        <w:br w:type="page"/>
      </w:r>
    </w:p>
    <w:p w14:paraId="72845348">
      <w:pPr>
        <w:pStyle w:val="4"/>
        <w:ind w:firstLine="0"/>
      </w:pPr>
      <w:r>
        <w:t>具有独立承担民事责任的能力</w:t>
      </w:r>
      <w:bookmarkEnd w:id="54"/>
      <w:bookmarkEnd w:id="55"/>
      <w:bookmarkEnd w:id="56"/>
      <w:bookmarkEnd w:id="57"/>
      <w:bookmarkEnd w:id="58"/>
    </w:p>
    <w:p w14:paraId="597BE704">
      <w:pPr>
        <w:pStyle w:val="2"/>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4"/>
        <w:ind w:firstLine="0"/>
        <w:rPr>
          <w:rStyle w:val="31"/>
          <w:szCs w:val="28"/>
        </w:rPr>
      </w:pPr>
      <w:r>
        <w:rPr>
          <w:bCs/>
        </w:rPr>
        <w:br w:type="page"/>
      </w:r>
      <w:bookmarkStart w:id="59" w:name="_Toc15613"/>
      <w:bookmarkStart w:id="60" w:name="_Toc27186"/>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76B8A196">
      <w:pPr>
        <w:pStyle w:val="4"/>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4"/>
        <w:ind w:firstLine="0"/>
        <w:rPr>
          <w:szCs w:val="32"/>
        </w:rPr>
      </w:pPr>
      <w:r>
        <w:rPr>
          <w:szCs w:val="32"/>
        </w:rPr>
        <w:br w:type="page"/>
      </w:r>
      <w:bookmarkStart w:id="67" w:name="_Toc25638"/>
      <w:bookmarkStart w:id="68" w:name="_Toc20589"/>
      <w:bookmarkStart w:id="69" w:name="_Toc12015"/>
      <w:bookmarkStart w:id="70" w:name="_Toc15526"/>
      <w:bookmarkStart w:id="71" w:name="_Toc27661"/>
      <w:bookmarkStart w:id="72" w:name="_Toc11351"/>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2"/>
        <w:snapToGrid w:val="0"/>
        <w:spacing w:after="0" w:line="500" w:lineRule="exact"/>
        <w:ind w:firstLine="480" w:firstLineChars="200"/>
        <w:rPr>
          <w:rFonts w:ascii="Times New Roman" w:hAnsi="Times New Roman" w:eastAsia="仿宋" w:cs="Times New Roman"/>
          <w:sz w:val="24"/>
        </w:rPr>
      </w:pPr>
    </w:p>
    <w:p w14:paraId="069582C9">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4"/>
        <w:ind w:firstLine="0"/>
        <w:rPr>
          <w:szCs w:val="32"/>
        </w:rPr>
      </w:pPr>
      <w:r>
        <w:rPr>
          <w:szCs w:val="32"/>
        </w:rPr>
        <w:br w:type="page"/>
      </w:r>
      <w:bookmarkStart w:id="73" w:name="_Toc16435"/>
      <w:bookmarkStart w:id="74" w:name="_Toc23967"/>
      <w:bookmarkStart w:id="75" w:name="_Toc1074"/>
      <w:bookmarkStart w:id="76" w:name="_Toc12967"/>
      <w:bookmarkStart w:id="77" w:name="_Toc2041"/>
      <w:bookmarkStart w:id="78" w:name="_Toc26969"/>
      <w:r>
        <w:rPr>
          <w:rStyle w:val="39"/>
          <w:b/>
        </w:rPr>
        <w:t>采购需求偏离表</w:t>
      </w:r>
      <w:bookmarkEnd w:id="73"/>
      <w:bookmarkEnd w:id="74"/>
      <w:bookmarkEnd w:id="75"/>
      <w:bookmarkEnd w:id="76"/>
      <w:bookmarkEnd w:id="77"/>
      <w:bookmarkEnd w:id="78"/>
    </w:p>
    <w:p w14:paraId="5B84959E">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4"/>
        <w:ind w:firstLine="0"/>
        <w:rPr>
          <w:bCs/>
          <w:szCs w:val="32"/>
        </w:rPr>
      </w:pPr>
      <w:r>
        <w:rPr>
          <w:szCs w:val="32"/>
        </w:rPr>
        <w:br w:type="page"/>
      </w:r>
      <w:bookmarkStart w:id="79" w:name="_Toc28634"/>
      <w:bookmarkStart w:id="80" w:name="_Toc24806"/>
      <w:bookmarkStart w:id="81" w:name="_Toc31686"/>
      <w:bookmarkStart w:id="82" w:name="_Toc26839"/>
      <w:bookmarkStart w:id="83" w:name="_Toc21082"/>
      <w:bookmarkStart w:id="84" w:name="_Toc1369"/>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1483D64D">
      <w:pPr>
        <w:pStyle w:val="4"/>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2"/>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2"/>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2"/>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2"/>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50"/>
        <w:gridCol w:w="2610"/>
        <w:gridCol w:w="1254"/>
        <w:gridCol w:w="1294"/>
        <w:gridCol w:w="1256"/>
        <w:gridCol w:w="1277"/>
        <w:gridCol w:w="2269"/>
      </w:tblGrid>
      <w:tr w14:paraId="3962E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31941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25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DE6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采购产品名称</w:t>
            </w:r>
          </w:p>
        </w:tc>
        <w:tc>
          <w:tcPr>
            <w:tcW w:w="60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621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生产厂家</w:t>
            </w:r>
          </w:p>
        </w:tc>
        <w:tc>
          <w:tcPr>
            <w:tcW w:w="621"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D0B6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品牌、规格型号</w:t>
            </w:r>
          </w:p>
        </w:tc>
        <w:tc>
          <w:tcPr>
            <w:tcW w:w="60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3BF7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61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482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统一下浮率（%）</w:t>
            </w:r>
          </w:p>
        </w:tc>
        <w:tc>
          <w:tcPr>
            <w:tcW w:w="1089" w:type="pct"/>
            <w:tcBorders>
              <w:top w:val="single" w:color="000000" w:sz="6" w:space="0"/>
              <w:left w:val="nil"/>
              <w:bottom w:val="single" w:color="auto" w:sz="4" w:space="0"/>
              <w:right w:val="single" w:color="000000" w:sz="6" w:space="0"/>
            </w:tcBorders>
            <w:shd w:val="clear" w:color="auto" w:fill="auto"/>
            <w:tcMar>
              <w:top w:w="0" w:type="dxa"/>
              <w:left w:w="105" w:type="dxa"/>
              <w:bottom w:w="0" w:type="dxa"/>
              <w:right w:w="105" w:type="dxa"/>
            </w:tcMar>
            <w:vAlign w:val="center"/>
          </w:tcPr>
          <w:p w14:paraId="3E633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r>
      <w:tr w14:paraId="2B84F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D46DB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600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C3DE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4E82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E959B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restart"/>
            <w:tcBorders>
              <w:top w:val="nil"/>
              <w:left w:val="nil"/>
              <w:right w:val="single" w:color="auto" w:sz="4" w:space="0"/>
            </w:tcBorders>
            <w:shd w:val="clear" w:color="auto" w:fill="auto"/>
            <w:tcMar>
              <w:top w:w="0" w:type="dxa"/>
              <w:left w:w="105" w:type="dxa"/>
              <w:bottom w:w="0" w:type="dxa"/>
              <w:right w:w="105" w:type="dxa"/>
            </w:tcMar>
            <w:vAlign w:val="center"/>
          </w:tcPr>
          <w:p w14:paraId="458D62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017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4E7F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B741E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CDDC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DC1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D5FB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8BAF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77D74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30040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5ED3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72B4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9FFA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8DFD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56A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DDA2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A821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A48F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C556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FF1E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BFC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1A62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995E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8E32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E34C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E5F1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6765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AFE8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3A58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B03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5EC3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F285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D6C53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E5A9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046E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5C71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B095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10C6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6ED2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B5A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DA44A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F8C4A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59EE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BA0AC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EF48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B04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E5A1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0E7B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5853F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9AC3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F473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CAB2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2AC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C77F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7ACF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E0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85686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382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41CA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05368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C60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1FBD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F54C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B922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6A7CB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DB9B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F633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DE80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8D5D0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4C8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FA69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7752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5EFAC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CD73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CB31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2C5E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A336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DA10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6E24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D418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E4B74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D3DC4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9A1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3664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B4BA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38C6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6262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A23F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4B847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2F61A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3ABD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1AB3E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A9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1C05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3CBA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011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F2685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67EA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B552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A42C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0A67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B18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FD89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9200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B4B56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09BD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82DC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DB20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A3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6178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13DF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57E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22FA1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14B3E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2951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0C2C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7069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6403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E703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C0D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DBD8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002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256C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2CA6E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0758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074D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A12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0C0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3B82D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938F0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F5A6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5E9F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C3F5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279C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E54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5619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51BBF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8394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7DA9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A8B7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EEFA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599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02CA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506E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00819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A297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8B33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458D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9E32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C6AC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8681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C960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E95B7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328CD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EB84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8C3E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E4EE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1869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82D1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2966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41FE8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0C66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240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066C9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32C9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2DD0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89C0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484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B1297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0C37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82E3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C6B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1415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B26F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B3E1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AAD7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D524C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1BFB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E23E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425D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5EBA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EBC5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5194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E10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8C0E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657F8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3FC5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C5748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C278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5CC8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15F9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451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468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E36E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9A33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3752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1DB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2714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706C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B863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E9A9D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9301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260B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308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06B3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AC55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8E3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0AE1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92E7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34520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1CBC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903E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A620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3BF7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6A3B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2A35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A0473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286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B4A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12124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598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2F7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558A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3C08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AA78E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1094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D776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C14EB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44D5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BABA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F1DA1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0D6E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96F38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D78F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E322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69790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BBB9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C4FE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5569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253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3E03B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D78F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080A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B8AC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724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6F30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DCBD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37D8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BF8C9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AA1B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45F4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23A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AEE0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F41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AA0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909E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BAE07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EEA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496C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343A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340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4DE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CED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460D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6FD40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68DDC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BDE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EAA2F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253" w:type="pct"/>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480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602" w:type="pct"/>
            <w:vMerge w:val="restart"/>
            <w:tcBorders>
              <w:top w:val="nil"/>
              <w:left w:val="nil"/>
              <w:right w:val="single" w:color="000000" w:sz="6" w:space="0"/>
            </w:tcBorders>
            <w:shd w:val="clear" w:color="auto" w:fill="auto"/>
            <w:tcMar>
              <w:top w:w="0" w:type="dxa"/>
              <w:left w:w="105" w:type="dxa"/>
              <w:bottom w:w="0" w:type="dxa"/>
              <w:right w:w="105" w:type="dxa"/>
            </w:tcMar>
            <w:vAlign w:val="center"/>
          </w:tcPr>
          <w:p w14:paraId="5654D9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42CB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restart"/>
            <w:tcBorders>
              <w:top w:val="nil"/>
              <w:left w:val="nil"/>
              <w:right w:val="single" w:color="000000" w:sz="6" w:space="0"/>
            </w:tcBorders>
            <w:shd w:val="clear" w:color="auto" w:fill="auto"/>
            <w:tcMar>
              <w:top w:w="0" w:type="dxa"/>
              <w:left w:w="105" w:type="dxa"/>
              <w:bottom w:w="0" w:type="dxa"/>
              <w:right w:w="105" w:type="dxa"/>
            </w:tcMar>
            <w:vAlign w:val="center"/>
          </w:tcPr>
          <w:p w14:paraId="78691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3DAC5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FFECB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EF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B409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AC24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3E365A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941C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332BF6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0C6FE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ABB5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14DD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EE958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C731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1E815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B834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501B7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4B6A8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55B38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085B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88469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B1E1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2789FA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CCFE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641482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89878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A633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D99D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9BE93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E19C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2D9A6A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5C9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83BA0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41A6C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72778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8C18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F8E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0468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7EC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410E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768C9B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C087F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FF0CF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5ECB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1ED9E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DCEF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52AD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FA4F0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026CB8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57929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FDF2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0ED3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24AF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A4D2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7744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1A6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FBA76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A7D8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641A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4A65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11BFA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758A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ACA4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C86C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55A5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A7FE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E6B9E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1A34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05AB9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1F35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A42D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635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4C34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53BC6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600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ACC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49B0D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164D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F53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C239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E9C5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0A69C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F0E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4BF8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AF133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7E11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74D6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5F1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928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36776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C45B9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7EFB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75968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BD83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C747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7771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48BA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213F8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6F06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2E7B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0666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84D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6D66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FA24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BB31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B6E9E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17086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F3B8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FC26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497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EC69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A6D8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E843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8E963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6185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9E7B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A489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2E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17EE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2CBB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F461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AC66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530DA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54BA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4A0A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1BF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C89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2DE2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7308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F3F22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5BF8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B305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3F8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AADD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1110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7BB0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9848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50182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55CA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4B93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81554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335E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FDA3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FEB0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89A2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31650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1257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FA84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D455A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BE94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1D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09C8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0BC1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FFF61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ED73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FD47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595A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07E7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C84E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F78B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DBD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BF8DA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4B74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842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E19C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B040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13BE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05C0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12A0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1CD1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C06D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1AD7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1A6AD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AB57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FE74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DCBA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6DE2F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431AA9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2513504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0468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3C175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0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9917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E96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05A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2B5301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442DF7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4382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E80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29D4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4219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FD6BD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A5381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1D95AC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FB983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87B2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C8AB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E223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5A6F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547F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12A3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4D9F80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1DA4A8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674D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B93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B6E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B4324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E9CD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CBAE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52490D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54E50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EC2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0F9F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AC3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3E58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0C72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5DEA3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528B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3DD5B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BD8A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79EA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A86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C9AA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194B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3FA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29AC09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640473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4064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298FF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3431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BD27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3CEE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9841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35C752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20959D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190B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9331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638B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7582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9C8B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AC2C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bottom w:val="single" w:color="000000" w:sz="6" w:space="0"/>
              <w:right w:val="single" w:color="auto" w:sz="4" w:space="0"/>
            </w:tcBorders>
            <w:shd w:val="clear" w:color="auto" w:fill="auto"/>
            <w:noWrap/>
            <w:tcMar>
              <w:top w:w="0" w:type="dxa"/>
              <w:left w:w="105" w:type="dxa"/>
              <w:bottom w:w="0" w:type="dxa"/>
              <w:right w:w="105" w:type="dxa"/>
            </w:tcMar>
            <w:vAlign w:val="center"/>
          </w:tcPr>
          <w:p w14:paraId="33EBEB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3776F4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bl>
    <w:p w14:paraId="2FEB8A30"/>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2"/>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en-US" w:eastAsia="zh-CN"/>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bookmarkStart w:id="98" w:name="_GoBack"/>
      <w:bookmarkEnd w:id="98"/>
    </w:p>
    <w:p w14:paraId="5189AD1E">
      <w:pPr>
        <w:pStyle w:val="4"/>
        <w:ind w:firstLine="0"/>
      </w:pPr>
      <w:r>
        <w:t>供应商认为需要提供的其他材料</w:t>
      </w:r>
      <w:bookmarkEnd w:id="85"/>
      <w:bookmarkEnd w:id="86"/>
      <w:bookmarkEnd w:id="87"/>
      <w:bookmarkEnd w:id="89"/>
      <w:bookmarkEnd w:id="90"/>
      <w:bookmarkEnd w:id="91"/>
    </w:p>
    <w:p w14:paraId="29C34B71">
      <w:pPr>
        <w:pStyle w:val="2"/>
        <w:jc w:val="center"/>
        <w:rPr>
          <w:rFonts w:ascii="Times New Roman" w:hAnsi="Times New Roman" w:eastAsia="仿宋" w:cs="Times New Roman"/>
        </w:rPr>
      </w:pPr>
    </w:p>
    <w:p w14:paraId="4431E4F9">
      <w:pPr>
        <w:pStyle w:val="2"/>
        <w:jc w:val="center"/>
        <w:rPr>
          <w:rFonts w:ascii="Times New Roman" w:hAnsi="Times New Roman" w:eastAsia="仿宋" w:cs="Times New Roman"/>
        </w:rPr>
      </w:pPr>
    </w:p>
    <w:p w14:paraId="492A03C4">
      <w:pPr>
        <w:pStyle w:val="2"/>
        <w:jc w:val="center"/>
        <w:rPr>
          <w:rFonts w:ascii="Times New Roman" w:hAnsi="Times New Roman" w:eastAsia="仿宋" w:cs="Times New Roman"/>
        </w:rPr>
      </w:pPr>
    </w:p>
    <w:p w14:paraId="6BDF51D7">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3"/>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9DE4278">
      <w:pPr>
        <w:jc w:val="center"/>
        <w:rPr>
          <w:rFonts w:ascii="黑体" w:hAnsi="黑体" w:eastAsia="黑体"/>
          <w:b/>
          <w:bCs/>
          <w:sz w:val="48"/>
          <w:szCs w:val="48"/>
        </w:rPr>
      </w:pPr>
      <w:r>
        <w:rPr>
          <w:rFonts w:ascii="黑体" w:hAnsi="黑体" w:eastAsia="黑体"/>
          <w:b/>
          <w:bCs/>
          <w:sz w:val="48"/>
          <w:szCs w:val="48"/>
        </w:rPr>
        <w:t>货 物 采 购 合 同</w:t>
      </w:r>
    </w:p>
    <w:p w14:paraId="5B79EA56">
      <w:pPr>
        <w:contextualSpacing/>
        <w:rPr>
          <w:rFonts w:ascii="Times New Roman" w:hAnsi="Times New Roman"/>
          <w:szCs w:val="21"/>
        </w:rPr>
      </w:pPr>
      <w:permStart w:id="0" w:edGrp="everyone"/>
    </w:p>
    <w:p w14:paraId="5AAD32C4">
      <w:pPr>
        <w:pStyle w:val="2"/>
        <w:rPr>
          <w:rFonts w:hint="eastAsia"/>
        </w:rPr>
      </w:pPr>
    </w:p>
    <w:tbl>
      <w:tblPr>
        <w:tblStyle w:val="18"/>
        <w:tblW w:w="5000" w:type="pct"/>
        <w:jc w:val="center"/>
        <w:tblLayout w:type="autofit"/>
        <w:tblCellMar>
          <w:top w:w="0" w:type="dxa"/>
          <w:left w:w="0" w:type="dxa"/>
          <w:bottom w:w="0" w:type="dxa"/>
          <w:right w:w="0" w:type="dxa"/>
        </w:tblCellMar>
      </w:tblPr>
      <w:tblGrid>
        <w:gridCol w:w="4962"/>
        <w:gridCol w:w="5242"/>
      </w:tblGrid>
      <w:tr w14:paraId="368F0F92">
        <w:tblPrEx>
          <w:tblCellMar>
            <w:top w:w="0" w:type="dxa"/>
            <w:left w:w="0" w:type="dxa"/>
            <w:bottom w:w="0" w:type="dxa"/>
            <w:right w:w="0" w:type="dxa"/>
          </w:tblCellMar>
        </w:tblPrEx>
        <w:trPr>
          <w:trHeight w:val="919" w:hRule="atLeast"/>
          <w:jc w:val="center"/>
        </w:trPr>
        <w:tc>
          <w:tcPr>
            <w:tcW w:w="10204" w:type="dxa"/>
            <w:gridSpan w:val="2"/>
            <w:noWrap w:val="0"/>
            <w:vAlign w:val="top"/>
          </w:tcPr>
          <w:p w14:paraId="197B0E19">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14:paraId="473821C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592D013D">
        <w:tblPrEx>
          <w:tblCellMar>
            <w:top w:w="0" w:type="dxa"/>
            <w:left w:w="0" w:type="dxa"/>
            <w:bottom w:w="0" w:type="dxa"/>
            <w:right w:w="0" w:type="dxa"/>
          </w:tblCellMar>
        </w:tblPrEx>
        <w:trPr>
          <w:jc w:val="center"/>
        </w:trPr>
        <w:tc>
          <w:tcPr>
            <w:tcW w:w="4962" w:type="dxa"/>
            <w:noWrap w:val="0"/>
            <w:vAlign w:val="top"/>
          </w:tcPr>
          <w:p w14:paraId="5E20B40D">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0B6EA586">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4C37554C">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14:paraId="51F10ADB">
            <w:pPr>
              <w:rPr>
                <w:rFonts w:ascii="Times New Roman" w:hAnsi="Times New Roman"/>
                <w:szCs w:val="21"/>
              </w:rPr>
            </w:pPr>
            <w:r>
              <w:rPr>
                <w:rFonts w:ascii="Times New Roman" w:hAnsi="Times New Roman"/>
                <w:b/>
                <w:bCs/>
                <w:szCs w:val="21"/>
              </w:rPr>
              <w:t>电话</w:t>
            </w:r>
            <w:r>
              <w:rPr>
                <w:rFonts w:ascii="Times New Roman" w:hAnsi="Times New Roman"/>
                <w:szCs w:val="21"/>
              </w:rPr>
              <w:t>：***</w:t>
            </w:r>
          </w:p>
          <w:p w14:paraId="7C4927E8">
            <w:pPr>
              <w:pStyle w:val="2"/>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14:paraId="15E0F0C9">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EE62447">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2F685979">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3FFDD798">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14:paraId="76898990">
            <w:pPr>
              <w:pStyle w:val="2"/>
              <w:rPr>
                <w:rFonts w:hint="eastAsia"/>
              </w:rPr>
            </w:pPr>
            <w:r>
              <w:rPr>
                <w:rFonts w:hint="eastAsia" w:ascii="Times New Roman" w:hAnsi="Times New Roman"/>
                <w:b/>
                <w:bCs/>
                <w:szCs w:val="21"/>
              </w:rPr>
              <w:t>电子邮件：*</w:t>
            </w:r>
            <w:r>
              <w:rPr>
                <w:rFonts w:ascii="Times New Roman" w:hAnsi="Times New Roman"/>
                <w:b/>
                <w:bCs/>
                <w:szCs w:val="21"/>
              </w:rPr>
              <w:t>**</w:t>
            </w:r>
          </w:p>
        </w:tc>
      </w:tr>
      <w:permEnd w:id="0"/>
    </w:tbl>
    <w:p w14:paraId="1040C8B3">
      <w:pPr>
        <w:adjustRightInd w:val="0"/>
        <w:snapToGrid w:val="0"/>
        <w:spacing w:before="312" w:beforeLines="100" w:after="312" w:afterLines="100"/>
        <w:contextualSpacing/>
        <w:jc w:val="left"/>
        <w:rPr>
          <w:rFonts w:ascii="Times New Roman" w:hAnsi="Times New Roman"/>
          <w:color w:val="000000"/>
          <w:szCs w:val="21"/>
        </w:rPr>
      </w:pPr>
    </w:p>
    <w:p w14:paraId="2844CCE3">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1" w:edGrp="everyone"/>
      <w:r>
        <w:rPr>
          <w:color w:val="000000"/>
          <w:szCs w:val="21"/>
        </w:rPr>
        <w:t>：</w:t>
      </w:r>
      <w:r>
        <w:rPr>
          <w:szCs w:val="21"/>
        </w:rPr>
        <w:t>***</w:t>
      </w:r>
      <w:permEnd w:id="1"/>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4C817C2">
      <w:pPr>
        <w:ind w:firstLine="420" w:firstLineChars="200"/>
        <w:rPr>
          <w:rFonts w:ascii="Times New Roman" w:hAnsi="Times New Roman"/>
          <w:color w:val="000000"/>
          <w:szCs w:val="21"/>
        </w:rPr>
      </w:pPr>
    </w:p>
    <w:p w14:paraId="32A7E204">
      <w:pPr>
        <w:pStyle w:val="28"/>
        <w:numPr>
          <w:ilvl w:val="0"/>
          <w:numId w:val="14"/>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2551"/>
        <w:gridCol w:w="1985"/>
        <w:gridCol w:w="992"/>
        <w:gridCol w:w="1417"/>
        <w:gridCol w:w="426"/>
        <w:gridCol w:w="425"/>
        <w:gridCol w:w="992"/>
        <w:gridCol w:w="995"/>
      </w:tblGrid>
      <w:tr w14:paraId="02A2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61B602E1">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14:paraId="5035C157">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14:paraId="0850306D">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14:paraId="5B635533">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14:paraId="1027135F">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14:paraId="182AD65F">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14:paraId="41DBF122">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14:paraId="5E0C9244">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14:paraId="4C8C770A">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14:paraId="649E8B5A">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14:paraId="4D5C677E">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14:paraId="47AF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13D2F205">
            <w:pPr>
              <w:contextualSpacing/>
              <w:jc w:val="center"/>
              <w:rPr>
                <w:rFonts w:ascii="Times New Roman" w:hAnsi="Times New Roman"/>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ascii="Times New Roman" w:hAnsi="Times New Roman"/>
              </w:rPr>
              <w:t>1</w:t>
            </w:r>
          </w:p>
        </w:tc>
        <w:tc>
          <w:tcPr>
            <w:tcW w:w="2551" w:type="dxa"/>
            <w:noWrap w:val="0"/>
            <w:vAlign w:val="center"/>
          </w:tcPr>
          <w:p w14:paraId="00CE084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14:paraId="08FEB05D">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5B03FDA5">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14:paraId="3AEA6EAA">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14:paraId="2F437DAF">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14:paraId="550EEF1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36F2632B">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14:paraId="1DE7A749">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permEnd w:id="2"/>
      <w:permEnd w:id="3"/>
      <w:permEnd w:id="4"/>
      <w:permEnd w:id="5"/>
      <w:permEnd w:id="6"/>
      <w:permEnd w:id="7"/>
      <w:permEnd w:id="8"/>
      <w:permEnd w:id="9"/>
      <w:permEnd w:id="10"/>
      <w:tr w14:paraId="5FFA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72FDDAE0">
            <w:pPr>
              <w:contextualSpacing/>
              <w:jc w:val="center"/>
              <w:rPr>
                <w:rFonts w:ascii="Times New Roman" w:hAnsi="Times New Roman"/>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ascii="Times New Roman" w:hAnsi="Times New Roman"/>
              </w:rPr>
              <w:t>2</w:t>
            </w:r>
          </w:p>
        </w:tc>
        <w:tc>
          <w:tcPr>
            <w:tcW w:w="2551" w:type="dxa"/>
            <w:noWrap w:val="0"/>
            <w:vAlign w:val="center"/>
          </w:tcPr>
          <w:p w14:paraId="003C3A48">
            <w:pPr>
              <w:contextualSpacing/>
              <w:jc w:val="center"/>
              <w:rPr>
                <w:rFonts w:ascii="Times New Roman" w:hAnsi="Times New Roman"/>
              </w:rPr>
            </w:pPr>
          </w:p>
        </w:tc>
        <w:tc>
          <w:tcPr>
            <w:tcW w:w="1985" w:type="dxa"/>
            <w:noWrap w:val="0"/>
            <w:vAlign w:val="center"/>
          </w:tcPr>
          <w:p w14:paraId="33CA91A4">
            <w:pPr>
              <w:contextualSpacing/>
              <w:jc w:val="center"/>
              <w:rPr>
                <w:rFonts w:ascii="Times New Roman" w:hAnsi="Times New Roman"/>
              </w:rPr>
            </w:pPr>
          </w:p>
        </w:tc>
        <w:tc>
          <w:tcPr>
            <w:tcW w:w="992" w:type="dxa"/>
            <w:noWrap w:val="0"/>
            <w:vAlign w:val="center"/>
          </w:tcPr>
          <w:p w14:paraId="5ACD913E">
            <w:pPr>
              <w:contextualSpacing/>
              <w:jc w:val="center"/>
              <w:rPr>
                <w:rFonts w:ascii="Times New Roman" w:hAnsi="Times New Roman"/>
              </w:rPr>
            </w:pPr>
          </w:p>
        </w:tc>
        <w:tc>
          <w:tcPr>
            <w:tcW w:w="1417" w:type="dxa"/>
            <w:noWrap w:val="0"/>
            <w:vAlign w:val="center"/>
          </w:tcPr>
          <w:p w14:paraId="74BB83E5">
            <w:pPr>
              <w:contextualSpacing/>
              <w:jc w:val="center"/>
              <w:rPr>
                <w:rFonts w:ascii="Times New Roman" w:hAnsi="Times New Roman"/>
              </w:rPr>
            </w:pPr>
          </w:p>
        </w:tc>
        <w:tc>
          <w:tcPr>
            <w:tcW w:w="426" w:type="dxa"/>
            <w:noWrap w:val="0"/>
            <w:vAlign w:val="center"/>
          </w:tcPr>
          <w:p w14:paraId="464AF86B">
            <w:pPr>
              <w:contextualSpacing/>
              <w:jc w:val="center"/>
              <w:rPr>
                <w:rFonts w:ascii="Times New Roman" w:hAnsi="Times New Roman"/>
              </w:rPr>
            </w:pPr>
          </w:p>
        </w:tc>
        <w:tc>
          <w:tcPr>
            <w:tcW w:w="425" w:type="dxa"/>
            <w:noWrap w:val="0"/>
            <w:vAlign w:val="center"/>
          </w:tcPr>
          <w:p w14:paraId="381F7626">
            <w:pPr>
              <w:contextualSpacing/>
              <w:jc w:val="center"/>
              <w:rPr>
                <w:rFonts w:ascii="Times New Roman" w:hAnsi="Times New Roman"/>
              </w:rPr>
            </w:pPr>
          </w:p>
        </w:tc>
        <w:tc>
          <w:tcPr>
            <w:tcW w:w="992" w:type="dxa"/>
            <w:noWrap w:val="0"/>
            <w:vAlign w:val="center"/>
          </w:tcPr>
          <w:p w14:paraId="3F61282D">
            <w:pPr>
              <w:contextualSpacing/>
              <w:jc w:val="center"/>
              <w:rPr>
                <w:rFonts w:ascii="Times New Roman" w:hAnsi="Times New Roman"/>
              </w:rPr>
            </w:pPr>
          </w:p>
        </w:tc>
        <w:tc>
          <w:tcPr>
            <w:tcW w:w="995" w:type="dxa"/>
            <w:noWrap w:val="0"/>
            <w:vAlign w:val="center"/>
          </w:tcPr>
          <w:p w14:paraId="79CB6913">
            <w:pPr>
              <w:contextualSpacing/>
              <w:jc w:val="center"/>
              <w:rPr>
                <w:rFonts w:ascii="Times New Roman" w:hAnsi="Times New Roman"/>
              </w:rPr>
            </w:pPr>
          </w:p>
        </w:tc>
      </w:tr>
      <w:permEnd w:id="11"/>
      <w:permEnd w:id="12"/>
      <w:permEnd w:id="13"/>
      <w:permEnd w:id="14"/>
      <w:permEnd w:id="15"/>
      <w:permEnd w:id="16"/>
      <w:permEnd w:id="17"/>
      <w:permEnd w:id="18"/>
      <w:permEnd w:id="19"/>
      <w:tr w14:paraId="2D3B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3B9BB06D">
            <w:pPr>
              <w:contextualSpacing/>
              <w:jc w:val="center"/>
              <w:rPr>
                <w:rFonts w:ascii="Times New Roman" w:hAnsi="Times New Roman"/>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ascii="Times New Roman" w:hAnsi="Times New Roman"/>
              </w:rPr>
              <w:t>...</w:t>
            </w:r>
          </w:p>
        </w:tc>
        <w:tc>
          <w:tcPr>
            <w:tcW w:w="2551" w:type="dxa"/>
            <w:noWrap w:val="0"/>
            <w:vAlign w:val="center"/>
          </w:tcPr>
          <w:p w14:paraId="37D4E748">
            <w:pPr>
              <w:contextualSpacing/>
              <w:jc w:val="center"/>
              <w:rPr>
                <w:rFonts w:ascii="Times New Roman" w:hAnsi="Times New Roman"/>
              </w:rPr>
            </w:pPr>
          </w:p>
        </w:tc>
        <w:tc>
          <w:tcPr>
            <w:tcW w:w="1985" w:type="dxa"/>
            <w:noWrap w:val="0"/>
            <w:vAlign w:val="center"/>
          </w:tcPr>
          <w:p w14:paraId="00EE6083">
            <w:pPr>
              <w:contextualSpacing/>
              <w:jc w:val="center"/>
              <w:rPr>
                <w:rFonts w:ascii="Times New Roman" w:hAnsi="Times New Roman"/>
              </w:rPr>
            </w:pPr>
          </w:p>
        </w:tc>
        <w:tc>
          <w:tcPr>
            <w:tcW w:w="992" w:type="dxa"/>
            <w:noWrap w:val="0"/>
            <w:vAlign w:val="center"/>
          </w:tcPr>
          <w:p w14:paraId="3F0C3DCF">
            <w:pPr>
              <w:contextualSpacing/>
              <w:jc w:val="center"/>
              <w:rPr>
                <w:rFonts w:ascii="Times New Roman" w:hAnsi="Times New Roman"/>
              </w:rPr>
            </w:pPr>
          </w:p>
        </w:tc>
        <w:tc>
          <w:tcPr>
            <w:tcW w:w="1417" w:type="dxa"/>
            <w:noWrap w:val="0"/>
            <w:vAlign w:val="center"/>
          </w:tcPr>
          <w:p w14:paraId="1C2A808B">
            <w:pPr>
              <w:contextualSpacing/>
              <w:jc w:val="center"/>
              <w:rPr>
                <w:rFonts w:ascii="Times New Roman" w:hAnsi="Times New Roman"/>
              </w:rPr>
            </w:pPr>
          </w:p>
        </w:tc>
        <w:tc>
          <w:tcPr>
            <w:tcW w:w="426" w:type="dxa"/>
            <w:noWrap w:val="0"/>
            <w:vAlign w:val="center"/>
          </w:tcPr>
          <w:p w14:paraId="589D202E">
            <w:pPr>
              <w:contextualSpacing/>
              <w:jc w:val="center"/>
              <w:rPr>
                <w:rFonts w:ascii="Times New Roman" w:hAnsi="Times New Roman"/>
              </w:rPr>
            </w:pPr>
          </w:p>
        </w:tc>
        <w:tc>
          <w:tcPr>
            <w:tcW w:w="425" w:type="dxa"/>
            <w:noWrap w:val="0"/>
            <w:vAlign w:val="center"/>
          </w:tcPr>
          <w:p w14:paraId="6DE5369F">
            <w:pPr>
              <w:contextualSpacing/>
              <w:jc w:val="center"/>
              <w:rPr>
                <w:rFonts w:ascii="Times New Roman" w:hAnsi="Times New Roman"/>
              </w:rPr>
            </w:pPr>
          </w:p>
        </w:tc>
        <w:tc>
          <w:tcPr>
            <w:tcW w:w="992" w:type="dxa"/>
            <w:noWrap w:val="0"/>
            <w:vAlign w:val="center"/>
          </w:tcPr>
          <w:p w14:paraId="70E66603">
            <w:pPr>
              <w:contextualSpacing/>
              <w:jc w:val="center"/>
              <w:rPr>
                <w:rFonts w:ascii="Times New Roman" w:hAnsi="Times New Roman"/>
              </w:rPr>
            </w:pPr>
          </w:p>
        </w:tc>
        <w:tc>
          <w:tcPr>
            <w:tcW w:w="995" w:type="dxa"/>
            <w:noWrap w:val="0"/>
            <w:vAlign w:val="center"/>
          </w:tcPr>
          <w:p w14:paraId="569FFC8F">
            <w:pPr>
              <w:contextualSpacing/>
              <w:jc w:val="center"/>
              <w:rPr>
                <w:rFonts w:ascii="Times New Roman" w:hAnsi="Times New Roman"/>
              </w:rPr>
            </w:pPr>
          </w:p>
        </w:tc>
      </w:tr>
      <w:permEnd w:id="20"/>
      <w:permEnd w:id="21"/>
      <w:permEnd w:id="22"/>
      <w:permEnd w:id="23"/>
      <w:permEnd w:id="24"/>
      <w:permEnd w:id="25"/>
      <w:permEnd w:id="26"/>
      <w:permEnd w:id="27"/>
      <w:permEnd w:id="28"/>
    </w:tbl>
    <w:p w14:paraId="312B77C2">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14:paraId="15A0EC44">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14:paraId="25E245D9">
      <w:pPr>
        <w:pStyle w:val="28"/>
        <w:numPr>
          <w:ilvl w:val="0"/>
          <w:numId w:val="14"/>
        </w:numPr>
        <w:snapToGrid w:val="0"/>
        <w:ind w:firstLineChars="0"/>
        <w:rPr>
          <w:rFonts w:ascii="Times New Roman" w:hAnsi="Times New Roman"/>
          <w:b/>
          <w:bCs/>
          <w:szCs w:val="21"/>
        </w:rPr>
      </w:pPr>
      <w:r>
        <w:rPr>
          <w:rFonts w:ascii="Times New Roman" w:hAnsi="Times New Roman"/>
          <w:b/>
          <w:bCs/>
          <w:szCs w:val="21"/>
        </w:rPr>
        <w:t>合同总价</w:t>
      </w:r>
    </w:p>
    <w:p w14:paraId="785398A4">
      <w:pPr>
        <w:pStyle w:val="28"/>
        <w:ind w:firstLine="0" w:firstLineChars="0"/>
        <w:jc w:val="left"/>
        <w:rPr>
          <w:rFonts w:ascii="Times New Roman" w:hAnsi="Times New Roman"/>
          <w:szCs w:val="21"/>
        </w:rPr>
      </w:pPr>
      <w:r>
        <w:rPr>
          <w:rFonts w:ascii="Times New Roman" w:hAnsi="Times New Roman"/>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5206FF74">
      <w:pPr>
        <w:pStyle w:val="28"/>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1045F942">
      <w:pPr>
        <w:pStyle w:val="28"/>
        <w:numPr>
          <w:ilvl w:val="0"/>
          <w:numId w:val="14"/>
        </w:numPr>
        <w:snapToGrid w:val="0"/>
        <w:ind w:firstLineChars="0"/>
        <w:rPr>
          <w:rFonts w:ascii="Times New Roman" w:hAnsi="Times New Roman"/>
          <w:b/>
          <w:bCs/>
          <w:szCs w:val="21"/>
        </w:rPr>
      </w:pPr>
      <w:r>
        <w:rPr>
          <w:rFonts w:ascii="Times New Roman" w:hAnsi="Times New Roman"/>
          <w:b/>
          <w:bCs/>
          <w:szCs w:val="21"/>
        </w:rPr>
        <w:t>质量要求</w:t>
      </w:r>
    </w:p>
    <w:p w14:paraId="4FD389DF">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乙方须</w:t>
      </w:r>
      <w:r>
        <w:rPr>
          <w:rFonts w:hint="eastAsia" w:ascii="Times New Roman" w:hAnsi="Times New Roman"/>
          <w:szCs w:val="21"/>
        </w:rPr>
        <w:t>保证向甲方提</w:t>
      </w:r>
      <w:r>
        <w:rPr>
          <w:rFonts w:ascii="Times New Roman" w:hAnsi="Times New Roman"/>
          <w:szCs w:val="21"/>
        </w:rPr>
        <w:t>供的</w:t>
      </w:r>
      <w:r>
        <w:rPr>
          <w:rFonts w:hint="eastAsia" w:ascii="Times New Roman" w:hAnsi="Times New Roman"/>
          <w:szCs w:val="21"/>
        </w:rPr>
        <w:t>货物</w:t>
      </w:r>
      <w:r>
        <w:rPr>
          <w:rFonts w:ascii="Times New Roman" w:hAnsi="Times New Roman"/>
          <w:szCs w:val="21"/>
        </w:rPr>
        <w:t>（含零部件、配件等）</w:t>
      </w:r>
      <w:r>
        <w:rPr>
          <w:rFonts w:hint="eastAsia" w:ascii="Times New Roman" w:hAnsi="Times New Roman"/>
          <w:szCs w:val="21"/>
        </w:rPr>
        <w:t>是完整、全新的，并在性能、质量和设计方面满足安全、可靠和高效运行与方便维护的全部要求。</w:t>
      </w:r>
    </w:p>
    <w:p w14:paraId="161E74A6">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货物必须符合或优于国家（行业）标准，以及本项目采购文件的质量要求和技术指标与出厂标准。</w:t>
      </w:r>
    </w:p>
    <w:p w14:paraId="47ADA8ED">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货物制造质量出现问题，乙方应负责按照第</w:t>
      </w:r>
      <w:r>
        <w:rPr>
          <w:rFonts w:hint="eastAsia" w:ascii="Times New Roman" w:hAnsi="Times New Roman"/>
          <w:szCs w:val="21"/>
        </w:rPr>
        <w:t>十</w:t>
      </w:r>
      <w:r>
        <w:rPr>
          <w:rFonts w:ascii="Times New Roman" w:hAnsi="Times New Roman"/>
          <w:szCs w:val="21"/>
        </w:rPr>
        <w:t>条承担责任，费用由乙方负担。</w:t>
      </w:r>
    </w:p>
    <w:p w14:paraId="0F9D6DAE">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如因货物质量问题导致甲方无法正常使用或影响使用效果，由此与患者发生纠纷而导致甲方赔偿，乙方对此承担全部责任。</w:t>
      </w:r>
    </w:p>
    <w:p w14:paraId="192E2E1B">
      <w:pPr>
        <w:pStyle w:val="28"/>
        <w:numPr>
          <w:ilvl w:val="0"/>
          <w:numId w:val="16"/>
        </w:numPr>
        <w:snapToGrid w:val="0"/>
        <w:ind w:firstLineChars="0"/>
        <w:rPr>
          <w:rFonts w:ascii="Times New Roman" w:hAnsi="Times New Roman"/>
          <w:szCs w:val="21"/>
        </w:rPr>
      </w:pPr>
      <w:r>
        <w:rPr>
          <w:rFonts w:ascii="Times New Roman" w:hAnsi="Times New Roman"/>
          <w:szCs w:val="21"/>
        </w:rPr>
        <w:t>甲方人员参与合同货物开箱、调试等行为均不免除乙方及厂家对合同货物质量所应负责任。</w:t>
      </w:r>
    </w:p>
    <w:p w14:paraId="10C60948">
      <w:pPr>
        <w:pStyle w:val="28"/>
        <w:numPr>
          <w:ilvl w:val="0"/>
          <w:numId w:val="16"/>
        </w:numPr>
        <w:snapToGrid w:val="0"/>
        <w:ind w:firstLineChars="0"/>
        <w:rPr>
          <w:rFonts w:ascii="Times New Roman" w:hAnsi="Times New Roman"/>
          <w:szCs w:val="21"/>
        </w:rPr>
      </w:pPr>
      <w:r>
        <w:rPr>
          <w:rFonts w:hint="eastAsia" w:ascii="Times New Roman" w:hAnsi="Times New Roman"/>
          <w:szCs w:val="21"/>
        </w:rPr>
        <w:t>本合同采购的货物涉及成品软件的，乙方应保证以下内容（本合同另有约定除外）：</w:t>
      </w:r>
    </w:p>
    <w:p w14:paraId="5D2AF3AD">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本合同中提供给甲方的软件产品是其产品原厂发布的最新版本。</w:t>
      </w:r>
    </w:p>
    <w:p w14:paraId="27CA1875">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负责软件功能的升级、维护和文档更新，不再收取任何费用。</w:t>
      </w:r>
    </w:p>
    <w:p w14:paraId="512656D1">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本合同中提供给甲方的软件产品不存在定期密码输入等使用和功能上的限制。</w:t>
      </w:r>
    </w:p>
    <w:p w14:paraId="73A776C4">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本合同中提供给甲方的软件产品不得隐含任何恶意功能，包括但不限于病毒、蠕虫和特洛伊木马等程序；在未获甲方授权的情况下，不得通过软件收集和扩散任何甲方及其相关联单位的信息。</w:t>
      </w:r>
    </w:p>
    <w:p w14:paraId="2A975BE6">
      <w:pPr>
        <w:pStyle w:val="28"/>
        <w:numPr>
          <w:ilvl w:val="0"/>
          <w:numId w:val="17"/>
        </w:numPr>
        <w:snapToGrid w:val="0"/>
        <w:ind w:left="525" w:hanging="525" w:hangingChars="250"/>
        <w:rPr>
          <w:rFonts w:ascii="Times New Roman" w:hAnsi="Times New Roman"/>
          <w:szCs w:val="21"/>
        </w:rPr>
      </w:pPr>
      <w:r>
        <w:rPr>
          <w:rFonts w:hint="eastAsia" w:ascii="Times New Roman" w:hAnsi="Times New Roman"/>
          <w:szCs w:val="21"/>
        </w:rPr>
        <w:t>本合同中提供给甲方的软件产品需要严格遵守相关网络信息安全规定。</w:t>
      </w:r>
    </w:p>
    <w:p w14:paraId="424E4377">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0C769C52">
      <w:pPr>
        <w:pStyle w:val="28"/>
        <w:numPr>
          <w:ilvl w:val="0"/>
          <w:numId w:val="14"/>
        </w:numPr>
        <w:snapToGrid w:val="0"/>
        <w:ind w:firstLineChars="0"/>
        <w:rPr>
          <w:rFonts w:ascii="Times New Roman" w:hAnsi="Times New Roman"/>
          <w:b/>
          <w:bCs/>
          <w:szCs w:val="21"/>
        </w:rPr>
      </w:pPr>
      <w:r>
        <w:rPr>
          <w:rFonts w:hint="eastAsia" w:ascii="Times New Roman" w:hAnsi="Times New Roman"/>
          <w:b/>
          <w:bCs/>
          <w:szCs w:val="21"/>
        </w:rPr>
        <w:t>交付</w:t>
      </w:r>
    </w:p>
    <w:p w14:paraId="46FF2BF3">
      <w:pPr>
        <w:pStyle w:val="28"/>
        <w:snapToGrid w:val="0"/>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合同签订生效</w:t>
      </w:r>
      <w:r>
        <w:rPr>
          <w:rFonts w:hint="eastAsia" w:ascii="Times New Roman" w:hAnsi="Times New Roman"/>
          <w:szCs w:val="21"/>
        </w:rPr>
        <w:t>后*</w:t>
      </w:r>
      <w:r>
        <w:rPr>
          <w:rFonts w:ascii="Times New Roman" w:hAnsi="Times New Roman"/>
          <w:szCs w:val="21"/>
        </w:rPr>
        <w:t>**</w:t>
      </w:r>
      <w:r>
        <w:rPr>
          <w:rFonts w:ascii="Times New Roman" w:hAnsi="Times New Roman"/>
        </w:rPr>
        <w:t>天</w:t>
      </w:r>
      <w:r>
        <w:rPr>
          <w:rFonts w:ascii="Times New Roman" w:hAnsi="Times New Roman"/>
          <w:szCs w:val="21"/>
        </w:rPr>
        <w:t>内</w:t>
      </w:r>
      <w:r>
        <w:rPr>
          <w:rFonts w:hint="eastAsia" w:ascii="Times New Roman" w:hAnsi="Times New Roman"/>
          <w:szCs w:val="21"/>
        </w:rPr>
        <w:t>由乙方在*</w:t>
      </w:r>
      <w:r>
        <w:rPr>
          <w:rFonts w:ascii="Times New Roman" w:hAnsi="Times New Roman"/>
          <w:szCs w:val="21"/>
        </w:rPr>
        <w:t>**</w:t>
      </w:r>
      <w:r>
        <w:rPr>
          <w:rFonts w:hint="eastAsia" w:ascii="Times New Roman" w:hAnsi="Times New Roman"/>
          <w:szCs w:val="21"/>
        </w:rPr>
        <w:t>向甲方交付本合同约定的全部货物，</w:t>
      </w:r>
      <w:r>
        <w:rPr>
          <w:rFonts w:ascii="Times New Roman" w:hAnsi="Times New Roman"/>
          <w:szCs w:val="21"/>
        </w:rPr>
        <w:t>并于</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日内</w:t>
      </w:r>
      <w:r>
        <w:rPr>
          <w:rFonts w:ascii="Times New Roman" w:hAnsi="Times New Roman"/>
          <w:szCs w:val="21"/>
        </w:rPr>
        <w:t>安装调试完毕</w:t>
      </w:r>
      <w:r>
        <w:rPr>
          <w:rFonts w:hint="eastAsia" w:ascii="Times New Roman" w:hAnsi="Times New Roman"/>
          <w:szCs w:val="21"/>
        </w:rPr>
        <w:t>且具备验收条件。</w:t>
      </w:r>
      <w:r>
        <w:rPr>
          <w:rFonts w:ascii="Times New Roman" w:hAnsi="Times New Roman"/>
          <w:szCs w:val="21"/>
        </w:rPr>
        <w:t>货物验收合格前，毁损灭失的风险由乙方承担。</w:t>
      </w:r>
    </w:p>
    <w:p w14:paraId="7B2A3A38">
      <w:pPr>
        <w:pStyle w:val="28"/>
        <w:numPr>
          <w:ilvl w:val="0"/>
          <w:numId w:val="14"/>
        </w:numPr>
        <w:snapToGrid w:val="0"/>
        <w:ind w:firstLineChars="0"/>
        <w:rPr>
          <w:rFonts w:hint="eastAsia" w:ascii="Times New Roman" w:hAnsi="Times New Roman"/>
          <w:b/>
          <w:bCs/>
          <w:szCs w:val="21"/>
        </w:rPr>
      </w:pPr>
      <w:r>
        <w:rPr>
          <w:rFonts w:hint="eastAsia" w:ascii="Times New Roman" w:hAnsi="Times New Roman"/>
          <w:b/>
          <w:bCs/>
          <w:szCs w:val="21"/>
        </w:rPr>
        <w:t>验收</w:t>
      </w:r>
    </w:p>
    <w:p w14:paraId="2BCAB16C">
      <w:pPr>
        <w:pStyle w:val="28"/>
        <w:numPr>
          <w:ilvl w:val="0"/>
          <w:numId w:val="18"/>
        </w:numPr>
        <w:snapToGrid w:val="0"/>
        <w:ind w:left="0" w:firstLine="0" w:firstLineChars="0"/>
        <w:contextualSpacing/>
        <w:rPr>
          <w:rFonts w:ascii="Times New Roman" w:hAnsi="Times New Roman"/>
        </w:rPr>
      </w:pPr>
      <w:r>
        <w:rPr>
          <w:rFonts w:ascii="Times New Roman" w:hAnsi="Times New Roman"/>
        </w:rPr>
        <w:t>甲、乙双方确定，按照本合同约定的验收方案对乙方交付的</w:t>
      </w:r>
      <w:r>
        <w:rPr>
          <w:rFonts w:hint="eastAsia" w:ascii="Times New Roman" w:hAnsi="Times New Roman"/>
        </w:rPr>
        <w:t>货物</w:t>
      </w:r>
      <w:r>
        <w:rPr>
          <w:rFonts w:ascii="Times New Roman" w:hAnsi="Times New Roman"/>
        </w:rPr>
        <w:t>进行验收。</w:t>
      </w:r>
    </w:p>
    <w:p w14:paraId="0FF1D26B">
      <w:pPr>
        <w:pStyle w:val="28"/>
        <w:numPr>
          <w:ilvl w:val="0"/>
          <w:numId w:val="18"/>
        </w:numPr>
        <w:snapToGrid w:val="0"/>
        <w:ind w:left="0" w:firstLine="0" w:firstLineChars="0"/>
        <w:contextualSpacing/>
        <w:rPr>
          <w:rFonts w:ascii="Times New Roman" w:hAnsi="Times New Roman"/>
        </w:rPr>
      </w:pPr>
      <w:r>
        <w:rPr>
          <w:rFonts w:ascii="Times New Roman" w:hAnsi="Times New Roman"/>
        </w:rPr>
        <w:t>验收方案：</w:t>
      </w:r>
    </w:p>
    <w:p w14:paraId="62EB93C2">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验收主体：甲方</w:t>
      </w:r>
    </w:p>
    <w:p w14:paraId="1F5B2E0D">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验收组织方式：自行验收</w:t>
      </w:r>
    </w:p>
    <w:p w14:paraId="021E05B1">
      <w:pPr>
        <w:pStyle w:val="28"/>
        <w:numPr>
          <w:ilvl w:val="0"/>
          <w:numId w:val="19"/>
        </w:numPr>
        <w:snapToGrid w:val="0"/>
        <w:ind w:left="525" w:hanging="525" w:hangingChars="250"/>
        <w:contextualSpacing/>
        <w:rPr>
          <w:rFonts w:ascii="Times New Roman" w:hAnsi="Times New Roman"/>
          <w:color w:val="333333"/>
          <w:kern w:val="0"/>
          <w:szCs w:val="21"/>
          <w:shd w:val="clear" w:color="auto" w:fill="FFFFFF"/>
        </w:rPr>
      </w:pPr>
      <w:r>
        <w:rPr>
          <w:rFonts w:ascii="Times New Roman" w:hAnsi="Times New Roman"/>
        </w:rPr>
        <w:t>验收程序：</w:t>
      </w:r>
      <w:r>
        <w:rPr/>
        <w:sym w:font="Wingdings 2" w:char="F052"/>
      </w:r>
      <w:r>
        <w:rPr>
          <w:rFonts w:ascii="Times New Roman" w:hAnsi="Times New Roman"/>
          <w:kern w:val="0"/>
          <w:szCs w:val="21"/>
          <w:shd w:val="clear" w:color="auto" w:fill="FFFFFF"/>
        </w:rPr>
        <w:t xml:space="preserve">一次性验收   </w:t>
      </w:r>
      <w:r>
        <w:rPr>
          <w:shd w:val="clear" w:color="auto" w:fill="FFFFFF"/>
        </w:rPr>
        <w:sym w:font="Wingdings" w:char="F0A8"/>
      </w:r>
      <w:r>
        <w:rPr>
          <w:rFonts w:ascii="Times New Roman" w:hAnsi="Times New Roman"/>
          <w:kern w:val="0"/>
          <w:szCs w:val="21"/>
          <w:shd w:val="clear" w:color="auto" w:fill="FFFFFF"/>
        </w:rPr>
        <w:t>分段/分期验收</w:t>
      </w:r>
    </w:p>
    <w:p w14:paraId="3C4281FC">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验收方式：现场整体验收</w:t>
      </w:r>
    </w:p>
    <w:p w14:paraId="41214082">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履约验收内容：</w:t>
      </w:r>
      <w:r>
        <w:rPr>
          <w:rFonts w:hint="eastAsia" w:ascii="Times New Roman" w:hAnsi="Times New Roman"/>
        </w:rPr>
        <w:t>按照甲方</w:t>
      </w:r>
      <w:r>
        <w:rPr>
          <w:rFonts w:ascii="Times New Roman" w:hAnsi="Times New Roman"/>
        </w:rPr>
        <w:t>采购文件要求及乙方响应文件情况，由乙方向甲方交付的全部内容。</w:t>
      </w:r>
    </w:p>
    <w:p w14:paraId="3BE21801">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履约验收时间：供应商完成本项目涉及的所有</w:t>
      </w:r>
      <w:r>
        <w:rPr>
          <w:rFonts w:hint="eastAsia" w:ascii="Times New Roman" w:hAnsi="Times New Roman"/>
        </w:rPr>
        <w:t>货物</w:t>
      </w:r>
      <w:r>
        <w:rPr>
          <w:rFonts w:ascii="Times New Roman" w:hAnsi="Times New Roman"/>
        </w:rPr>
        <w:t>的安装、调试并具备验收条件后于5日内通知甲方验收，甲方接乙方通知后10日内组织验收。</w:t>
      </w:r>
    </w:p>
    <w:p w14:paraId="6AE1C9DD">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是否邀请本项目的其他供应商：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348024F">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是否邀请专家：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254C7FCD">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是否邀请服务对象：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83E0044">
      <w:pPr>
        <w:pStyle w:val="28"/>
        <w:numPr>
          <w:ilvl w:val="0"/>
          <w:numId w:val="19"/>
        </w:numPr>
        <w:snapToGrid w:val="0"/>
        <w:ind w:left="525" w:hanging="525" w:hangingChars="250"/>
        <w:contextualSpacing/>
        <w:rPr>
          <w:rFonts w:ascii="Times New Roman" w:hAnsi="Times New Roman"/>
          <w:szCs w:val="21"/>
        </w:rPr>
      </w:pPr>
      <w:r>
        <w:rPr>
          <w:rFonts w:ascii="Times New Roman" w:hAnsi="Times New Roman"/>
          <w:szCs w:val="21"/>
        </w:rPr>
        <w:t xml:space="preserve">是否邀请第三方检测机构： </w:t>
      </w:r>
      <w:r>
        <w:rPr>
          <w:rFonts w:ascii="Times New Roman" w:hAnsi="Times New Roman"/>
          <w:szCs w:val="21"/>
        </w:rPr>
        <w:sym w:font="Wingdings" w:char="F0A8"/>
      </w:r>
      <w:r>
        <w:rPr>
          <w:rFonts w:ascii="Times New Roman" w:hAnsi="Times New Roman"/>
          <w:szCs w:val="21"/>
        </w:rPr>
        <w:t xml:space="preserve">是   </w:t>
      </w:r>
      <w:r>
        <w:rPr>
          <w:rFonts w:ascii="Times New Roman" w:hAnsi="Times New Roman"/>
          <w:szCs w:val="21"/>
        </w:rPr>
        <w:sym w:font="Wingdings 2" w:char="F052"/>
      </w:r>
      <w:r>
        <w:rPr>
          <w:rFonts w:ascii="Times New Roman" w:hAnsi="Times New Roman"/>
          <w:szCs w:val="21"/>
        </w:rPr>
        <w:t>否</w:t>
      </w:r>
    </w:p>
    <w:p w14:paraId="6E3AC757">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验收标准：</w:t>
      </w:r>
    </w:p>
    <w:p w14:paraId="39C2E880">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465776F6">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甲方采购文件相关技术、服务要求、乙方响应文件相关响应内容。</w:t>
      </w:r>
    </w:p>
    <w:p w14:paraId="14B2A24F">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成交产品生产厂家出具的产品说明书、技术白皮书等技术资料（如涉及）。</w:t>
      </w:r>
    </w:p>
    <w:p w14:paraId="1AD44554">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如验收时，采购人与供应商认为本项目验收标准中的技术指标、质量要求等内容存在相互抵触或对其理解存在异议，应按照其中更严格的要求、标准等进行验收。</w:t>
      </w:r>
    </w:p>
    <w:p w14:paraId="39E66743">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参照《财政部关于进一步加强政府采购需求和履约验收管理的指导意见》（财库〔2016〕205号）的要求进行验收。</w:t>
      </w:r>
    </w:p>
    <w:p w14:paraId="0204932D">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其它标准：无。</w:t>
      </w:r>
    </w:p>
    <w:p w14:paraId="22CA0430">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履约验收其它事项：无。</w:t>
      </w:r>
      <w:r>
        <w:rPr>
          <w:rFonts w:ascii="Times New Roman" w:hAnsi="Times New Roman"/>
          <w:i/>
          <w:iCs/>
          <w:highlight w:val="yellow"/>
        </w:rPr>
        <w:t>&lt;如有请填写&gt;</w:t>
      </w:r>
    </w:p>
    <w:p w14:paraId="061E8620">
      <w:pPr>
        <w:pStyle w:val="28"/>
        <w:numPr>
          <w:ilvl w:val="0"/>
          <w:numId w:val="18"/>
        </w:numPr>
        <w:snapToGrid w:val="0"/>
        <w:ind w:left="0" w:firstLine="0" w:firstLineChars="0"/>
        <w:contextualSpacing/>
        <w:rPr>
          <w:rFonts w:ascii="Times New Roman" w:hAnsi="Times New Roman"/>
          <w:szCs w:val="21"/>
        </w:rPr>
      </w:pPr>
      <w:r>
        <w:rPr>
          <w:rFonts w:hint="eastAsia" w:ascii="Times New Roman" w:hAnsi="Times New Roman"/>
          <w:szCs w:val="21"/>
        </w:rPr>
        <w:t>乙方按照本合同向甲方交付的货物：</w:t>
      </w:r>
      <w:bookmarkStart w:id="95" w:name="OLE_LINK3"/>
      <w:r>
        <w:rPr>
          <w:rFonts w:hint="eastAsia" w:ascii="Times New Roman" w:hAnsi="Times New Roman"/>
          <w:i/>
          <w:iCs/>
          <w:color w:val="000000"/>
          <w:szCs w:val="21"/>
          <w:highlight w:val="yellow"/>
        </w:rPr>
        <w:t>&lt;根据项目实际情况选择</w:t>
      </w:r>
      <w:bookmarkEnd w:id="95"/>
      <w:r>
        <w:rPr>
          <w:rFonts w:hint="eastAsia" w:ascii="Times New Roman" w:hAnsi="Times New Roman"/>
          <w:i/>
          <w:iCs/>
          <w:color w:val="000000"/>
          <w:szCs w:val="21"/>
          <w:highlight w:val="yellow"/>
        </w:rPr>
        <w:t>&gt;</w:t>
      </w:r>
    </w:p>
    <w:p w14:paraId="1797AEA1">
      <w:pPr>
        <w:pStyle w:val="28"/>
        <w:snapToGrid w:val="0"/>
        <w:ind w:left="315" w:leftChars="150" w:firstLine="0" w:firstLineChars="0"/>
        <w:rPr>
          <w:rFonts w:ascii="Times New Roman" w:hAnsi="Times New Roman"/>
          <w:szCs w:val="21"/>
          <w:u w:val="single"/>
        </w:rPr>
      </w:pPr>
      <w:r>
        <w:rPr>
          <w:rFonts w:hint="eastAsia" w:ascii="Times New Roman" w:hAnsi="Times New Roman"/>
          <w:szCs w:val="21"/>
        </w:rPr>
        <w:sym w:font="Wingdings 2" w:char="00A3"/>
      </w:r>
      <w:r>
        <w:rPr>
          <w:rFonts w:hint="eastAsia" w:ascii="Times New Roman" w:hAnsi="Times New Roman"/>
          <w:szCs w:val="21"/>
          <w:u w:val="single"/>
        </w:rPr>
        <w:t>有试运行期</w:t>
      </w:r>
      <w:r>
        <w:rPr>
          <w:rFonts w:hint="eastAsia" w:ascii="Times New Roman" w:hAnsi="Times New Roman"/>
          <w:szCs w:val="21"/>
        </w:rPr>
        <w:t>，试运行期为*</w:t>
      </w:r>
      <w:r>
        <w:rPr>
          <w:rFonts w:ascii="Times New Roman" w:hAnsi="Times New Roman"/>
          <w:szCs w:val="21"/>
        </w:rPr>
        <w:t>**</w:t>
      </w:r>
      <w:r>
        <w:rPr>
          <w:rFonts w:hint="eastAsia" w:ascii="Times New Roman" w:hAnsi="Times New Roman"/>
          <w:szCs w:val="21"/>
        </w:rPr>
        <w:t>，</w:t>
      </w:r>
      <w:r>
        <w:rPr>
          <w:rFonts w:ascii="Times New Roman" w:hAnsi="Times New Roman"/>
          <w:szCs w:val="21"/>
        </w:rPr>
        <w:t>试运行期间，如发现</w:t>
      </w:r>
      <w:r>
        <w:rPr>
          <w:rFonts w:hint="eastAsia" w:ascii="Times New Roman" w:hAnsi="Times New Roman"/>
          <w:szCs w:val="21"/>
        </w:rPr>
        <w:t>货物有</w:t>
      </w:r>
      <w:r>
        <w:rPr>
          <w:rFonts w:ascii="Times New Roman" w:hAnsi="Times New Roman"/>
          <w:szCs w:val="21"/>
        </w:rPr>
        <w:t>缺陷，或</w:t>
      </w:r>
      <w:r>
        <w:rPr>
          <w:rFonts w:hint="eastAsia" w:ascii="Times New Roman" w:hAnsi="Times New Roman"/>
          <w:szCs w:val="21"/>
        </w:rPr>
        <w:t>性能和</w:t>
      </w:r>
      <w:r>
        <w:rPr>
          <w:rFonts w:ascii="Times New Roman" w:hAnsi="Times New Roman"/>
          <w:szCs w:val="21"/>
        </w:rPr>
        <w:t>质量不</w:t>
      </w:r>
      <w:r>
        <w:rPr>
          <w:rFonts w:hint="eastAsia" w:ascii="Times New Roman" w:hAnsi="Times New Roman"/>
          <w:szCs w:val="21"/>
        </w:rPr>
        <w:t>符合本项目</w:t>
      </w:r>
      <w:r>
        <w:rPr>
          <w:rFonts w:ascii="Times New Roman" w:hAnsi="Times New Roman"/>
          <w:szCs w:val="21"/>
        </w:rPr>
        <w:t>要求</w:t>
      </w:r>
      <w:r>
        <w:rPr>
          <w:rFonts w:hint="eastAsia" w:ascii="Times New Roman" w:hAnsi="Times New Roman"/>
          <w:szCs w:val="21"/>
        </w:rPr>
        <w:t>时</w:t>
      </w:r>
      <w:r>
        <w:rPr>
          <w:rFonts w:ascii="Times New Roman" w:hAnsi="Times New Roman"/>
          <w:szCs w:val="21"/>
        </w:rPr>
        <w:t>，</w:t>
      </w:r>
      <w:r>
        <w:rPr>
          <w:rFonts w:hint="eastAsia" w:ascii="Times New Roman" w:hAnsi="Times New Roman"/>
          <w:szCs w:val="21"/>
        </w:rPr>
        <w:t>乙方须对相关货物进行更换和相应处理，同时试运行期时限按照上述修改、更正期进行相应顺延。</w:t>
      </w:r>
    </w:p>
    <w:p w14:paraId="073D2A5B">
      <w:pPr>
        <w:pStyle w:val="28"/>
        <w:snapToGrid w:val="0"/>
        <w:ind w:left="315" w:leftChars="150" w:firstLine="0" w:firstLineChars="0"/>
        <w:rPr>
          <w:rFonts w:hint="eastAsia" w:ascii="Times New Roman" w:hAnsi="Times New Roman"/>
          <w:szCs w:val="21"/>
        </w:rPr>
      </w:pPr>
      <w:r>
        <w:rPr>
          <w:rFonts w:hint="eastAsia" w:ascii="Times New Roman" w:hAnsi="Times New Roman"/>
          <w:szCs w:val="21"/>
        </w:rPr>
        <w:sym w:font="Wingdings 2" w:char="0052"/>
      </w:r>
      <w:r>
        <w:rPr>
          <w:rFonts w:hint="eastAsia" w:ascii="Times New Roman" w:hAnsi="Times New Roman"/>
          <w:szCs w:val="21"/>
          <w:u w:val="single"/>
        </w:rPr>
        <w:t>无试运行期</w:t>
      </w:r>
    </w:p>
    <w:p w14:paraId="7632D9CE">
      <w:pPr>
        <w:pStyle w:val="28"/>
        <w:numPr>
          <w:ilvl w:val="0"/>
          <w:numId w:val="18"/>
        </w:numPr>
        <w:snapToGrid w:val="0"/>
        <w:ind w:left="0" w:firstLine="0" w:firstLineChars="0"/>
        <w:rPr>
          <w:rFonts w:ascii="Times New Roman" w:hAnsi="Times New Roman"/>
          <w:szCs w:val="21"/>
        </w:rPr>
      </w:pPr>
      <w:r>
        <w:rPr>
          <w:rFonts w:hint="eastAsia" w:ascii="Times New Roman" w:hAnsi="Times New Roman"/>
          <w:szCs w:val="21"/>
        </w:rPr>
        <w:t>若验收交付内容涉及试运行的，经试运行达到设计使用要求、技术质量标准并经甲方认可后视为验收通过。</w:t>
      </w:r>
    </w:p>
    <w:p w14:paraId="0191FFFD">
      <w:pPr>
        <w:pStyle w:val="28"/>
        <w:numPr>
          <w:ilvl w:val="0"/>
          <w:numId w:val="18"/>
        </w:numPr>
        <w:snapToGrid w:val="0"/>
        <w:ind w:left="0" w:firstLine="0" w:firstLineChars="0"/>
        <w:rPr>
          <w:rFonts w:hint="eastAsia" w:ascii="Times New Roman" w:hAnsi="Times New Roman"/>
          <w:szCs w:val="21"/>
        </w:rPr>
      </w:pPr>
      <w:r>
        <w:rPr>
          <w:rFonts w:ascii="Times New Roman" w:hAnsi="Times New Roman"/>
          <w:szCs w:val="21"/>
        </w:rPr>
        <w:t>如验收合格，双方签署验收报告</w:t>
      </w:r>
      <w:r>
        <w:rPr>
          <w:rFonts w:hint="eastAsia" w:ascii="Times New Roman" w:hAnsi="Times New Roman"/>
          <w:szCs w:val="21"/>
        </w:rPr>
        <w:t>；</w:t>
      </w:r>
      <w:r>
        <w:rPr>
          <w:rFonts w:ascii="Times New Roman" w:hAnsi="Times New Roman"/>
          <w:szCs w:val="21"/>
        </w:rPr>
        <w:t>如</w:t>
      </w:r>
      <w:r>
        <w:rPr>
          <w:rFonts w:hint="eastAsia" w:ascii="Times New Roman" w:hAnsi="Times New Roman"/>
          <w:szCs w:val="21"/>
        </w:rPr>
        <w:t>验收不合格</w:t>
      </w:r>
      <w:r>
        <w:rPr>
          <w:rFonts w:ascii="Times New Roman" w:hAnsi="Times New Roman"/>
          <w:szCs w:val="21"/>
        </w:rPr>
        <w:t>，甲方应</w:t>
      </w:r>
      <w:r>
        <w:rPr>
          <w:rFonts w:hint="eastAsia" w:ascii="Times New Roman" w:hAnsi="Times New Roman"/>
          <w:szCs w:val="21"/>
        </w:rPr>
        <w:t>进行</w:t>
      </w:r>
      <w:r>
        <w:rPr>
          <w:rFonts w:ascii="Times New Roman" w:hAnsi="Times New Roman"/>
          <w:szCs w:val="21"/>
        </w:rPr>
        <w:t>详尽的</w:t>
      </w:r>
      <w:r>
        <w:rPr>
          <w:rFonts w:hint="eastAsia" w:ascii="Times New Roman" w:hAnsi="Times New Roman"/>
          <w:szCs w:val="21"/>
        </w:rPr>
        <w:t>现场</w:t>
      </w:r>
      <w:r>
        <w:rPr>
          <w:rFonts w:ascii="Times New Roman" w:hAnsi="Times New Roman"/>
          <w:szCs w:val="21"/>
        </w:rPr>
        <w:t>记录，或由甲乙双方签署备忘录，此现场记录或备忘录可用作</w:t>
      </w:r>
      <w:r>
        <w:rPr>
          <w:rFonts w:hint="eastAsia" w:ascii="Times New Roman" w:hAnsi="Times New Roman"/>
          <w:szCs w:val="21"/>
        </w:rPr>
        <w:t>修改和更正相关问题</w:t>
      </w:r>
      <w:r>
        <w:rPr>
          <w:rFonts w:ascii="Times New Roman" w:hAnsi="Times New Roman"/>
          <w:szCs w:val="21"/>
        </w:rPr>
        <w:t>的有效证据，由此产生的时间延误与</w:t>
      </w:r>
      <w:r>
        <w:rPr>
          <w:rFonts w:hint="eastAsia" w:ascii="Times New Roman" w:hAnsi="Times New Roman"/>
          <w:szCs w:val="21"/>
        </w:rPr>
        <w:t>经济损失</w:t>
      </w:r>
      <w:r>
        <w:rPr>
          <w:rFonts w:ascii="Times New Roman" w:hAnsi="Times New Roman"/>
          <w:szCs w:val="21"/>
        </w:rPr>
        <w:t>由乙方承担，验收期限相应顺延</w:t>
      </w:r>
      <w:r>
        <w:rPr>
          <w:rFonts w:hint="eastAsia" w:ascii="Times New Roman" w:hAnsi="Times New Roman"/>
          <w:szCs w:val="21"/>
        </w:rPr>
        <w:t>，且</w:t>
      </w:r>
      <w:r>
        <w:rPr>
          <w:rFonts w:ascii="Times New Roman" w:hAnsi="Times New Roman"/>
          <w:szCs w:val="21"/>
        </w:rPr>
        <w:t>甲方有权拒绝签署验收报告，</w:t>
      </w:r>
      <w:r>
        <w:rPr>
          <w:rFonts w:hint="eastAsia" w:ascii="Times New Roman" w:hAnsi="Times New Roman"/>
          <w:szCs w:val="21"/>
        </w:rPr>
        <w:t>并</w:t>
      </w:r>
      <w:r>
        <w:rPr>
          <w:rFonts w:ascii="Times New Roman" w:hAnsi="Times New Roman"/>
          <w:szCs w:val="21"/>
        </w:rPr>
        <w:t>要求乙方无条件</w:t>
      </w:r>
      <w:r>
        <w:rPr>
          <w:rFonts w:hint="eastAsia" w:ascii="Times New Roman" w:hAnsi="Times New Roman"/>
          <w:szCs w:val="21"/>
        </w:rPr>
        <w:t>修改和更正</w:t>
      </w:r>
      <w:r>
        <w:rPr>
          <w:rFonts w:ascii="Times New Roman" w:hAnsi="Times New Roman"/>
          <w:szCs w:val="21"/>
        </w:rPr>
        <w:t>，</w:t>
      </w:r>
      <w:r>
        <w:rPr>
          <w:rFonts w:hint="eastAsia" w:ascii="Times New Roman" w:hAnsi="Times New Roman"/>
          <w:szCs w:val="21"/>
        </w:rPr>
        <w:t>而后进行再次验收，乙方应承担因此额外产生的全部费用。如果仍不合格，甲方有权终止本合同并视作乙方不能交付而须支付合同总价</w:t>
      </w:r>
      <w:r>
        <w:rPr>
          <w:rFonts w:hint="eastAsia" w:ascii="Times New Roman" w:hAnsi="Times New Roman"/>
          <w:szCs w:val="21"/>
          <w:u w:val="single"/>
        </w:rPr>
        <w:t>10</w:t>
      </w:r>
      <w:r>
        <w:rPr>
          <w:rFonts w:ascii="Times New Roman" w:hAnsi="Times New Roman"/>
          <w:szCs w:val="21"/>
        </w:rPr>
        <w:t>%的</w:t>
      </w:r>
      <w:r>
        <w:rPr>
          <w:rFonts w:hint="eastAsia" w:ascii="Times New Roman" w:hAnsi="Times New Roman"/>
          <w:szCs w:val="21"/>
        </w:rPr>
        <w:t>违约金给甲方，违约金不能弥补甲方损失的，乙方应全额赔偿。</w:t>
      </w:r>
    </w:p>
    <w:p w14:paraId="406AFDF1">
      <w:pPr>
        <w:pStyle w:val="28"/>
        <w:numPr>
          <w:ilvl w:val="0"/>
          <w:numId w:val="14"/>
        </w:numPr>
        <w:snapToGrid w:val="0"/>
        <w:ind w:firstLineChars="0"/>
        <w:rPr>
          <w:rFonts w:ascii="Times New Roman" w:hAnsi="Times New Roman"/>
          <w:b/>
          <w:bCs/>
          <w:szCs w:val="21"/>
        </w:rPr>
      </w:pPr>
      <w:r>
        <w:rPr>
          <w:rFonts w:ascii="Times New Roman" w:hAnsi="Times New Roman"/>
          <w:b/>
          <w:bCs/>
          <w:szCs w:val="21"/>
        </w:rPr>
        <w:t>主体资格及知识产权</w:t>
      </w:r>
    </w:p>
    <w:p w14:paraId="6DDC8C69">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主体资格：</w:t>
      </w:r>
    </w:p>
    <w:p w14:paraId="6521C9A8">
      <w:pPr>
        <w:snapToGrid w:val="0"/>
        <w:ind w:firstLine="420" w:firstLineChars="200"/>
        <w:rPr>
          <w:rFonts w:ascii="Times New Roman" w:hAnsi="Times New Roman"/>
          <w:szCs w:val="21"/>
        </w:rPr>
      </w:pPr>
      <w:r>
        <w:rPr>
          <w:rFonts w:ascii="Times New Roman" w:hAnsi="Times New Roman"/>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616F7815">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知识产权：</w:t>
      </w:r>
    </w:p>
    <w:p w14:paraId="1C849AAB">
      <w:pPr>
        <w:pStyle w:val="28"/>
        <w:numPr>
          <w:ilvl w:val="0"/>
          <w:numId w:val="22"/>
        </w:numPr>
        <w:snapToGrid w:val="0"/>
        <w:ind w:firstLineChars="0"/>
        <w:rPr>
          <w:rFonts w:ascii="Times New Roman" w:hAnsi="Times New Roman"/>
          <w:szCs w:val="21"/>
        </w:rPr>
      </w:pPr>
      <w:r>
        <w:rPr>
          <w:rFonts w:ascii="Times New Roman" w:hAnsi="Times New Roman"/>
          <w:szCs w:val="21"/>
        </w:rPr>
        <w:t>乙方必须保证，甲方在中华人民共和国境内使用货物或者货物的某一部分时，如有第三方向甲方提出侵犯其专利权、商标权或其他知识产权的主张，由此造成的一切责任由乙方承担。</w:t>
      </w:r>
    </w:p>
    <w:p w14:paraId="6B088884">
      <w:pPr>
        <w:pStyle w:val="28"/>
        <w:numPr>
          <w:ilvl w:val="0"/>
          <w:numId w:val="22"/>
        </w:numPr>
        <w:snapToGrid w:val="0"/>
        <w:ind w:firstLineChars="0"/>
        <w:rPr>
          <w:rFonts w:ascii="Times New Roman" w:hAnsi="Times New Roman"/>
          <w:szCs w:val="21"/>
        </w:rPr>
      </w:pPr>
      <w:r>
        <w:rPr>
          <w:rFonts w:ascii="Times New Roman" w:hAnsi="Times New Roman"/>
          <w:szCs w:val="21"/>
        </w:rPr>
        <w:t>本合同费用包含向所有权人支付的专利权、商标权或其他知识产权的有关费用及税费。</w:t>
      </w:r>
    </w:p>
    <w:p w14:paraId="33B45955">
      <w:pPr>
        <w:pStyle w:val="28"/>
        <w:numPr>
          <w:ilvl w:val="0"/>
          <w:numId w:val="22"/>
        </w:numPr>
        <w:snapToGrid w:val="0"/>
        <w:ind w:firstLineChars="0"/>
        <w:rPr>
          <w:rFonts w:ascii="Times New Roman" w:hAnsi="Times New Roman"/>
          <w:szCs w:val="21"/>
        </w:rPr>
      </w:pPr>
      <w:r>
        <w:rPr>
          <w:rFonts w:ascii="Times New Roman" w:hAnsi="Times New Roman"/>
          <w:szCs w:val="21"/>
        </w:rPr>
        <w:t>乙方承诺</w:t>
      </w:r>
      <w:r>
        <w:rPr>
          <w:rFonts w:hint="eastAsia" w:ascii="Times New Roman" w:hAnsi="Times New Roman"/>
          <w:szCs w:val="21"/>
        </w:rPr>
        <w:t>向甲方提供的</w:t>
      </w:r>
      <w:r>
        <w:rPr>
          <w:rFonts w:ascii="Times New Roman" w:hAnsi="Times New Roman"/>
          <w:szCs w:val="21"/>
        </w:rPr>
        <w:t>货物上安装的软件已获得软件厂商的正规授权。</w:t>
      </w:r>
    </w:p>
    <w:p w14:paraId="2219FBBF">
      <w:pPr>
        <w:pStyle w:val="28"/>
        <w:numPr>
          <w:ilvl w:val="0"/>
          <w:numId w:val="22"/>
        </w:numPr>
        <w:snapToGrid w:val="0"/>
        <w:ind w:firstLineChars="0"/>
        <w:rPr>
          <w:rFonts w:ascii="Times New Roman" w:hAnsi="Times New Roman"/>
          <w:szCs w:val="21"/>
        </w:rPr>
      </w:pPr>
      <w:r>
        <w:rPr>
          <w:rFonts w:hint="eastAsia" w:ascii="Times New Roman" w:hAnsi="Times New Roman"/>
          <w:szCs w:val="21"/>
        </w:rPr>
        <w:t>甲、乙双方共同研发的该系统软件产品，知识产权归甲、乙双方共同拥有，软件所有数据归甲方所有</w:t>
      </w:r>
    </w:p>
    <w:p w14:paraId="439F1BAF">
      <w:pPr>
        <w:pStyle w:val="28"/>
        <w:numPr>
          <w:ilvl w:val="0"/>
          <w:numId w:val="22"/>
        </w:numPr>
        <w:snapToGrid w:val="0"/>
        <w:ind w:firstLineChars="0"/>
        <w:rPr>
          <w:rFonts w:ascii="Times New Roman" w:hAnsi="Times New Roman"/>
          <w:szCs w:val="21"/>
        </w:rPr>
      </w:pPr>
      <w:r>
        <w:rPr>
          <w:rFonts w:hint="eastAsia" w:ascii="Times New Roman" w:hAnsi="Times New Roman"/>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569B2408">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付款方式</w:t>
      </w:r>
    </w:p>
    <w:p w14:paraId="604DB909">
      <w:pPr>
        <w:pStyle w:val="28"/>
        <w:numPr>
          <w:ilvl w:val="0"/>
          <w:numId w:val="23"/>
        </w:numPr>
        <w:snapToGrid w:val="0"/>
        <w:ind w:firstLineChars="0"/>
        <w:rPr>
          <w:rFonts w:ascii="Times New Roman" w:hAnsi="Times New Roman"/>
          <w:szCs w:val="21"/>
        </w:rPr>
      </w:pPr>
      <w:r>
        <w:rPr>
          <w:rFonts w:hint="eastAsia" w:ascii="Times New Roman" w:hAnsi="Times New Roman"/>
          <w:szCs w:val="21"/>
        </w:rPr>
        <w:t>履约保证金：</w:t>
      </w:r>
    </w:p>
    <w:p w14:paraId="2B4C41B3">
      <w:pPr>
        <w:pStyle w:val="16"/>
        <w:snapToGrid w:val="0"/>
        <w:spacing w:after="0"/>
        <w:ind w:left="420" w:leftChars="200" w:firstLine="0" w:firstLineChars="0"/>
        <w:contextualSpacing/>
        <w:rPr>
          <w:rFonts w:hint="eastAsia"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w:t>
      </w:r>
      <w:r>
        <w:rPr>
          <w:rFonts w:hint="eastAsia" w:ascii="Times New Roman" w:hAnsi="Times New Roman"/>
          <w:color w:val="000000"/>
          <w:szCs w:val="21"/>
        </w:rPr>
        <w:t>；</w:t>
      </w:r>
      <w:r>
        <w:rPr>
          <w:rFonts w:ascii="Times New Roman" w:hAnsi="Times New Roman"/>
          <w:color w:val="000000"/>
          <w:szCs w:val="21"/>
        </w:rPr>
        <w:t>货物自验收合格之日满1年，甲方接到乙方付款申请后30个工作日内，甲方一次性无息退还乙方的履约保证金</w:t>
      </w:r>
      <w:r>
        <w:rPr>
          <w:rFonts w:hint="eastAsia" w:ascii="Times New Roman" w:hAnsi="Times New Roman"/>
          <w:color w:val="000000"/>
          <w:szCs w:val="21"/>
        </w:rPr>
        <w:t>；</w:t>
      </w:r>
      <w:r>
        <w:rPr>
          <w:rFonts w:ascii="Times New Roman" w:hAnsi="Times New Roman"/>
          <w:color w:val="000000"/>
          <w:szCs w:val="21"/>
        </w:rPr>
        <w:t>经验收</w:t>
      </w:r>
      <w:r>
        <w:rPr>
          <w:rFonts w:hint="eastAsia" w:ascii="Times New Roman" w:hAnsi="Times New Roman"/>
          <w:color w:val="000000"/>
          <w:szCs w:val="21"/>
        </w:rPr>
        <w:t>后</w:t>
      </w:r>
      <w:r>
        <w:rPr>
          <w:rFonts w:ascii="Times New Roman" w:hAnsi="Times New Roman"/>
          <w:color w:val="000000"/>
          <w:szCs w:val="21"/>
        </w:rPr>
        <w:t>乙方履约不合格的，履约保证金不予退还。</w:t>
      </w:r>
    </w:p>
    <w:p w14:paraId="78E7576C">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本合同不涉及履约保证金。</w:t>
      </w:r>
    </w:p>
    <w:p w14:paraId="08BCF552">
      <w:pPr>
        <w:pStyle w:val="28"/>
        <w:numPr>
          <w:ilvl w:val="0"/>
          <w:numId w:val="23"/>
        </w:numPr>
        <w:snapToGrid w:val="0"/>
        <w:ind w:firstLineChars="0"/>
        <w:rPr>
          <w:rFonts w:ascii="Times New Roman" w:hAnsi="Times New Roman"/>
          <w:szCs w:val="21"/>
        </w:rPr>
      </w:pPr>
      <w:r>
        <w:rPr>
          <w:rFonts w:hint="eastAsia" w:ascii="Times New Roman" w:hAnsi="Times New Roman"/>
          <w:szCs w:val="21"/>
        </w:rPr>
        <w:t>本合同价款采用以下方式支付，以人民币结算：</w:t>
      </w:r>
    </w:p>
    <w:p w14:paraId="56BD379E">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hint="eastAsia" w:ascii="Times New Roman" w:hAnsi="Times New Roman"/>
          <w:color w:val="000000"/>
          <w:szCs w:val="21"/>
        </w:rPr>
        <w:t>一次性支付：</w:t>
      </w:r>
    </w:p>
    <w:p w14:paraId="43EEF24C">
      <w:pPr>
        <w:pStyle w:val="16"/>
        <w:snapToGrid w:val="0"/>
        <w:spacing w:after="0"/>
        <w:ind w:left="840" w:leftChars="400" w:firstLineChars="200"/>
        <w:contextualSpacing/>
        <w:rPr>
          <w:rFonts w:ascii="Times New Roman" w:hAnsi="Times New Roman"/>
          <w:color w:val="000000"/>
          <w:szCs w:val="21"/>
        </w:rPr>
      </w:pPr>
      <w:r>
        <w:rPr>
          <w:rFonts w:hint="eastAsia" w:ascii="Times New Roman" w:hAnsi="Times New Roman"/>
          <w:color w:val="000000"/>
          <w:szCs w:val="21"/>
        </w:rPr>
        <w:t>甲方验收合格后</w:t>
      </w:r>
      <w:r>
        <w:rPr>
          <w:rFonts w:ascii="Times New Roman" w:hAnsi="Times New Roman"/>
          <w:color w:val="000000"/>
          <w:szCs w:val="21"/>
        </w:rPr>
        <w:t>5</w:t>
      </w:r>
      <w:r>
        <w:rPr>
          <w:rFonts w:hint="eastAsia" w:ascii="Times New Roman" w:hAnsi="Times New Roman"/>
          <w:color w:val="000000"/>
          <w:szCs w:val="21"/>
        </w:rPr>
        <w:t>日内，乙方须向甲方出具</w:t>
      </w:r>
      <w:r>
        <w:rPr>
          <w:lang w:bidi="ar"/>
        </w:rPr>
        <w:t>合法有效票据及其它相关请款资料</w:t>
      </w:r>
      <w:r>
        <w:rPr>
          <w:rFonts w:hint="eastAsia" w:ascii="Times New Roman" w:hAnsi="Times New Roman"/>
          <w:color w:val="000000"/>
          <w:szCs w:val="21"/>
        </w:rPr>
        <w:t>，甲方自收到上述发票及凭证资料后</w:t>
      </w:r>
      <w:r>
        <w:rPr>
          <w:rFonts w:ascii="Times New Roman" w:hAnsi="Times New Roman"/>
          <w:color w:val="000000"/>
          <w:szCs w:val="21"/>
        </w:rPr>
        <w:t>55</w:t>
      </w:r>
      <w:r>
        <w:rPr>
          <w:rFonts w:hint="eastAsia" w:ascii="Times New Roman" w:hAnsi="Times New Roman"/>
          <w:color w:val="000000"/>
          <w:szCs w:val="21"/>
        </w:rPr>
        <w:t>日内支付合同总价</w:t>
      </w:r>
      <w:r>
        <w:rPr>
          <w:rFonts w:ascii="Times New Roman" w:hAnsi="Times New Roman"/>
          <w:color w:val="000000"/>
          <w:szCs w:val="21"/>
        </w:rPr>
        <w:t>100%</w:t>
      </w:r>
      <w:r>
        <w:rPr>
          <w:rFonts w:hint="eastAsia" w:ascii="Times New Roman" w:hAnsi="Times New Roman"/>
          <w:color w:val="000000"/>
          <w:szCs w:val="21"/>
        </w:rPr>
        <w:t>的货款给乙方。</w:t>
      </w:r>
    </w:p>
    <w:p w14:paraId="02296E4C">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分阶段支付，支付期限及额度如下：</w:t>
      </w:r>
    </w:p>
    <w:p w14:paraId="19BFFA0B">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（1）预付款：本合同生效后</w:t>
      </w:r>
      <w:r>
        <w:rPr>
          <w:rFonts w:ascii="Times New Roman" w:hAnsi="Times New Roman"/>
          <w:color w:val="000000"/>
          <w:szCs w:val="21"/>
        </w:rPr>
        <w:t>***</w:t>
      </w:r>
      <w:r>
        <w:rPr>
          <w:rFonts w:hint="eastAsia" w:ascii="Times New Roman" w:hAnsi="Times New Roman"/>
          <w:color w:val="000000"/>
          <w:szCs w:val="21"/>
        </w:rPr>
        <w:t>个工作日内，甲方预付项目费用总额的*</w:t>
      </w:r>
      <w:r>
        <w:rPr>
          <w:rFonts w:ascii="Times New Roman" w:hAnsi="Times New Roman"/>
          <w:color w:val="000000"/>
          <w:szCs w:val="21"/>
        </w:rPr>
        <w:t>**%</w:t>
      </w:r>
      <w:r>
        <w:rPr>
          <w:rFonts w:hint="eastAsia" w:ascii="Times New Roman" w:hAnsi="Times New Roman"/>
          <w:color w:val="000000"/>
          <w:szCs w:val="21"/>
        </w:rPr>
        <w:t xml:space="preserve">，即人民币（大写） </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47BAD0E5">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（2）进度款，甲方应当按照下列方式支付进度款：</w:t>
      </w:r>
    </w:p>
    <w:p w14:paraId="3871E578">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乙方按照本合同约定完成阶段性工作后，甲方应于每一阶段性工作成果验收合格之日起</w:t>
      </w:r>
      <w:r>
        <w:rPr>
          <w:rFonts w:ascii="Times New Roman" w:hAnsi="Times New Roman"/>
          <w:color w:val="000000"/>
          <w:szCs w:val="21"/>
        </w:rPr>
        <w:t>***</w:t>
      </w:r>
      <w:r>
        <w:rPr>
          <w:rFonts w:hint="eastAsia" w:ascii="Times New Roman" w:hAnsi="Times New Roman"/>
          <w:color w:val="000000"/>
          <w:szCs w:val="21"/>
        </w:rPr>
        <w:t>个工作日内，向乙方支付相应的费用。</w:t>
      </w:r>
    </w:p>
    <w:p w14:paraId="4778C991">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乙方完成</w:t>
      </w:r>
      <w:r>
        <w:rPr>
          <w:rFonts w:ascii="Times New Roman" w:hAnsi="Times New Roman"/>
          <w:color w:val="000000"/>
          <w:szCs w:val="21"/>
        </w:rPr>
        <w:t>***</w:t>
      </w:r>
      <w:r>
        <w:rPr>
          <w:rFonts w:hint="eastAsia" w:ascii="Times New Roman" w:hAnsi="Times New Roman"/>
          <w:color w:val="000000"/>
          <w:szCs w:val="21"/>
        </w:rPr>
        <w:t>，甲方支付项目费用总额的</w:t>
      </w:r>
      <w:r>
        <w:rPr>
          <w:rFonts w:ascii="Times New Roman" w:hAnsi="Times New Roman"/>
          <w:color w:val="000000"/>
          <w:szCs w:val="21"/>
        </w:rPr>
        <w:t>***%</w:t>
      </w:r>
      <w:r>
        <w:rPr>
          <w:rFonts w:hint="eastAsia" w:ascii="Times New Roman" w:hAnsi="Times New Roman"/>
          <w:color w:val="000000"/>
          <w:szCs w:val="21"/>
        </w:rPr>
        <w:t>，即 人民币（大写）</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730E2AEE">
      <w:pPr>
        <w:pStyle w:val="16"/>
        <w:snapToGrid w:val="0"/>
        <w:spacing w:after="0"/>
        <w:ind w:left="945" w:leftChars="400" w:hanging="105" w:hangingChars="50"/>
        <w:contextualSpacing/>
        <w:jc w:val="left"/>
        <w:rPr>
          <w:rFonts w:ascii="Times New Roman" w:hAnsi="Times New Roman"/>
          <w:color w:val="000000"/>
          <w:szCs w:val="21"/>
        </w:rPr>
      </w:pPr>
      <w:r>
        <w:rPr>
          <w:rFonts w:hint="eastAsia" w:ascii="Times New Roman" w:hAnsi="Times New Roman"/>
          <w:color w:val="000000"/>
          <w:szCs w:val="21"/>
        </w:rPr>
        <w:t>（3）结算款：本项目竣工验收合格后</w:t>
      </w:r>
      <w:r>
        <w:rPr>
          <w:rFonts w:ascii="Times New Roman" w:hAnsi="Times New Roman"/>
          <w:color w:val="000000"/>
          <w:szCs w:val="21"/>
        </w:rPr>
        <w:t>***</w:t>
      </w:r>
      <w:r>
        <w:rPr>
          <w:rFonts w:hint="eastAsia" w:ascii="Times New Roman" w:hAnsi="Times New Roman"/>
          <w:color w:val="000000"/>
          <w:szCs w:val="21"/>
        </w:rPr>
        <w:t>个工作日内，甲方向乙方支付剩余价款人民币（大写）</w:t>
      </w:r>
      <w:r>
        <w:rPr>
          <w:rFonts w:ascii="Times New Roman" w:hAnsi="Times New Roman"/>
          <w:color w:val="000000"/>
          <w:szCs w:val="21"/>
        </w:rPr>
        <w:t xml:space="preserve">*** </w:t>
      </w:r>
      <w:r>
        <w:rPr>
          <w:rFonts w:hint="eastAsia" w:ascii="Times New Roman" w:hAnsi="Times New Roman"/>
          <w:color w:val="000000"/>
          <w:szCs w:val="21"/>
        </w:rPr>
        <w:t>圆整（RMB</w:t>
      </w:r>
      <w:r>
        <w:rPr>
          <w:rFonts w:ascii="Times New Roman" w:hAnsi="Times New Roman"/>
          <w:color w:val="000000"/>
          <w:szCs w:val="21"/>
        </w:rPr>
        <w:t xml:space="preserve"> ***</w:t>
      </w:r>
      <w:r>
        <w:rPr>
          <w:rFonts w:hint="eastAsia" w:ascii="Times New Roman" w:hAnsi="Times New Roman"/>
          <w:color w:val="000000"/>
          <w:szCs w:val="21"/>
        </w:rPr>
        <w:t xml:space="preserve"> 元）。</w:t>
      </w:r>
    </w:p>
    <w:p w14:paraId="7AA98EEC">
      <w:pPr>
        <w:pStyle w:val="28"/>
        <w:numPr>
          <w:ilvl w:val="0"/>
          <w:numId w:val="23"/>
        </w:numPr>
        <w:snapToGrid w:val="0"/>
        <w:ind w:left="0" w:firstLine="0" w:firstLineChars="0"/>
        <w:rPr>
          <w:rFonts w:ascii="Times New Roman" w:hAnsi="Times New Roman"/>
          <w:szCs w:val="21"/>
        </w:rPr>
      </w:pPr>
      <w:r>
        <w:rPr>
          <w:rFonts w:hint="eastAsia" w:ascii="Times New Roman" w:hAnsi="Times New Roman"/>
          <w:szCs w:val="21"/>
        </w:rPr>
        <w:t>甲方付款前，乙方需出具</w:t>
      </w:r>
      <w:r>
        <w:rPr>
          <w:lang w:bidi="ar"/>
        </w:rPr>
        <w:t>合法有效票据及其它相关请款资料</w:t>
      </w:r>
      <w:r>
        <w:rPr>
          <w:rFonts w:hint="eastAsia" w:ascii="Times New Roman" w:hAnsi="Times New Roman"/>
          <w:szCs w:val="21"/>
        </w:rPr>
        <w:t>，否则甲方有权拒绝支付且不承担任何违约责任，且乙方不得因此停止履约。</w:t>
      </w:r>
    </w:p>
    <w:p w14:paraId="3161F26D">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w:t>
      </w:r>
      <w:r>
        <w:rPr>
          <w:rFonts w:hint="eastAsia" w:ascii="Times New Roman" w:hAnsi="Times New Roman"/>
          <w:szCs w:val="21"/>
        </w:rPr>
        <w:t>中的货物</w:t>
      </w:r>
      <w:r>
        <w:rPr>
          <w:rFonts w:ascii="Times New Roman" w:hAnsi="Times New Roman"/>
          <w:szCs w:val="21"/>
        </w:rPr>
        <w:t>名称与</w:t>
      </w:r>
      <w:r>
        <w:rPr>
          <w:rFonts w:hint="eastAsia" w:ascii="Times New Roman" w:hAnsi="Times New Roman"/>
          <w:szCs w:val="21"/>
        </w:rPr>
        <w:t>合同</w:t>
      </w:r>
      <w:r>
        <w:rPr>
          <w:rFonts w:ascii="Times New Roman" w:hAnsi="Times New Roman"/>
          <w:szCs w:val="21"/>
        </w:rPr>
        <w:t>中</w:t>
      </w:r>
      <w:r>
        <w:rPr>
          <w:rFonts w:hint="eastAsia" w:ascii="Times New Roman" w:hAnsi="Times New Roman"/>
          <w:szCs w:val="21"/>
        </w:rPr>
        <w:t>货物</w:t>
      </w:r>
      <w:r>
        <w:rPr>
          <w:rFonts w:ascii="Times New Roman" w:hAnsi="Times New Roman"/>
          <w:szCs w:val="21"/>
        </w:rPr>
        <w:t>名称</w:t>
      </w:r>
      <w:r>
        <w:rPr>
          <w:rFonts w:hint="eastAsia" w:ascii="Times New Roman" w:hAnsi="Times New Roman"/>
          <w:szCs w:val="21"/>
        </w:rPr>
        <w:t>应</w:t>
      </w:r>
      <w:r>
        <w:rPr>
          <w:rFonts w:ascii="Times New Roman" w:hAnsi="Times New Roman"/>
          <w:szCs w:val="21"/>
        </w:rPr>
        <w:t>一致。</w:t>
      </w:r>
    </w:p>
    <w:p w14:paraId="0C512D97">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乙方开票信息应与合同预留账户信息一致</w:t>
      </w:r>
      <w:r>
        <w:rPr>
          <w:rFonts w:hint="eastAsia" w:ascii="Times New Roman" w:hAnsi="Times New Roman"/>
          <w:szCs w:val="21"/>
        </w:rPr>
        <w:t>，</w:t>
      </w:r>
      <w:r>
        <w:rPr>
          <w:rFonts w:ascii="Times New Roman" w:hAnsi="Times New Roman"/>
          <w:szCs w:val="21"/>
        </w:rPr>
        <w:t>如有变更，乙方应当在变更后3日内通知甲方</w:t>
      </w:r>
      <w:r>
        <w:rPr>
          <w:rFonts w:hint="eastAsia" w:ascii="Times New Roman" w:hAnsi="Times New Roman"/>
          <w:szCs w:val="21"/>
        </w:rPr>
        <w:t>，</w:t>
      </w:r>
      <w:r>
        <w:rPr>
          <w:rFonts w:ascii="Times New Roman" w:hAnsi="Times New Roman"/>
          <w:szCs w:val="21"/>
        </w:rPr>
        <w:t>否则，由此造成的损失由乙方自行承担。</w:t>
      </w:r>
    </w:p>
    <w:p w14:paraId="71AF32CE">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售后服务</w:t>
      </w:r>
    </w:p>
    <w:p w14:paraId="52F0F743">
      <w:pPr>
        <w:pStyle w:val="28"/>
        <w:numPr>
          <w:ilvl w:val="0"/>
          <w:numId w:val="24"/>
        </w:numPr>
        <w:snapToGrid w:val="0"/>
        <w:ind w:firstLineChars="0"/>
        <w:rPr>
          <w:rFonts w:ascii="Times New Roman" w:hAnsi="Times New Roman"/>
          <w:szCs w:val="21"/>
        </w:rPr>
      </w:pPr>
      <w:r>
        <w:rPr>
          <w:rFonts w:ascii="Times New Roman" w:hAnsi="Times New Roman"/>
          <w:szCs w:val="21"/>
        </w:rPr>
        <w:t>乙方应对甲方工作人员进行培训：***</w:t>
      </w:r>
      <w:r>
        <w:rPr>
          <w:rFonts w:hint="eastAsia" w:ascii="Times New Roman" w:hAnsi="Times New Roman"/>
          <w:i/>
          <w:iCs/>
          <w:szCs w:val="21"/>
          <w:highlight w:val="yellow"/>
        </w:rPr>
        <w:t>&lt;具体培训内容</w:t>
      </w:r>
      <w:r>
        <w:rPr>
          <w:rFonts w:ascii="Times New Roman" w:hAnsi="Times New Roman"/>
          <w:i/>
          <w:iCs/>
          <w:szCs w:val="21"/>
          <w:highlight w:val="yellow"/>
        </w:rPr>
        <w:t>可根据项目具体情况编制</w:t>
      </w:r>
      <w:r>
        <w:rPr>
          <w:rFonts w:hint="eastAsia" w:ascii="Times New Roman" w:hAnsi="Times New Roman"/>
          <w:i/>
          <w:iCs/>
          <w:szCs w:val="21"/>
          <w:highlight w:val="yellow"/>
        </w:rPr>
        <w:t>&gt;</w:t>
      </w:r>
      <w:r>
        <w:rPr>
          <w:rFonts w:ascii="Times New Roman" w:hAnsi="Times New Roman"/>
        </w:rPr>
        <w:t>。</w:t>
      </w:r>
      <w:r>
        <w:rPr>
          <w:rFonts w:ascii="Times New Roman" w:hAnsi="Times New Roman"/>
          <w:szCs w:val="21"/>
        </w:rPr>
        <w:t>货物</w:t>
      </w:r>
      <w:r>
        <w:rPr>
          <w:rFonts w:hint="eastAsia" w:ascii="Times New Roman" w:hAnsi="Times New Roman"/>
          <w:szCs w:val="21"/>
        </w:rPr>
        <w:t>如需</w:t>
      </w:r>
      <w:r>
        <w:rPr>
          <w:rFonts w:ascii="Times New Roman" w:hAnsi="Times New Roman"/>
          <w:szCs w:val="21"/>
        </w:rPr>
        <w:t>安装调试</w:t>
      </w:r>
      <w:r>
        <w:rPr>
          <w:rFonts w:hint="eastAsia" w:ascii="Times New Roman" w:hAnsi="Times New Roman"/>
          <w:szCs w:val="21"/>
        </w:rPr>
        <w:t>，</w:t>
      </w:r>
      <w:r>
        <w:rPr>
          <w:rFonts w:ascii="Times New Roman" w:hAnsi="Times New Roman"/>
          <w:szCs w:val="21"/>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rPr>
        <w:t>方法</w:t>
      </w:r>
      <w:r>
        <w:rPr>
          <w:rFonts w:ascii="Times New Roman" w:hAnsi="Times New Roman"/>
          <w:szCs w:val="21"/>
        </w:rPr>
        <w:t>，保证正常运行并能排除一般</w:t>
      </w:r>
      <w:r>
        <w:rPr>
          <w:rFonts w:hint="eastAsia" w:ascii="Times New Roman" w:hAnsi="Times New Roman"/>
          <w:szCs w:val="21"/>
        </w:rPr>
        <w:t>性</w:t>
      </w:r>
      <w:r>
        <w:rPr>
          <w:rFonts w:ascii="Times New Roman" w:hAnsi="Times New Roman"/>
          <w:szCs w:val="21"/>
        </w:rPr>
        <w:t>故障。乙方应对</w:t>
      </w:r>
      <w:r>
        <w:rPr>
          <w:rFonts w:hint="eastAsia" w:ascii="Times New Roman" w:hAnsi="Times New Roman"/>
          <w:szCs w:val="21"/>
        </w:rPr>
        <w:t>甲方</w:t>
      </w:r>
      <w:r>
        <w:rPr>
          <w:rFonts w:ascii="Times New Roman" w:hAnsi="Times New Roman"/>
          <w:szCs w:val="21"/>
        </w:rPr>
        <w:t>维修工程师进行全系统维修培训。</w:t>
      </w:r>
    </w:p>
    <w:p w14:paraId="60881DC3">
      <w:pPr>
        <w:pStyle w:val="28"/>
        <w:numPr>
          <w:ilvl w:val="0"/>
          <w:numId w:val="24"/>
        </w:numPr>
        <w:snapToGrid w:val="0"/>
        <w:ind w:firstLineChars="0"/>
        <w:rPr>
          <w:rFonts w:ascii="Times New Roman" w:hAnsi="Times New Roman"/>
          <w:szCs w:val="21"/>
        </w:rPr>
      </w:pPr>
      <w:r>
        <w:rPr>
          <w:rFonts w:ascii="Times New Roman" w:hAnsi="Times New Roman"/>
          <w:szCs w:val="21"/>
        </w:rPr>
        <w:t>质保期为验收合格后 *** 年（合同签订后甲方出具验收报告之日起）</w:t>
      </w:r>
    </w:p>
    <w:p w14:paraId="52BED1CA">
      <w:pPr>
        <w:pStyle w:val="28"/>
        <w:numPr>
          <w:ilvl w:val="0"/>
          <w:numId w:val="24"/>
        </w:numPr>
        <w:snapToGrid w:val="0"/>
        <w:ind w:firstLineChars="0"/>
        <w:contextualSpacing/>
        <w:rPr>
          <w:rFonts w:ascii="Times New Roman" w:hAnsi="Times New Roman"/>
          <w:szCs w:val="21"/>
        </w:rPr>
      </w:pPr>
      <w:r>
        <w:rPr>
          <w:rFonts w:ascii="Times New Roman" w:hAnsi="Times New Roman"/>
          <w:szCs w:val="21"/>
        </w:rPr>
        <w:t>质保范围：</w:t>
      </w:r>
      <w:r>
        <w:rPr>
          <w:rFonts w:ascii="Times New Roman" w:hAnsi="Times New Roman"/>
        </w:rPr>
        <w:t>整机含所有部件（质保期内涉及维修,产品更换,人工费用等一切费用包含在本合同总价中</w:t>
      </w:r>
      <w:r>
        <w:rPr>
          <w:rFonts w:hint="eastAsia" w:ascii="Times New Roman" w:hAnsi="Times New Roman"/>
        </w:rPr>
        <w:t>）</w:t>
      </w:r>
      <w:r>
        <w:rPr>
          <w:rFonts w:ascii="Times New Roman" w:hAnsi="Times New Roman"/>
        </w:rPr>
        <w:t>。</w:t>
      </w:r>
      <w:r>
        <w:rPr>
          <w:rFonts w:ascii="Times New Roman" w:hAnsi="Times New Roman"/>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rPr>
        <w:t>货物</w:t>
      </w:r>
      <w:r>
        <w:rPr>
          <w:rFonts w:eastAsia="Songti SC"/>
        </w:rPr>
        <w:t>在质保期内因同一故障</w:t>
      </w:r>
      <w:r>
        <w:rPr>
          <w:rFonts w:ascii="Times New Roman" w:hAnsi="Times New Roman"/>
          <w:szCs w:val="21"/>
        </w:rPr>
        <w:t>经乙方两次维修仍不能达到本合同约定的</w:t>
      </w:r>
      <w:r>
        <w:rPr>
          <w:rFonts w:hint="eastAsia" w:ascii="Times New Roman" w:hAnsi="Times New Roman"/>
        </w:rPr>
        <w:t>技术要求及国家法律法规规定的</w:t>
      </w:r>
      <w:r>
        <w:rPr>
          <w:rFonts w:ascii="Times New Roman" w:hAnsi="Times New Roman"/>
          <w:szCs w:val="21"/>
        </w:rPr>
        <w:t>质量标准，甲方有权采取要求乙方更换全新货物</w:t>
      </w:r>
      <w:r>
        <w:rPr>
          <w:rFonts w:hint="eastAsia" w:ascii="Times New Roman" w:hAnsi="Times New Roman"/>
          <w:szCs w:val="21"/>
        </w:rPr>
        <w:t>或</w:t>
      </w:r>
      <w:r>
        <w:rPr>
          <w:rFonts w:ascii="Times New Roman" w:hAnsi="Times New Roman"/>
          <w:szCs w:val="21"/>
        </w:rPr>
        <w:t>退货并追究乙方违约责任等措施。质保期内，如需更换零配件，乙方应保证所更换的零配件与原货物相同规格和品质，费用包括在合同总价中。</w:t>
      </w:r>
    </w:p>
    <w:p w14:paraId="313A481E">
      <w:pPr>
        <w:pStyle w:val="28"/>
        <w:numPr>
          <w:ilvl w:val="0"/>
          <w:numId w:val="24"/>
        </w:numPr>
        <w:snapToGrid w:val="0"/>
        <w:ind w:firstLineChars="0"/>
        <w:rPr>
          <w:rFonts w:ascii="Times New Roman" w:hAnsi="Times New Roman"/>
          <w:szCs w:val="21"/>
        </w:rPr>
      </w:pPr>
      <w:r>
        <w:rPr>
          <w:rFonts w:ascii="Times New Roman" w:hAnsi="Times New Roman"/>
          <w:szCs w:val="21"/>
        </w:rPr>
        <w:t>乙方须指派专人负责与甲方联系售后服务事宜</w:t>
      </w:r>
      <w:r>
        <w:rPr>
          <w:rFonts w:hint="eastAsia" w:ascii="Times New Roman" w:hAnsi="Times New Roman"/>
          <w:szCs w:val="21"/>
        </w:rPr>
        <w:t>，</w:t>
      </w:r>
      <w:r>
        <w:rPr>
          <w:rFonts w:ascii="Times New Roman" w:hAnsi="Times New Roman"/>
          <w:szCs w:val="21"/>
        </w:rPr>
        <w:t>联系人：***</w:t>
      </w:r>
      <w:r>
        <w:rPr>
          <w:rFonts w:hint="eastAsia" w:ascii="Times New Roman" w:hAnsi="Times New Roman"/>
          <w:szCs w:val="21"/>
        </w:rPr>
        <w:t>，</w:t>
      </w:r>
      <w:r>
        <w:rPr>
          <w:rFonts w:ascii="Times New Roman" w:hAnsi="Times New Roman"/>
          <w:szCs w:val="21"/>
        </w:rPr>
        <w:t>联系电话：</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w:t>
      </w:r>
    </w:p>
    <w:p w14:paraId="7F9E44A8">
      <w:pPr>
        <w:pStyle w:val="28"/>
        <w:numPr>
          <w:ilvl w:val="0"/>
          <w:numId w:val="24"/>
        </w:numPr>
        <w:snapToGrid w:val="0"/>
        <w:ind w:firstLineChars="0"/>
        <w:rPr>
          <w:rFonts w:ascii="Times New Roman" w:hAnsi="Times New Roman"/>
          <w:szCs w:val="21"/>
        </w:rPr>
      </w:pPr>
      <w:r>
        <w:rPr>
          <w:rFonts w:eastAsia="Songti SC"/>
        </w:rPr>
        <w:t>质保期内，</w:t>
      </w:r>
      <w:r>
        <w:rPr>
          <w:rFonts w:hint="eastAsia" w:eastAsia="Songti SC"/>
        </w:rPr>
        <w:t>货物因自身故障导致的</w:t>
      </w:r>
      <w:r>
        <w:rPr>
          <w:rFonts w:eastAsia="Songti SC"/>
        </w:rPr>
        <w:t>停机率不应超过5%（一年按365天计算），否则</w:t>
      </w:r>
      <w:r>
        <w:rPr>
          <w:rFonts w:hint="eastAsia" w:eastAsia="Songti SC"/>
        </w:rPr>
        <w:t>乙方</w:t>
      </w:r>
      <w:r>
        <w:rPr>
          <w:rFonts w:eastAsia="Songti SC"/>
        </w:rPr>
        <w:t>应就超出部分（</w:t>
      </w:r>
      <w:r>
        <w:rPr>
          <w:rFonts w:hint="eastAsia" w:eastAsia="Songti SC"/>
        </w:rPr>
        <w:t>乙方</w:t>
      </w:r>
      <w:r>
        <w:rPr>
          <w:rFonts w:eastAsia="Songti SC"/>
        </w:rPr>
        <w:t>已提供备用机并保障</w:t>
      </w:r>
      <w:r>
        <w:rPr>
          <w:rFonts w:hint="eastAsia" w:eastAsia="Songti SC"/>
        </w:rPr>
        <w:t>甲方</w:t>
      </w:r>
      <w:r>
        <w:rPr>
          <w:rFonts w:eastAsia="Songti SC"/>
        </w:rPr>
        <w:t>正常使用的时间，不计算为停机时间）按天数向</w:t>
      </w:r>
      <w:r>
        <w:rPr>
          <w:rFonts w:hint="eastAsia" w:eastAsia="Songti SC"/>
        </w:rPr>
        <w:t>甲方</w:t>
      </w:r>
      <w:r>
        <w:rPr>
          <w:rFonts w:eastAsia="Songti SC"/>
        </w:rPr>
        <w:t>赔偿经济损失</w:t>
      </w:r>
      <w:r>
        <w:rPr>
          <w:rFonts w:ascii="Times New Roman" w:hAnsi="Times New Roman"/>
          <w:szCs w:val="21"/>
        </w:rPr>
        <w:t>。</w:t>
      </w:r>
    </w:p>
    <w:p w14:paraId="09DD70AC">
      <w:pPr>
        <w:pStyle w:val="28"/>
        <w:numPr>
          <w:ilvl w:val="0"/>
          <w:numId w:val="24"/>
        </w:numPr>
        <w:snapToGrid w:val="0"/>
        <w:ind w:firstLineChars="0"/>
        <w:rPr>
          <w:rFonts w:ascii="Times New Roman" w:hAnsi="Times New Roman"/>
          <w:szCs w:val="21"/>
        </w:rPr>
      </w:pPr>
      <w:r>
        <w:rPr>
          <w:rFonts w:ascii="Times New Roman" w:hAnsi="Times New Roman"/>
          <w:szCs w:val="21"/>
        </w:rPr>
        <w:t>若货物涉及计算机软件系统的，乙方有义务为甲方此后对货物完全的使用（含维护）提供便利及支持，包括但不限于源代码、密码的提供，乙方不得拒绝或收取额外费用。</w:t>
      </w:r>
    </w:p>
    <w:p w14:paraId="581225FA">
      <w:pPr>
        <w:pStyle w:val="28"/>
        <w:numPr>
          <w:ilvl w:val="0"/>
          <w:numId w:val="24"/>
        </w:numPr>
        <w:snapToGrid w:val="0"/>
        <w:ind w:firstLineChars="0"/>
        <w:rPr>
          <w:rFonts w:ascii="Times New Roman" w:hAnsi="Times New Roman"/>
          <w:szCs w:val="21"/>
        </w:rPr>
      </w:pPr>
      <w:r>
        <w:rPr>
          <w:rFonts w:ascii="Times New Roman" w:hAnsi="Times New Roman"/>
        </w:rPr>
        <w:t>质保期内，如</w:t>
      </w:r>
      <w:r>
        <w:rPr>
          <w:rFonts w:hint="eastAsia" w:ascii="Times New Roman" w:hAnsi="Times New Roman"/>
        </w:rPr>
        <w:t>货物</w:t>
      </w:r>
      <w:r>
        <w:rPr>
          <w:rFonts w:ascii="Times New Roman" w:hAnsi="Times New Roman"/>
        </w:rPr>
        <w:t>因维修无法使用，</w:t>
      </w:r>
      <w:r>
        <w:rPr>
          <w:rFonts w:hint="eastAsia" w:ascii="Times New Roman" w:hAnsi="Times New Roman"/>
        </w:rPr>
        <w:t>乙方</w:t>
      </w:r>
      <w:r>
        <w:rPr>
          <w:rFonts w:ascii="Times New Roman" w:hAnsi="Times New Roman"/>
        </w:rPr>
        <w:t>应根据</w:t>
      </w:r>
      <w:r>
        <w:rPr>
          <w:rFonts w:hint="eastAsia" w:ascii="Times New Roman" w:hAnsi="Times New Roman"/>
        </w:rPr>
        <w:t>甲方</w:t>
      </w:r>
      <w:r>
        <w:rPr>
          <w:rFonts w:ascii="Times New Roman" w:hAnsi="Times New Roman"/>
        </w:rPr>
        <w:t>需要向</w:t>
      </w:r>
      <w:r>
        <w:rPr>
          <w:rFonts w:hint="eastAsia" w:ascii="Times New Roman" w:hAnsi="Times New Roman"/>
        </w:rPr>
        <w:t>甲方</w:t>
      </w:r>
      <w:r>
        <w:rPr>
          <w:rFonts w:ascii="Times New Roman" w:hAnsi="Times New Roman"/>
        </w:rPr>
        <w:t>提供</w:t>
      </w:r>
      <w:r>
        <w:rPr>
          <w:rFonts w:ascii="Times New Roman" w:hAnsi="Times New Roman"/>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0706A5C5">
      <w:pPr>
        <w:pStyle w:val="28"/>
        <w:numPr>
          <w:ilvl w:val="0"/>
          <w:numId w:val="24"/>
        </w:numPr>
        <w:snapToGrid w:val="0"/>
        <w:ind w:firstLineChars="0"/>
        <w:rPr>
          <w:rFonts w:ascii="Times New Roman" w:hAnsi="Times New Roman"/>
          <w:szCs w:val="21"/>
        </w:rPr>
      </w:pPr>
      <w:r>
        <w:rPr>
          <w:rFonts w:ascii="Times New Roman" w:hAnsi="Times New Roman"/>
          <w:szCs w:val="21"/>
        </w:rPr>
        <w:t>售后服务涉及费用均包含在合同总价中。</w:t>
      </w:r>
    </w:p>
    <w:p w14:paraId="0507419A">
      <w:pPr>
        <w:pStyle w:val="28"/>
        <w:numPr>
          <w:ilvl w:val="0"/>
          <w:numId w:val="24"/>
        </w:numPr>
        <w:snapToGrid w:val="0"/>
        <w:ind w:firstLineChars="0"/>
        <w:rPr>
          <w:rFonts w:ascii="Times New Roman" w:hAnsi="Times New Roman"/>
          <w:szCs w:val="21"/>
        </w:rPr>
      </w:pPr>
      <w:r>
        <w:rPr>
          <w:rFonts w:ascii="Times New Roman" w:hAnsi="Times New Roman"/>
          <w:szCs w:val="21"/>
        </w:rPr>
        <w:t>质保期外，若出现停机或不能使用等故障，乙方</w:t>
      </w:r>
      <w:r>
        <w:rPr>
          <w:rFonts w:hint="eastAsia" w:ascii="Times New Roman" w:hAnsi="Times New Roman"/>
          <w:szCs w:val="21"/>
        </w:rPr>
        <w:t>应</w:t>
      </w:r>
      <w:r>
        <w:rPr>
          <w:rFonts w:ascii="Times New Roman" w:hAnsi="Times New Roman"/>
          <w:szCs w:val="21"/>
        </w:rPr>
        <w:t>按维修响应要求</w:t>
      </w:r>
      <w:r>
        <w:rPr>
          <w:rFonts w:hint="eastAsia" w:ascii="Times New Roman" w:hAnsi="Times New Roman"/>
          <w:szCs w:val="21"/>
        </w:rPr>
        <w:t>提供相应的技术支持提供，</w:t>
      </w:r>
      <w:r>
        <w:rPr>
          <w:rFonts w:ascii="Times New Roman" w:hAnsi="Times New Roman"/>
          <w:szCs w:val="21"/>
        </w:rPr>
        <w:t>如乙方未能按上述约定及时履行维修义务，甲方有权按实际经济损失要求赔偿并追究相应的法律责任。</w:t>
      </w:r>
    </w:p>
    <w:p w14:paraId="3A288F69">
      <w:pPr>
        <w:pStyle w:val="28"/>
        <w:numPr>
          <w:ilvl w:val="0"/>
          <w:numId w:val="24"/>
        </w:numPr>
        <w:snapToGrid w:val="0"/>
        <w:ind w:firstLineChars="0"/>
        <w:rPr>
          <w:rFonts w:ascii="Times New Roman" w:hAnsi="Times New Roman"/>
          <w:szCs w:val="21"/>
        </w:rPr>
      </w:pPr>
      <w:r>
        <w:rPr>
          <w:rFonts w:ascii="Times New Roman" w:hAnsi="Times New Roman"/>
          <w:szCs w:val="21"/>
        </w:rPr>
        <w:tab/>
      </w:r>
      <w:r>
        <w:rPr>
          <w:rFonts w:ascii="Times New Roman" w:hAnsi="Times New Roman"/>
          <w:szCs w:val="21"/>
        </w:rPr>
        <w:t>因乙方原因不能够达到上述货物质保及售后服务的约定，按甲方实际</w:t>
      </w:r>
      <w:r>
        <w:rPr>
          <w:rFonts w:hint="eastAsia" w:ascii="Times New Roman" w:hAnsi="Times New Roman"/>
          <w:szCs w:val="21"/>
        </w:rPr>
        <w:t>无法使用货物的</w:t>
      </w:r>
      <w:r>
        <w:rPr>
          <w:rFonts w:ascii="Times New Roman" w:hAnsi="Times New Roman"/>
          <w:szCs w:val="21"/>
        </w:rPr>
        <w:t>天数自动延长其质保期,甲方有权延后</w:t>
      </w:r>
      <w:r>
        <w:rPr>
          <w:rFonts w:hint="eastAsia" w:ascii="Times New Roman" w:hAnsi="Times New Roman"/>
          <w:szCs w:val="21"/>
        </w:rPr>
        <w:t>履约保证金</w:t>
      </w:r>
      <w:r>
        <w:rPr>
          <w:rFonts w:ascii="Times New Roman" w:hAnsi="Times New Roman"/>
          <w:szCs w:val="21"/>
        </w:rPr>
        <w:t>的</w:t>
      </w:r>
      <w:r>
        <w:rPr>
          <w:rFonts w:hint="eastAsia" w:ascii="Times New Roman" w:hAnsi="Times New Roman"/>
          <w:szCs w:val="21"/>
        </w:rPr>
        <w:t>退还</w:t>
      </w:r>
      <w:r>
        <w:rPr>
          <w:rFonts w:ascii="Times New Roman" w:hAnsi="Times New Roman"/>
          <w:szCs w:val="21"/>
        </w:rPr>
        <w:t>时间，并追究乙方因此引发的相应的法律责任。</w:t>
      </w:r>
    </w:p>
    <w:p w14:paraId="3BF4E9DB">
      <w:pPr>
        <w:pStyle w:val="28"/>
        <w:numPr>
          <w:ilvl w:val="0"/>
          <w:numId w:val="14"/>
        </w:numPr>
        <w:snapToGrid w:val="0"/>
        <w:ind w:left="0" w:firstLine="0" w:firstLineChars="0"/>
        <w:rPr>
          <w:rFonts w:ascii="Times New Roman" w:hAnsi="Times New Roman"/>
          <w:b/>
          <w:bCs/>
          <w:szCs w:val="21"/>
        </w:rPr>
      </w:pPr>
      <w:r>
        <w:rPr>
          <w:rFonts w:hint="eastAsia" w:ascii="Times New Roman" w:hAnsi="Times New Roman"/>
          <w:b/>
          <w:bCs/>
          <w:szCs w:val="21"/>
        </w:rPr>
        <w:t>双方的权利和义务</w:t>
      </w:r>
    </w:p>
    <w:p w14:paraId="418662E0">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甲方的权利和义务：</w:t>
      </w:r>
    </w:p>
    <w:p w14:paraId="773FFC55">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甲方有权获得乙方所提供的货物及相关服务。</w:t>
      </w:r>
    </w:p>
    <w:p w14:paraId="79534585">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甲方有权及时了解和监督乙方备货的进展情况。</w:t>
      </w:r>
    </w:p>
    <w:p w14:paraId="7EE363BF">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甲方应向乙方提供完成货物安装、调试等所必需的资料和工作条件。</w:t>
      </w:r>
    </w:p>
    <w:p w14:paraId="653085D7">
      <w:pPr>
        <w:pStyle w:val="28"/>
        <w:numPr>
          <w:ilvl w:val="0"/>
          <w:numId w:val="26"/>
        </w:numPr>
        <w:snapToGrid w:val="0"/>
        <w:ind w:left="525" w:hanging="525" w:hangingChars="250"/>
        <w:rPr>
          <w:rFonts w:ascii="Times New Roman" w:hAnsi="Times New Roman"/>
          <w:szCs w:val="21"/>
        </w:rPr>
      </w:pPr>
      <w:r>
        <w:rPr>
          <w:rFonts w:hint="eastAsia" w:ascii="Times New Roman" w:hAnsi="Times New Roman"/>
          <w:szCs w:val="21"/>
        </w:rPr>
        <w:t>甲方应按照合同约定向乙方支付合同价款。</w:t>
      </w:r>
    </w:p>
    <w:p w14:paraId="0B15A1BD">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乙方的权利和义务：</w:t>
      </w:r>
    </w:p>
    <w:p w14:paraId="52D2CE9E">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乙方有权按照本合同约定收取合同价款。</w:t>
      </w:r>
    </w:p>
    <w:p w14:paraId="657F59B6">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乙方有权要求甲方提供货物安装、调试所必需的资料和工作条件。</w:t>
      </w:r>
    </w:p>
    <w:p w14:paraId="1BA25FED">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乙方应派遣身体健康、有相关工作经验和相应技能的技术人员到甲方现场并提供安装、调试、测试、试运行、维护及培训等技术服务，该技术服务费用包括在本合同总价内。</w:t>
      </w:r>
    </w:p>
    <w:p w14:paraId="5DA49B97">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64187384">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369B5F98">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乙方保证其所交付的货物不存在任何权利瑕疵，如任何第三方就乙方交付的货物向甲方提起侵权索赔，乙方应负责与第三方交涉，并承担由此引起的一切法律责任，相关费用由乙方承担。</w:t>
      </w:r>
    </w:p>
    <w:p w14:paraId="3FACB92A">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2E8592B4">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乙方对依照本合同向甲方提供的货物在安装、调试、使用、维修、保养等过程中所获得的所有数据及甲方商业秘密或其它技术及经营信息均负有保密义务，不得向任何第三方透露或泄露。</w:t>
      </w:r>
    </w:p>
    <w:p w14:paraId="50542144">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违约责任</w:t>
      </w:r>
      <w:r>
        <w:rPr>
          <w:rFonts w:hint="eastAsia" w:ascii="Times New Roman" w:hAnsi="Times New Roman"/>
          <w:i/>
          <w:iCs/>
          <w:szCs w:val="21"/>
          <w:highlight w:val="yellow"/>
        </w:rPr>
        <w:t>&lt;本条款中违约金比例可根据项目实际情况确定&gt;</w:t>
      </w:r>
    </w:p>
    <w:p w14:paraId="6BF30AB2">
      <w:pPr>
        <w:pStyle w:val="28"/>
        <w:snapToGrid w:val="0"/>
        <w:ind w:firstLine="0" w:firstLineChars="0"/>
        <w:rPr>
          <w:rFonts w:ascii="Times New Roman" w:hAnsi="Times New Roman"/>
          <w:szCs w:val="21"/>
        </w:rPr>
      </w:pPr>
      <w:r>
        <w:rPr>
          <w:rFonts w:ascii="Times New Roman" w:hAnsi="Times New Roman"/>
          <w:szCs w:val="21"/>
        </w:rPr>
        <w:t>1.甲方违约责任：甲方无正当理由拒收货物的，甲方应偿付合同总</w:t>
      </w:r>
      <w:r>
        <w:rPr>
          <w:rFonts w:hint="eastAsia" w:ascii="Times New Roman" w:hAnsi="Times New Roman"/>
          <w:szCs w:val="21"/>
        </w:rPr>
        <w:t>金额的</w:t>
      </w:r>
      <w:r>
        <w:rPr>
          <w:rFonts w:hint="eastAsia" w:ascii="Times New Roman" w:hAnsi="Times New Roman"/>
          <w:szCs w:val="21"/>
          <w:u w:val="single"/>
        </w:rPr>
        <w:t>1</w:t>
      </w:r>
      <w:r>
        <w:rPr>
          <w:rFonts w:ascii="Times New Roman" w:hAnsi="Times New Roman"/>
          <w:szCs w:val="21"/>
          <w:u w:val="single"/>
        </w:rPr>
        <w:t>0%</w:t>
      </w:r>
      <w:r>
        <w:rPr>
          <w:rFonts w:hint="eastAsia" w:ascii="Times New Roman" w:hAnsi="Times New Roman"/>
          <w:szCs w:val="21"/>
        </w:rPr>
        <w:t>作为</w:t>
      </w:r>
      <w:r>
        <w:rPr>
          <w:rFonts w:ascii="Times New Roman" w:hAnsi="Times New Roman"/>
          <w:szCs w:val="21"/>
        </w:rPr>
        <w:t>违约金。</w:t>
      </w:r>
    </w:p>
    <w:p w14:paraId="4D01BA0A">
      <w:pPr>
        <w:pStyle w:val="28"/>
        <w:snapToGrid w:val="0"/>
        <w:ind w:firstLine="0" w:firstLineChars="0"/>
        <w:rPr>
          <w:rFonts w:ascii="Times New Roman" w:hAnsi="Times New Roman"/>
          <w:szCs w:val="21"/>
        </w:rPr>
      </w:pPr>
      <w:r>
        <w:rPr>
          <w:rFonts w:ascii="Times New Roman" w:hAnsi="Times New Roman"/>
          <w:szCs w:val="21"/>
        </w:rPr>
        <w:t>2.乙方违约责任：</w:t>
      </w:r>
    </w:p>
    <w:p w14:paraId="347CE1A1">
      <w:pPr>
        <w:pStyle w:val="28"/>
        <w:numPr>
          <w:ilvl w:val="0"/>
          <w:numId w:val="28"/>
        </w:numPr>
        <w:snapToGrid w:val="0"/>
        <w:ind w:left="525" w:hanging="525" w:hangingChars="250"/>
        <w:rPr>
          <w:rFonts w:ascii="Times New Roman" w:hAnsi="Times New Roman"/>
          <w:szCs w:val="21"/>
        </w:rPr>
      </w:pPr>
      <w:r>
        <w:rPr>
          <w:rFonts w:hint="eastAsia" w:ascii="Times New Roman" w:hAnsi="Times New Roman"/>
          <w:szCs w:val="21"/>
        </w:rPr>
        <w:t>乙方拒绝交付货物，或交付的货物经两次验收仍不符合本合同约定的验收标准，甲方有权解除合同，乙方须向甲方支付合同总金额的</w:t>
      </w:r>
      <w:r>
        <w:rPr>
          <w:rFonts w:hint="eastAsia" w:ascii="Times New Roman" w:hAnsi="Times New Roman"/>
          <w:szCs w:val="21"/>
          <w:u w:val="single"/>
        </w:rPr>
        <w:t>10</w:t>
      </w:r>
      <w:r>
        <w:rPr>
          <w:rFonts w:hint="eastAsia" w:ascii="Times New Roman" w:hAnsi="Times New Roman"/>
          <w:szCs w:val="21"/>
        </w:rPr>
        <w:t>%作为违约金，并承担其它相应的经济损失，</w:t>
      </w:r>
    </w:p>
    <w:p w14:paraId="0F746E72">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因同一故障经乙方两次维修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w:t>
      </w:r>
      <w:r>
        <w:rPr>
          <w:rFonts w:hint="eastAsia" w:ascii="Times New Roman" w:hAnsi="Times New Roman"/>
          <w:szCs w:val="21"/>
        </w:rPr>
        <w:t>金额</w:t>
      </w:r>
      <w:r>
        <w:rPr>
          <w:rFonts w:ascii="Times New Roman" w:hAnsi="Times New Roman"/>
          <w:szCs w:val="21"/>
        </w:rPr>
        <w:t>的</w:t>
      </w:r>
      <w:r>
        <w:rPr>
          <w:rFonts w:hint="eastAsia" w:ascii="Times New Roman" w:hAnsi="Times New Roman"/>
          <w:szCs w:val="21"/>
          <w:u w:val="single"/>
        </w:rPr>
        <w:t>10</w:t>
      </w:r>
      <w:r>
        <w:rPr>
          <w:rFonts w:ascii="Times New Roman" w:hAnsi="Times New Roman"/>
          <w:szCs w:val="21"/>
        </w:rPr>
        <w:t>%向甲方支付违约金。</w:t>
      </w:r>
    </w:p>
    <w:p w14:paraId="02D398FA">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一天，须向甲方支付合同总</w:t>
      </w:r>
      <w:r>
        <w:rPr>
          <w:rFonts w:hint="eastAsia" w:ascii="Times New Roman" w:hAnsi="Times New Roman"/>
          <w:szCs w:val="21"/>
        </w:rPr>
        <w:t>金额的</w:t>
      </w:r>
      <w:r>
        <w:rPr>
          <w:rFonts w:hint="eastAsia"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hint="eastAsia" w:ascii="Times New Roman" w:hAnsi="Times New Roman"/>
          <w:szCs w:val="21"/>
          <w:u w:val="single"/>
        </w:rPr>
        <w:t>10</w:t>
      </w:r>
      <w:r>
        <w:rPr>
          <w:rFonts w:ascii="Times New Roman" w:hAnsi="Times New Roman"/>
          <w:szCs w:val="21"/>
        </w:rPr>
        <w:t>天，甲方有权</w:t>
      </w:r>
      <w:r>
        <w:rPr>
          <w:rFonts w:hint="eastAsia" w:ascii="Times New Roman" w:hAnsi="Times New Roman"/>
          <w:szCs w:val="21"/>
        </w:rPr>
        <w:t>单方面解除</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w:t>
      </w:r>
    </w:p>
    <w:p w14:paraId="7AD6B194">
      <w:pPr>
        <w:pStyle w:val="28"/>
        <w:numPr>
          <w:ilvl w:val="0"/>
          <w:numId w:val="28"/>
        </w:numPr>
        <w:snapToGrid w:val="0"/>
        <w:ind w:left="525" w:hanging="525" w:hangingChars="250"/>
        <w:rPr>
          <w:rFonts w:ascii="Times New Roman" w:hAnsi="Times New Roman"/>
          <w:szCs w:val="21"/>
        </w:rPr>
      </w:pPr>
      <w:bookmarkStart w:id="96" w:name="OLE_LINK18"/>
      <w:bookmarkStart w:id="97" w:name="OLE_LINK17"/>
      <w:r>
        <w:rPr>
          <w:rFonts w:hint="eastAsia" w:ascii="Times New Roman" w:hAnsi="Times New Roman"/>
          <w:szCs w:val="21"/>
        </w:rPr>
        <w:t>乙方未按合同约定及时履行培训及维护义务时，每发生一次，乙方应按合同总金额的</w:t>
      </w:r>
      <w:r>
        <w:rPr>
          <w:rFonts w:hint="eastAsia" w:ascii="Times New Roman" w:hAnsi="Times New Roman"/>
          <w:szCs w:val="21"/>
          <w:u w:val="single"/>
        </w:rPr>
        <w:t>***</w:t>
      </w:r>
      <w:r>
        <w:rPr>
          <w:rFonts w:hint="eastAsia" w:ascii="Times New Roman" w:hAnsi="Times New Roman"/>
          <w:szCs w:val="21"/>
        </w:rPr>
        <w:t>‰向甲方支付违约金，乙方支付违约金的同时，仍有义务对甲方进行培训及对货物进行维护。</w:t>
      </w:r>
    </w:p>
    <w:p w14:paraId="52969890">
      <w:pPr>
        <w:pStyle w:val="28"/>
        <w:numPr>
          <w:ilvl w:val="0"/>
          <w:numId w:val="28"/>
        </w:numPr>
        <w:snapToGrid w:val="0"/>
        <w:ind w:left="525" w:hanging="525" w:hangingChars="25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作为违</w:t>
      </w:r>
      <w:r>
        <w:rPr>
          <w:rFonts w:ascii="Times New Roman" w:hAnsi="Times New Roman"/>
          <w:szCs w:val="21"/>
        </w:rPr>
        <w:t>约金。</w:t>
      </w:r>
    </w:p>
    <w:bookmarkEnd w:id="96"/>
    <w:bookmarkEnd w:id="97"/>
    <w:p w14:paraId="57C6BB16">
      <w:pPr>
        <w:pStyle w:val="28"/>
        <w:numPr>
          <w:ilvl w:val="0"/>
          <w:numId w:val="28"/>
        </w:numPr>
        <w:snapToGrid w:val="0"/>
        <w:ind w:left="525" w:hanging="525" w:hangingChars="25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14:paraId="1ECB066C">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w:t>
      </w:r>
      <w:r>
        <w:rPr>
          <w:rFonts w:hint="eastAsia" w:ascii="Times New Roman" w:hAnsi="Times New Roman"/>
          <w:szCs w:val="21"/>
        </w:rPr>
        <w:t>交付货物因</w:t>
      </w:r>
      <w:r>
        <w:rPr>
          <w:rFonts w:ascii="Times New Roman" w:hAnsi="Times New Roman"/>
          <w:szCs w:val="21"/>
        </w:rPr>
        <w:t>质量问题导致甲方及第三方人身、财产损失的，乙方承担由此造成的全部法律责任。</w:t>
      </w:r>
    </w:p>
    <w:p w14:paraId="07960DC9">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14:paraId="5F1F3C0F">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p>
    <w:p w14:paraId="7EDA53E8">
      <w:pPr>
        <w:pStyle w:val="28"/>
        <w:numPr>
          <w:ilvl w:val="0"/>
          <w:numId w:val="28"/>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07FD9B5">
      <w:pPr>
        <w:pStyle w:val="28"/>
        <w:snapToGrid w:val="0"/>
        <w:ind w:firstLine="0" w:firstLineChars="0"/>
        <w:rPr>
          <w:rFonts w:hint="eastAsia"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14:paraId="3ABC048B">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不可抗力</w:t>
      </w:r>
    </w:p>
    <w:p w14:paraId="5CD297C6">
      <w:pPr>
        <w:pStyle w:val="28"/>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rPr>
        <w:t>日</w:t>
      </w:r>
      <w:r>
        <w:rPr>
          <w:rFonts w:ascii="Times New Roman" w:hAnsi="Times New Roman"/>
          <w:bCs/>
          <w:szCs w:val="21"/>
        </w:rPr>
        <w:t>，甲方有权解除合同，双方互不承担违约责任。</w:t>
      </w:r>
    </w:p>
    <w:p w14:paraId="6B66DF1F">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争议解决办法</w:t>
      </w:r>
    </w:p>
    <w:p w14:paraId="5F6E3909">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货物</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14:paraId="17B9B98D">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14:paraId="24C33F96">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14:paraId="11E9009E">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1D9EB906">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14:paraId="56341542">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F41EAFB">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其他</w:t>
      </w:r>
    </w:p>
    <w:p w14:paraId="7939A0FA">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14:paraId="762DC780">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rPr>
        <w:t>四</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之日起生效。甲方三份，乙方一份。</w:t>
      </w:r>
    </w:p>
    <w:p w14:paraId="3228F9E9">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合同附件</w:t>
      </w:r>
    </w:p>
    <w:p w14:paraId="5BA77B5C">
      <w:pPr>
        <w:snapToGrid w:val="0"/>
        <w:rPr>
          <w:rFonts w:ascii="Times New Roman" w:hAnsi="Times New Roman"/>
          <w:szCs w:val="21"/>
        </w:rPr>
      </w:pPr>
      <w:r>
        <w:rPr>
          <w:rFonts w:ascii="Times New Roman" w:hAnsi="Times New Roman"/>
          <w:szCs w:val="21"/>
        </w:rPr>
        <w:t>附件1：配置清单</w:t>
      </w:r>
    </w:p>
    <w:p w14:paraId="022DF979">
      <w:pPr>
        <w:snapToGrid w:val="0"/>
        <w:jc w:val="left"/>
        <w:rPr>
          <w:rFonts w:ascii="Times New Roman" w:hAnsi="Times New Roman"/>
          <w:szCs w:val="21"/>
        </w:rPr>
      </w:pPr>
      <w:r>
        <w:rPr>
          <w:rFonts w:ascii="Times New Roman" w:hAnsi="Times New Roman"/>
          <w:szCs w:val="21"/>
        </w:rPr>
        <w:t>附件2：</w:t>
      </w:r>
      <w:r>
        <w:rPr>
          <w:rFonts w:hint="eastAsia" w:ascii="Times New Roman" w:hAnsi="Times New Roman"/>
          <w:szCs w:val="21"/>
        </w:rPr>
        <w:t>货物</w:t>
      </w:r>
      <w:r>
        <w:rPr>
          <w:rFonts w:ascii="Times New Roman" w:hAnsi="Times New Roman"/>
          <w:szCs w:val="21"/>
        </w:rPr>
        <w:t>技术参数</w:t>
      </w:r>
    </w:p>
    <w:p w14:paraId="4F7C784F">
      <w:pPr>
        <w:jc w:val="center"/>
        <w:rPr>
          <w:rFonts w:ascii="Times New Roman" w:hAnsi="Times New Roman"/>
          <w:szCs w:val="21"/>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8"/>
        <w:tblW w:w="5000" w:type="pct"/>
        <w:jc w:val="center"/>
        <w:tblLayout w:type="autofit"/>
        <w:tblCellMar>
          <w:top w:w="0" w:type="dxa"/>
          <w:left w:w="0" w:type="dxa"/>
          <w:bottom w:w="0" w:type="dxa"/>
          <w:right w:w="0" w:type="dxa"/>
        </w:tblCellMar>
      </w:tblPr>
      <w:tblGrid>
        <w:gridCol w:w="4962"/>
        <w:gridCol w:w="5242"/>
      </w:tblGrid>
      <w:tr w14:paraId="19B83E2E">
        <w:tblPrEx>
          <w:tblCellMar>
            <w:top w:w="0" w:type="dxa"/>
            <w:left w:w="0" w:type="dxa"/>
            <w:bottom w:w="0" w:type="dxa"/>
            <w:right w:w="0" w:type="dxa"/>
          </w:tblCellMar>
        </w:tblPrEx>
        <w:trPr>
          <w:trHeight w:val="519" w:hRule="atLeast"/>
          <w:jc w:val="center"/>
        </w:trPr>
        <w:tc>
          <w:tcPr>
            <w:tcW w:w="10214" w:type="dxa"/>
            <w:gridSpan w:val="2"/>
            <w:noWrap w:val="0"/>
            <w:vAlign w:val="top"/>
          </w:tcPr>
          <w:p w14:paraId="4CF76569">
            <w:pPr>
              <w:rPr>
                <w:rFonts w:ascii="Times New Roman" w:hAnsi="Times New Roman"/>
                <w:szCs w:val="21"/>
              </w:rPr>
            </w:pPr>
            <w:r>
              <w:rPr>
                <w:rFonts w:hint="eastAsia" w:ascii="Times New Roman" w:hAnsi="Times New Roman"/>
                <w:szCs w:val="21"/>
              </w:rPr>
              <w:t>签订时间：</w:t>
            </w:r>
            <w:r>
              <w:rPr>
                <w:rFonts w:ascii="Times New Roman" w:hAnsi="Times New Roman"/>
              </w:rPr>
              <w:t>202</w:t>
            </w:r>
            <w:r>
              <w:rPr>
                <w:rFonts w:hint="eastAsia" w:ascii="Times New Roman" w:hAnsi="Times New Roman"/>
              </w:rPr>
              <w:t>*</w:t>
            </w:r>
            <w:r>
              <w:rPr>
                <w:rFonts w:ascii="Times New Roman" w:hAnsi="Times New Roman"/>
                <w:szCs w:val="21"/>
              </w:rPr>
              <w:t>年</w:t>
            </w:r>
            <w:permStart w:id="29" w:edGrp="everyone"/>
            <w:r>
              <w:rPr>
                <w:rFonts w:ascii="Times New Roman" w:hAnsi="Times New Roman"/>
                <w:szCs w:val="21"/>
              </w:rPr>
              <w:t>***</w:t>
            </w:r>
            <w:permEnd w:id="29"/>
            <w:r>
              <w:rPr>
                <w:rFonts w:ascii="Times New Roman" w:hAnsi="Times New Roman"/>
                <w:szCs w:val="21"/>
              </w:rPr>
              <w:t>月</w:t>
            </w:r>
            <w:permStart w:id="30" w:edGrp="everyone"/>
            <w:r>
              <w:rPr>
                <w:rFonts w:ascii="Times New Roman" w:hAnsi="Times New Roman"/>
                <w:szCs w:val="21"/>
              </w:rPr>
              <w:t>***</w:t>
            </w:r>
            <w:r>
              <w:rPr>
                <w:rFonts w:hint="eastAsia" w:ascii="Times New Roman" w:hAnsi="Times New Roman"/>
                <w:szCs w:val="21"/>
              </w:rPr>
              <w:t>日</w:t>
            </w:r>
            <w:permEnd w:id="30"/>
          </w:p>
        </w:tc>
      </w:tr>
      <w:tr w14:paraId="250F3F9A">
        <w:tblPrEx>
          <w:tblCellMar>
            <w:top w:w="0" w:type="dxa"/>
            <w:left w:w="0" w:type="dxa"/>
            <w:bottom w:w="0" w:type="dxa"/>
            <w:right w:w="0" w:type="dxa"/>
          </w:tblCellMar>
        </w:tblPrEx>
        <w:trPr>
          <w:jc w:val="center"/>
        </w:trPr>
        <w:tc>
          <w:tcPr>
            <w:tcW w:w="4967" w:type="dxa"/>
            <w:noWrap w:val="0"/>
            <w:vAlign w:val="top"/>
          </w:tcPr>
          <w:p w14:paraId="07F1631F">
            <w:pPr>
              <w:rPr>
                <w:rFonts w:ascii="Times New Roman" w:hAnsi="Times New Roman"/>
                <w:szCs w:val="21"/>
              </w:rPr>
            </w:pPr>
            <w:r>
              <w:rPr>
                <w:rFonts w:ascii="Times New Roman" w:hAnsi="Times New Roman"/>
                <w:szCs w:val="21"/>
              </w:rPr>
              <w:t>甲方：四川省人民医院（盖章）</w:t>
            </w:r>
          </w:p>
          <w:p w14:paraId="10E7DBA5">
            <w:pPr>
              <w:rPr>
                <w:rFonts w:ascii="Times New Roman" w:hAnsi="Times New Roman"/>
                <w:szCs w:val="21"/>
              </w:rPr>
            </w:pPr>
            <w:r>
              <w:rPr>
                <w:rFonts w:ascii="Times New Roman" w:hAnsi="Times New Roman"/>
                <w:szCs w:val="21"/>
              </w:rPr>
              <w:t>法定代表人（授权代表签字）：</w:t>
            </w:r>
          </w:p>
          <w:p w14:paraId="42425FDC">
            <w:pPr>
              <w:rPr>
                <w:rFonts w:ascii="Times New Roman" w:hAnsi="Times New Roman"/>
                <w:szCs w:val="21"/>
              </w:rPr>
            </w:pPr>
            <w:r>
              <w:rPr>
                <w:rFonts w:ascii="Times New Roman" w:hAnsi="Times New Roman"/>
                <w:szCs w:val="21"/>
              </w:rPr>
              <w:t>地    址：四川省成都市一环路西二段32号</w:t>
            </w:r>
          </w:p>
          <w:p w14:paraId="4FC9AD48">
            <w:pPr>
              <w:rPr>
                <w:rFonts w:ascii="Times New Roman" w:hAnsi="Times New Roman"/>
                <w:szCs w:val="21"/>
              </w:rPr>
            </w:pPr>
            <w:r>
              <w:rPr>
                <w:rFonts w:ascii="Times New Roman" w:hAnsi="Times New Roman"/>
                <w:szCs w:val="21"/>
              </w:rPr>
              <w:t>开户银行：建设银行成都青羊支行</w:t>
            </w:r>
          </w:p>
          <w:p w14:paraId="64B56D9B">
            <w:pPr>
              <w:rPr>
                <w:rFonts w:hint="eastAsia" w:ascii="Times New Roman" w:hAnsi="Times New Roman"/>
                <w:szCs w:val="21"/>
              </w:rPr>
            </w:pPr>
            <w:r>
              <w:rPr>
                <w:rFonts w:ascii="Times New Roman" w:hAnsi="Times New Roman"/>
                <w:szCs w:val="21"/>
              </w:rPr>
              <w:t>账号：5100 1446 4360 5037 4282</w:t>
            </w:r>
          </w:p>
        </w:tc>
        <w:tc>
          <w:tcPr>
            <w:tcW w:w="5247" w:type="dxa"/>
            <w:noWrap w:val="0"/>
            <w:vAlign w:val="top"/>
          </w:tcPr>
          <w:p w14:paraId="2A69BBE0">
            <w:pPr>
              <w:rPr>
                <w:rFonts w:ascii="Times New Roman" w:hAnsi="Times New Roman"/>
                <w:szCs w:val="21"/>
              </w:rPr>
            </w:pPr>
            <w:r>
              <w:rPr>
                <w:rFonts w:ascii="Times New Roman" w:hAnsi="Times New Roman"/>
                <w:szCs w:val="21"/>
              </w:rPr>
              <w:t>乙方：</w:t>
            </w:r>
            <w:permStart w:id="31" w:edGrp="everyone"/>
            <w:r>
              <w:rPr>
                <w:rFonts w:ascii="Times New Roman" w:hAnsi="Times New Roman"/>
                <w:szCs w:val="21"/>
              </w:rPr>
              <w:t>***</w:t>
            </w:r>
            <w:permEnd w:id="31"/>
            <w:r>
              <w:rPr>
                <w:rFonts w:ascii="Times New Roman" w:hAnsi="Times New Roman"/>
                <w:szCs w:val="21"/>
              </w:rPr>
              <w:t>（盖章）</w:t>
            </w:r>
          </w:p>
          <w:p w14:paraId="66442980">
            <w:pPr>
              <w:rPr>
                <w:rFonts w:ascii="Times New Roman" w:hAnsi="Times New Roman"/>
                <w:szCs w:val="21"/>
              </w:rPr>
            </w:pPr>
            <w:r>
              <w:rPr>
                <w:rFonts w:ascii="Times New Roman" w:hAnsi="Times New Roman"/>
                <w:szCs w:val="21"/>
              </w:rPr>
              <w:t>法定代表人（授权代表签字）：</w:t>
            </w:r>
          </w:p>
          <w:p w14:paraId="2263718D">
            <w:pPr>
              <w:rPr>
                <w:rFonts w:ascii="Times New Roman" w:hAnsi="Times New Roman"/>
                <w:szCs w:val="21"/>
              </w:rPr>
            </w:pPr>
            <w:r>
              <w:rPr>
                <w:rFonts w:ascii="Times New Roman" w:hAnsi="Times New Roman"/>
                <w:szCs w:val="21"/>
              </w:rPr>
              <w:t>地址：</w:t>
            </w:r>
            <w:permStart w:id="32" w:edGrp="everyone"/>
            <w:r>
              <w:rPr>
                <w:rFonts w:ascii="Times New Roman" w:hAnsi="Times New Roman"/>
                <w:szCs w:val="21"/>
              </w:rPr>
              <w:t>***</w:t>
            </w:r>
            <w:permEnd w:id="32"/>
          </w:p>
          <w:p w14:paraId="681FC12D">
            <w:pPr>
              <w:rPr>
                <w:rFonts w:ascii="Times New Roman" w:hAnsi="Times New Roman"/>
                <w:szCs w:val="21"/>
              </w:rPr>
            </w:pPr>
            <w:r>
              <w:rPr>
                <w:rFonts w:ascii="Times New Roman" w:hAnsi="Times New Roman"/>
                <w:szCs w:val="21"/>
              </w:rPr>
              <w:t>开户银行：</w:t>
            </w:r>
            <w:permStart w:id="33" w:edGrp="everyone"/>
            <w:r>
              <w:rPr>
                <w:rFonts w:ascii="Times New Roman" w:hAnsi="Times New Roman"/>
                <w:szCs w:val="21"/>
              </w:rPr>
              <w:t>***</w:t>
            </w:r>
          </w:p>
          <w:permEnd w:id="33"/>
          <w:p w14:paraId="5C200DD8">
            <w:pPr>
              <w:widowControl/>
              <w:jc w:val="left"/>
              <w:rPr>
                <w:rFonts w:hint="eastAsia" w:ascii="Times New Roman" w:hAnsi="Times New Roman"/>
              </w:rPr>
            </w:pPr>
            <w:r>
              <w:rPr>
                <w:rFonts w:ascii="Times New Roman" w:hAnsi="Times New Roman"/>
                <w:szCs w:val="21"/>
              </w:rPr>
              <w:t>账号：</w:t>
            </w:r>
            <w:permStart w:id="34" w:edGrp="everyone"/>
            <w:r>
              <w:rPr>
                <w:rFonts w:ascii="Times New Roman" w:hAnsi="Times New Roman"/>
                <w:szCs w:val="21"/>
              </w:rPr>
              <w:t>***</w:t>
            </w:r>
            <w:permEnd w:id="34"/>
          </w:p>
        </w:tc>
      </w:tr>
    </w:tbl>
    <w:p w14:paraId="2F994C74">
      <w:pPr>
        <w:widowControl/>
        <w:jc w:val="left"/>
        <w:rPr>
          <w:rFonts w:ascii="Times New Roman" w:hAnsi="Times New Roman"/>
          <w:b/>
          <w:bCs/>
          <w:szCs w:val="21"/>
        </w:rPr>
        <w:sectPr>
          <w:headerReference r:id="rId6" w:type="default"/>
          <w:footerReference r:id="rId7" w:type="default"/>
          <w:pgSz w:w="11906" w:h="16838"/>
          <w:pgMar w:top="1134" w:right="851" w:bottom="1134" w:left="851" w:header="851" w:footer="567" w:gutter="0"/>
          <w:pgNumType w:fmt="decimal" w:start="1"/>
          <w:cols w:space="720" w:num="1"/>
          <w:docGrid w:type="lines" w:linePitch="312" w:charSpace="0"/>
        </w:sectPr>
      </w:pPr>
    </w:p>
    <w:p w14:paraId="6DDB43DE">
      <w:pPr>
        <w:widowControl/>
        <w:jc w:val="left"/>
        <w:rPr>
          <w:rFonts w:ascii="Times New Roman" w:hAnsi="Times New Roman"/>
          <w:b/>
          <w:bCs/>
          <w:szCs w:val="21"/>
        </w:rPr>
      </w:pPr>
      <w:r>
        <w:rPr>
          <w:rFonts w:ascii="Times New Roman" w:hAnsi="Times New Roman"/>
          <w:b/>
          <w:bCs/>
          <w:szCs w:val="21"/>
        </w:rPr>
        <w:t>附件1：配置清单</w:t>
      </w:r>
    </w:p>
    <w:p w14:paraId="61230AAC">
      <w:pPr>
        <w:pStyle w:val="2"/>
        <w:rPr>
          <w:rFonts w:hint="eastAsia"/>
        </w:rPr>
      </w:pPr>
    </w:p>
    <w:p w14:paraId="5F9B3F78">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14:paraId="3D59F91C">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14:paraId="5807E196">
      <w:pPr>
        <w:rPr>
          <w:rFonts w:ascii="Times New Roman" w:hAnsi="Times New Roman"/>
          <w:szCs w:val="21"/>
        </w:rPr>
      </w:pPr>
      <w:r>
        <w:rPr>
          <w:rFonts w:ascii="Times New Roman" w:hAnsi="Times New Roman"/>
          <w:szCs w:val="21"/>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3012"/>
        <w:gridCol w:w="2557"/>
        <w:gridCol w:w="1531"/>
        <w:gridCol w:w="1382"/>
        <w:gridCol w:w="1082"/>
      </w:tblGrid>
      <w:tr w14:paraId="31AC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F0E9CE2">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14:paraId="11C76574">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14:paraId="5BC4936C">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14:paraId="6A53D60B">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14:paraId="12FA2EBC">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14:paraId="306227F3">
            <w:pPr>
              <w:contextualSpacing/>
              <w:jc w:val="center"/>
              <w:outlineLvl w:val="0"/>
              <w:rPr>
                <w:rFonts w:ascii="Times New Roman" w:hAnsi="Times New Roman"/>
                <w:b/>
                <w:kern w:val="0"/>
                <w:szCs w:val="21"/>
              </w:rPr>
            </w:pPr>
            <w:r>
              <w:rPr>
                <w:rFonts w:ascii="Times New Roman" w:hAnsi="Times New Roman"/>
                <w:b/>
                <w:kern w:val="0"/>
                <w:szCs w:val="21"/>
              </w:rPr>
              <w:t>备注</w:t>
            </w:r>
          </w:p>
        </w:tc>
      </w:tr>
      <w:tr w14:paraId="6337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2AC03AF9">
            <w:pPr>
              <w:pStyle w:val="2"/>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14:paraId="2791E1EA">
            <w:pPr>
              <w:pStyle w:val="2"/>
              <w:spacing w:after="0"/>
              <w:contextualSpacing/>
              <w:rPr>
                <w:rFonts w:ascii="Times New Roman" w:hAnsi="Times New Roman"/>
                <w:b/>
                <w:bCs/>
                <w:szCs w:val="21"/>
              </w:rPr>
            </w:pPr>
          </w:p>
        </w:tc>
        <w:tc>
          <w:tcPr>
            <w:tcW w:w="2609" w:type="dxa"/>
            <w:noWrap w:val="0"/>
            <w:vAlign w:val="center"/>
          </w:tcPr>
          <w:p w14:paraId="7FA669BB">
            <w:pPr>
              <w:pStyle w:val="2"/>
              <w:spacing w:after="0"/>
              <w:contextualSpacing/>
              <w:rPr>
                <w:rFonts w:ascii="Times New Roman" w:hAnsi="Times New Roman"/>
                <w:b/>
                <w:bCs/>
                <w:szCs w:val="21"/>
              </w:rPr>
            </w:pPr>
          </w:p>
        </w:tc>
        <w:tc>
          <w:tcPr>
            <w:tcW w:w="1562" w:type="dxa"/>
            <w:noWrap w:val="0"/>
            <w:vAlign w:val="center"/>
          </w:tcPr>
          <w:p w14:paraId="0C72D46D">
            <w:pPr>
              <w:pStyle w:val="2"/>
              <w:spacing w:after="0"/>
              <w:contextualSpacing/>
              <w:rPr>
                <w:rFonts w:ascii="Times New Roman" w:hAnsi="Times New Roman"/>
                <w:b/>
                <w:bCs/>
                <w:szCs w:val="21"/>
              </w:rPr>
            </w:pPr>
          </w:p>
        </w:tc>
        <w:tc>
          <w:tcPr>
            <w:tcW w:w="1410" w:type="dxa"/>
            <w:noWrap w:val="0"/>
            <w:vAlign w:val="center"/>
          </w:tcPr>
          <w:p w14:paraId="79478496">
            <w:pPr>
              <w:pStyle w:val="2"/>
              <w:spacing w:after="0"/>
              <w:contextualSpacing/>
              <w:rPr>
                <w:rFonts w:ascii="Times New Roman" w:hAnsi="Times New Roman"/>
                <w:b/>
                <w:bCs/>
                <w:szCs w:val="21"/>
              </w:rPr>
            </w:pPr>
          </w:p>
        </w:tc>
        <w:tc>
          <w:tcPr>
            <w:tcW w:w="1104" w:type="dxa"/>
            <w:noWrap w:val="0"/>
            <w:vAlign w:val="center"/>
          </w:tcPr>
          <w:p w14:paraId="6033BB78">
            <w:pPr>
              <w:contextualSpacing/>
              <w:rPr>
                <w:rFonts w:ascii="Times New Roman" w:hAnsi="Times New Roman"/>
                <w:b/>
                <w:bCs/>
                <w:szCs w:val="21"/>
              </w:rPr>
            </w:pPr>
          </w:p>
        </w:tc>
      </w:tr>
      <w:permEnd w:id="36"/>
      <w:permEnd w:id="37"/>
      <w:permEnd w:id="38"/>
      <w:permEnd w:id="39"/>
      <w:permEnd w:id="40"/>
      <w:permEnd w:id="41"/>
      <w:tr w14:paraId="493BB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B602F60">
            <w:pPr>
              <w:pStyle w:val="2"/>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14:paraId="41A0C4BE">
            <w:pPr>
              <w:pStyle w:val="2"/>
              <w:spacing w:after="0"/>
              <w:contextualSpacing/>
              <w:rPr>
                <w:rFonts w:ascii="Times New Roman" w:hAnsi="Times New Roman"/>
                <w:b/>
                <w:bCs/>
                <w:szCs w:val="21"/>
              </w:rPr>
            </w:pPr>
          </w:p>
        </w:tc>
        <w:tc>
          <w:tcPr>
            <w:tcW w:w="2609" w:type="dxa"/>
            <w:noWrap w:val="0"/>
            <w:vAlign w:val="center"/>
          </w:tcPr>
          <w:p w14:paraId="656831FC">
            <w:pPr>
              <w:pStyle w:val="2"/>
              <w:spacing w:after="0"/>
              <w:contextualSpacing/>
              <w:rPr>
                <w:rFonts w:ascii="Times New Roman" w:hAnsi="Times New Roman"/>
                <w:b/>
                <w:bCs/>
                <w:szCs w:val="21"/>
              </w:rPr>
            </w:pPr>
          </w:p>
        </w:tc>
        <w:tc>
          <w:tcPr>
            <w:tcW w:w="1562" w:type="dxa"/>
            <w:noWrap w:val="0"/>
            <w:vAlign w:val="center"/>
          </w:tcPr>
          <w:p w14:paraId="07F9B0BB">
            <w:pPr>
              <w:contextualSpacing/>
              <w:rPr>
                <w:rFonts w:ascii="Times New Roman" w:hAnsi="Times New Roman"/>
                <w:b/>
                <w:bCs/>
                <w:szCs w:val="21"/>
              </w:rPr>
            </w:pPr>
          </w:p>
        </w:tc>
        <w:tc>
          <w:tcPr>
            <w:tcW w:w="1410" w:type="dxa"/>
            <w:noWrap w:val="0"/>
            <w:vAlign w:val="center"/>
          </w:tcPr>
          <w:p w14:paraId="7C9BD863">
            <w:pPr>
              <w:contextualSpacing/>
              <w:rPr>
                <w:rFonts w:ascii="Times New Roman" w:hAnsi="Times New Roman"/>
                <w:b/>
                <w:bCs/>
                <w:szCs w:val="21"/>
              </w:rPr>
            </w:pPr>
          </w:p>
        </w:tc>
        <w:tc>
          <w:tcPr>
            <w:tcW w:w="1104" w:type="dxa"/>
            <w:noWrap w:val="0"/>
            <w:vAlign w:val="center"/>
          </w:tcPr>
          <w:p w14:paraId="6D73C553">
            <w:pPr>
              <w:contextualSpacing/>
              <w:rPr>
                <w:rFonts w:ascii="Times New Roman" w:hAnsi="Times New Roman"/>
                <w:b/>
                <w:bCs/>
                <w:szCs w:val="21"/>
              </w:rPr>
            </w:pPr>
          </w:p>
        </w:tc>
      </w:tr>
      <w:permEnd w:id="42"/>
      <w:permEnd w:id="43"/>
      <w:permEnd w:id="44"/>
      <w:permEnd w:id="45"/>
      <w:permEnd w:id="46"/>
      <w:permEnd w:id="47"/>
      <w:tr w14:paraId="3A24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5281E66C">
            <w:pPr>
              <w:pStyle w:val="2"/>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14:paraId="59560C37">
            <w:pPr>
              <w:pStyle w:val="2"/>
              <w:spacing w:after="0"/>
              <w:contextualSpacing/>
              <w:rPr>
                <w:rFonts w:ascii="Times New Roman" w:hAnsi="Times New Roman"/>
                <w:b/>
                <w:bCs/>
                <w:szCs w:val="21"/>
              </w:rPr>
            </w:pPr>
          </w:p>
        </w:tc>
        <w:tc>
          <w:tcPr>
            <w:tcW w:w="2609" w:type="dxa"/>
            <w:noWrap w:val="0"/>
            <w:vAlign w:val="center"/>
          </w:tcPr>
          <w:p w14:paraId="2F4975F2">
            <w:pPr>
              <w:pStyle w:val="2"/>
              <w:spacing w:after="0"/>
              <w:contextualSpacing/>
              <w:rPr>
                <w:rFonts w:ascii="Times New Roman" w:hAnsi="Times New Roman"/>
                <w:b/>
                <w:bCs/>
                <w:szCs w:val="21"/>
              </w:rPr>
            </w:pPr>
          </w:p>
        </w:tc>
        <w:tc>
          <w:tcPr>
            <w:tcW w:w="1562" w:type="dxa"/>
            <w:noWrap w:val="0"/>
            <w:vAlign w:val="center"/>
          </w:tcPr>
          <w:p w14:paraId="2F7E2A97">
            <w:pPr>
              <w:contextualSpacing/>
              <w:rPr>
                <w:rFonts w:ascii="Times New Roman" w:hAnsi="Times New Roman"/>
                <w:b/>
                <w:bCs/>
                <w:szCs w:val="21"/>
              </w:rPr>
            </w:pPr>
          </w:p>
        </w:tc>
        <w:tc>
          <w:tcPr>
            <w:tcW w:w="1410" w:type="dxa"/>
            <w:noWrap w:val="0"/>
            <w:vAlign w:val="center"/>
          </w:tcPr>
          <w:p w14:paraId="4F58592F">
            <w:pPr>
              <w:contextualSpacing/>
              <w:rPr>
                <w:rFonts w:ascii="Times New Roman" w:hAnsi="Times New Roman"/>
                <w:b/>
                <w:bCs/>
                <w:szCs w:val="21"/>
              </w:rPr>
            </w:pPr>
          </w:p>
        </w:tc>
        <w:tc>
          <w:tcPr>
            <w:tcW w:w="1104" w:type="dxa"/>
            <w:noWrap w:val="0"/>
            <w:vAlign w:val="center"/>
          </w:tcPr>
          <w:p w14:paraId="479D5F03">
            <w:pPr>
              <w:contextualSpacing/>
              <w:rPr>
                <w:rFonts w:ascii="Times New Roman" w:hAnsi="Times New Roman"/>
                <w:b/>
                <w:bCs/>
                <w:szCs w:val="21"/>
              </w:rPr>
            </w:pPr>
          </w:p>
        </w:tc>
      </w:tr>
      <w:permEnd w:id="48"/>
      <w:permEnd w:id="49"/>
      <w:permEnd w:id="50"/>
      <w:permEnd w:id="51"/>
      <w:permEnd w:id="52"/>
      <w:permEnd w:id="53"/>
    </w:tbl>
    <w:p w14:paraId="073B504D">
      <w:pPr>
        <w:pStyle w:val="2"/>
        <w:sectPr>
          <w:pgSz w:w="11906" w:h="16838"/>
          <w:pgMar w:top="1134" w:right="851" w:bottom="1134" w:left="851" w:header="851" w:footer="567" w:gutter="0"/>
          <w:pgNumType w:fmt="decimal"/>
          <w:cols w:space="720" w:num="1"/>
          <w:docGrid w:type="lines" w:linePitch="312" w:charSpace="0"/>
        </w:sectPr>
      </w:pPr>
    </w:p>
    <w:p w14:paraId="5F822DD6">
      <w:pPr>
        <w:pStyle w:val="2"/>
        <w:rPr>
          <w:rFonts w:ascii="Times New Roman" w:hAnsi="Times New Roman"/>
          <w:b/>
          <w:bCs/>
        </w:rPr>
      </w:pPr>
      <w:r>
        <w:rPr>
          <w:rFonts w:ascii="Times New Roman" w:hAnsi="Times New Roman"/>
          <w:b/>
          <w:bCs/>
        </w:rPr>
        <w:t>附件2：货物技术参数</w:t>
      </w:r>
    </w:p>
    <w:p w14:paraId="17692585">
      <w:pPr>
        <w:pStyle w:val="2"/>
        <w:rPr>
          <w:rFonts w:ascii="Times New Roman" w:hAnsi="Times New Roman"/>
        </w:rPr>
      </w:pPr>
    </w:p>
    <w:p w14:paraId="32950016">
      <w:pPr>
        <w:rPr>
          <w:rFonts w:ascii="Times New Roman" w:hAnsi="Times New Roman"/>
        </w:rPr>
      </w:pPr>
      <w:r>
        <w:rPr>
          <w:rFonts w:hint="eastAsia"/>
        </w:rPr>
        <w:t>*</w:t>
      </w:r>
      <w:r>
        <w:t>**</w:t>
      </w: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9B9E959-CA0A-4E8B-AA0B-8A4546C2ABA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EB26A3E-267A-472F-92CF-0A25C6E47EC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012CD994-34B8-43C4-8364-EF2204B040C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9F7E252D-8F3B-4C4D-BA19-E2B9654AED4F}"/>
  </w:font>
  <w:font w:name="Segoe UI Symbol">
    <w:panose1 w:val="020B0502040204020203"/>
    <w:charset w:val="00"/>
    <w:family w:val="swiss"/>
    <w:pitch w:val="default"/>
    <w:sig w:usb0="800001E3" w:usb1="1200FFEF" w:usb2="00040000" w:usb3="04000000" w:csb0="00000001" w:csb1="40000000"/>
    <w:embedRegular r:id="rId5" w:fontKey="{79A7558D-61E5-4232-B900-1A6E44304F8C}"/>
  </w:font>
  <w:font w:name="Wingdings 2">
    <w:altName w:val="Wingdings"/>
    <w:panose1 w:val="05020102010507070707"/>
    <w:charset w:val="4D"/>
    <w:family w:val="decorative"/>
    <w:pitch w:val="default"/>
    <w:sig w:usb0="00000000" w:usb1="00000000" w:usb2="00000000" w:usb3="00000000" w:csb0="80000001" w:csb1="00000000"/>
    <w:embedRegular r:id="rId6" w:fontKey="{8BFDC7DE-A00F-4D7E-82D8-0214883B576C}"/>
  </w:font>
  <w:font w:name="Songti SC">
    <w:altName w:val="宋体"/>
    <w:panose1 w:val="02010600040101010101"/>
    <w:charset w:val="86"/>
    <w:family w:val="auto"/>
    <w:pitch w:val="default"/>
    <w:sig w:usb0="00000000" w:usb1="00000000" w:usb2="00000010" w:usb3="00000000" w:csb0="0004009F" w:csb1="00000000"/>
    <w:embedRegular r:id="rId7" w:fontKey="{A2CC7E51-8E87-4A3B-8F21-29D11FEA0E07}"/>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AFD10">
    <w:pPr>
      <w:pStyle w:val="11"/>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76BB3">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276BB3">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51</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EC2AD">
                          <w:pPr>
                            <w:pStyle w:val="11"/>
                          </w:pPr>
                          <w:r>
                            <w:t xml:space="preserve">第 </w:t>
                          </w:r>
                          <w:r>
                            <w:fldChar w:fldCharType="begin"/>
                          </w:r>
                          <w:r>
                            <w:instrText xml:space="preserve"> PAGE  \* MERGEFORMAT </w:instrText>
                          </w:r>
                          <w:r>
                            <w:fldChar w:fldCharType="separate"/>
                          </w:r>
                          <w:r>
                            <w:t>52</w:t>
                          </w:r>
                          <w:r>
                            <w:fldChar w:fldCharType="end"/>
                          </w:r>
                          <w:r>
                            <w:t xml:space="preserve"> 页 共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3EC2AD">
                    <w:pPr>
                      <w:pStyle w:val="11"/>
                    </w:pPr>
                    <w:r>
                      <w:t xml:space="preserve">第 </w:t>
                    </w:r>
                    <w:r>
                      <w:fldChar w:fldCharType="begin"/>
                    </w:r>
                    <w:r>
                      <w:instrText xml:space="preserve"> PAGE  \* MERGEFORMAT </w:instrText>
                    </w:r>
                    <w:r>
                      <w:fldChar w:fldCharType="separate"/>
                    </w:r>
                    <w:r>
                      <w:t>52</w:t>
                    </w:r>
                    <w:r>
                      <w:fldChar w:fldCharType="end"/>
                    </w:r>
                    <w:r>
                      <w:t xml:space="preserve"> 页 共 </w:t>
                    </w:r>
                    <w:r>
                      <w:rPr>
                        <w:rFonts w:hint="eastAsia"/>
                        <w:lang w:val="en-US" w:eastAsia="zh-CN"/>
                      </w:rPr>
                      <w:t>51</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1F929">
    <w:pPr>
      <w:pStyle w:val="12"/>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442B70F"/>
    <w:multiLevelType w:val="singleLevel"/>
    <w:tmpl w:val="B442B70F"/>
    <w:lvl w:ilvl="0" w:tentative="0">
      <w:start w:val="1"/>
      <w:numFmt w:val="decimal"/>
      <w:lvlText w:val="%1."/>
      <w:lvlJc w:val="left"/>
      <w:pPr>
        <w:tabs>
          <w:tab w:val="left" w:pos="312"/>
        </w:tabs>
      </w:pPr>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1D22B88"/>
    <w:multiLevelType w:val="singleLevel"/>
    <w:tmpl w:val="61D22B88"/>
    <w:lvl w:ilvl="0" w:tentative="0">
      <w:start w:val="4"/>
      <w:numFmt w:val="decimal"/>
      <w:suff w:val="nothing"/>
      <w:lvlText w:val="%1、"/>
      <w:lvlJc w:val="left"/>
    </w:lvl>
  </w:abstractNum>
  <w:abstractNum w:abstractNumId="25">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4"/>
  </w:num>
  <w:num w:numId="2">
    <w:abstractNumId w:val="4"/>
  </w:num>
  <w:num w:numId="3">
    <w:abstractNumId w:val="18"/>
  </w:num>
  <w:num w:numId="4">
    <w:abstractNumId w:val="29"/>
  </w:num>
  <w:num w:numId="5">
    <w:abstractNumId w:val="12"/>
  </w:num>
  <w:num w:numId="6">
    <w:abstractNumId w:val="23"/>
  </w:num>
  <w:num w:numId="7">
    <w:abstractNumId w:val="17"/>
  </w:num>
  <w:num w:numId="8">
    <w:abstractNumId w:val="3"/>
  </w:num>
  <w:num w:numId="9">
    <w:abstractNumId w:val="1"/>
  </w:num>
  <w:num w:numId="10">
    <w:abstractNumId w:val="0"/>
  </w:num>
  <w:num w:numId="11">
    <w:abstractNumId w:val="5"/>
  </w:num>
  <w:num w:numId="12">
    <w:abstractNumId w:val="24"/>
  </w:num>
  <w:num w:numId="13">
    <w:abstractNumId w:val="2"/>
  </w:num>
  <w:num w:numId="14">
    <w:abstractNumId w:val="8"/>
  </w:num>
  <w:num w:numId="15">
    <w:abstractNumId w:val="26"/>
  </w:num>
  <w:num w:numId="16">
    <w:abstractNumId w:val="6"/>
  </w:num>
  <w:num w:numId="17">
    <w:abstractNumId w:val="30"/>
  </w:num>
  <w:num w:numId="18">
    <w:abstractNumId w:val="28"/>
  </w:num>
  <w:num w:numId="19">
    <w:abstractNumId w:val="21"/>
  </w:num>
  <w:num w:numId="20">
    <w:abstractNumId w:val="9"/>
  </w:num>
  <w:num w:numId="21">
    <w:abstractNumId w:val="13"/>
  </w:num>
  <w:num w:numId="22">
    <w:abstractNumId w:val="7"/>
  </w:num>
  <w:num w:numId="23">
    <w:abstractNumId w:val="16"/>
  </w:num>
  <w:num w:numId="24">
    <w:abstractNumId w:val="27"/>
  </w:num>
  <w:num w:numId="25">
    <w:abstractNumId w:val="25"/>
  </w:num>
  <w:num w:numId="26">
    <w:abstractNumId w:val="19"/>
  </w:num>
  <w:num w:numId="27">
    <w:abstractNumId w:val="15"/>
  </w:num>
  <w:num w:numId="28">
    <w:abstractNumId w:val="10"/>
  </w:num>
  <w:num w:numId="29">
    <w:abstractNumId w:val="20"/>
  </w:num>
  <w:num w:numId="30">
    <w:abstractNumId w:val="1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E65A81"/>
    <w:rsid w:val="02344E77"/>
    <w:rsid w:val="058C78B0"/>
    <w:rsid w:val="05E13064"/>
    <w:rsid w:val="078A573C"/>
    <w:rsid w:val="093A3733"/>
    <w:rsid w:val="0B4508AE"/>
    <w:rsid w:val="0C9746DF"/>
    <w:rsid w:val="0CF161C9"/>
    <w:rsid w:val="0D352B8F"/>
    <w:rsid w:val="0D766D04"/>
    <w:rsid w:val="0E0B7FF0"/>
    <w:rsid w:val="0F8130FB"/>
    <w:rsid w:val="0F9A05A2"/>
    <w:rsid w:val="115D07B9"/>
    <w:rsid w:val="117A5014"/>
    <w:rsid w:val="127F05A0"/>
    <w:rsid w:val="127F1D65"/>
    <w:rsid w:val="13546548"/>
    <w:rsid w:val="136D78F8"/>
    <w:rsid w:val="1411115B"/>
    <w:rsid w:val="15CC4977"/>
    <w:rsid w:val="162A4F7D"/>
    <w:rsid w:val="16A82A66"/>
    <w:rsid w:val="188F39C6"/>
    <w:rsid w:val="1994787E"/>
    <w:rsid w:val="1B395F40"/>
    <w:rsid w:val="1DD000AF"/>
    <w:rsid w:val="1E09745A"/>
    <w:rsid w:val="1E176351"/>
    <w:rsid w:val="1FD31681"/>
    <w:rsid w:val="229D6DB5"/>
    <w:rsid w:val="23B23499"/>
    <w:rsid w:val="23D4489F"/>
    <w:rsid w:val="262001B9"/>
    <w:rsid w:val="27B87AF9"/>
    <w:rsid w:val="27E80EA9"/>
    <w:rsid w:val="280414A1"/>
    <w:rsid w:val="28570368"/>
    <w:rsid w:val="29C5318E"/>
    <w:rsid w:val="2A9E5768"/>
    <w:rsid w:val="2B502F98"/>
    <w:rsid w:val="2C9A0A9E"/>
    <w:rsid w:val="2CA621A6"/>
    <w:rsid w:val="2DA70D65"/>
    <w:rsid w:val="2EE31C10"/>
    <w:rsid w:val="30497EAF"/>
    <w:rsid w:val="30C931D7"/>
    <w:rsid w:val="314D62F2"/>
    <w:rsid w:val="3427766B"/>
    <w:rsid w:val="343706EB"/>
    <w:rsid w:val="3464675D"/>
    <w:rsid w:val="351A08D0"/>
    <w:rsid w:val="35B31394"/>
    <w:rsid w:val="36334CE5"/>
    <w:rsid w:val="36992B4F"/>
    <w:rsid w:val="3A551407"/>
    <w:rsid w:val="3B033C36"/>
    <w:rsid w:val="3E5D4E8E"/>
    <w:rsid w:val="3FE25336"/>
    <w:rsid w:val="42075FF8"/>
    <w:rsid w:val="42842020"/>
    <w:rsid w:val="468567BB"/>
    <w:rsid w:val="4782487D"/>
    <w:rsid w:val="49F21769"/>
    <w:rsid w:val="4B31068E"/>
    <w:rsid w:val="4BA55220"/>
    <w:rsid w:val="4BAD0151"/>
    <w:rsid w:val="4C8F75A2"/>
    <w:rsid w:val="4DAD4403"/>
    <w:rsid w:val="4E8C008E"/>
    <w:rsid w:val="4FEF758C"/>
    <w:rsid w:val="50771A9C"/>
    <w:rsid w:val="51C47F6D"/>
    <w:rsid w:val="5455382C"/>
    <w:rsid w:val="54643166"/>
    <w:rsid w:val="5573681D"/>
    <w:rsid w:val="569A039C"/>
    <w:rsid w:val="56BA722E"/>
    <w:rsid w:val="5D0A3490"/>
    <w:rsid w:val="5D7E0D39"/>
    <w:rsid w:val="5E9D3F29"/>
    <w:rsid w:val="5F3D466C"/>
    <w:rsid w:val="60384CD1"/>
    <w:rsid w:val="60655808"/>
    <w:rsid w:val="613B6B58"/>
    <w:rsid w:val="63A9427A"/>
    <w:rsid w:val="63D462B1"/>
    <w:rsid w:val="641A3596"/>
    <w:rsid w:val="64D96647"/>
    <w:rsid w:val="655B51E5"/>
    <w:rsid w:val="65E40ADA"/>
    <w:rsid w:val="66330B86"/>
    <w:rsid w:val="66E22203"/>
    <w:rsid w:val="68B812C9"/>
    <w:rsid w:val="69D50CF4"/>
    <w:rsid w:val="6C487AFD"/>
    <w:rsid w:val="6CB24363"/>
    <w:rsid w:val="6EA93466"/>
    <w:rsid w:val="6F97249D"/>
    <w:rsid w:val="6FCF0795"/>
    <w:rsid w:val="70EE62C9"/>
    <w:rsid w:val="71381023"/>
    <w:rsid w:val="73714961"/>
    <w:rsid w:val="754D1D92"/>
    <w:rsid w:val="758350A9"/>
    <w:rsid w:val="78946F35"/>
    <w:rsid w:val="79687E1D"/>
    <w:rsid w:val="7B560FD7"/>
    <w:rsid w:val="7B5F74F8"/>
    <w:rsid w:val="7B690630"/>
    <w:rsid w:val="7C5123F4"/>
    <w:rsid w:val="7CB400F8"/>
    <w:rsid w:val="7D040AB6"/>
    <w:rsid w:val="7D4119E6"/>
    <w:rsid w:val="7D91287A"/>
    <w:rsid w:val="7DAF162B"/>
    <w:rsid w:val="7DC42B41"/>
    <w:rsid w:val="7DEC2F26"/>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6"/>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7"/>
    <w:next w:val="7"/>
    <w:link w:val="37"/>
    <w:qFormat/>
    <w:uiPriority w:val="0"/>
    <w:rPr>
      <w:b/>
      <w:bCs/>
    </w:rPr>
  </w:style>
  <w:style w:type="paragraph" w:styleId="16">
    <w:name w:val="Body Text First Indent"/>
    <w:basedOn w:val="2"/>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7"/>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4"/>
    <w:qFormat/>
    <w:uiPriority w:val="0"/>
    <w:rPr>
      <w:rFonts w:ascii="Times New Roman" w:hAnsi="Times New Roman" w:eastAsia="仿宋" w:cs="Times New Roman"/>
      <w:b/>
      <w:sz w:val="32"/>
    </w:rPr>
  </w:style>
  <w:style w:type="paragraph" w:customStyle="1" w:styleId="40">
    <w:name w:val="null3"/>
    <w:basedOn w:val="1"/>
    <w:qFormat/>
    <w:uiPriority w:val="0"/>
    <w:pPr>
      <w:widowControl/>
      <w:jc w:val="left"/>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1407</Words>
  <Characters>1495</Characters>
  <Lines>72</Lines>
  <Paragraphs>20</Paragraphs>
  <TotalTime>0</TotalTime>
  <ScaleCrop>false</ScaleCrop>
  <LinksUpToDate>false</LinksUpToDate>
  <CharactersWithSpaces>1567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2026-06-10T09:08:10Z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AAD8643843514DB1A63FE9D986FD543D_13</vt:lpwstr>
  </property>
  <property fmtid="{D5CDD505-2E9C-101B-9397-08002B2CF9AE}" pid="4" name="KSOTemplateDocerSaveRecord">
    <vt:lpwstr>eyJoZGlkIjoiZjQ1ZDk1MmU3MjAyNzI4MjAzOTVhMjZhNTA1ZWNlMmEiLCJ1c2VySWQiOiI2NTgwMTYxNjcifQ==</vt:lpwstr>
  </property>
</Properties>
</file>