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ascii="Times New Roman" w:hAnsi="Times New Roman" w:eastAsia="黑体" w:cs="Times New Roman"/>
          <w:b/>
          <w:spacing w:val="24"/>
          <w:sz w:val="56"/>
          <w:szCs w:val="56"/>
        </w:rPr>
      </w:pPr>
      <w:bookmarkStart w:id="104" w:name="_GoBack"/>
      <w:bookmarkEnd w:id="104"/>
      <w:r>
        <w:rPr>
          <w:rFonts w:hint="eastAsia" w:ascii="Times New Roman" w:hAnsi="Times New Roman" w:eastAsia="黑体" w:cs="Times New Roman"/>
          <w:b/>
          <w:spacing w:val="24"/>
          <w:sz w:val="56"/>
          <w:szCs w:val="56"/>
        </w:rPr>
        <w:t>四川省人民医院一院多区交通及业务用车包车服务（应急保障）采购项目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62832406"/>
      <w:bookmarkStart w:id="1" w:name="_Toc471310326"/>
      <w:bookmarkStart w:id="2" w:name="_Toc21919"/>
      <w:bookmarkStart w:id="3" w:name="_Toc20358"/>
      <w:bookmarkStart w:id="4" w:name="_Toc1907"/>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rPr>
              <w:t>一院多区交通及业务用车包车服务（应急保障）采购</w:t>
            </w:r>
            <w:r>
              <w:rPr>
                <w:rFonts w:ascii="Times New Roman" w:hAnsi="Times New Roman" w:eastAsia="仿宋" w:cs="Times New Roman"/>
                <w:sz w:val="22"/>
              </w:rPr>
              <w:t>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CGZX-HQB20260744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056F690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highlight w:val="none"/>
                <w:u w:val="none"/>
                <w:lang w:val="en-US" w:eastAsia="zh-CN"/>
              </w:rPr>
              <w:t>据实结算，支付上限</w:t>
            </w:r>
            <w:r>
              <w:rPr>
                <w:rFonts w:ascii="Times New Roman" w:hAnsi="Times New Roman" w:eastAsia="仿宋" w:cs="Times New Roman"/>
                <w:sz w:val="22"/>
                <w:highlight w:val="none"/>
                <w:u w:val="none"/>
              </w:rPr>
              <w:t xml:space="preserve">人民币  </w:t>
            </w:r>
            <w:r>
              <w:rPr>
                <w:rFonts w:hint="eastAsia" w:ascii="Times New Roman" w:hAnsi="Times New Roman" w:eastAsia="仿宋" w:cs="Times New Roman"/>
                <w:sz w:val="22"/>
                <w:highlight w:val="none"/>
                <w:u w:val="none"/>
                <w:lang w:val="en-US" w:eastAsia="zh-CN"/>
              </w:rPr>
              <w:t>400000</w:t>
            </w:r>
            <w:r>
              <w:rPr>
                <w:rFonts w:ascii="Times New Roman" w:hAnsi="Times New Roman" w:eastAsia="仿宋" w:cs="Times New Roman"/>
                <w:sz w:val="22"/>
                <w:highlight w:val="none"/>
                <w:u w:val="none"/>
              </w:rPr>
              <w:t xml:space="preserve"> 元</w:t>
            </w:r>
            <w:r>
              <w:rPr>
                <w:rFonts w:hint="eastAsia" w:ascii="Times New Roman" w:hAnsi="Times New Roman" w:eastAsia="仿宋" w:cs="Times New Roman"/>
                <w:sz w:val="22"/>
                <w:lang w:eastAsia="zh-CN"/>
              </w:rPr>
              <w:t>，</w:t>
            </w:r>
            <w:r>
              <w:rPr>
                <w:rFonts w:ascii="Times New Roman" w:hAnsi="Times New Roman" w:eastAsia="仿宋" w:cs="Times New Roman"/>
                <w:sz w:val="22"/>
              </w:rPr>
              <w:t>超过最高限价的报价，其响应文件作无效处理。</w:t>
            </w:r>
          </w:p>
          <w:p w14:paraId="0F1959AA">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highlight w:val="none"/>
                <w:u w:val="none"/>
                <w:lang w:val="en-US" w:eastAsia="zh-CN"/>
              </w:rPr>
              <w:t>本项目按照清单限价统一报下浮率，下浮率&lt;0或大于</w:t>
            </w:r>
            <w:r>
              <w:rPr>
                <w:rFonts w:hint="default" w:ascii="Arial" w:hAnsi="Arial" w:eastAsia="仿宋" w:cs="Arial"/>
                <w:sz w:val="22"/>
                <w:highlight w:val="none"/>
                <w:u w:val="none"/>
                <w:lang w:val="en-US" w:eastAsia="zh-CN"/>
              </w:rPr>
              <w:t>≥</w:t>
            </w:r>
            <w:r>
              <w:rPr>
                <w:rFonts w:hint="eastAsia" w:ascii="Times New Roman" w:hAnsi="Times New Roman" w:eastAsia="仿宋" w:cs="Times New Roman"/>
                <w:sz w:val="22"/>
                <w:highlight w:val="none"/>
                <w:u w:val="none"/>
                <w:lang w:val="en-US" w:eastAsia="zh-CN"/>
              </w:rPr>
              <w:t>100%视为无效报价，其响应文件作无效处理。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w:t>
            </w:r>
            <w:r>
              <w:rPr>
                <w:rFonts w:hint="eastAsia" w:ascii="Times New Roman" w:hAnsi="Times New Roman" w:eastAsia="仿宋" w:cs="Times New Roman"/>
                <w:sz w:val="22"/>
                <w:szCs w:val="22"/>
                <w:lang w:val="en-US" w:eastAsia="zh-CN"/>
              </w:rPr>
              <w:t>支付上限</w:t>
            </w:r>
            <w:r>
              <w:rPr>
                <w:rFonts w:hint="eastAsia" w:ascii="Times New Roman" w:hAnsi="Times New Roman" w:eastAsia="仿宋" w:cs="Times New Roman"/>
                <w:sz w:val="22"/>
                <w:szCs w:val="22"/>
                <w:lang w:val="zh-CN"/>
              </w:rPr>
              <w:t>的5%</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none"/>
                <w:lang w:val="en-US" w:eastAsia="zh-CN"/>
              </w:rPr>
              <w:t>费</w:t>
            </w:r>
            <w:r>
              <w:rPr>
                <w:rFonts w:ascii="Times New Roman" w:hAnsi="Times New Roman" w:eastAsia="仿宋" w:cs="Times New Roman"/>
                <w:sz w:val="22"/>
                <w:u w:val="none"/>
              </w:rPr>
              <w:t>老师028-</w:t>
            </w:r>
            <w:r>
              <w:rPr>
                <w:rFonts w:hint="eastAsia" w:ascii="Times New Roman" w:hAnsi="Times New Roman" w:eastAsia="仿宋" w:cs="Times New Roman"/>
                <w:sz w:val="22"/>
                <w:u w:val="none"/>
                <w:lang w:val="en-US" w:eastAsia="zh-CN"/>
              </w:rPr>
              <w:t>87394783</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u w:val="none"/>
                <w:lang w:val="en-US" w:eastAsia="zh-CN"/>
              </w:rPr>
              <w:t>后勤保障</w:t>
            </w:r>
            <w:r>
              <w:rPr>
                <w:rFonts w:ascii="Times New Roman" w:hAnsi="Times New Roman" w:eastAsia="仿宋" w:cs="Times New Roman"/>
                <w:sz w:val="22"/>
                <w:u w:val="none"/>
              </w:rPr>
              <w:t>部门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kern w:val="0"/>
                <w:sz w:val="22"/>
              </w:rPr>
              <w:t>李</w:t>
            </w:r>
            <w:r>
              <w:rPr>
                <w:rFonts w:ascii="Times New Roman" w:hAnsi="Times New Roman" w:eastAsia="仿宋" w:cs="Times New Roman"/>
                <w:kern w:val="0"/>
                <w:sz w:val="22"/>
              </w:rPr>
              <w:t>老师028-</w:t>
            </w:r>
            <w:r>
              <w:rPr>
                <w:rFonts w:hint="eastAsia" w:ascii="Times New Roman" w:hAnsi="Times New Roman" w:eastAsia="仿宋" w:cs="Times New Roman"/>
                <w:kern w:val="0"/>
                <w:sz w:val="22"/>
              </w:rPr>
              <w:t>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15"/>
      </w:tblGrid>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tc>
        <w:tc>
          <w:tcPr>
            <w:tcW w:w="2849" w:type="pct"/>
            <w:vAlign w:val="center"/>
          </w:tcPr>
          <w:p w14:paraId="7D3D2FEC">
            <w:pPr>
              <w:rPr>
                <w:rFonts w:ascii="Times New Roman" w:hAnsi="Times New Roman" w:eastAsia="仿宋" w:cs="Times New Roman"/>
                <w:sz w:val="22"/>
                <w:u w:val="single"/>
              </w:rPr>
            </w:pPr>
            <w:r>
              <w:rPr>
                <w:rFonts w:ascii="Times New Roman" w:hAnsi="Times New Roman" w:eastAsia="仿宋" w:cs="Times New Roman"/>
                <w:sz w:val="22"/>
                <w:highlight w:val="none"/>
              </w:rPr>
              <w:t>提</w:t>
            </w:r>
            <w:r>
              <w:rPr>
                <w:rFonts w:ascii="Times New Roman" w:hAnsi="Times New Roman" w:eastAsia="仿宋" w:cs="Times New Roman"/>
                <w:sz w:val="22"/>
                <w:highlight w:val="none"/>
                <w:u w:val="none"/>
              </w:rPr>
              <w:t>供</w:t>
            </w:r>
            <w:r>
              <w:rPr>
                <w:rFonts w:hint="eastAsia" w:ascii="Times New Roman" w:hAnsi="Times New Roman" w:eastAsia="仿宋" w:cs="Times New Roman"/>
                <w:sz w:val="22"/>
                <w:highlight w:val="none"/>
                <w:u w:val="none"/>
              </w:rPr>
              <w:t>行政主管部门颁发且有效的《道路运输经营许可证》，</w:t>
            </w:r>
            <w:r>
              <w:rPr>
                <w:rFonts w:hint="eastAsia" w:ascii="Times New Roman" w:hAnsi="Times New Roman" w:eastAsia="仿宋" w:cs="Times New Roman"/>
                <w:sz w:val="22"/>
                <w:highlight w:val="none"/>
                <w:u w:val="none"/>
                <w:lang w:val="en-US" w:eastAsia="zh-CN"/>
              </w:rPr>
              <w:t>经营</w:t>
            </w:r>
            <w:r>
              <w:rPr>
                <w:rFonts w:hint="eastAsia" w:ascii="Times New Roman" w:hAnsi="Times New Roman" w:eastAsia="仿宋" w:cs="Times New Roman"/>
                <w:sz w:val="22"/>
                <w:highlight w:val="none"/>
                <w:u w:val="none"/>
              </w:rPr>
              <w:t>范围包含“包车服务”</w:t>
            </w:r>
            <w:r>
              <w:rPr>
                <w:rFonts w:hint="eastAsia" w:ascii="Times New Roman" w:hAnsi="Times New Roman" w:eastAsia="仿宋" w:cs="Times New Roman"/>
                <w:sz w:val="22"/>
                <w:highlight w:val="none"/>
                <w:u w:val="none"/>
                <w:lang w:eastAsia="zh-CN"/>
              </w:rPr>
              <w:t>。</w:t>
            </w:r>
          </w:p>
        </w:tc>
      </w:tr>
    </w:tbl>
    <w:p w14:paraId="379FCCB3">
      <w:pPr>
        <w:rPr>
          <w:rFonts w:ascii="Times New Roman" w:hAnsi="Times New Roman" w:cs="Times New Roman"/>
        </w:rPr>
      </w:pPr>
      <w:r>
        <w:rPr>
          <w:rFonts w:ascii="Times New Roman" w:hAnsi="Times New Roman" w:cs="Times New Roman"/>
        </w:rPr>
        <w:br w:type="page"/>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14"/>
      </w:tblGrid>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3"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3"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3"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3"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3"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3"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6DE359F7">
      <w:pPr>
        <w:pStyle w:val="16"/>
        <w:keepNext w:val="0"/>
        <w:keepLines w:val="0"/>
        <w:pageBreakBefore w:val="0"/>
        <w:numPr>
          <w:ilvl w:val="-1"/>
          <w:numId w:val="0"/>
        </w:numPr>
        <w:kinsoku/>
        <w:wordWrap/>
        <w:overflowPunct/>
        <w:topLinePunct w:val="0"/>
        <w:autoSpaceDN/>
        <w:bidi w:val="0"/>
        <w:adjustRightInd/>
        <w:spacing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为了保障一院多区</w:t>
      </w:r>
      <w:r>
        <w:rPr>
          <w:rFonts w:hint="eastAsia" w:ascii="仿宋" w:hAnsi="仿宋" w:eastAsia="仿宋" w:cs="仿宋"/>
          <w:color w:val="0D0D0D"/>
          <w:kern w:val="2"/>
          <w:sz w:val="24"/>
          <w:szCs w:val="24"/>
          <w:highlight w:val="none"/>
          <w:lang w:val="en-US" w:eastAsia="zh-CN"/>
        </w:rPr>
        <w:t>（包括不限于青羊院区、龙泉院区、温江院区</w:t>
      </w:r>
      <w:r>
        <w:rPr>
          <w:rFonts w:hint="eastAsia" w:ascii="仿宋" w:hAnsi="仿宋" w:eastAsia="仿宋" w:cs="仿宋"/>
          <w:sz w:val="24"/>
          <w:szCs w:val="24"/>
        </w:rPr>
        <w:t>）交通通勤及业务用车和体检中心业务等特需科室用车需求，拟确定一家供应商提供应急保障包车服务。</w:t>
      </w:r>
      <w:r>
        <w:rPr>
          <w:rFonts w:hint="eastAsia" w:ascii="仿宋" w:hAnsi="仿宋" w:eastAsia="仿宋" w:cs="仿宋"/>
          <w:sz w:val="24"/>
          <w:szCs w:val="24"/>
        </w:rPr>
        <w:cr/>
      </w:r>
      <w:r>
        <w:rPr>
          <w:rFonts w:hint="eastAsia" w:ascii="仿宋" w:hAnsi="仿宋" w:eastAsia="仿宋" w:cs="仿宋"/>
          <w:b/>
          <w:bCs/>
          <w:sz w:val="24"/>
          <w:szCs w:val="24"/>
        </w:rPr>
        <w:t>二、★技术、服务要求:</w:t>
      </w:r>
      <w:r>
        <w:rPr>
          <w:rFonts w:hint="eastAsia" w:ascii="仿宋" w:hAnsi="仿宋" w:eastAsia="仿宋" w:cs="仿宋"/>
          <w:sz w:val="24"/>
          <w:szCs w:val="24"/>
        </w:rPr>
        <w:cr/>
      </w:r>
      <w:r>
        <w:rPr>
          <w:rFonts w:hint="eastAsia" w:ascii="仿宋" w:hAnsi="仿宋" w:eastAsia="仿宋" w:cs="仿宋"/>
          <w:b/>
          <w:bCs/>
          <w:sz w:val="24"/>
          <w:szCs w:val="24"/>
        </w:rPr>
        <w:t>（一）车辆服务要求</w:t>
      </w:r>
    </w:p>
    <w:p w14:paraId="1548E9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主要为大型汽车包车（35座以上）服务；须供应商提供车辆和配置驾驶员。</w:t>
      </w:r>
    </w:p>
    <w:p w14:paraId="1E6388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t>（二）服务要求</w:t>
      </w:r>
    </w:p>
    <w:p w14:paraId="63E7D5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认真执行国家的各项安全方针、政策，严格遵守《中华人民共和国道路交通安全法》《中华人民共和国安全生产法》《四川省生产经营单位安全生产责任规定》和《四川省交通厅关于贯彻落实省政府办公厅四川省道路旅客运输驾驶员安全行为规范的通知》等法律、法规，为保证公路客运交通安全，杜绝交通事故的发生，供应商公司内部具有健全的管理制度。</w:t>
      </w:r>
    </w:p>
    <w:p w14:paraId="6AE2C5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2.本项目成交后，禁止供应商向第三方进行转包和分包，一经发现，采购人可直接终止合同，违约责任为供应商全责。</w:t>
      </w:r>
    </w:p>
    <w:p w14:paraId="2114BD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t>（三）安全责任要求</w:t>
      </w:r>
    </w:p>
    <w:p w14:paraId="7816EA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1.认真贯彻执行“安全第一、预防为主”的方针，遵守国家法律法规和安全操作规程，守法经营，落实各级交通主管部门的安全生产管理规定，组织学习安全知识，最大限度地控制和减少道路交通事故的发生。</w:t>
      </w:r>
    </w:p>
    <w:p w14:paraId="01B658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2.供应商负责经营许可范围内的安全工作，是安全第一责任人，对安全工作负总责。</w:t>
      </w:r>
    </w:p>
    <w:p w14:paraId="1DF7F0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3.驾驶员必须必须遵守交通安全制度，职责明确，责任分清，层层落实安全责任制。</w:t>
      </w:r>
    </w:p>
    <w:p w14:paraId="27B051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4.积极参与各项安全活动，保证安全工作的开展。</w:t>
      </w:r>
    </w:p>
    <w:p w14:paraId="061776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5.落实事故处理“四不放过”的原则，即:事故原因不查清不放过:事故责任者没处理不放过;整改措施不落实不放过；教训不吸取不放过。</w:t>
      </w:r>
    </w:p>
    <w:p w14:paraId="6BF4F0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6.建立营运车辆维护、检修工作制度，督促车辆按时做好综合性能检测及维护，确保车辆技术状况良好。</w:t>
      </w:r>
    </w:p>
    <w:p w14:paraId="33E7B5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t>（四）服务内容</w:t>
      </w:r>
    </w:p>
    <w:p w14:paraId="16C50F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采购人至少提前1天通知供应商，告知供应商用车日期和接送客人的地点、时间和用车数量。行车路线及时间：供应商应准时到达采购人指定地点，按双方约定时间和路线行驶。供应商需指定专人24小时服务响应（提供响应调度方案）。</w:t>
      </w:r>
    </w:p>
    <w:p w14:paraId="1CC5A4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2.采购人根据情况向供应商提出包车服务要求(时间、行程、费用、服务保障、事故处理等)。</w:t>
      </w:r>
    </w:p>
    <w:p w14:paraId="499C6C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3.采购人在合同期间无需担保、无需押金，享受成都市内上门结算等服务。</w:t>
      </w:r>
    </w:p>
    <w:p w14:paraId="46B2E2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4.供应商所提供车辆除法定的各种强制保险外，供应商还需要为本项目投入运行的车辆购买承运人责任险(座位险)和第三者责任险保险额度不低于50万元/辆和200万元/辆。</w:t>
      </w:r>
    </w:p>
    <w:p w14:paraId="7235A1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5.供应商驾驶员应按照采购人用车计划提供服务，服从采购人安排。未经同意不得搭乘他人。</w:t>
      </w:r>
    </w:p>
    <w:p w14:paraId="16AD62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6.本项目采购人需求主要为35座及以上大客车，为保证服务质量和响应效率，供应商应提供不少于20辆35座及以上大客车，成交后提供服务的车辆车龄不得超过5年。用车时需保持车辆整洁，车内配备纸巾、雨伞、饮用水等。</w:t>
      </w:r>
    </w:p>
    <w:p w14:paraId="510C2D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7.供应商应与驾驶员签订劳动合同；驾驶员具有所驾车型相符的驾驶证准驾车型类型（提供不少于20名驾驶员A1驾照复印件），并具备相应的从业资格（提供从业资格证复印件），以上资料要求按驾驶员对应装订成套。</w:t>
      </w:r>
    </w:p>
    <w:p w14:paraId="4DAD06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8.供应商在服务中，禁止非法录音、录像。</w:t>
      </w:r>
    </w:p>
    <w:p w14:paraId="1A92B0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9.驾驶员要求</w:t>
      </w:r>
    </w:p>
    <w:p w14:paraId="7DB741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（1）提供服务的驾驶员具有国家合格认证的可驾驶对应车型的机动车驾驶证，且有5年以上驾龄，熟悉成都道路；</w:t>
      </w:r>
    </w:p>
    <w:p w14:paraId="77C87E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（2）未曾受过刑事处罚或因交通违法行为一个记分周期扣满12分以上，3年内未发生过负主要责任的重大及以上的交通安全事故；</w:t>
      </w:r>
    </w:p>
    <w:p w14:paraId="790312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（3）年龄50周岁以下，身体健康，无传染性疾病。</w:t>
      </w:r>
    </w:p>
    <w:p w14:paraId="54EBCF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t>（五）最高限价</w:t>
      </w:r>
    </w:p>
    <w:p w14:paraId="2E2459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业务</w:t>
      </w:r>
      <w:r>
        <w:rPr>
          <w:rFonts w:hint="eastAsia" w:ascii="仿宋" w:hAnsi="仿宋" w:eastAsia="仿宋" w:cs="仿宋"/>
          <w:sz w:val="24"/>
          <w:szCs w:val="24"/>
        </w:rPr>
        <w:t>用车车型需求及限高价表</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286"/>
        <w:gridCol w:w="1842"/>
        <w:gridCol w:w="1842"/>
        <w:gridCol w:w="1842"/>
        <w:gridCol w:w="1842"/>
      </w:tblGrid>
      <w:tr w14:paraId="3D512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425" w:hRule="atLeast"/>
        </w:trPr>
        <w:tc>
          <w:tcPr>
            <w:tcW w:w="33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90EFA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车型</w:t>
            </w:r>
          </w:p>
        </w:tc>
        <w:tc>
          <w:tcPr>
            <w:tcW w:w="255" w:type="dxa"/>
            <w:tcBorders>
              <w:top w:val="single" w:color="000000" w:sz="6" w:space="0"/>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704C58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基本租车费</w:t>
            </w:r>
          </w:p>
          <w:p w14:paraId="67163E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（元/天）</w:t>
            </w:r>
          </w:p>
        </w:tc>
        <w:tc>
          <w:tcPr>
            <w:tcW w:w="330" w:type="dxa"/>
            <w:tcBorders>
              <w:top w:val="single" w:color="000000" w:sz="6" w:space="0"/>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4A6853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驾驶员劳务费</w:t>
            </w:r>
          </w:p>
          <w:p w14:paraId="61557A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（元/天）</w:t>
            </w:r>
          </w:p>
        </w:tc>
        <w:tc>
          <w:tcPr>
            <w:tcW w:w="315" w:type="dxa"/>
            <w:tcBorders>
              <w:top w:val="single" w:color="000000" w:sz="6" w:space="0"/>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34FC34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驾驶员餐费</w:t>
            </w:r>
          </w:p>
          <w:p w14:paraId="7F84A1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（元/</w:t>
            </w:r>
            <w:r>
              <w:rPr>
                <w:rFonts w:hint="eastAsia" w:ascii="仿宋" w:hAnsi="仿宋" w:eastAsia="仿宋" w:cs="仿宋"/>
                <w:sz w:val="24"/>
                <w:szCs w:val="24"/>
                <w:lang w:val="en-US" w:eastAsia="zh-CN"/>
              </w:rPr>
              <w:t>餐</w:t>
            </w:r>
            <w:r>
              <w:rPr>
                <w:rFonts w:hint="eastAsia" w:ascii="仿宋" w:hAnsi="仿宋" w:eastAsia="仿宋" w:cs="仿宋"/>
                <w:sz w:val="24"/>
                <w:szCs w:val="24"/>
              </w:rPr>
              <w:t>）</w:t>
            </w:r>
          </w:p>
          <w:p w14:paraId="270E48D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每日不超过三餐</w:t>
            </w:r>
          </w:p>
        </w:tc>
        <w:tc>
          <w:tcPr>
            <w:tcW w:w="225" w:type="dxa"/>
            <w:tcBorders>
              <w:top w:val="single" w:color="000000" w:sz="6" w:space="0"/>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438A08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驾驶员</w:t>
            </w:r>
          </w:p>
          <w:p w14:paraId="605673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住宿费</w:t>
            </w:r>
          </w:p>
          <w:p w14:paraId="424F2D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（元/天）</w:t>
            </w:r>
          </w:p>
        </w:tc>
      </w:tr>
      <w:tr w14:paraId="6099E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330"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F49A8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轿车</w:t>
            </w:r>
          </w:p>
        </w:tc>
        <w:tc>
          <w:tcPr>
            <w:tcW w:w="25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5D4721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280</w:t>
            </w:r>
          </w:p>
        </w:tc>
        <w:tc>
          <w:tcPr>
            <w:tcW w:w="330"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737E64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200</w:t>
            </w:r>
          </w:p>
        </w:tc>
        <w:tc>
          <w:tcPr>
            <w:tcW w:w="31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1EB194A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w:t>
            </w:r>
          </w:p>
        </w:tc>
        <w:tc>
          <w:tcPr>
            <w:tcW w:w="22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255E2E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150</w:t>
            </w:r>
          </w:p>
        </w:tc>
      </w:tr>
      <w:tr w14:paraId="5FB99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20" w:hRule="atLeast"/>
        </w:trPr>
        <w:tc>
          <w:tcPr>
            <w:tcW w:w="330"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2702B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7座客车</w:t>
            </w:r>
          </w:p>
        </w:tc>
        <w:tc>
          <w:tcPr>
            <w:tcW w:w="25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47009D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400</w:t>
            </w:r>
          </w:p>
        </w:tc>
        <w:tc>
          <w:tcPr>
            <w:tcW w:w="330"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2728F4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200</w:t>
            </w:r>
          </w:p>
        </w:tc>
        <w:tc>
          <w:tcPr>
            <w:tcW w:w="31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35389CC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w:t>
            </w:r>
          </w:p>
        </w:tc>
        <w:tc>
          <w:tcPr>
            <w:tcW w:w="22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1B9FAF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150</w:t>
            </w:r>
          </w:p>
        </w:tc>
      </w:tr>
      <w:tr w14:paraId="5C42C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5" w:hRule="atLeast"/>
        </w:trPr>
        <w:tc>
          <w:tcPr>
            <w:tcW w:w="330"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AB8BC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越野车</w:t>
            </w:r>
          </w:p>
        </w:tc>
        <w:tc>
          <w:tcPr>
            <w:tcW w:w="25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38002C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500</w:t>
            </w:r>
          </w:p>
        </w:tc>
        <w:tc>
          <w:tcPr>
            <w:tcW w:w="330"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5762CF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200</w:t>
            </w:r>
          </w:p>
        </w:tc>
        <w:tc>
          <w:tcPr>
            <w:tcW w:w="31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15CE116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w:t>
            </w:r>
          </w:p>
        </w:tc>
        <w:tc>
          <w:tcPr>
            <w:tcW w:w="22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3B2B9D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150</w:t>
            </w:r>
          </w:p>
        </w:tc>
      </w:tr>
      <w:tr w14:paraId="6F2F9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50" w:hRule="atLeast"/>
        </w:trPr>
        <w:tc>
          <w:tcPr>
            <w:tcW w:w="330"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7A843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20-30座客车</w:t>
            </w:r>
          </w:p>
        </w:tc>
        <w:tc>
          <w:tcPr>
            <w:tcW w:w="25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2E83CC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900</w:t>
            </w:r>
          </w:p>
        </w:tc>
        <w:tc>
          <w:tcPr>
            <w:tcW w:w="330"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2DB5FF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31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2678A5F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w:t>
            </w:r>
          </w:p>
        </w:tc>
        <w:tc>
          <w:tcPr>
            <w:tcW w:w="22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21C288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150</w:t>
            </w:r>
          </w:p>
        </w:tc>
      </w:tr>
      <w:tr w14:paraId="649B1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50" w:hRule="atLeast"/>
        </w:trPr>
        <w:tc>
          <w:tcPr>
            <w:tcW w:w="330"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DFD3F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35-39座客车</w:t>
            </w:r>
          </w:p>
        </w:tc>
        <w:tc>
          <w:tcPr>
            <w:tcW w:w="25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732B2BE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1070</w:t>
            </w:r>
          </w:p>
        </w:tc>
        <w:tc>
          <w:tcPr>
            <w:tcW w:w="330"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586F94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31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28583A7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w:t>
            </w:r>
          </w:p>
        </w:tc>
        <w:tc>
          <w:tcPr>
            <w:tcW w:w="22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633847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150</w:t>
            </w:r>
          </w:p>
        </w:tc>
      </w:tr>
      <w:tr w14:paraId="5DCAB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50" w:hRule="atLeast"/>
        </w:trPr>
        <w:tc>
          <w:tcPr>
            <w:tcW w:w="330"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D6DEB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49座客车</w:t>
            </w:r>
          </w:p>
        </w:tc>
        <w:tc>
          <w:tcPr>
            <w:tcW w:w="25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3A8D42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1300</w:t>
            </w:r>
          </w:p>
        </w:tc>
        <w:tc>
          <w:tcPr>
            <w:tcW w:w="330"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557B91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w:t>
            </w:r>
          </w:p>
        </w:tc>
        <w:tc>
          <w:tcPr>
            <w:tcW w:w="31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4D1271C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w:t>
            </w:r>
          </w:p>
        </w:tc>
        <w:tc>
          <w:tcPr>
            <w:tcW w:w="22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center"/>
          </w:tcPr>
          <w:p w14:paraId="429789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150</w:t>
            </w:r>
          </w:p>
        </w:tc>
      </w:tr>
    </w:tbl>
    <w:p w14:paraId="32D300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（1）以上单价为含税报价，包含车辆维修、保险保养、救援、燃油费、充电费等除过路费及泊车费之外的</w:t>
      </w:r>
      <w:r>
        <w:rPr>
          <w:rFonts w:hint="eastAsia" w:ascii="仿宋" w:hAnsi="仿宋" w:eastAsia="仿宋" w:cs="仿宋"/>
          <w:sz w:val="24"/>
          <w:szCs w:val="24"/>
          <w:lang w:val="en-US" w:eastAsia="zh-CN"/>
        </w:rPr>
        <w:t>一</w:t>
      </w:r>
      <w:r>
        <w:rPr>
          <w:rFonts w:hint="eastAsia" w:ascii="仿宋" w:hAnsi="仿宋" w:eastAsia="仿宋" w:cs="仿宋"/>
          <w:sz w:val="24"/>
          <w:szCs w:val="24"/>
        </w:rPr>
        <w:t>切费</w:t>
      </w:r>
      <w:r>
        <w:rPr>
          <w:rFonts w:hint="eastAsia" w:ascii="仿宋" w:hAnsi="仿宋" w:eastAsia="仿宋" w:cs="仿宋"/>
          <w:sz w:val="24"/>
          <w:szCs w:val="24"/>
          <w:lang w:val="en-US" w:eastAsia="zh-CN"/>
        </w:rPr>
        <w:t>用。</w:t>
      </w:r>
    </w:p>
    <w:p w14:paraId="21E97C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租车期间过路费及泊车费由采购人承担。根据现行ETC政策，供应商承担采购人委托的运输任务时，供应商车辆的车载ETC先行支付相关费用。后期进行费用结算时，供应商开具整体包车费，包含合同标准产生的费用以及对应代交的过路费及泊车费，供应商提供相关结算单，行程单和发票。</w:t>
      </w:r>
    </w:p>
    <w:p w14:paraId="11C783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（3）包车期间的，供应商车辆的所有违章费用由供应商自行承担。</w:t>
      </w:r>
    </w:p>
    <w:p w14:paraId="414724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（4）供应商驾驶员在执行采购人团队24小时(含24小时)以上时间任务时，</w:t>
      </w:r>
      <w:r>
        <w:rPr>
          <w:rFonts w:hint="eastAsia" w:ascii="仿宋" w:hAnsi="仿宋" w:eastAsia="仿宋" w:cs="仿宋"/>
          <w:color w:val="auto"/>
          <w:sz w:val="24"/>
          <w:szCs w:val="24"/>
        </w:rPr>
        <w:t>所产生的基本租车费、驾驶员劳务,住宿、用餐由采购人按照</w:t>
      </w:r>
      <w:r>
        <w:rPr>
          <w:rFonts w:hint="eastAsia" w:ascii="仿宋" w:hAnsi="仿宋" w:eastAsia="仿宋" w:cs="仿宋"/>
          <w:sz w:val="24"/>
          <w:szCs w:val="24"/>
        </w:rPr>
        <w:t>成交价清单承担，24小时内(不含24小时)的租车采购人不承担住宿费用。且支付</w:t>
      </w:r>
      <w:r>
        <w:rPr>
          <w:rFonts w:hint="eastAsia" w:ascii="仿宋" w:hAnsi="仿宋" w:eastAsia="仿宋" w:cs="仿宋"/>
          <w:sz w:val="24"/>
          <w:szCs w:val="24"/>
          <w:lang w:val="en-US" w:eastAsia="zh-CN"/>
        </w:rPr>
        <w:t>餐费</w:t>
      </w:r>
      <w:r>
        <w:rPr>
          <w:rFonts w:hint="eastAsia" w:ascii="仿宋" w:hAnsi="仿宋" w:eastAsia="仿宋" w:cs="仿宋"/>
          <w:sz w:val="24"/>
          <w:szCs w:val="24"/>
        </w:rPr>
        <w:t>的前提应为用车期间包含了用餐时段。</w:t>
      </w:r>
    </w:p>
    <w:p w14:paraId="31C3DA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业务用车服务时长超过（含）5小时，基本租车费和驾驶员劳务费按整天结算；时长不超过5小时，基本租车费和驾驶员劳务费按50%结算。</w:t>
      </w:r>
    </w:p>
    <w:p w14:paraId="4760ECA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(6)20座及以上客车的基本租车费中包含驾驶员劳务费，采购人不再单独支付驾驶员劳务费。</w:t>
      </w:r>
    </w:p>
    <w:p w14:paraId="057B84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2.固定专线包车</w:t>
      </w:r>
    </w:p>
    <w:p w14:paraId="3D166B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①省医院-四川省精神医学中心，49座客车包车，限高价:固定线路包干价980元/天，包含每日2次往返。若采购人需要增加往返车次，加收380元/往返。费用包含车辆折旧、保险、维修、保养、救援、燃油费、开票税金和驾驶员劳务等所有费用，即包干价。采购人不单独支付超里程收费、驾驶员劳务费、驾驶员餐费、超强工作费用。</w:t>
      </w:r>
    </w:p>
    <w:p w14:paraId="55D34C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②省医院-温江区三医创新中心，49座客车包车，限高价:固定线路包干价980元/天，包含每日2次往返。若采购人需要增加往返车次，加收380元/往返。费用包含车辆折旧、保险、维修、保养、救援、燃油费、开票税金和驾驶员劳务等所有费用，即包干价。采购人不单独支付超里程收费、驾驶员劳务费、驾驶员餐费、超强工作费用。</w:t>
      </w:r>
    </w:p>
    <w:p w14:paraId="5D3586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驾驶员要求人员固定，证件齐全。如因特殊原因必须更换驾驶员的，必须提前5天以有效方式通知采购人，在取得采购人同意后，方可更换。</w:t>
      </w:r>
    </w:p>
    <w:p w14:paraId="57A4F0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附：参考品牌</w:t>
      </w:r>
    </w:p>
    <w:tbl>
      <w:tblPr>
        <w:tblStyle w:val="1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3147"/>
        <w:gridCol w:w="6507"/>
      </w:tblGrid>
      <w:tr w14:paraId="3112F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5" w:hRule="atLeast"/>
          <w:jc w:val="center"/>
        </w:trPr>
        <w:tc>
          <w:tcPr>
            <w:tcW w:w="199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4C2D16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t>车型</w:t>
            </w:r>
          </w:p>
        </w:tc>
        <w:tc>
          <w:tcPr>
            <w:tcW w:w="4125" w:type="dxa"/>
            <w:tcBorders>
              <w:top w:val="single" w:color="000000" w:sz="6" w:space="0"/>
              <w:left w:val="nil"/>
              <w:bottom w:val="single" w:color="000000" w:sz="6" w:space="0"/>
              <w:right w:val="single" w:color="000000" w:sz="6" w:space="0"/>
            </w:tcBorders>
            <w:shd w:val="clear" w:color="auto" w:fill="auto"/>
            <w:tcMar>
              <w:top w:w="0" w:type="dxa"/>
              <w:left w:w="0" w:type="dxa"/>
              <w:bottom w:w="0" w:type="dxa"/>
              <w:right w:w="0" w:type="dxa"/>
            </w:tcMar>
            <w:vAlign w:val="top"/>
          </w:tcPr>
          <w:p w14:paraId="323922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t>参考品牌</w:t>
            </w:r>
          </w:p>
        </w:tc>
      </w:tr>
      <w:tr w14:paraId="7CB8F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0" w:hRule="atLeast"/>
          <w:jc w:val="center"/>
        </w:trPr>
        <w:tc>
          <w:tcPr>
            <w:tcW w:w="1995"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2ED91B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轿车</w:t>
            </w:r>
          </w:p>
        </w:tc>
        <w:tc>
          <w:tcPr>
            <w:tcW w:w="412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top"/>
          </w:tcPr>
          <w:p w14:paraId="332A3D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大众帕萨特、红旗、雅阁（或同档次）</w:t>
            </w:r>
          </w:p>
        </w:tc>
      </w:tr>
      <w:tr w14:paraId="69C1E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0" w:hRule="atLeast"/>
          <w:jc w:val="center"/>
        </w:trPr>
        <w:tc>
          <w:tcPr>
            <w:tcW w:w="1995"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34EAC8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7座客车</w:t>
            </w:r>
          </w:p>
        </w:tc>
        <w:tc>
          <w:tcPr>
            <w:tcW w:w="412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top"/>
          </w:tcPr>
          <w:p w14:paraId="196084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别克GL8、本田奥德赛、上汽大通（或同档次）</w:t>
            </w:r>
          </w:p>
        </w:tc>
      </w:tr>
      <w:tr w14:paraId="74702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0" w:hRule="atLeast"/>
          <w:jc w:val="center"/>
        </w:trPr>
        <w:tc>
          <w:tcPr>
            <w:tcW w:w="1995"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57A51F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越野车</w:t>
            </w:r>
          </w:p>
        </w:tc>
        <w:tc>
          <w:tcPr>
            <w:tcW w:w="412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top"/>
          </w:tcPr>
          <w:p w14:paraId="44D86B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帕杰罗、普拉多、汉兰达（或同档次）</w:t>
            </w:r>
          </w:p>
        </w:tc>
      </w:tr>
      <w:tr w14:paraId="19726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0" w:hRule="atLeast"/>
          <w:jc w:val="center"/>
        </w:trPr>
        <w:tc>
          <w:tcPr>
            <w:tcW w:w="1995"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2F5B92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20-30座客车</w:t>
            </w:r>
          </w:p>
        </w:tc>
        <w:tc>
          <w:tcPr>
            <w:tcW w:w="412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top"/>
          </w:tcPr>
          <w:p w14:paraId="5B4134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柯斯达20-30座、金龙20-30座、金旅20-30座（或同档次）</w:t>
            </w:r>
          </w:p>
        </w:tc>
      </w:tr>
      <w:tr w14:paraId="0EF5D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0" w:hRule="atLeast"/>
          <w:jc w:val="center"/>
        </w:trPr>
        <w:tc>
          <w:tcPr>
            <w:tcW w:w="1995"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55A546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35-39座客车</w:t>
            </w:r>
          </w:p>
        </w:tc>
        <w:tc>
          <w:tcPr>
            <w:tcW w:w="412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top"/>
          </w:tcPr>
          <w:p w14:paraId="675238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金龙、金旅、宇通、39大型高一级（或同档次）</w:t>
            </w:r>
          </w:p>
        </w:tc>
      </w:tr>
      <w:tr w14:paraId="19F89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0" w:hRule="atLeast"/>
          <w:jc w:val="center"/>
        </w:trPr>
        <w:tc>
          <w:tcPr>
            <w:tcW w:w="1995" w:type="dxa"/>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top"/>
          </w:tcPr>
          <w:p w14:paraId="7F4894F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49座客车</w:t>
            </w:r>
          </w:p>
        </w:tc>
        <w:tc>
          <w:tcPr>
            <w:tcW w:w="4125" w:type="dxa"/>
            <w:tcBorders>
              <w:top w:val="nil"/>
              <w:left w:val="nil"/>
              <w:bottom w:val="single" w:color="000000" w:sz="6" w:space="0"/>
              <w:right w:val="single" w:color="000000" w:sz="6" w:space="0"/>
            </w:tcBorders>
            <w:shd w:val="clear" w:color="auto" w:fill="auto"/>
            <w:tcMar>
              <w:top w:w="0" w:type="dxa"/>
              <w:left w:w="0" w:type="dxa"/>
              <w:bottom w:w="0" w:type="dxa"/>
              <w:right w:w="0" w:type="dxa"/>
            </w:tcMar>
            <w:vAlign w:val="top"/>
          </w:tcPr>
          <w:p w14:paraId="235917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金龙、金旅、宇通、49大型高一级（或同档次）</w:t>
            </w:r>
          </w:p>
        </w:tc>
      </w:tr>
    </w:tbl>
    <w:p w14:paraId="6B4CF3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六</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考</w:t>
      </w:r>
      <w:r>
        <w:rPr>
          <w:rFonts w:hint="eastAsia" w:ascii="仿宋" w:hAnsi="仿宋" w:eastAsia="仿宋" w:cs="仿宋"/>
          <w:b/>
          <w:bCs/>
          <w:sz w:val="24"/>
          <w:szCs w:val="24"/>
        </w:rPr>
        <w:t>核办法</w:t>
      </w:r>
    </w:p>
    <w:p w14:paraId="24AAEF4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1.考核办法(检查考核实行不定期检查、月度考评。)</w:t>
      </w:r>
    </w:p>
    <w:p w14:paraId="48FE6E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(1)不定期检查。不定期巡查考核评分按照《服务检查考核表》执行，实行倒扣分制。</w:t>
      </w:r>
    </w:p>
    <w:p w14:paraId="4B91B2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月度考评。月度考核1次，由采购人组织人员进行，考核总分均为100分,采取百分制倒扣分形式,考核成绩≥91分为优秀；85-90（含）分为良好；80（含）-84分为合格，80分以下为不合格。如月度考核不合格，采购人有权终止合同，且由供应商完全承担相关违约责任。年度考核合格为每月月度考核均为合格。</w:t>
      </w:r>
    </w:p>
    <w:p w14:paraId="72AF80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2.服务检查考核表</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651"/>
        <w:gridCol w:w="4486"/>
        <w:gridCol w:w="2651"/>
      </w:tblGrid>
      <w:tr w14:paraId="2FDAD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0" w:hRule="atLeast"/>
        </w:trPr>
        <w:tc>
          <w:tcPr>
            <w:tcW w:w="165" w:type="dxa"/>
            <w:tcBorders>
              <w:top w:val="single" w:color="auto" w:sz="6" w:space="0"/>
              <w:left w:val="single" w:color="auto" w:sz="6" w:space="0"/>
              <w:bottom w:val="single" w:color="auto" w:sz="6" w:space="0"/>
              <w:right w:val="single" w:color="auto" w:sz="6" w:space="0"/>
            </w:tcBorders>
            <w:shd w:val="clear" w:color="auto" w:fill="auto"/>
            <w:tcMar>
              <w:top w:w="0" w:type="dxa"/>
              <w:left w:w="75" w:type="dxa"/>
              <w:bottom w:w="0" w:type="dxa"/>
              <w:right w:w="75" w:type="dxa"/>
            </w:tcMar>
            <w:vAlign w:val="center"/>
          </w:tcPr>
          <w:p w14:paraId="7FFBCB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考核项目</w:t>
            </w:r>
          </w:p>
        </w:tc>
        <w:tc>
          <w:tcPr>
            <w:tcW w:w="660" w:type="dxa"/>
            <w:tcBorders>
              <w:top w:val="single" w:color="auto" w:sz="6" w:space="0"/>
              <w:left w:val="nil"/>
              <w:bottom w:val="single" w:color="auto" w:sz="6" w:space="0"/>
              <w:right w:val="single" w:color="auto" w:sz="6" w:space="0"/>
            </w:tcBorders>
            <w:shd w:val="clear" w:color="auto" w:fill="auto"/>
            <w:tcMar>
              <w:top w:w="0" w:type="dxa"/>
              <w:left w:w="75" w:type="dxa"/>
              <w:bottom w:w="0" w:type="dxa"/>
              <w:right w:w="75" w:type="dxa"/>
            </w:tcMar>
            <w:vAlign w:val="center"/>
          </w:tcPr>
          <w:p w14:paraId="636469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考核内容</w:t>
            </w:r>
          </w:p>
        </w:tc>
        <w:tc>
          <w:tcPr>
            <w:tcW w:w="165" w:type="dxa"/>
            <w:tcBorders>
              <w:top w:val="single" w:color="auto" w:sz="6" w:space="0"/>
              <w:left w:val="nil"/>
              <w:bottom w:val="single" w:color="auto" w:sz="6" w:space="0"/>
              <w:right w:val="single" w:color="auto" w:sz="6" w:space="0"/>
            </w:tcBorders>
            <w:shd w:val="clear" w:color="auto" w:fill="auto"/>
            <w:tcMar>
              <w:top w:w="0" w:type="dxa"/>
              <w:left w:w="75" w:type="dxa"/>
              <w:bottom w:w="0" w:type="dxa"/>
              <w:right w:w="75" w:type="dxa"/>
            </w:tcMar>
            <w:vAlign w:val="center"/>
          </w:tcPr>
          <w:p w14:paraId="0F61282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扣分</w:t>
            </w:r>
          </w:p>
        </w:tc>
      </w:tr>
      <w:tr w14:paraId="66C09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0" w:hRule="atLeast"/>
        </w:trPr>
        <w:tc>
          <w:tcPr>
            <w:tcW w:w="165" w:type="dxa"/>
            <w:vMerge w:val="restart"/>
            <w:tcBorders>
              <w:top w:val="nil"/>
              <w:left w:val="single" w:color="auto" w:sz="6" w:space="0"/>
              <w:bottom w:val="single" w:color="auto" w:sz="6" w:space="0"/>
              <w:right w:val="single" w:color="auto" w:sz="6" w:space="0"/>
            </w:tcBorders>
            <w:shd w:val="clear" w:color="auto" w:fill="auto"/>
            <w:tcMar>
              <w:top w:w="0" w:type="dxa"/>
              <w:left w:w="75" w:type="dxa"/>
              <w:bottom w:w="0" w:type="dxa"/>
              <w:right w:w="75" w:type="dxa"/>
            </w:tcMar>
            <w:vAlign w:val="center"/>
          </w:tcPr>
          <w:p w14:paraId="5940815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公司管理</w:t>
            </w:r>
          </w:p>
        </w:tc>
        <w:tc>
          <w:tcPr>
            <w:tcW w:w="660" w:type="dxa"/>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46544B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1.公司方人员违反廉洁纪律，为采购人单位人员提供非正常的钱、财、物，一次扣100分。</w:t>
            </w:r>
          </w:p>
        </w:tc>
        <w:tc>
          <w:tcPr>
            <w:tcW w:w="165" w:type="dxa"/>
            <w:vMerge w:val="restart"/>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49EDF9F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r>
      <w:tr w14:paraId="4EB1E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5" w:hRule="atLeast"/>
        </w:trPr>
        <w:tc>
          <w:tcPr>
            <w:tcW w:w="165" w:type="dxa"/>
            <w:vMerge w:val="continue"/>
            <w:tcBorders>
              <w:top w:val="nil"/>
              <w:left w:val="single" w:color="auto" w:sz="6" w:space="0"/>
              <w:bottom w:val="single" w:color="auto" w:sz="6" w:space="0"/>
              <w:right w:val="single" w:color="auto" w:sz="6" w:space="0"/>
            </w:tcBorders>
            <w:shd w:val="clear" w:color="auto" w:fill="auto"/>
            <w:tcMar>
              <w:top w:w="0" w:type="dxa"/>
              <w:left w:w="75" w:type="dxa"/>
              <w:bottom w:w="0" w:type="dxa"/>
              <w:right w:w="75" w:type="dxa"/>
            </w:tcMar>
            <w:vAlign w:val="center"/>
          </w:tcPr>
          <w:p w14:paraId="0CF636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660" w:type="dxa"/>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4F98435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2.公司接到投诉处理不及时，每次10分。</w:t>
            </w:r>
          </w:p>
        </w:tc>
        <w:tc>
          <w:tcPr>
            <w:tcW w:w="165" w:type="dxa"/>
            <w:vMerge w:val="continue"/>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6B0DFF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r>
      <w:tr w14:paraId="6BF80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0" w:hRule="atLeast"/>
        </w:trPr>
        <w:tc>
          <w:tcPr>
            <w:tcW w:w="165" w:type="dxa"/>
            <w:vMerge w:val="continue"/>
            <w:tcBorders>
              <w:top w:val="nil"/>
              <w:left w:val="single" w:color="auto" w:sz="6" w:space="0"/>
              <w:bottom w:val="single" w:color="auto" w:sz="6" w:space="0"/>
              <w:right w:val="single" w:color="auto" w:sz="6" w:space="0"/>
            </w:tcBorders>
            <w:shd w:val="clear" w:color="auto" w:fill="auto"/>
            <w:tcMar>
              <w:top w:w="0" w:type="dxa"/>
              <w:left w:w="75" w:type="dxa"/>
              <w:bottom w:w="0" w:type="dxa"/>
              <w:right w:w="75" w:type="dxa"/>
            </w:tcMar>
            <w:vAlign w:val="center"/>
          </w:tcPr>
          <w:p w14:paraId="570E852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660" w:type="dxa"/>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647566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3.公司在交通服务出现状况，应急处置不及时、不到位，每次扣5分。</w:t>
            </w:r>
          </w:p>
        </w:tc>
        <w:tc>
          <w:tcPr>
            <w:tcW w:w="165" w:type="dxa"/>
            <w:vMerge w:val="continue"/>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66613D2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r>
      <w:tr w14:paraId="37579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0" w:hRule="atLeast"/>
        </w:trPr>
        <w:tc>
          <w:tcPr>
            <w:tcW w:w="165" w:type="dxa"/>
            <w:vMerge w:val="restart"/>
            <w:tcBorders>
              <w:top w:val="nil"/>
              <w:left w:val="single" w:color="auto" w:sz="6" w:space="0"/>
              <w:bottom w:val="single" w:color="auto" w:sz="6" w:space="0"/>
              <w:right w:val="single" w:color="auto" w:sz="6" w:space="0"/>
            </w:tcBorders>
            <w:shd w:val="clear" w:color="auto" w:fill="auto"/>
            <w:tcMar>
              <w:top w:w="0" w:type="dxa"/>
              <w:left w:w="75" w:type="dxa"/>
              <w:bottom w:w="0" w:type="dxa"/>
              <w:right w:w="75" w:type="dxa"/>
            </w:tcMar>
            <w:vAlign w:val="center"/>
          </w:tcPr>
          <w:p w14:paraId="3A3AD4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安全措施</w:t>
            </w:r>
          </w:p>
        </w:tc>
        <w:tc>
          <w:tcPr>
            <w:tcW w:w="660" w:type="dxa"/>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2C9383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1.驾驶人员出现酒驾、毒驾操作，视作不合格服务，采购人直接终止合同，每次扣100分。</w:t>
            </w:r>
          </w:p>
        </w:tc>
        <w:tc>
          <w:tcPr>
            <w:tcW w:w="165" w:type="dxa"/>
            <w:vMerge w:val="restart"/>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3D376A1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r>
      <w:tr w14:paraId="2FF3F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0" w:hRule="atLeast"/>
        </w:trPr>
        <w:tc>
          <w:tcPr>
            <w:tcW w:w="165" w:type="dxa"/>
            <w:vMerge w:val="continue"/>
            <w:tcBorders>
              <w:top w:val="nil"/>
              <w:left w:val="single" w:color="auto" w:sz="6" w:space="0"/>
              <w:bottom w:val="single" w:color="auto" w:sz="6" w:space="0"/>
              <w:right w:val="single" w:color="auto" w:sz="6" w:space="0"/>
            </w:tcBorders>
            <w:shd w:val="clear" w:color="auto" w:fill="auto"/>
            <w:tcMar>
              <w:top w:w="0" w:type="dxa"/>
              <w:left w:w="75" w:type="dxa"/>
              <w:bottom w:w="0" w:type="dxa"/>
              <w:right w:w="75" w:type="dxa"/>
            </w:tcMar>
            <w:vAlign w:val="center"/>
          </w:tcPr>
          <w:p w14:paraId="0ABEB8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c>
          <w:tcPr>
            <w:tcW w:w="660" w:type="dxa"/>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49D4B5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2.出现交通事故，交管部门认定次要责任每次扣10分，交管部门认定主要责任每次扣50分，交管部门认定全责任每次扣100分</w:t>
            </w:r>
          </w:p>
        </w:tc>
        <w:tc>
          <w:tcPr>
            <w:tcW w:w="165" w:type="dxa"/>
            <w:vMerge w:val="continue"/>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1A3868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65F87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0" w:hRule="atLeast"/>
        </w:trPr>
        <w:tc>
          <w:tcPr>
            <w:tcW w:w="165" w:type="dxa"/>
            <w:vMerge w:val="continue"/>
            <w:tcBorders>
              <w:top w:val="nil"/>
              <w:left w:val="single" w:color="auto" w:sz="6" w:space="0"/>
              <w:bottom w:val="single" w:color="auto" w:sz="6" w:space="0"/>
              <w:right w:val="single" w:color="auto" w:sz="6" w:space="0"/>
            </w:tcBorders>
            <w:shd w:val="clear" w:color="auto" w:fill="auto"/>
            <w:tcMar>
              <w:top w:w="0" w:type="dxa"/>
              <w:left w:w="75" w:type="dxa"/>
              <w:bottom w:w="0" w:type="dxa"/>
              <w:right w:w="75" w:type="dxa"/>
            </w:tcMar>
            <w:vAlign w:val="center"/>
          </w:tcPr>
          <w:p w14:paraId="2FC2DC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c>
          <w:tcPr>
            <w:tcW w:w="660" w:type="dxa"/>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4B394D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3.车辆配置的消防设施不全或无法正常使用，每次扣5分。</w:t>
            </w:r>
          </w:p>
        </w:tc>
        <w:tc>
          <w:tcPr>
            <w:tcW w:w="165" w:type="dxa"/>
            <w:vMerge w:val="continue"/>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78264D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291B8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40" w:hRule="atLeast"/>
        </w:trPr>
        <w:tc>
          <w:tcPr>
            <w:tcW w:w="165" w:type="dxa"/>
            <w:vMerge w:val="restart"/>
            <w:tcBorders>
              <w:top w:val="nil"/>
              <w:left w:val="single" w:color="auto" w:sz="6" w:space="0"/>
              <w:bottom w:val="single" w:color="auto" w:sz="6" w:space="0"/>
              <w:right w:val="single" w:color="auto" w:sz="6" w:space="0"/>
            </w:tcBorders>
            <w:shd w:val="clear" w:color="auto" w:fill="auto"/>
            <w:tcMar>
              <w:top w:w="0" w:type="dxa"/>
              <w:left w:w="75" w:type="dxa"/>
              <w:bottom w:w="0" w:type="dxa"/>
              <w:right w:w="75" w:type="dxa"/>
            </w:tcMar>
            <w:vAlign w:val="center"/>
          </w:tcPr>
          <w:p w14:paraId="33D2647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车辆状况</w:t>
            </w:r>
          </w:p>
        </w:tc>
        <w:tc>
          <w:tcPr>
            <w:tcW w:w="660" w:type="dxa"/>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4494FC1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1.车辆载客量、车辆年限与合同要求不符，每次扣20分。</w:t>
            </w:r>
          </w:p>
        </w:tc>
        <w:tc>
          <w:tcPr>
            <w:tcW w:w="165" w:type="dxa"/>
            <w:vMerge w:val="restart"/>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2E70E0A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r>
      <w:tr w14:paraId="335FD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0" w:hRule="atLeast"/>
        </w:trPr>
        <w:tc>
          <w:tcPr>
            <w:tcW w:w="165" w:type="dxa"/>
            <w:vMerge w:val="continue"/>
            <w:tcBorders>
              <w:top w:val="nil"/>
              <w:left w:val="single" w:color="auto" w:sz="6" w:space="0"/>
              <w:bottom w:val="single" w:color="auto" w:sz="6" w:space="0"/>
              <w:right w:val="single" w:color="auto" w:sz="6" w:space="0"/>
            </w:tcBorders>
            <w:shd w:val="clear" w:color="auto" w:fill="auto"/>
            <w:tcMar>
              <w:top w:w="0" w:type="dxa"/>
              <w:left w:w="75" w:type="dxa"/>
              <w:bottom w:w="0" w:type="dxa"/>
              <w:right w:w="75" w:type="dxa"/>
            </w:tcMar>
            <w:vAlign w:val="center"/>
          </w:tcPr>
          <w:p w14:paraId="0B35FDA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660" w:type="dxa"/>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0621A86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2.车辆运行中存在车辆故障不能正常运行，每次扣5分。</w:t>
            </w:r>
          </w:p>
        </w:tc>
        <w:tc>
          <w:tcPr>
            <w:tcW w:w="165" w:type="dxa"/>
            <w:vMerge w:val="continue"/>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5019BB0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r>
      <w:tr w14:paraId="34F7E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0" w:hRule="atLeast"/>
        </w:trPr>
        <w:tc>
          <w:tcPr>
            <w:tcW w:w="165" w:type="dxa"/>
            <w:vMerge w:val="restart"/>
            <w:tcBorders>
              <w:top w:val="nil"/>
              <w:left w:val="single" w:color="auto" w:sz="6" w:space="0"/>
              <w:bottom w:val="single" w:color="auto" w:sz="6" w:space="0"/>
              <w:right w:val="single" w:color="auto" w:sz="6" w:space="0"/>
            </w:tcBorders>
            <w:shd w:val="clear" w:color="auto" w:fill="auto"/>
            <w:tcMar>
              <w:top w:w="0" w:type="dxa"/>
              <w:left w:w="75" w:type="dxa"/>
              <w:bottom w:w="0" w:type="dxa"/>
              <w:right w:w="75" w:type="dxa"/>
            </w:tcMar>
            <w:vAlign w:val="center"/>
          </w:tcPr>
          <w:p w14:paraId="2B4A87A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服务情况</w:t>
            </w:r>
          </w:p>
        </w:tc>
        <w:tc>
          <w:tcPr>
            <w:tcW w:w="660" w:type="dxa"/>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5B4F6B0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1.车辆到位或非采购人原因发车不及时，每延误扣5分。</w:t>
            </w:r>
          </w:p>
        </w:tc>
        <w:tc>
          <w:tcPr>
            <w:tcW w:w="165" w:type="dxa"/>
            <w:vMerge w:val="restart"/>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1EE0A5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r>
      <w:tr w14:paraId="5F14F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5" w:hRule="atLeast"/>
        </w:trPr>
        <w:tc>
          <w:tcPr>
            <w:tcW w:w="165" w:type="dxa"/>
            <w:vMerge w:val="continue"/>
            <w:tcBorders>
              <w:top w:val="nil"/>
              <w:left w:val="single" w:color="auto" w:sz="6" w:space="0"/>
              <w:bottom w:val="single" w:color="auto" w:sz="6" w:space="0"/>
              <w:right w:val="single" w:color="auto" w:sz="6" w:space="0"/>
            </w:tcBorders>
            <w:shd w:val="clear" w:color="auto" w:fill="auto"/>
            <w:tcMar>
              <w:top w:w="0" w:type="dxa"/>
              <w:left w:w="75" w:type="dxa"/>
              <w:bottom w:w="0" w:type="dxa"/>
              <w:right w:w="75" w:type="dxa"/>
            </w:tcMar>
            <w:vAlign w:val="center"/>
          </w:tcPr>
          <w:p w14:paraId="616867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c>
          <w:tcPr>
            <w:tcW w:w="660" w:type="dxa"/>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69BB52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2.驾驶人员仪容着装不整洁 每次扣2分。</w:t>
            </w:r>
          </w:p>
        </w:tc>
        <w:tc>
          <w:tcPr>
            <w:tcW w:w="165" w:type="dxa"/>
            <w:vMerge w:val="continue"/>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492D85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5716E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0" w:hRule="atLeast"/>
        </w:trPr>
        <w:tc>
          <w:tcPr>
            <w:tcW w:w="165" w:type="dxa"/>
            <w:vMerge w:val="continue"/>
            <w:tcBorders>
              <w:top w:val="nil"/>
              <w:left w:val="single" w:color="auto" w:sz="6" w:space="0"/>
              <w:bottom w:val="single" w:color="auto" w:sz="6" w:space="0"/>
              <w:right w:val="single" w:color="auto" w:sz="6" w:space="0"/>
            </w:tcBorders>
            <w:shd w:val="clear" w:color="auto" w:fill="auto"/>
            <w:tcMar>
              <w:top w:w="0" w:type="dxa"/>
              <w:left w:w="75" w:type="dxa"/>
              <w:bottom w:w="0" w:type="dxa"/>
              <w:right w:w="75" w:type="dxa"/>
            </w:tcMar>
            <w:vAlign w:val="center"/>
          </w:tcPr>
          <w:p w14:paraId="41FD03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c>
          <w:tcPr>
            <w:tcW w:w="660" w:type="dxa"/>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05DAB6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3.驾驶人员服务态度差，与采购人单位人员发生冲突，每次扣10分。</w:t>
            </w:r>
          </w:p>
        </w:tc>
        <w:tc>
          <w:tcPr>
            <w:tcW w:w="165" w:type="dxa"/>
            <w:vMerge w:val="continue"/>
            <w:tcBorders>
              <w:top w:val="nil"/>
              <w:left w:val="nil"/>
              <w:bottom w:val="single" w:color="auto" w:sz="6" w:space="0"/>
              <w:right w:val="single" w:color="auto" w:sz="6" w:space="0"/>
            </w:tcBorders>
            <w:shd w:val="clear" w:color="auto" w:fill="auto"/>
            <w:tcMar>
              <w:top w:w="0" w:type="dxa"/>
              <w:left w:w="75" w:type="dxa"/>
              <w:bottom w:w="0" w:type="dxa"/>
              <w:right w:w="75" w:type="dxa"/>
            </w:tcMar>
            <w:vAlign w:val="center"/>
          </w:tcPr>
          <w:p w14:paraId="3D7E89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tc>
      </w:tr>
      <w:tr w14:paraId="16850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1005" w:type="dxa"/>
            <w:gridSpan w:val="3"/>
            <w:tcBorders>
              <w:top w:val="nil"/>
              <w:left w:val="single" w:color="auto" w:sz="6" w:space="0"/>
              <w:bottom w:val="single" w:color="auto" w:sz="6" w:space="0"/>
              <w:right w:val="single" w:color="auto" w:sz="6" w:space="0"/>
            </w:tcBorders>
            <w:shd w:val="clear" w:color="auto" w:fill="auto"/>
            <w:tcMar>
              <w:top w:w="0" w:type="dxa"/>
              <w:left w:w="75" w:type="dxa"/>
              <w:bottom w:w="0" w:type="dxa"/>
              <w:right w:w="75" w:type="dxa"/>
            </w:tcMar>
            <w:vAlign w:val="center"/>
          </w:tcPr>
          <w:p w14:paraId="3ACC25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合计得分：</w:t>
            </w:r>
          </w:p>
        </w:tc>
      </w:tr>
    </w:tbl>
    <w:p w14:paraId="5810D94A">
      <w:pPr>
        <w:pStyle w:val="16"/>
        <w:keepNext w:val="0"/>
        <w:keepLines w:val="0"/>
        <w:pageBreakBefore w:val="0"/>
        <w:numPr>
          <w:ilvl w:val="0"/>
          <w:numId w:val="0"/>
        </w:numPr>
        <w:kinsoku/>
        <w:wordWrap/>
        <w:overflowPunct/>
        <w:topLinePunct w:val="0"/>
        <w:autoSpaceDN/>
        <w:bidi w:val="0"/>
        <w:adjustRightInd/>
        <w:spacing w:line="360" w:lineRule="auto"/>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w:t>
      </w:r>
      <w:r>
        <w:rPr>
          <w:rFonts w:hint="eastAsia" w:ascii="仿宋" w:hAnsi="仿宋" w:eastAsia="仿宋" w:cs="仿宋"/>
          <w:color w:val="0D0D0D"/>
          <w:kern w:val="2"/>
          <w:sz w:val="24"/>
          <w:szCs w:val="24"/>
        </w:rPr>
        <w:t>★</w:t>
      </w:r>
      <w:r>
        <w:rPr>
          <w:rFonts w:hint="eastAsia" w:ascii="仿宋" w:hAnsi="仿宋" w:eastAsia="仿宋" w:cs="仿宋"/>
          <w:b/>
          <w:bCs/>
          <w:sz w:val="24"/>
          <w:szCs w:val="24"/>
        </w:rPr>
        <w:t>商务要求：</w:t>
      </w:r>
    </w:p>
    <w:p w14:paraId="36352585">
      <w:pPr>
        <w:pStyle w:val="16"/>
        <w:keepNext w:val="0"/>
        <w:keepLines w:val="0"/>
        <w:pageBreakBefore w:val="0"/>
        <w:numPr>
          <w:ilvl w:val="0"/>
          <w:numId w:val="12"/>
        </w:numPr>
        <w:kinsoku/>
        <w:wordWrap/>
        <w:overflowPunct/>
        <w:topLinePunct w:val="0"/>
        <w:autoSpaceDN/>
        <w:bidi w:val="0"/>
        <w:adjustRightInd/>
        <w:spacing w:line="36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付</w:t>
      </w:r>
      <w:r>
        <w:rPr>
          <w:rFonts w:hint="eastAsia" w:ascii="仿宋" w:hAnsi="仿宋" w:eastAsia="仿宋" w:cs="仿宋"/>
          <w:color w:val="0D0D0D"/>
          <w:kern w:val="2"/>
          <w:sz w:val="24"/>
          <w:szCs w:val="24"/>
          <w:lang w:val="en-US" w:eastAsia="zh-CN"/>
        </w:rPr>
        <w:t>款方式：按实结算：每月结算一次费用，供应商须根据本项目成交单价及实际服务情况向采购人提供结算费用清单进行确认，并在确认后5日内按清单金额向采购人提供合法有效票据及其他相关请款资料，采购人接到上述票据及资料后的55日内，向供应商全额支付上述结算费用。如存在因考核等原因导致的扣款，应在支付前予以扣除。</w:t>
      </w:r>
    </w:p>
    <w:p w14:paraId="50104D01">
      <w:pPr>
        <w:pStyle w:val="16"/>
        <w:keepNext w:val="0"/>
        <w:keepLines w:val="0"/>
        <w:pageBreakBefore w:val="0"/>
        <w:numPr>
          <w:ilvl w:val="0"/>
          <w:numId w:val="12"/>
        </w:numPr>
        <w:kinsoku/>
        <w:wordWrap/>
        <w:overflowPunct/>
        <w:topLinePunct w:val="0"/>
        <w:autoSpaceDN/>
        <w:bidi w:val="0"/>
        <w:adjustRightInd/>
        <w:spacing w:line="36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color w:val="0D0D0D"/>
          <w:kern w:val="2"/>
          <w:sz w:val="24"/>
          <w:szCs w:val="24"/>
          <w:highlight w:val="none"/>
          <w:lang w:val="en-US" w:eastAsia="zh-CN"/>
        </w:rPr>
        <w:t>服务地点：四川省人民医院（包括不限于青羊院区、龙泉院区、温江院区）</w:t>
      </w:r>
    </w:p>
    <w:p w14:paraId="2EA52BE2">
      <w:pPr>
        <w:pStyle w:val="16"/>
        <w:keepNext w:val="0"/>
        <w:keepLines w:val="0"/>
        <w:pageBreakBefore w:val="0"/>
        <w:numPr>
          <w:ilvl w:val="0"/>
          <w:numId w:val="12"/>
        </w:numPr>
        <w:kinsoku/>
        <w:wordWrap/>
        <w:overflowPunct/>
        <w:topLinePunct w:val="0"/>
        <w:autoSpaceDN/>
        <w:bidi w:val="0"/>
        <w:adjustRightInd/>
        <w:spacing w:line="360" w:lineRule="auto"/>
        <w:ind w:left="425" w:leftChars="0" w:hanging="425" w:firstLineChars="0"/>
        <w:textAlignment w:val="auto"/>
        <w:rPr>
          <w:rFonts w:hint="eastAsia" w:ascii="仿宋" w:hAnsi="仿宋" w:eastAsia="仿宋" w:cs="新宋体"/>
          <w:color w:val="000000" w:themeColor="text1"/>
          <w:sz w:val="24"/>
          <w:szCs w:val="24"/>
          <w14:textFill>
            <w14:solidFill>
              <w14:schemeClr w14:val="tx1"/>
            </w14:solidFill>
          </w14:textFill>
        </w:rPr>
      </w:pPr>
      <w:r>
        <w:rPr>
          <w:rFonts w:hint="eastAsia" w:ascii="仿宋" w:hAnsi="仿宋" w:eastAsia="仿宋" w:cs="仿宋"/>
          <w:color w:val="0D0D0D"/>
          <w:kern w:val="2"/>
          <w:sz w:val="24"/>
          <w:szCs w:val="24"/>
          <w:lang w:val="en-US" w:eastAsia="zh-CN"/>
        </w:rPr>
        <w:t>服务期限：</w:t>
      </w:r>
      <w:r>
        <w:rPr>
          <w:rFonts w:hint="eastAsia" w:ascii="仿宋" w:hAnsi="仿宋" w:eastAsia="仿宋" w:cs="新宋体"/>
          <w:color w:val="000000" w:themeColor="text1"/>
          <w:sz w:val="24"/>
          <w:szCs w:val="24"/>
          <w:lang w:val="en-US" w:eastAsia="zh-CN"/>
          <w14:textFill>
            <w14:solidFill>
              <w14:schemeClr w14:val="tx1"/>
            </w14:solidFill>
          </w14:textFill>
        </w:rPr>
        <w:t>2026 年6月1日至 2026年7月31日（由于本项目属于应急保障类服务，如出现应急工作调整、任务完成或政策变化等影响采购人服务需求的情形，采购人可提前书面通知供应商终止本项目服务，服务期终止时间则以采购人正式书面通知为准，并按实际服务时间及服务情况据实结算费用。）</w:t>
      </w:r>
      <w:r>
        <w:rPr>
          <w:rFonts w:hint="eastAsia" w:ascii="仿宋" w:hAnsi="仿宋" w:eastAsia="仿宋" w:cs="新宋体"/>
          <w:i w:val="0"/>
          <w:iCs w:val="0"/>
          <w:caps w:val="0"/>
          <w:color w:val="000000" w:themeColor="text1"/>
          <w:spacing w:val="0"/>
          <w:sz w:val="24"/>
          <w:szCs w:val="24"/>
          <w:shd w:val="clear"/>
          <w14:textFill>
            <w14:solidFill>
              <w14:schemeClr w14:val="tx1"/>
            </w14:solidFill>
          </w14:textFill>
        </w:rPr>
        <w:t>若届时合同签订生效时间晚于2026年6月1日，则以前者作为服务期起始时间。</w:t>
      </w:r>
    </w:p>
    <w:p w14:paraId="30945A2B">
      <w:pPr>
        <w:pStyle w:val="16"/>
        <w:keepNext w:val="0"/>
        <w:keepLines w:val="0"/>
        <w:pageBreakBefore w:val="0"/>
        <w:numPr>
          <w:ilvl w:val="0"/>
          <w:numId w:val="12"/>
        </w:numPr>
        <w:kinsoku/>
        <w:wordWrap/>
        <w:overflowPunct/>
        <w:topLinePunct w:val="0"/>
        <w:autoSpaceDN/>
        <w:bidi w:val="0"/>
        <w:adjustRightInd/>
        <w:spacing w:line="36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验收方案：</w:t>
      </w:r>
    </w:p>
    <w:p w14:paraId="547CE88D">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(1)验收时间：</w:t>
      </w:r>
      <w:r>
        <w:rPr>
          <w:rFonts w:hint="eastAsia" w:ascii="仿宋" w:hAnsi="仿宋" w:eastAsia="仿宋" w:cs="仿宋"/>
          <w:color w:val="0D0D0D"/>
          <w:kern w:val="2"/>
          <w:sz w:val="24"/>
          <w:szCs w:val="24"/>
          <w:lang w:val="en-US" w:eastAsia="zh-CN"/>
        </w:rPr>
        <w:t>供应商完成每一阶段或轮次服务内容后5日内通知采购人验收，采购人接供应商通知后10日内组织验收。</w:t>
      </w:r>
    </w:p>
    <w:p w14:paraId="23D55B85">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(2)验收主体：采购人；</w:t>
      </w:r>
    </w:p>
    <w:p w14:paraId="64EB06E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(3)验收方式：现场整体验收；</w:t>
      </w:r>
    </w:p>
    <w:p w14:paraId="60D9DFC2">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(4)验收程序：</w:t>
      </w:r>
      <w:r>
        <w:rPr>
          <w:rFonts w:hint="eastAsia" w:ascii="仿宋" w:hAnsi="仿宋" w:eastAsia="仿宋" w:cs="仿宋"/>
          <w:color w:val="0D0D0D"/>
          <w:kern w:val="2"/>
          <w:sz w:val="24"/>
          <w:szCs w:val="24"/>
          <w:lang w:val="en-US" w:eastAsia="zh-CN"/>
        </w:rPr>
        <w:t>分期/分段验收</w:t>
      </w:r>
      <w:r>
        <w:rPr>
          <w:rFonts w:hint="eastAsia" w:ascii="仿宋" w:hAnsi="仿宋" w:eastAsia="仿宋" w:cs="仿宋"/>
          <w:color w:val="0D0D0D"/>
          <w:kern w:val="2"/>
          <w:sz w:val="24"/>
          <w:szCs w:val="24"/>
          <w:lang w:eastAsia="zh-CN"/>
        </w:rPr>
        <w:t>；</w:t>
      </w:r>
    </w:p>
    <w:p w14:paraId="6D1EF9C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(5)验收内容:</w:t>
      </w:r>
      <w:r>
        <w:rPr>
          <w:rFonts w:hint="eastAsia" w:ascii="仿宋" w:hAnsi="仿宋" w:eastAsia="仿宋" w:cs="仿宋"/>
          <w:color w:val="0D0D0D"/>
          <w:kern w:val="2"/>
          <w:sz w:val="24"/>
          <w:szCs w:val="24"/>
          <w:lang w:val="en-US" w:eastAsia="zh-CN"/>
        </w:rPr>
        <w:t>按照基于本项目采购需求编制的采购文件要求及供应商响应文件情况，由供应商向采购人提供的每阶段或轮次的全部服务</w:t>
      </w:r>
      <w:r>
        <w:rPr>
          <w:rFonts w:hint="eastAsia" w:ascii="仿宋" w:hAnsi="仿宋" w:eastAsia="仿宋" w:cs="仿宋"/>
          <w:color w:val="0D0D0D"/>
          <w:kern w:val="2"/>
          <w:sz w:val="24"/>
          <w:szCs w:val="24"/>
          <w:lang w:eastAsia="zh-CN"/>
        </w:rPr>
        <w:t>；</w:t>
      </w:r>
    </w:p>
    <w:p w14:paraId="4BC1A22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(6)验收组织方式：自行验收；</w:t>
      </w:r>
    </w:p>
    <w:p w14:paraId="2EBF2DD6">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(7)是否邀请本项目的其它供应商:否;</w:t>
      </w:r>
    </w:p>
    <w:p w14:paraId="143FCA27">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(8)是否邀请专家：否；</w:t>
      </w:r>
    </w:p>
    <w:p w14:paraId="414829DF">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(9)是否邀请服务对象：否；</w:t>
      </w:r>
    </w:p>
    <w:p w14:paraId="4579CB89">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(10)是否邀请第三方检测机构:否</w:t>
      </w:r>
    </w:p>
    <w:p w14:paraId="383818C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(11)验收标准：</w:t>
      </w:r>
    </w:p>
    <w:p w14:paraId="3BC0449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1)国家相关法律法规、行业标准、技术规范。</w:t>
      </w:r>
    </w:p>
    <w:p w14:paraId="0FD9D2FA">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2)基于本项目采购需求编制的采购文件相关技术、服务要求、供应商响应文件相关响应内容。</w:t>
      </w:r>
    </w:p>
    <w:p w14:paraId="6CCE253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3)产品生产厂家出具的产品说明书、技术白皮书、医疗器械注册证或备案凭证等官方技术资料（如涉及）。</w:t>
      </w:r>
    </w:p>
    <w:p w14:paraId="302DC536">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4)如验收时，采购人与供应商认为本项目验收标准中的技术指标、质量要求等内容存在相互抵触或对其理解存在异议，应按照其中更严格的要求、标准等进行验收。</w:t>
      </w:r>
    </w:p>
    <w:p w14:paraId="2DE468A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5).按照《财政部关于进一步加强政府采购需求和履约验收管理的指导意见》（财库〔2016〕205号）的要求进行验收。（如本项目不涉及政府采购，将参照此条款）。</w:t>
      </w:r>
    </w:p>
    <w:p w14:paraId="51F5B485">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b/>
          <w:bCs/>
          <w:sz w:val="24"/>
          <w:szCs w:val="24"/>
        </w:rPr>
      </w:pPr>
      <w:r>
        <w:rPr>
          <w:rFonts w:hint="eastAsia" w:ascii="仿宋" w:hAnsi="仿宋" w:eastAsia="仿宋" w:cs="仿宋"/>
          <w:color w:val="0D0D0D"/>
          <w:kern w:val="2"/>
          <w:sz w:val="24"/>
          <w:szCs w:val="24"/>
          <w:lang w:eastAsia="zh-CN"/>
        </w:rPr>
        <w:t>6)如本项目验收方式为考核验收，则考核结果须为合格。</w:t>
      </w:r>
    </w:p>
    <w:p w14:paraId="77AF0BD2">
      <w:pPr>
        <w:pStyle w:val="16"/>
        <w:keepNext w:val="0"/>
        <w:keepLines w:val="0"/>
        <w:pageBreakBefore w:val="0"/>
        <w:numPr>
          <w:ilvl w:val="0"/>
          <w:numId w:val="0"/>
        </w:numPr>
        <w:kinsoku/>
        <w:wordWrap/>
        <w:overflowPunct/>
        <w:topLinePunct w:val="0"/>
        <w:autoSpaceDN/>
        <w:bidi w:val="0"/>
        <w:adjustRightInd/>
        <w:spacing w:line="360" w:lineRule="auto"/>
        <w:textAlignment w:val="auto"/>
        <w:rPr>
          <w:rFonts w:hint="eastAsia" w:ascii="仿宋" w:hAnsi="仿宋" w:eastAsia="仿宋" w:cs="仿宋"/>
          <w:sz w:val="24"/>
          <w:szCs w:val="24"/>
        </w:rPr>
      </w:pPr>
      <w:r>
        <w:rPr>
          <w:rFonts w:hint="eastAsia" w:ascii="仿宋" w:hAnsi="仿宋" w:eastAsia="仿宋" w:cs="仿宋"/>
          <w:b/>
          <w:bCs/>
          <w:sz w:val="24"/>
          <w:szCs w:val="24"/>
        </w:rPr>
        <w:t>四、</w:t>
      </w:r>
      <w:r>
        <w:rPr>
          <w:rFonts w:hint="eastAsia" w:ascii="仿宋" w:hAnsi="仿宋" w:eastAsia="仿宋" w:cs="仿宋"/>
          <w:b/>
          <w:bCs/>
          <w:sz w:val="24"/>
          <w:szCs w:val="24"/>
          <w:lang w:val="en-US" w:eastAsia="zh-CN"/>
        </w:rPr>
        <w:t>其他要求：</w:t>
      </w:r>
    </w:p>
    <w:p w14:paraId="1320248D">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rPr>
        <w:t>1、</w:t>
      </w:r>
      <w:r>
        <w:rPr>
          <w:rFonts w:hint="eastAsia" w:ascii="仿宋" w:hAnsi="仿宋" w:eastAsia="仿宋" w:cs="仿宋"/>
          <w:kern w:val="2"/>
          <w:sz w:val="24"/>
          <w:szCs w:val="24"/>
        </w:rPr>
        <w:t>根据供应商需提供服务方案进行评审：包括但不限于：①车辆响应方案；②车辆维修、检查方案；③车辆保养方案；④突发事件应急方案（至少含交通事故、自然灾害、临时道路管控）；⑤投诉处理方案；⑥车辆卫生服务方案；⑦车辆性能质量保障方案；⑧驾驶员服务方案；⑨驾驶员安全培训方案；⑩安全保障措施。</w:t>
      </w:r>
    </w:p>
    <w:p w14:paraId="4129A8F3">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pPr>
      <w:r>
        <w:rPr>
          <w:rFonts w:hint="eastAsia" w:ascii="仿宋" w:hAnsi="仿宋" w:eastAsia="仿宋" w:cs="仿宋"/>
          <w:kern w:val="2"/>
          <w:sz w:val="24"/>
          <w:szCs w:val="24"/>
          <w:lang w:val="en-US" w:eastAsia="zh-CN"/>
        </w:rPr>
        <w:t>2、</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bCs/>
          <w:color w:val="auto"/>
          <w:kern w:val="0"/>
          <w:sz w:val="24"/>
          <w:szCs w:val="24"/>
          <w:highlight w:val="none"/>
        </w:rPr>
        <w:t>提供20</w:t>
      </w:r>
      <w:r>
        <w:rPr>
          <w:rFonts w:hint="eastAsia" w:ascii="仿宋" w:hAnsi="仿宋" w:eastAsia="仿宋" w:cs="仿宋"/>
          <w:bCs/>
          <w:color w:val="auto"/>
          <w:kern w:val="0"/>
          <w:sz w:val="24"/>
          <w:szCs w:val="24"/>
          <w:highlight w:val="none"/>
          <w:lang w:val="en-US" w:eastAsia="zh-CN"/>
        </w:rPr>
        <w:t>23</w:t>
      </w:r>
      <w:r>
        <w:rPr>
          <w:rFonts w:hint="eastAsia" w:ascii="仿宋" w:hAnsi="仿宋" w:eastAsia="仿宋" w:cs="仿宋"/>
          <w:bCs/>
          <w:color w:val="auto"/>
          <w:kern w:val="0"/>
          <w:sz w:val="24"/>
          <w:szCs w:val="24"/>
          <w:highlight w:val="none"/>
        </w:rPr>
        <w:t>年1月1日</w:t>
      </w:r>
      <w:r>
        <w:rPr>
          <w:rFonts w:hint="eastAsia" w:ascii="仿宋" w:hAnsi="仿宋" w:eastAsia="仿宋" w:cs="仿宋"/>
          <w:color w:val="auto"/>
          <w:sz w:val="24"/>
          <w:szCs w:val="24"/>
          <w:highlight w:val="none"/>
          <w:lang w:val="en-US" w:eastAsia="zh-CN"/>
        </w:rPr>
        <w:t>（含1日）</w:t>
      </w:r>
      <w:r>
        <w:rPr>
          <w:rFonts w:hint="eastAsia" w:ascii="仿宋" w:hAnsi="仿宋" w:eastAsia="仿宋" w:cs="仿宋"/>
          <w:bCs/>
          <w:color w:val="auto"/>
          <w:kern w:val="0"/>
          <w:sz w:val="24"/>
          <w:szCs w:val="24"/>
          <w:highlight w:val="none"/>
        </w:rPr>
        <w:t>至</w:t>
      </w:r>
      <w:r>
        <w:rPr>
          <w:rFonts w:hint="eastAsia" w:ascii="仿宋" w:hAnsi="仿宋" w:eastAsia="仿宋" w:cs="仿宋"/>
          <w:bCs/>
          <w:color w:val="auto"/>
          <w:kern w:val="0"/>
          <w:sz w:val="24"/>
          <w:szCs w:val="24"/>
          <w:highlight w:val="none"/>
          <w:lang w:eastAsia="zh-CN"/>
        </w:rPr>
        <w:t>提交响应文件</w:t>
      </w:r>
      <w:r>
        <w:rPr>
          <w:rFonts w:hint="eastAsia" w:ascii="仿宋" w:hAnsi="仿宋" w:eastAsia="仿宋" w:cs="仿宋"/>
          <w:bCs/>
          <w:color w:val="auto"/>
          <w:kern w:val="0"/>
          <w:sz w:val="24"/>
          <w:szCs w:val="24"/>
          <w:highlight w:val="none"/>
        </w:rPr>
        <w:t>截止日的类似业绩</w:t>
      </w:r>
      <w:r>
        <w:rPr>
          <w:rFonts w:hint="eastAsia" w:ascii="仿宋" w:hAnsi="仿宋" w:eastAsia="仿宋" w:cs="仿宋"/>
          <w:bCs/>
          <w:color w:val="auto"/>
          <w:kern w:val="0"/>
          <w:sz w:val="24"/>
          <w:szCs w:val="24"/>
          <w:highlight w:val="none"/>
          <w:lang w:eastAsia="zh-CN"/>
        </w:rPr>
        <w:t>（类似业绩是指车辆</w:t>
      </w:r>
      <w:r>
        <w:rPr>
          <w:rFonts w:hint="eastAsia" w:ascii="仿宋" w:hAnsi="仿宋" w:eastAsia="仿宋" w:cs="仿宋"/>
          <w:bCs/>
          <w:color w:val="auto"/>
          <w:kern w:val="0"/>
          <w:sz w:val="24"/>
          <w:szCs w:val="24"/>
          <w:highlight w:val="none"/>
          <w:lang w:val="en-US" w:eastAsia="zh-CN"/>
        </w:rPr>
        <w:t>包车服务</w:t>
      </w:r>
      <w:r>
        <w:rPr>
          <w:rFonts w:hint="eastAsia" w:ascii="仿宋" w:hAnsi="仿宋" w:eastAsia="仿宋" w:cs="仿宋"/>
          <w:bCs/>
          <w:color w:val="auto"/>
          <w:kern w:val="0"/>
          <w:sz w:val="24"/>
          <w:szCs w:val="24"/>
          <w:highlight w:val="none"/>
          <w:lang w:eastAsia="zh-CN"/>
        </w:rPr>
        <w:t>类）。</w:t>
      </w:r>
    </w:p>
    <w:p w14:paraId="09179552">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3、供应商为本项目配备2人管理团队。</w:t>
      </w:r>
    </w:p>
    <w:p w14:paraId="64C855E7">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eastAsia="FangSong_GB2312"/>
          <w:lang w:val="en-US" w:eastAsia="zh-CN"/>
        </w:rPr>
      </w:pPr>
      <w:r>
        <w:rPr>
          <w:rFonts w:hint="eastAsia" w:ascii="仿宋" w:hAnsi="仿宋" w:eastAsia="仿宋" w:cs="仿宋"/>
          <w:kern w:val="2"/>
          <w:sz w:val="24"/>
          <w:szCs w:val="24"/>
          <w:lang w:val="en-US" w:eastAsia="zh-CN"/>
        </w:rPr>
        <w:t>4、供应商在满足本项目基本驾驶员数量要求的前提下，配备A1驾龄在6（含）-10（含）年的驾驶员与A1驾龄在11（含）年及以上的驾驶员</w:t>
      </w:r>
      <w:r>
        <w:rPr>
          <w:rFonts w:hint="eastAsia" w:ascii="仿宋" w:hAnsi="仿宋" w:eastAsia="仿宋" w:cs="仿宋"/>
          <w:color w:val="auto"/>
          <w:kern w:val="2"/>
          <w:sz w:val="24"/>
          <w:szCs w:val="24"/>
          <w:lang w:val="en-US" w:eastAsia="zh-CN"/>
        </w:rPr>
        <w:t>，</w:t>
      </w:r>
      <w:r>
        <w:rPr>
          <w:rFonts w:hint="eastAsia" w:ascii="仿宋" w:hAnsi="仿宋" w:eastAsia="仿宋" w:cs="仿宋"/>
          <w:bCs/>
          <w:color w:val="auto"/>
          <w:kern w:val="0"/>
          <w:sz w:val="24"/>
          <w:szCs w:val="24"/>
          <w:highlight w:val="none"/>
        </w:rPr>
        <w:t>上述</w:t>
      </w:r>
      <w:r>
        <w:rPr>
          <w:rFonts w:hint="eastAsia" w:ascii="仿宋" w:hAnsi="仿宋" w:eastAsia="仿宋" w:cs="仿宋"/>
          <w:bCs/>
          <w:color w:val="auto"/>
          <w:kern w:val="0"/>
          <w:sz w:val="24"/>
          <w:szCs w:val="24"/>
          <w:highlight w:val="none"/>
          <w:lang w:val="en-US" w:eastAsia="zh-CN"/>
        </w:rPr>
        <w:t>人员</w:t>
      </w:r>
      <w:r>
        <w:rPr>
          <w:rFonts w:hint="eastAsia" w:ascii="仿宋" w:hAnsi="仿宋" w:eastAsia="仿宋" w:cs="仿宋"/>
          <w:bCs/>
          <w:color w:val="auto"/>
          <w:kern w:val="0"/>
          <w:sz w:val="24"/>
          <w:szCs w:val="24"/>
          <w:highlight w:val="none"/>
        </w:rPr>
        <w:t>须为供应商本单位在职人员。</w:t>
      </w:r>
    </w:p>
    <w:p w14:paraId="4C05DA0B">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rPr>
      </w:pPr>
    </w:p>
    <w:p w14:paraId="4A6A2942">
      <w:pPr>
        <w:pStyle w:val="16"/>
        <w:keepNext w:val="0"/>
        <w:keepLines w:val="0"/>
        <w:pageBreakBefore w:val="0"/>
        <w:kinsoku/>
        <w:wordWrap/>
        <w:overflowPunct/>
        <w:topLinePunct w:val="0"/>
        <w:autoSpaceDN/>
        <w:bidi w:val="0"/>
        <w:adjustRightInd/>
        <w:spacing w:line="360" w:lineRule="auto"/>
        <w:ind w:firstLine="0"/>
        <w:textAlignment w:val="auto"/>
        <w:rPr>
          <w:rFonts w:ascii="Times New Roman" w:hAnsi="Times New Roman" w:eastAsia="仿宋" w:cs="Times New Roman"/>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tbl>
      <w:tblPr>
        <w:tblStyle w:val="18"/>
        <w:tblW w:w="51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500"/>
        <w:gridCol w:w="969"/>
        <w:gridCol w:w="5724"/>
        <w:gridCol w:w="1285"/>
      </w:tblGrid>
      <w:tr w14:paraId="728BB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520C9AC">
            <w:pPr>
              <w:ind w:firstLine="28"/>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序号</w:t>
            </w:r>
          </w:p>
        </w:tc>
        <w:tc>
          <w:tcPr>
            <w:tcW w:w="1500" w:type="dxa"/>
            <w:tcBorders>
              <w:top w:val="single" w:color="auto" w:sz="4" w:space="0"/>
              <w:left w:val="single" w:color="auto" w:sz="4" w:space="0"/>
              <w:bottom w:val="single" w:color="auto" w:sz="4" w:space="0"/>
              <w:right w:val="single" w:color="auto" w:sz="4" w:space="0"/>
            </w:tcBorders>
            <w:vAlign w:val="center"/>
          </w:tcPr>
          <w:p w14:paraId="25E58807">
            <w:pPr>
              <w:ind w:firstLine="28"/>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评审因素</w:t>
            </w:r>
          </w:p>
        </w:tc>
        <w:tc>
          <w:tcPr>
            <w:tcW w:w="969" w:type="dxa"/>
            <w:tcBorders>
              <w:top w:val="single" w:color="auto" w:sz="4" w:space="0"/>
              <w:left w:val="single" w:color="auto" w:sz="4" w:space="0"/>
              <w:bottom w:val="single" w:color="auto" w:sz="4" w:space="0"/>
              <w:right w:val="single" w:color="auto" w:sz="4" w:space="0"/>
            </w:tcBorders>
            <w:vAlign w:val="center"/>
          </w:tcPr>
          <w:p w14:paraId="71A04563">
            <w:pPr>
              <w:ind w:firstLine="28"/>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分值</w:t>
            </w:r>
          </w:p>
        </w:tc>
        <w:tc>
          <w:tcPr>
            <w:tcW w:w="5723" w:type="dxa"/>
            <w:tcBorders>
              <w:top w:val="single" w:color="auto" w:sz="4" w:space="0"/>
              <w:left w:val="single" w:color="auto" w:sz="4" w:space="0"/>
              <w:bottom w:val="single" w:color="auto" w:sz="4" w:space="0"/>
              <w:right w:val="single" w:color="auto" w:sz="4" w:space="0"/>
            </w:tcBorders>
            <w:vAlign w:val="center"/>
          </w:tcPr>
          <w:p w14:paraId="2C92E6CB">
            <w:pPr>
              <w:ind w:firstLine="28"/>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评分标准</w:t>
            </w:r>
          </w:p>
        </w:tc>
        <w:tc>
          <w:tcPr>
            <w:tcW w:w="1285" w:type="dxa"/>
            <w:tcBorders>
              <w:top w:val="single" w:color="auto" w:sz="4" w:space="0"/>
              <w:left w:val="single" w:color="auto" w:sz="4" w:space="0"/>
              <w:bottom w:val="single" w:color="auto" w:sz="4" w:space="0"/>
              <w:right w:val="single" w:color="auto" w:sz="4" w:space="0"/>
            </w:tcBorders>
            <w:vAlign w:val="center"/>
          </w:tcPr>
          <w:p w14:paraId="1AACCEF1">
            <w:pPr>
              <w:jc w:val="center"/>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说明</w:t>
            </w:r>
          </w:p>
        </w:tc>
      </w:tr>
      <w:tr w14:paraId="0E435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598C66C">
            <w:pPr>
              <w:spacing w:line="360" w:lineRule="auto"/>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1</w:t>
            </w:r>
          </w:p>
        </w:tc>
        <w:tc>
          <w:tcPr>
            <w:tcW w:w="1500" w:type="dxa"/>
            <w:tcBorders>
              <w:top w:val="single" w:color="auto" w:sz="4" w:space="0"/>
              <w:left w:val="single" w:color="auto" w:sz="4" w:space="0"/>
              <w:bottom w:val="single" w:color="auto" w:sz="4" w:space="0"/>
              <w:right w:val="single" w:color="auto" w:sz="4" w:space="0"/>
            </w:tcBorders>
            <w:vAlign w:val="center"/>
          </w:tcPr>
          <w:p w14:paraId="0101210A">
            <w:pPr>
              <w:spacing w:line="360" w:lineRule="auto"/>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报价部分</w:t>
            </w:r>
          </w:p>
        </w:tc>
        <w:tc>
          <w:tcPr>
            <w:tcW w:w="969" w:type="dxa"/>
            <w:tcBorders>
              <w:top w:val="single" w:color="auto" w:sz="4" w:space="0"/>
              <w:left w:val="single" w:color="auto" w:sz="4" w:space="0"/>
              <w:bottom w:val="single" w:color="auto" w:sz="4" w:space="0"/>
              <w:right w:val="single" w:color="auto" w:sz="4" w:space="0"/>
            </w:tcBorders>
            <w:vAlign w:val="center"/>
          </w:tcPr>
          <w:p w14:paraId="235D1D3B">
            <w:pPr>
              <w:spacing w:line="360" w:lineRule="auto"/>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15分</w:t>
            </w:r>
          </w:p>
        </w:tc>
        <w:tc>
          <w:tcPr>
            <w:tcW w:w="5723" w:type="dxa"/>
            <w:tcBorders>
              <w:top w:val="single" w:color="auto" w:sz="4" w:space="0"/>
              <w:left w:val="single" w:color="auto" w:sz="4" w:space="0"/>
              <w:bottom w:val="single" w:color="auto" w:sz="4" w:space="0"/>
              <w:right w:val="single" w:color="auto" w:sz="4" w:space="0"/>
            </w:tcBorders>
            <w:vAlign w:val="center"/>
          </w:tcPr>
          <w:p w14:paraId="3C444078">
            <w:pPr>
              <w:pStyle w:val="7"/>
              <w:spacing w:after="156" w:afterLines="50" w:line="360" w:lineRule="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以本次有效</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中</w:t>
            </w:r>
            <w:r>
              <w:rPr>
                <w:rFonts w:hint="eastAsia" w:ascii="仿宋" w:hAnsi="仿宋" w:eastAsia="仿宋" w:cs="仿宋"/>
                <w:color w:val="auto"/>
                <w:sz w:val="24"/>
                <w:szCs w:val="24"/>
                <w:highlight w:val="none"/>
                <w:lang w:val="en-US" w:eastAsia="zh-CN"/>
              </w:rPr>
              <w:t>下浮率最高的</w:t>
            </w:r>
            <w:r>
              <w:rPr>
                <w:rFonts w:hint="eastAsia" w:ascii="仿宋" w:hAnsi="仿宋" w:eastAsia="仿宋" w:cs="仿宋"/>
                <w:color w:val="auto"/>
                <w:sz w:val="24"/>
                <w:szCs w:val="24"/>
                <w:highlight w:val="none"/>
              </w:rPr>
              <w:t>为基准价，其价格分为满分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报价得分=(1-最高报价下浮率）/（1-报价下浮率）*1</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p>
        </w:tc>
        <w:tc>
          <w:tcPr>
            <w:tcW w:w="1285" w:type="dxa"/>
            <w:tcBorders>
              <w:top w:val="single" w:color="auto" w:sz="4" w:space="0"/>
              <w:left w:val="single" w:color="auto" w:sz="4" w:space="0"/>
              <w:bottom w:val="single" w:color="auto" w:sz="4" w:space="0"/>
              <w:right w:val="single" w:color="auto" w:sz="4" w:space="0"/>
            </w:tcBorders>
            <w:vAlign w:val="center"/>
          </w:tcPr>
          <w:p w14:paraId="4A17CDEA">
            <w:pPr>
              <w:spacing w:line="360" w:lineRule="auto"/>
              <w:jc w:val="center"/>
              <w:rPr>
                <w:rFonts w:hint="eastAsia" w:ascii="仿宋" w:hAnsi="仿宋" w:eastAsia="仿宋" w:cs="仿宋"/>
                <w:sz w:val="24"/>
                <w:szCs w:val="24"/>
                <w:highlight w:val="none"/>
              </w:rPr>
            </w:pPr>
          </w:p>
        </w:tc>
      </w:tr>
      <w:tr w14:paraId="5C76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23" w:type="dxa"/>
            <w:tcBorders>
              <w:top w:val="single" w:color="auto" w:sz="4" w:space="0"/>
              <w:left w:val="single" w:color="auto" w:sz="4" w:space="0"/>
              <w:right w:val="single" w:color="auto" w:sz="4" w:space="0"/>
            </w:tcBorders>
            <w:vAlign w:val="center"/>
          </w:tcPr>
          <w:p w14:paraId="4829C6B9">
            <w:pPr>
              <w:spacing w:line="360" w:lineRule="auto"/>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2</w:t>
            </w:r>
          </w:p>
        </w:tc>
        <w:tc>
          <w:tcPr>
            <w:tcW w:w="1500" w:type="dxa"/>
            <w:tcBorders>
              <w:top w:val="single" w:color="auto" w:sz="4" w:space="0"/>
              <w:left w:val="single" w:color="auto" w:sz="4" w:space="0"/>
              <w:right w:val="single" w:color="auto" w:sz="4" w:space="0"/>
            </w:tcBorders>
            <w:vAlign w:val="center"/>
          </w:tcPr>
          <w:p w14:paraId="05B97E94">
            <w:pPr>
              <w:pageBreakBefore w:val="0"/>
              <w:widowControl/>
              <w:shd w:val="clear" w:color="auto" w:fill="auto"/>
              <w:kinsoku/>
              <w:wordWrap/>
              <w:overflowPunct/>
              <w:topLinePunct w:val="0"/>
              <w:autoSpaceDE/>
              <w:autoSpaceDN/>
              <w:bidi w:val="0"/>
              <w:adjustRightInd/>
              <w:spacing w:line="360" w:lineRule="auto"/>
              <w:jc w:val="center"/>
              <w:textAlignment w:val="auto"/>
              <w:outlineLvl w:val="9"/>
              <w:rPr>
                <w:rFonts w:hint="eastAsia" w:ascii="仿宋" w:hAnsi="仿宋" w:eastAsia="仿宋" w:cs="仿宋"/>
                <w:sz w:val="24"/>
                <w:szCs w:val="24"/>
                <w:highlight w:val="none"/>
              </w:rPr>
            </w:pPr>
            <w:r>
              <w:rPr>
                <w:rFonts w:hint="eastAsia" w:ascii="仿宋" w:hAnsi="仿宋" w:eastAsia="仿宋" w:cs="仿宋"/>
                <w:bCs/>
                <w:color w:val="auto"/>
                <w:kern w:val="0"/>
                <w:sz w:val="24"/>
                <w:szCs w:val="24"/>
                <w:highlight w:val="none"/>
              </w:rPr>
              <w:t>服务方案</w:t>
            </w:r>
          </w:p>
        </w:tc>
        <w:tc>
          <w:tcPr>
            <w:tcW w:w="969" w:type="dxa"/>
            <w:tcBorders>
              <w:top w:val="single" w:color="auto" w:sz="4" w:space="0"/>
              <w:left w:val="single" w:color="auto" w:sz="4" w:space="0"/>
              <w:bottom w:val="single" w:color="auto" w:sz="4" w:space="0"/>
              <w:right w:val="single" w:color="auto" w:sz="4" w:space="0"/>
            </w:tcBorders>
            <w:vAlign w:val="center"/>
          </w:tcPr>
          <w:p w14:paraId="38399F4D">
            <w:pPr>
              <w:pageBreakBefore w:val="0"/>
              <w:widowControl/>
              <w:shd w:val="clear" w:color="auto" w:fill="auto"/>
              <w:kinsoku/>
              <w:wordWrap/>
              <w:overflowPunct/>
              <w:topLinePunct w:val="0"/>
              <w:autoSpaceDE/>
              <w:autoSpaceDN/>
              <w:bidi w:val="0"/>
              <w:adjustRightInd/>
              <w:spacing w:line="360" w:lineRule="auto"/>
              <w:jc w:val="center"/>
              <w:textAlignment w:val="auto"/>
              <w:outlineLvl w:val="9"/>
              <w:rPr>
                <w:rFonts w:hint="eastAsia" w:ascii="仿宋" w:hAnsi="仿宋" w:eastAsia="仿宋" w:cs="仿宋"/>
                <w:bCs/>
                <w:sz w:val="24"/>
                <w:szCs w:val="24"/>
                <w:highlight w:val="none"/>
              </w:rPr>
            </w:pPr>
            <w:r>
              <w:rPr>
                <w:rFonts w:hint="eastAsia" w:ascii="仿宋" w:hAnsi="仿宋" w:eastAsia="仿宋" w:cs="仿宋"/>
                <w:bCs/>
                <w:color w:val="auto"/>
                <w:kern w:val="0"/>
                <w:sz w:val="24"/>
                <w:szCs w:val="24"/>
                <w:highlight w:val="none"/>
                <w:lang w:val="en-US" w:eastAsia="zh-CN"/>
              </w:rPr>
              <w:t>15分</w:t>
            </w:r>
          </w:p>
        </w:tc>
        <w:tc>
          <w:tcPr>
            <w:tcW w:w="5723" w:type="dxa"/>
            <w:tcBorders>
              <w:top w:val="single" w:color="auto" w:sz="4" w:space="0"/>
              <w:left w:val="single" w:color="auto" w:sz="4" w:space="0"/>
              <w:bottom w:val="single" w:color="auto" w:sz="4" w:space="0"/>
              <w:right w:val="single" w:color="auto" w:sz="4" w:space="0"/>
            </w:tcBorders>
            <w:vAlign w:val="center"/>
          </w:tcPr>
          <w:p w14:paraId="58120A22">
            <w:pPr>
              <w:pageBreakBefore w:val="0"/>
              <w:widowControl/>
              <w:numPr>
                <w:ilvl w:val="0"/>
                <w:numId w:val="0"/>
              </w:numPr>
              <w:shd w:val="clear" w:color="auto" w:fill="auto"/>
              <w:kinsoku/>
              <w:wordWrap/>
              <w:overflowPunct/>
              <w:topLinePunct w:val="0"/>
              <w:autoSpaceDE/>
              <w:autoSpaceDN/>
              <w:bidi w:val="0"/>
              <w:adjustRightInd/>
              <w:spacing w:line="360" w:lineRule="auto"/>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根据供应商提供的服务方案进行评审，包括：</w:t>
            </w:r>
          </w:p>
          <w:p w14:paraId="50765023">
            <w:pPr>
              <w:pageBreakBefore w:val="0"/>
              <w:widowControl/>
              <w:numPr>
                <w:ilvl w:val="0"/>
                <w:numId w:val="0"/>
              </w:numPr>
              <w:shd w:val="clear" w:color="auto" w:fill="auto"/>
              <w:kinsoku/>
              <w:wordWrap/>
              <w:overflowPunct/>
              <w:topLinePunct w:val="0"/>
              <w:autoSpaceDE/>
              <w:autoSpaceDN/>
              <w:bidi w:val="0"/>
              <w:adjustRightInd/>
              <w:spacing w:line="360" w:lineRule="auto"/>
              <w:ind w:leftChars="0"/>
              <w:jc w:val="left"/>
              <w:textAlignment w:val="auto"/>
              <w:outlineLvl w:val="9"/>
              <w:rPr>
                <w:rFonts w:hint="eastAsia" w:ascii="仿宋" w:hAnsi="仿宋" w:eastAsia="仿宋" w:cs="仿宋"/>
                <w:bCs/>
                <w:color w:val="auto"/>
                <w:kern w:val="0"/>
                <w:sz w:val="24"/>
                <w:szCs w:val="24"/>
                <w:highlight w:val="none"/>
                <w:lang w:eastAsia="zh-CN"/>
              </w:rPr>
            </w:pPr>
            <w:r>
              <w:rPr>
                <w:rFonts w:hint="eastAsia" w:ascii="仿宋" w:hAnsi="仿宋" w:eastAsia="仿宋" w:cs="仿宋"/>
                <w:color w:val="auto"/>
                <w:sz w:val="24"/>
                <w:szCs w:val="24"/>
                <w:highlight w:val="none"/>
              </w:rPr>
              <w:t>①车辆响应方案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②车辆维修、检查方案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③</w:t>
            </w:r>
            <w:r>
              <w:rPr>
                <w:rFonts w:hint="eastAsia" w:ascii="仿宋" w:hAnsi="仿宋" w:eastAsia="仿宋" w:cs="仿宋"/>
                <w:bCs/>
                <w:color w:val="auto"/>
                <w:kern w:val="0"/>
                <w:sz w:val="24"/>
                <w:szCs w:val="24"/>
                <w:highlight w:val="none"/>
                <w:lang w:val="en-US" w:eastAsia="zh-CN"/>
              </w:rPr>
              <w:t>车辆保养方案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④突发事件应急方案（至少含交通事故、自然灾害、临时道路管控）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⑤投诉处理方案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⑥车辆卫生服务方案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⑦车辆</w:t>
            </w:r>
            <w:r>
              <w:rPr>
                <w:rFonts w:hint="eastAsia" w:ascii="仿宋" w:hAnsi="仿宋" w:eastAsia="仿宋" w:cs="仿宋"/>
                <w:color w:val="auto"/>
                <w:sz w:val="24"/>
                <w:szCs w:val="24"/>
                <w:highlight w:val="none"/>
                <w:lang w:val="en-US" w:eastAsia="zh-CN"/>
              </w:rPr>
              <w:t>性能质量保障方案</w:t>
            </w:r>
            <w:r>
              <w:rPr>
                <w:rFonts w:hint="eastAsia" w:ascii="仿宋" w:hAnsi="仿宋" w:eastAsia="仿宋" w:cs="仿宋"/>
                <w:bCs/>
                <w:color w:val="auto"/>
                <w:kern w:val="0"/>
                <w:sz w:val="24"/>
                <w:szCs w:val="24"/>
                <w:highlight w:val="none"/>
                <w:lang w:eastAsia="zh-CN"/>
              </w:rPr>
              <w:t>；</w:t>
            </w:r>
            <w:r>
              <w:rPr>
                <w:rFonts w:hint="eastAsia" w:ascii="仿宋" w:hAnsi="仿宋" w:eastAsia="仿宋" w:cs="仿宋"/>
                <w:bCs/>
                <w:color w:val="auto"/>
                <w:kern w:val="0"/>
                <w:sz w:val="24"/>
                <w:szCs w:val="24"/>
                <w:highlight w:val="none"/>
                <w:lang w:val="en-US" w:eastAsia="zh-CN"/>
              </w:rPr>
              <w:t>⑧</w:t>
            </w:r>
            <w:r>
              <w:rPr>
                <w:rFonts w:hint="eastAsia" w:ascii="仿宋" w:hAnsi="仿宋" w:eastAsia="仿宋" w:cs="仿宋"/>
                <w:bCs/>
                <w:color w:val="auto"/>
                <w:kern w:val="0"/>
                <w:sz w:val="24"/>
                <w:szCs w:val="24"/>
                <w:highlight w:val="none"/>
                <w:lang w:eastAsia="zh-CN"/>
              </w:rPr>
              <w:t>驾驶员服务方案；</w:t>
            </w:r>
            <w:r>
              <w:rPr>
                <w:rFonts w:hint="eastAsia" w:ascii="仿宋" w:hAnsi="仿宋" w:eastAsia="仿宋" w:cs="仿宋"/>
                <w:bCs/>
                <w:color w:val="auto"/>
                <w:kern w:val="0"/>
                <w:sz w:val="24"/>
                <w:szCs w:val="24"/>
                <w:highlight w:val="none"/>
                <w:lang w:val="en-US" w:eastAsia="zh-CN"/>
              </w:rPr>
              <w:t>⑨</w:t>
            </w:r>
            <w:r>
              <w:rPr>
                <w:rFonts w:hint="eastAsia" w:ascii="仿宋" w:hAnsi="仿宋" w:eastAsia="仿宋" w:cs="仿宋"/>
                <w:color w:val="auto"/>
                <w:sz w:val="24"/>
                <w:szCs w:val="24"/>
                <w:highlight w:val="none"/>
              </w:rPr>
              <w:t>驾驶员安全培训</w:t>
            </w:r>
            <w:r>
              <w:rPr>
                <w:rFonts w:hint="eastAsia" w:ascii="仿宋" w:hAnsi="仿宋" w:eastAsia="仿宋" w:cs="仿宋"/>
                <w:color w:val="auto"/>
                <w:sz w:val="24"/>
                <w:szCs w:val="24"/>
                <w:highlight w:val="none"/>
                <w:lang w:val="en-US" w:eastAsia="zh-CN"/>
              </w:rPr>
              <w:t>方案</w:t>
            </w:r>
            <w:r>
              <w:rPr>
                <w:rFonts w:hint="eastAsia" w:ascii="仿宋" w:hAnsi="仿宋" w:eastAsia="仿宋" w:cs="仿宋"/>
                <w:bCs/>
                <w:color w:val="auto"/>
                <w:kern w:val="0"/>
                <w:sz w:val="24"/>
                <w:szCs w:val="24"/>
                <w:highlight w:val="none"/>
                <w:lang w:val="en-US" w:eastAsia="zh-CN"/>
              </w:rPr>
              <w:t>；⑩</w:t>
            </w:r>
            <w:r>
              <w:rPr>
                <w:rFonts w:hint="eastAsia" w:ascii="仿宋" w:hAnsi="仿宋" w:eastAsia="仿宋" w:cs="仿宋"/>
                <w:bCs/>
                <w:color w:val="auto"/>
                <w:kern w:val="0"/>
                <w:sz w:val="24"/>
                <w:szCs w:val="24"/>
                <w:highlight w:val="none"/>
                <w:lang w:eastAsia="zh-CN"/>
              </w:rPr>
              <w:t>安全保障措施。</w:t>
            </w:r>
          </w:p>
          <w:p w14:paraId="02E3BA7C">
            <w:pPr>
              <w:pageBreakBefore w:val="0"/>
              <w:widowControl/>
              <w:numPr>
                <w:ilvl w:val="0"/>
                <w:numId w:val="0"/>
              </w:numPr>
              <w:shd w:val="clear" w:color="auto" w:fill="auto"/>
              <w:kinsoku/>
              <w:wordWrap/>
              <w:overflowPunct/>
              <w:topLinePunct w:val="0"/>
              <w:autoSpaceDE/>
              <w:autoSpaceDN/>
              <w:bidi w:val="0"/>
              <w:adjustRightInd/>
              <w:spacing w:line="360" w:lineRule="auto"/>
              <w:ind w:left="0" w:lef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上述10项内容齐全且无缺陷（缺陷是指：内容与项目无关、科学原理错误、表述错误、不符合本项目涉及的相关规范或标准要求的任意一种情形）得15分，每缺少一项内容扣1.5分，扣完为止；单项内容每存在一处缺陷扣0.75分，单项内容分扣完为止。</w:t>
            </w:r>
          </w:p>
        </w:tc>
        <w:tc>
          <w:tcPr>
            <w:tcW w:w="1285" w:type="dxa"/>
            <w:tcBorders>
              <w:top w:val="single" w:color="auto" w:sz="4" w:space="0"/>
              <w:left w:val="single" w:color="auto" w:sz="4" w:space="0"/>
              <w:bottom w:val="single" w:color="auto" w:sz="4" w:space="0"/>
              <w:right w:val="single" w:color="auto" w:sz="4" w:space="0"/>
            </w:tcBorders>
            <w:vAlign w:val="center"/>
          </w:tcPr>
          <w:p w14:paraId="5FABCA24">
            <w:pPr>
              <w:spacing w:line="360" w:lineRule="auto"/>
              <w:jc w:val="center"/>
              <w:rPr>
                <w:rFonts w:hint="eastAsia" w:ascii="仿宋" w:hAnsi="仿宋" w:eastAsia="仿宋" w:cs="仿宋"/>
                <w:sz w:val="24"/>
                <w:szCs w:val="24"/>
                <w:highlight w:val="none"/>
              </w:rPr>
            </w:pPr>
          </w:p>
        </w:tc>
      </w:tr>
      <w:tr w14:paraId="70B92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23" w:type="dxa"/>
            <w:tcBorders>
              <w:left w:val="single" w:color="auto" w:sz="4" w:space="0"/>
              <w:bottom w:val="single" w:color="auto" w:sz="4" w:space="0"/>
              <w:right w:val="single" w:color="auto" w:sz="4" w:space="0"/>
            </w:tcBorders>
            <w:vAlign w:val="center"/>
          </w:tcPr>
          <w:p w14:paraId="51D69D33">
            <w:pPr>
              <w:spacing w:line="360" w:lineRule="auto"/>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3</w:t>
            </w:r>
          </w:p>
        </w:tc>
        <w:tc>
          <w:tcPr>
            <w:tcW w:w="1500" w:type="dxa"/>
            <w:tcBorders>
              <w:left w:val="single" w:color="auto" w:sz="4" w:space="0"/>
              <w:bottom w:val="single" w:color="auto" w:sz="4" w:space="0"/>
              <w:right w:val="single" w:color="auto" w:sz="4" w:space="0"/>
            </w:tcBorders>
            <w:vAlign w:val="center"/>
          </w:tcPr>
          <w:p w14:paraId="31599D52">
            <w:pPr>
              <w:pageBreakBefore w:val="0"/>
              <w:widowControl/>
              <w:shd w:val="clear" w:color="auto" w:fill="auto"/>
              <w:kinsoku/>
              <w:wordWrap/>
              <w:overflowPunct/>
              <w:topLinePunct w:val="0"/>
              <w:autoSpaceDE/>
              <w:autoSpaceDN/>
              <w:bidi w:val="0"/>
              <w:adjustRightInd/>
              <w:spacing w:line="360" w:lineRule="auto"/>
              <w:jc w:val="center"/>
              <w:textAlignment w:val="auto"/>
              <w:outlineLvl w:val="9"/>
              <w:rPr>
                <w:rFonts w:hint="eastAsia" w:ascii="仿宋" w:hAnsi="仿宋" w:eastAsia="仿宋" w:cs="仿宋"/>
                <w:sz w:val="24"/>
                <w:szCs w:val="24"/>
                <w:highlight w:val="none"/>
              </w:rPr>
            </w:pPr>
            <w:r>
              <w:rPr>
                <w:rFonts w:hint="eastAsia" w:ascii="仿宋" w:hAnsi="仿宋" w:eastAsia="仿宋" w:cs="仿宋"/>
                <w:bCs/>
                <w:color w:val="auto"/>
                <w:kern w:val="0"/>
                <w:sz w:val="24"/>
                <w:szCs w:val="24"/>
                <w:highlight w:val="none"/>
              </w:rPr>
              <w:t>履约能力</w:t>
            </w:r>
          </w:p>
        </w:tc>
        <w:tc>
          <w:tcPr>
            <w:tcW w:w="969" w:type="dxa"/>
            <w:tcBorders>
              <w:top w:val="single" w:color="auto" w:sz="4" w:space="0"/>
              <w:left w:val="single" w:color="auto" w:sz="4" w:space="0"/>
              <w:bottom w:val="single" w:color="auto" w:sz="4" w:space="0"/>
              <w:right w:val="single" w:color="auto" w:sz="4" w:space="0"/>
            </w:tcBorders>
            <w:vAlign w:val="center"/>
          </w:tcPr>
          <w:p w14:paraId="55F52CED">
            <w:pPr>
              <w:pageBreakBefore w:val="0"/>
              <w:widowControl/>
              <w:shd w:val="clear" w:color="auto" w:fill="auto"/>
              <w:kinsoku/>
              <w:wordWrap/>
              <w:overflowPunct/>
              <w:topLinePunct w:val="0"/>
              <w:autoSpaceDE/>
              <w:autoSpaceDN/>
              <w:bidi w:val="0"/>
              <w:adjustRightInd/>
              <w:spacing w:line="360" w:lineRule="auto"/>
              <w:jc w:val="center"/>
              <w:textAlignment w:val="auto"/>
              <w:outlineLvl w:val="9"/>
              <w:rPr>
                <w:rFonts w:hint="eastAsia" w:ascii="仿宋" w:hAnsi="仿宋" w:eastAsia="仿宋" w:cs="仿宋"/>
                <w:bCs/>
                <w:sz w:val="24"/>
                <w:szCs w:val="24"/>
                <w:highlight w:val="none"/>
              </w:rPr>
            </w:pPr>
            <w:r>
              <w:rPr>
                <w:rFonts w:hint="eastAsia" w:ascii="仿宋" w:hAnsi="仿宋" w:eastAsia="仿宋" w:cs="仿宋"/>
                <w:bCs/>
                <w:color w:val="auto"/>
                <w:kern w:val="0"/>
                <w:sz w:val="24"/>
                <w:szCs w:val="24"/>
                <w:highlight w:val="none"/>
                <w:lang w:val="en-US" w:eastAsia="zh-CN"/>
              </w:rPr>
              <w:t>15分</w:t>
            </w:r>
          </w:p>
        </w:tc>
        <w:tc>
          <w:tcPr>
            <w:tcW w:w="5723" w:type="dxa"/>
            <w:tcBorders>
              <w:top w:val="single" w:color="auto" w:sz="4" w:space="0"/>
              <w:left w:val="single" w:color="auto" w:sz="4" w:space="0"/>
              <w:bottom w:val="single" w:color="auto" w:sz="4" w:space="0"/>
              <w:right w:val="single" w:color="auto" w:sz="4" w:space="0"/>
            </w:tcBorders>
            <w:vAlign w:val="center"/>
          </w:tcPr>
          <w:p w14:paraId="2D419DA4">
            <w:pPr>
              <w:pageBreakBefore w:val="0"/>
              <w:widowControl/>
              <w:shd w:val="clear" w:color="auto" w:fill="auto"/>
              <w:kinsoku/>
              <w:wordWrap/>
              <w:overflowPunct/>
              <w:topLinePunct w:val="0"/>
              <w:autoSpaceDE/>
              <w:autoSpaceDN/>
              <w:bidi w:val="0"/>
              <w:adjustRightInd/>
              <w:spacing w:line="360" w:lineRule="auto"/>
              <w:jc w:val="left"/>
              <w:textAlignment w:val="auto"/>
              <w:outlineLvl w:val="9"/>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根据</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bCs/>
                <w:color w:val="auto"/>
                <w:kern w:val="0"/>
                <w:sz w:val="24"/>
                <w:szCs w:val="24"/>
                <w:highlight w:val="none"/>
              </w:rPr>
              <w:t>提供20</w:t>
            </w:r>
            <w:r>
              <w:rPr>
                <w:rFonts w:hint="eastAsia" w:ascii="仿宋" w:hAnsi="仿宋" w:eastAsia="仿宋" w:cs="仿宋"/>
                <w:bCs/>
                <w:color w:val="auto"/>
                <w:kern w:val="0"/>
                <w:sz w:val="24"/>
                <w:szCs w:val="24"/>
                <w:highlight w:val="none"/>
                <w:lang w:val="en-US" w:eastAsia="zh-CN"/>
              </w:rPr>
              <w:t>23</w:t>
            </w:r>
            <w:r>
              <w:rPr>
                <w:rFonts w:hint="eastAsia" w:ascii="仿宋" w:hAnsi="仿宋" w:eastAsia="仿宋" w:cs="仿宋"/>
                <w:bCs/>
                <w:color w:val="auto"/>
                <w:kern w:val="0"/>
                <w:sz w:val="24"/>
                <w:szCs w:val="24"/>
                <w:highlight w:val="none"/>
              </w:rPr>
              <w:t>年1月1日</w:t>
            </w:r>
            <w:r>
              <w:rPr>
                <w:rFonts w:hint="eastAsia" w:ascii="仿宋" w:hAnsi="仿宋" w:eastAsia="仿宋" w:cs="仿宋"/>
                <w:color w:val="auto"/>
                <w:sz w:val="24"/>
                <w:szCs w:val="24"/>
                <w:highlight w:val="none"/>
                <w:lang w:val="en-US" w:eastAsia="zh-CN"/>
              </w:rPr>
              <w:t>（含1日）</w:t>
            </w:r>
            <w:r>
              <w:rPr>
                <w:rFonts w:hint="eastAsia" w:ascii="仿宋" w:hAnsi="仿宋" w:eastAsia="仿宋" w:cs="仿宋"/>
                <w:bCs/>
                <w:color w:val="auto"/>
                <w:kern w:val="0"/>
                <w:sz w:val="24"/>
                <w:szCs w:val="24"/>
                <w:highlight w:val="none"/>
              </w:rPr>
              <w:t>至</w:t>
            </w:r>
            <w:r>
              <w:rPr>
                <w:rFonts w:hint="eastAsia" w:ascii="仿宋" w:hAnsi="仿宋" w:eastAsia="仿宋" w:cs="仿宋"/>
                <w:bCs/>
                <w:color w:val="auto"/>
                <w:kern w:val="0"/>
                <w:sz w:val="24"/>
                <w:szCs w:val="24"/>
                <w:highlight w:val="none"/>
                <w:lang w:eastAsia="zh-CN"/>
              </w:rPr>
              <w:t>提交响应文件</w:t>
            </w:r>
            <w:r>
              <w:rPr>
                <w:rFonts w:hint="eastAsia" w:ascii="仿宋" w:hAnsi="仿宋" w:eastAsia="仿宋" w:cs="仿宋"/>
                <w:bCs/>
                <w:color w:val="auto"/>
                <w:kern w:val="0"/>
                <w:sz w:val="24"/>
                <w:szCs w:val="24"/>
                <w:highlight w:val="none"/>
              </w:rPr>
              <w:t>截止日的类似业绩</w:t>
            </w:r>
            <w:r>
              <w:rPr>
                <w:rFonts w:hint="eastAsia" w:ascii="仿宋" w:hAnsi="仿宋" w:eastAsia="仿宋" w:cs="仿宋"/>
                <w:bCs/>
                <w:color w:val="auto"/>
                <w:kern w:val="0"/>
                <w:sz w:val="24"/>
                <w:szCs w:val="24"/>
                <w:highlight w:val="none"/>
                <w:lang w:eastAsia="zh-CN"/>
              </w:rPr>
              <w:t>（类似业绩是指车辆</w:t>
            </w:r>
            <w:r>
              <w:rPr>
                <w:rFonts w:hint="eastAsia" w:ascii="仿宋" w:hAnsi="仿宋" w:eastAsia="仿宋" w:cs="仿宋"/>
                <w:bCs/>
                <w:color w:val="auto"/>
                <w:kern w:val="0"/>
                <w:sz w:val="24"/>
                <w:szCs w:val="24"/>
                <w:highlight w:val="none"/>
                <w:lang w:val="en-US" w:eastAsia="zh-CN"/>
              </w:rPr>
              <w:t>包车服务</w:t>
            </w:r>
            <w:r>
              <w:rPr>
                <w:rFonts w:hint="eastAsia" w:ascii="仿宋" w:hAnsi="仿宋" w:eastAsia="仿宋" w:cs="仿宋"/>
                <w:bCs/>
                <w:color w:val="auto"/>
                <w:kern w:val="0"/>
                <w:sz w:val="24"/>
                <w:szCs w:val="24"/>
                <w:highlight w:val="none"/>
                <w:lang w:eastAsia="zh-CN"/>
              </w:rPr>
              <w:t>类）</w:t>
            </w:r>
            <w:r>
              <w:rPr>
                <w:rFonts w:hint="eastAsia" w:ascii="仿宋" w:hAnsi="仿宋" w:eastAsia="仿宋" w:cs="仿宋"/>
                <w:bCs/>
                <w:color w:val="auto"/>
                <w:kern w:val="0"/>
                <w:sz w:val="24"/>
                <w:szCs w:val="24"/>
                <w:highlight w:val="none"/>
              </w:rPr>
              <w:t>进行评定，每提供</w:t>
            </w:r>
            <w:r>
              <w:rPr>
                <w:rFonts w:hint="eastAsia" w:ascii="仿宋" w:hAnsi="仿宋" w:eastAsia="仿宋" w:cs="仿宋"/>
                <w:bCs/>
                <w:color w:val="auto"/>
                <w:kern w:val="0"/>
                <w:sz w:val="24"/>
                <w:szCs w:val="24"/>
                <w:highlight w:val="none"/>
                <w:lang w:val="en-US" w:eastAsia="zh-CN"/>
              </w:rPr>
              <w:t>1</w:t>
            </w:r>
            <w:r>
              <w:rPr>
                <w:rFonts w:hint="eastAsia" w:ascii="仿宋" w:hAnsi="仿宋" w:eastAsia="仿宋" w:cs="仿宋"/>
                <w:bCs/>
                <w:color w:val="auto"/>
                <w:kern w:val="0"/>
                <w:sz w:val="24"/>
                <w:szCs w:val="24"/>
                <w:highlight w:val="none"/>
              </w:rPr>
              <w:t>个业绩得</w:t>
            </w:r>
            <w:r>
              <w:rPr>
                <w:rFonts w:hint="eastAsia" w:ascii="仿宋" w:hAnsi="仿宋" w:eastAsia="仿宋" w:cs="仿宋"/>
                <w:bCs/>
                <w:color w:val="auto"/>
                <w:kern w:val="0"/>
                <w:sz w:val="24"/>
                <w:szCs w:val="24"/>
                <w:highlight w:val="none"/>
                <w:lang w:val="en-US" w:eastAsia="zh-CN"/>
              </w:rPr>
              <w:t>3</w:t>
            </w:r>
            <w:r>
              <w:rPr>
                <w:rFonts w:hint="eastAsia" w:ascii="仿宋" w:hAnsi="仿宋" w:eastAsia="仿宋" w:cs="仿宋"/>
                <w:bCs/>
                <w:color w:val="auto"/>
                <w:kern w:val="0"/>
                <w:sz w:val="24"/>
                <w:szCs w:val="24"/>
                <w:highlight w:val="none"/>
              </w:rPr>
              <w:t>分，最多得</w:t>
            </w:r>
            <w:r>
              <w:rPr>
                <w:rFonts w:hint="eastAsia" w:ascii="仿宋" w:hAnsi="仿宋" w:eastAsia="仿宋" w:cs="仿宋"/>
                <w:bCs/>
                <w:color w:val="auto"/>
                <w:kern w:val="0"/>
                <w:sz w:val="24"/>
                <w:szCs w:val="24"/>
                <w:highlight w:val="none"/>
                <w:lang w:val="en-US" w:eastAsia="zh-CN"/>
              </w:rPr>
              <w:t>15</w:t>
            </w:r>
            <w:r>
              <w:rPr>
                <w:rFonts w:hint="eastAsia" w:ascii="仿宋" w:hAnsi="仿宋" w:eastAsia="仿宋" w:cs="仿宋"/>
                <w:bCs/>
                <w:color w:val="auto"/>
                <w:kern w:val="0"/>
                <w:sz w:val="24"/>
                <w:szCs w:val="24"/>
                <w:highlight w:val="none"/>
              </w:rPr>
              <w:t>分。</w:t>
            </w:r>
          </w:p>
          <w:p w14:paraId="33FF7054">
            <w:pPr>
              <w:pageBreakBefore w:val="0"/>
              <w:widowControl/>
              <w:shd w:val="clear" w:color="auto" w:fill="auto"/>
              <w:kinsoku/>
              <w:wordWrap/>
              <w:overflowPunct/>
              <w:topLinePunct w:val="0"/>
              <w:autoSpaceDE/>
              <w:autoSpaceDN/>
              <w:bidi w:val="0"/>
              <w:adjustRightInd/>
              <w:spacing w:line="360" w:lineRule="auto"/>
              <w:jc w:val="left"/>
              <w:textAlignment w:val="auto"/>
              <w:outlineLvl w:val="9"/>
              <w:rPr>
                <w:rFonts w:hint="eastAsia" w:ascii="仿宋" w:hAnsi="仿宋" w:eastAsia="仿宋" w:cs="仿宋"/>
                <w:sz w:val="24"/>
                <w:szCs w:val="24"/>
                <w:highlight w:val="none"/>
              </w:rPr>
            </w:pPr>
            <w:r>
              <w:rPr>
                <w:rFonts w:hint="eastAsia" w:ascii="仿宋" w:hAnsi="仿宋" w:eastAsia="仿宋" w:cs="仿宋"/>
                <w:b/>
                <w:bCs w:val="0"/>
                <w:color w:val="auto"/>
                <w:kern w:val="0"/>
                <w:sz w:val="24"/>
                <w:szCs w:val="24"/>
                <w:highlight w:val="none"/>
              </w:rPr>
              <w:t>注：提供合同或中标</w:t>
            </w:r>
            <w:r>
              <w:rPr>
                <w:rFonts w:hint="eastAsia" w:ascii="仿宋" w:hAnsi="仿宋" w:eastAsia="仿宋" w:cs="仿宋"/>
                <w:b/>
                <w:bCs w:val="0"/>
                <w:color w:val="auto"/>
                <w:kern w:val="0"/>
                <w:sz w:val="24"/>
                <w:szCs w:val="24"/>
                <w:highlight w:val="none"/>
                <w:lang w:eastAsia="zh-CN"/>
              </w:rPr>
              <w:t>（</w:t>
            </w:r>
            <w:r>
              <w:rPr>
                <w:rFonts w:hint="eastAsia" w:ascii="仿宋" w:hAnsi="仿宋" w:eastAsia="仿宋" w:cs="仿宋"/>
                <w:b/>
                <w:bCs w:val="0"/>
                <w:color w:val="auto"/>
                <w:kern w:val="0"/>
                <w:sz w:val="24"/>
                <w:szCs w:val="24"/>
                <w:highlight w:val="none"/>
              </w:rPr>
              <w:t>成交</w:t>
            </w:r>
            <w:r>
              <w:rPr>
                <w:rFonts w:hint="eastAsia" w:ascii="仿宋" w:hAnsi="仿宋" w:eastAsia="仿宋" w:cs="仿宋"/>
                <w:b/>
                <w:bCs w:val="0"/>
                <w:color w:val="auto"/>
                <w:kern w:val="0"/>
                <w:sz w:val="24"/>
                <w:szCs w:val="24"/>
                <w:highlight w:val="none"/>
                <w:lang w:val="en-US" w:eastAsia="zh-CN"/>
              </w:rPr>
              <w:t>/</w:t>
            </w:r>
            <w:r>
              <w:rPr>
                <w:rFonts w:hint="eastAsia" w:ascii="仿宋" w:hAnsi="仿宋" w:eastAsia="仿宋" w:cs="仿宋"/>
                <w:b/>
                <w:bCs w:val="0"/>
                <w:color w:val="auto"/>
                <w:kern w:val="0"/>
                <w:sz w:val="24"/>
                <w:szCs w:val="24"/>
                <w:highlight w:val="none"/>
              </w:rPr>
              <w:t>中选）通知书复印件</w:t>
            </w:r>
            <w:r>
              <w:rPr>
                <w:rFonts w:hint="eastAsia" w:ascii="仿宋" w:hAnsi="仿宋" w:eastAsia="仿宋" w:cs="仿宋"/>
                <w:b/>
                <w:bCs w:val="0"/>
                <w:color w:val="auto"/>
                <w:kern w:val="0"/>
                <w:sz w:val="24"/>
                <w:szCs w:val="24"/>
                <w:highlight w:val="none"/>
                <w:lang w:val="en-US" w:eastAsia="zh-CN"/>
              </w:rPr>
              <w:t>加盖供应商公章</w:t>
            </w:r>
            <w:r>
              <w:rPr>
                <w:rFonts w:hint="eastAsia" w:ascii="仿宋" w:hAnsi="仿宋" w:eastAsia="仿宋" w:cs="仿宋"/>
                <w:b/>
                <w:bCs w:val="0"/>
                <w:color w:val="auto"/>
                <w:kern w:val="0"/>
                <w:sz w:val="24"/>
                <w:szCs w:val="24"/>
                <w:highlight w:val="none"/>
              </w:rPr>
              <w:t>。</w:t>
            </w:r>
          </w:p>
        </w:tc>
        <w:tc>
          <w:tcPr>
            <w:tcW w:w="1285" w:type="dxa"/>
            <w:tcBorders>
              <w:top w:val="single" w:color="auto" w:sz="4" w:space="0"/>
              <w:left w:val="single" w:color="auto" w:sz="4" w:space="0"/>
              <w:bottom w:val="single" w:color="auto" w:sz="4" w:space="0"/>
              <w:right w:val="single" w:color="auto" w:sz="4" w:space="0"/>
            </w:tcBorders>
            <w:vAlign w:val="center"/>
          </w:tcPr>
          <w:p w14:paraId="7F801BD8">
            <w:pPr>
              <w:spacing w:line="360" w:lineRule="auto"/>
              <w:jc w:val="center"/>
              <w:rPr>
                <w:rFonts w:hint="eastAsia" w:ascii="仿宋" w:hAnsi="仿宋" w:eastAsia="仿宋" w:cs="仿宋"/>
                <w:sz w:val="24"/>
                <w:szCs w:val="24"/>
                <w:highlight w:val="none"/>
              </w:rPr>
            </w:pPr>
          </w:p>
        </w:tc>
      </w:tr>
      <w:tr w14:paraId="0C0FC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23" w:type="dxa"/>
            <w:tcBorders>
              <w:left w:val="single" w:color="auto" w:sz="4" w:space="0"/>
              <w:bottom w:val="single" w:color="auto" w:sz="4" w:space="0"/>
              <w:right w:val="single" w:color="auto" w:sz="4" w:space="0"/>
            </w:tcBorders>
            <w:vAlign w:val="center"/>
          </w:tcPr>
          <w:p w14:paraId="0995E29E">
            <w:pPr>
              <w:spacing w:line="360" w:lineRule="auto"/>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4</w:t>
            </w:r>
          </w:p>
        </w:tc>
        <w:tc>
          <w:tcPr>
            <w:tcW w:w="1500" w:type="dxa"/>
            <w:tcBorders>
              <w:left w:val="single" w:color="auto" w:sz="4" w:space="0"/>
              <w:bottom w:val="single" w:color="auto" w:sz="4" w:space="0"/>
              <w:right w:val="single" w:color="auto" w:sz="4" w:space="0"/>
            </w:tcBorders>
            <w:vAlign w:val="center"/>
          </w:tcPr>
          <w:p w14:paraId="56238DC1">
            <w:pPr>
              <w:pageBreakBefore w:val="0"/>
              <w:widowControl/>
              <w:shd w:val="clear" w:color="auto" w:fill="auto"/>
              <w:kinsoku/>
              <w:wordWrap/>
              <w:overflowPunct/>
              <w:topLinePunct w:val="0"/>
              <w:autoSpaceDE/>
              <w:autoSpaceDN/>
              <w:bidi w:val="0"/>
              <w:adjustRightInd/>
              <w:spacing w:line="360" w:lineRule="auto"/>
              <w:jc w:val="center"/>
              <w:textAlignment w:val="auto"/>
              <w:outlineLvl w:val="9"/>
              <w:rPr>
                <w:rFonts w:hint="eastAsia" w:ascii="仿宋" w:hAnsi="仿宋" w:eastAsia="仿宋" w:cs="仿宋"/>
                <w:sz w:val="24"/>
                <w:szCs w:val="24"/>
                <w:highlight w:val="none"/>
              </w:rPr>
            </w:pPr>
            <w:r>
              <w:rPr>
                <w:rFonts w:hint="eastAsia" w:ascii="仿宋" w:hAnsi="仿宋" w:eastAsia="仿宋" w:cs="仿宋"/>
                <w:bCs/>
                <w:color w:val="auto"/>
                <w:kern w:val="0"/>
                <w:sz w:val="24"/>
                <w:szCs w:val="24"/>
                <w:highlight w:val="none"/>
                <w:lang w:val="en-US" w:eastAsia="zh-CN"/>
              </w:rPr>
              <w:t>车辆配置</w:t>
            </w:r>
          </w:p>
        </w:tc>
        <w:tc>
          <w:tcPr>
            <w:tcW w:w="969" w:type="dxa"/>
            <w:tcBorders>
              <w:top w:val="single" w:color="auto" w:sz="4" w:space="0"/>
              <w:left w:val="single" w:color="auto" w:sz="4" w:space="0"/>
              <w:bottom w:val="single" w:color="auto" w:sz="4" w:space="0"/>
              <w:right w:val="single" w:color="auto" w:sz="4" w:space="0"/>
            </w:tcBorders>
            <w:vAlign w:val="center"/>
          </w:tcPr>
          <w:p w14:paraId="2D021475">
            <w:pPr>
              <w:pageBreakBefore w:val="0"/>
              <w:widowControl/>
              <w:shd w:val="clear" w:color="auto" w:fill="auto"/>
              <w:kinsoku/>
              <w:wordWrap/>
              <w:overflowPunct/>
              <w:topLinePunct w:val="0"/>
              <w:autoSpaceDE/>
              <w:autoSpaceDN/>
              <w:bidi w:val="0"/>
              <w:adjustRightInd/>
              <w:spacing w:line="360" w:lineRule="auto"/>
              <w:jc w:val="center"/>
              <w:textAlignment w:val="auto"/>
              <w:outlineLvl w:val="9"/>
              <w:rPr>
                <w:rFonts w:hint="eastAsia" w:ascii="仿宋" w:hAnsi="仿宋" w:eastAsia="仿宋" w:cs="仿宋"/>
                <w:bCs/>
                <w:sz w:val="24"/>
                <w:szCs w:val="24"/>
                <w:highlight w:val="none"/>
              </w:rPr>
            </w:pPr>
            <w:r>
              <w:rPr>
                <w:rFonts w:hint="eastAsia" w:ascii="仿宋" w:hAnsi="仿宋" w:eastAsia="仿宋" w:cs="仿宋"/>
                <w:bCs/>
                <w:color w:val="auto"/>
                <w:kern w:val="0"/>
                <w:sz w:val="24"/>
                <w:szCs w:val="24"/>
                <w:highlight w:val="none"/>
                <w:lang w:val="en-US" w:eastAsia="zh-CN"/>
              </w:rPr>
              <w:t>20分</w:t>
            </w:r>
          </w:p>
        </w:tc>
        <w:tc>
          <w:tcPr>
            <w:tcW w:w="5723" w:type="dxa"/>
            <w:tcBorders>
              <w:top w:val="single" w:color="auto" w:sz="4" w:space="0"/>
              <w:left w:val="single" w:color="auto" w:sz="4" w:space="0"/>
              <w:bottom w:val="single" w:color="auto" w:sz="4" w:space="0"/>
              <w:right w:val="single" w:color="auto" w:sz="4" w:space="0"/>
            </w:tcBorders>
            <w:vAlign w:val="center"/>
          </w:tcPr>
          <w:p w14:paraId="0FD7C9DF">
            <w:pPr>
              <w:pageBreakBefore w:val="0"/>
              <w:widowControl/>
              <w:numPr>
                <w:ilvl w:val="0"/>
                <w:numId w:val="0"/>
              </w:numPr>
              <w:shd w:val="clear" w:color="auto" w:fill="auto"/>
              <w:kinsoku/>
              <w:wordWrap/>
              <w:overflowPunct/>
              <w:topLinePunct w:val="0"/>
              <w:autoSpaceDE/>
              <w:autoSpaceDN/>
              <w:bidi w:val="0"/>
              <w:adjustRightInd/>
              <w:spacing w:line="360" w:lineRule="auto"/>
              <w:ind w:leftChars="0"/>
              <w:jc w:val="left"/>
              <w:textAlignment w:val="auto"/>
              <w:outlineLvl w:val="9"/>
              <w:rPr>
                <w:rFonts w:hint="eastAsia" w:ascii="仿宋" w:hAnsi="仿宋" w:eastAsia="仿宋" w:cs="仿宋"/>
                <w:bCs/>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bCs/>
                <w:color w:val="auto"/>
                <w:kern w:val="0"/>
                <w:sz w:val="24"/>
                <w:szCs w:val="24"/>
                <w:highlight w:val="none"/>
                <w:lang w:val="en-US" w:eastAsia="zh-CN"/>
              </w:rPr>
              <w:t>在满足本项目车辆数量要求的前提下，每增加一辆</w:t>
            </w:r>
            <w:r>
              <w:rPr>
                <w:rFonts w:hint="eastAsia" w:ascii="仿宋" w:hAnsi="仿宋" w:eastAsia="仿宋" w:cs="仿宋"/>
                <w:color w:val="auto"/>
                <w:spacing w:val="-2"/>
                <w:sz w:val="24"/>
                <w:szCs w:val="24"/>
                <w:highlight w:val="none"/>
                <w:lang w:val="en-US" w:eastAsia="zh-CN"/>
              </w:rPr>
              <w:t>35座及以上大客车</w:t>
            </w:r>
            <w:r>
              <w:rPr>
                <w:rFonts w:hint="eastAsia" w:ascii="仿宋" w:hAnsi="仿宋" w:eastAsia="仿宋" w:cs="仿宋"/>
                <w:bCs/>
                <w:color w:val="auto"/>
                <w:kern w:val="0"/>
                <w:sz w:val="24"/>
                <w:szCs w:val="24"/>
                <w:highlight w:val="none"/>
                <w:lang w:val="en-US" w:eastAsia="zh-CN"/>
              </w:rPr>
              <w:t>得1分，最多得20分。</w:t>
            </w:r>
          </w:p>
          <w:p w14:paraId="5705290F">
            <w:pPr>
              <w:pageBreakBefore w:val="0"/>
              <w:widowControl/>
              <w:numPr>
                <w:ilvl w:val="0"/>
                <w:numId w:val="0"/>
              </w:numPr>
              <w:shd w:val="clear" w:color="auto" w:fill="auto"/>
              <w:kinsoku/>
              <w:wordWrap/>
              <w:overflowPunct/>
              <w:topLinePunct w:val="0"/>
              <w:autoSpaceDE/>
              <w:autoSpaceDN/>
              <w:bidi w:val="0"/>
              <w:adjustRightInd/>
              <w:spacing w:line="360" w:lineRule="auto"/>
              <w:ind w:left="0" w:leftChars="0" w:firstLine="0" w:firstLineChars="0"/>
              <w:jc w:val="left"/>
              <w:textAlignment w:val="auto"/>
              <w:outlineLvl w:val="9"/>
              <w:rPr>
                <w:rFonts w:hint="eastAsia" w:ascii="仿宋" w:hAnsi="仿宋" w:eastAsia="仿宋" w:cs="仿宋"/>
                <w:sz w:val="24"/>
                <w:szCs w:val="24"/>
                <w:highlight w:val="none"/>
              </w:rPr>
            </w:pPr>
            <w:r>
              <w:rPr>
                <w:rFonts w:hint="eastAsia" w:ascii="仿宋" w:hAnsi="仿宋" w:eastAsia="仿宋" w:cs="仿宋"/>
                <w:b/>
                <w:bCs w:val="0"/>
                <w:color w:val="auto"/>
                <w:kern w:val="0"/>
                <w:sz w:val="24"/>
                <w:szCs w:val="24"/>
                <w:highlight w:val="none"/>
                <w:lang w:val="en-US" w:eastAsia="zh-CN"/>
              </w:rPr>
              <w:t>注：提供供应商车辆的登记证书复印件或行驶证（行驶证上的所有人为供应商单位）复印件加盖供应商公章。</w:t>
            </w:r>
          </w:p>
        </w:tc>
        <w:tc>
          <w:tcPr>
            <w:tcW w:w="1285" w:type="dxa"/>
            <w:tcBorders>
              <w:top w:val="single" w:color="auto" w:sz="4" w:space="0"/>
              <w:left w:val="single" w:color="auto" w:sz="4" w:space="0"/>
              <w:bottom w:val="single" w:color="auto" w:sz="4" w:space="0"/>
              <w:right w:val="single" w:color="auto" w:sz="4" w:space="0"/>
            </w:tcBorders>
            <w:vAlign w:val="center"/>
          </w:tcPr>
          <w:p w14:paraId="429C9513">
            <w:pPr>
              <w:spacing w:line="360" w:lineRule="auto"/>
              <w:jc w:val="center"/>
              <w:rPr>
                <w:rFonts w:hint="eastAsia" w:ascii="仿宋" w:hAnsi="仿宋" w:eastAsia="仿宋" w:cs="仿宋"/>
                <w:sz w:val="24"/>
                <w:szCs w:val="24"/>
                <w:highlight w:val="none"/>
              </w:rPr>
            </w:pPr>
          </w:p>
        </w:tc>
      </w:tr>
      <w:tr w14:paraId="0A5E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35B12CD">
            <w:pPr>
              <w:spacing w:line="360" w:lineRule="auto"/>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5</w:t>
            </w:r>
          </w:p>
        </w:tc>
        <w:tc>
          <w:tcPr>
            <w:tcW w:w="1500" w:type="dxa"/>
            <w:tcBorders>
              <w:top w:val="single" w:color="auto" w:sz="4" w:space="0"/>
              <w:left w:val="single" w:color="auto" w:sz="4" w:space="0"/>
              <w:bottom w:val="single" w:color="auto" w:sz="4" w:space="0"/>
              <w:right w:val="single" w:color="auto" w:sz="4" w:space="0"/>
            </w:tcBorders>
            <w:vAlign w:val="center"/>
          </w:tcPr>
          <w:p w14:paraId="67ED2F0B">
            <w:pPr>
              <w:widowControl/>
              <w:autoSpaceDE/>
              <w:autoSpaceDN/>
              <w:spacing w:line="360" w:lineRule="auto"/>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人员配置</w:t>
            </w:r>
          </w:p>
        </w:tc>
        <w:tc>
          <w:tcPr>
            <w:tcW w:w="969" w:type="dxa"/>
            <w:tcBorders>
              <w:top w:val="single" w:color="auto" w:sz="4" w:space="0"/>
              <w:left w:val="single" w:color="auto" w:sz="4" w:space="0"/>
              <w:bottom w:val="single" w:color="auto" w:sz="4" w:space="0"/>
              <w:right w:val="single" w:color="auto" w:sz="4" w:space="0"/>
            </w:tcBorders>
            <w:vAlign w:val="center"/>
          </w:tcPr>
          <w:p w14:paraId="11329A68">
            <w:pPr>
              <w:widowControl/>
              <w:overflowPunct/>
              <w:autoSpaceDE/>
              <w:autoSpaceDN/>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20分</w:t>
            </w:r>
          </w:p>
        </w:tc>
        <w:tc>
          <w:tcPr>
            <w:tcW w:w="5723" w:type="dxa"/>
            <w:tcBorders>
              <w:top w:val="single" w:color="auto" w:sz="4" w:space="0"/>
              <w:left w:val="single" w:color="auto" w:sz="4" w:space="0"/>
              <w:bottom w:val="single" w:color="auto" w:sz="4" w:space="0"/>
              <w:right w:val="single" w:color="auto" w:sz="4" w:space="0"/>
            </w:tcBorders>
            <w:vAlign w:val="center"/>
          </w:tcPr>
          <w:p w14:paraId="3706CD4D">
            <w:pPr>
              <w:pStyle w:val="7"/>
              <w:numPr>
                <w:ilvl w:val="0"/>
                <w:numId w:val="0"/>
              </w:numPr>
              <w:spacing w:line="360" w:lineRule="auto"/>
              <w:ind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1、管理人员：供应商为本项目配备2人管理团队得3分，每增加1人加 1 分，最多得5分；</w:t>
            </w:r>
          </w:p>
          <w:p w14:paraId="29F78F2D">
            <w:pPr>
              <w:pStyle w:val="7"/>
              <w:numPr>
                <w:ilvl w:val="0"/>
                <w:numId w:val="0"/>
              </w:numPr>
              <w:spacing w:line="360" w:lineRule="auto"/>
              <w:ind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注：提供人员名单及身份证复印件、岗位及职责分配、联系电话，其中驾驶员人员不计入管理团队。</w:t>
            </w:r>
          </w:p>
          <w:p w14:paraId="0719AB9B">
            <w:pPr>
              <w:pStyle w:val="7"/>
              <w:numPr>
                <w:ilvl w:val="0"/>
                <w:numId w:val="0"/>
              </w:numPr>
              <w:spacing w:line="360" w:lineRule="auto"/>
              <w:ind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w:t>
            </w:r>
            <w:r>
              <w:rPr>
                <w:rFonts w:hint="eastAsia" w:ascii="仿宋" w:hAnsi="仿宋" w:eastAsia="仿宋" w:cs="仿宋"/>
                <w:bCs/>
                <w:color w:val="auto"/>
                <w:kern w:val="0"/>
                <w:sz w:val="24"/>
                <w:szCs w:val="24"/>
                <w:highlight w:val="none"/>
                <w:lang w:val="en-US" w:eastAsia="zh-CN"/>
              </w:rPr>
              <w:t>在满足本项目基本驾驶员数量要求的前提下，</w:t>
            </w:r>
            <w:r>
              <w:rPr>
                <w:rFonts w:hint="eastAsia" w:ascii="仿宋" w:hAnsi="仿宋" w:eastAsia="仿宋" w:cs="仿宋"/>
                <w:color w:val="auto"/>
                <w:sz w:val="24"/>
                <w:szCs w:val="24"/>
                <w:highlight w:val="none"/>
                <w:lang w:val="en-US" w:eastAsia="zh-CN"/>
              </w:rPr>
              <w:t>配备A1驾龄在6（含）-10（含）年的驾驶员，每有一人得1分；配备A1驾龄在11（含）年及以上的驾驶员，每有一人得1.5分，本项最多得15分。</w:t>
            </w:r>
          </w:p>
          <w:p w14:paraId="2C094426">
            <w:pPr>
              <w:pStyle w:val="7"/>
              <w:numPr>
                <w:ilvl w:val="0"/>
                <w:numId w:val="0"/>
              </w:numPr>
              <w:spacing w:line="360" w:lineRule="auto"/>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注：需同时提供驾驶员名单、驾驶证（含驾驶证正副页，准驾车型A1 为有效）、在职证明复印件加盖公章。</w:t>
            </w:r>
          </w:p>
        </w:tc>
        <w:tc>
          <w:tcPr>
            <w:tcW w:w="1285" w:type="dxa"/>
            <w:tcBorders>
              <w:top w:val="single" w:color="auto" w:sz="4" w:space="0"/>
              <w:left w:val="single" w:color="auto" w:sz="4" w:space="0"/>
              <w:bottom w:val="single" w:color="auto" w:sz="4" w:space="0"/>
              <w:right w:val="single" w:color="auto" w:sz="4" w:space="0"/>
            </w:tcBorders>
            <w:vAlign w:val="center"/>
          </w:tcPr>
          <w:p w14:paraId="6A639BDA">
            <w:pPr>
              <w:spacing w:line="360" w:lineRule="auto"/>
              <w:jc w:val="center"/>
              <w:rPr>
                <w:rFonts w:hint="eastAsia" w:ascii="仿宋" w:hAnsi="仿宋" w:eastAsia="仿宋" w:cs="仿宋"/>
                <w:sz w:val="24"/>
                <w:szCs w:val="24"/>
                <w:highlight w:val="none"/>
              </w:rPr>
            </w:pPr>
          </w:p>
        </w:tc>
      </w:tr>
      <w:tr w14:paraId="59B51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6E741AD">
            <w:pPr>
              <w:spacing w:line="360" w:lineRule="auto"/>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6</w:t>
            </w:r>
          </w:p>
        </w:tc>
        <w:tc>
          <w:tcPr>
            <w:tcW w:w="1500" w:type="dxa"/>
            <w:tcBorders>
              <w:top w:val="single" w:color="auto" w:sz="4" w:space="0"/>
              <w:left w:val="single" w:color="auto" w:sz="4" w:space="0"/>
              <w:bottom w:val="single" w:color="auto" w:sz="4" w:space="0"/>
              <w:right w:val="single" w:color="auto" w:sz="4" w:space="0"/>
            </w:tcBorders>
            <w:vAlign w:val="center"/>
          </w:tcPr>
          <w:p w14:paraId="1309289D">
            <w:pPr>
              <w:keepNext w:val="0"/>
              <w:keepLines w:val="0"/>
              <w:widowControl/>
              <w:suppressLineNumbers w:val="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车辆保险</w:t>
            </w:r>
          </w:p>
          <w:p w14:paraId="31DBA1AC">
            <w:pPr>
              <w:widowControl/>
              <w:autoSpaceDE/>
              <w:autoSpaceDN/>
              <w:spacing w:line="360" w:lineRule="auto"/>
              <w:jc w:val="center"/>
              <w:rPr>
                <w:rFonts w:hint="eastAsia" w:ascii="仿宋" w:hAnsi="仿宋" w:eastAsia="仿宋" w:cs="仿宋"/>
                <w:bCs/>
                <w:sz w:val="24"/>
                <w:szCs w:val="24"/>
                <w:highlight w:val="none"/>
              </w:rPr>
            </w:pPr>
          </w:p>
        </w:tc>
        <w:tc>
          <w:tcPr>
            <w:tcW w:w="969" w:type="dxa"/>
            <w:tcBorders>
              <w:top w:val="single" w:color="auto" w:sz="4" w:space="0"/>
              <w:left w:val="single" w:color="auto" w:sz="4" w:space="0"/>
              <w:bottom w:val="single" w:color="auto" w:sz="4" w:space="0"/>
              <w:right w:val="single" w:color="auto" w:sz="4" w:space="0"/>
            </w:tcBorders>
            <w:vAlign w:val="center"/>
          </w:tcPr>
          <w:p w14:paraId="516F0ED1">
            <w:pPr>
              <w:widowControl/>
              <w:overflowPunct/>
              <w:autoSpaceDE/>
              <w:autoSpaceDN/>
              <w:spacing w:line="360" w:lineRule="auto"/>
              <w:jc w:val="center"/>
              <w:rPr>
                <w:rFonts w:hint="eastAsia" w:ascii="仿宋" w:hAnsi="仿宋" w:eastAsia="仿宋" w:cs="仿宋"/>
                <w:bCs/>
                <w:sz w:val="24"/>
                <w:szCs w:val="24"/>
                <w:highlight w:val="none"/>
              </w:rPr>
            </w:pPr>
            <w:r>
              <w:rPr>
                <w:rFonts w:hint="eastAsia" w:ascii="仿宋" w:hAnsi="仿宋" w:eastAsia="仿宋" w:cs="仿宋"/>
                <w:color w:val="auto"/>
                <w:sz w:val="24"/>
                <w:szCs w:val="24"/>
                <w:highlight w:val="none"/>
                <w:lang w:val="en-US" w:eastAsia="zh-CN"/>
              </w:rPr>
              <w:t>15分</w:t>
            </w:r>
          </w:p>
        </w:tc>
        <w:tc>
          <w:tcPr>
            <w:tcW w:w="5723" w:type="dxa"/>
            <w:tcBorders>
              <w:top w:val="single" w:color="auto" w:sz="4" w:space="0"/>
              <w:left w:val="single" w:color="auto" w:sz="4" w:space="0"/>
              <w:bottom w:val="single" w:color="auto" w:sz="4" w:space="0"/>
              <w:right w:val="single" w:color="auto" w:sz="4" w:space="0"/>
            </w:tcBorders>
            <w:vAlign w:val="center"/>
          </w:tcPr>
          <w:p w14:paraId="70296C67">
            <w:pPr>
              <w:pStyle w:val="7"/>
              <w:numPr>
                <w:ilvl w:val="0"/>
                <w:numId w:val="0"/>
              </w:numPr>
              <w:spacing w:line="360" w:lineRule="auto"/>
              <w:ind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购买的车辆购买承运人责任险(座位险)在满足本项目基本要求的前提下（不低于50万元/辆），购买50万元&lt;保额≤500万元的，每1辆车得0.2分；500万元&lt;保额≤1000万元的，每1辆车得0.3分；1000万元&lt;保额≤1500万元的，每1辆车得0.4分；1500万元（不含）以上的，每1辆车得0.5分；最多得10分。</w:t>
            </w:r>
          </w:p>
          <w:p w14:paraId="6BD17D78">
            <w:pPr>
              <w:pStyle w:val="7"/>
              <w:numPr>
                <w:ilvl w:val="0"/>
                <w:numId w:val="0"/>
              </w:numPr>
              <w:spacing w:line="360" w:lineRule="auto"/>
              <w:ind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购买的第三者责任险保险在满足本项目基本要求的前提下（不低于200万元/辆），购买200万元&lt;保额≤300万元的，每1辆车得0.2分；300万元&lt;保额≤400万元的，每1辆车得0.3分；400万元&lt;保额≤500万元的，每1辆车得0.4分；500万元（不含）以上的，每1辆车得0.5分；最多得5分。</w:t>
            </w:r>
          </w:p>
          <w:p w14:paraId="1BC42AEA">
            <w:pPr>
              <w:keepNext w:val="0"/>
              <w:keepLines w:val="0"/>
              <w:widowControl/>
              <w:numPr>
                <w:ilvl w:val="0"/>
                <w:numId w:val="0"/>
              </w:numPr>
              <w:suppressLineNumbers w:val="0"/>
              <w:spacing w:line="360" w:lineRule="auto"/>
              <w:ind w:left="0" w:leftChars="0" w:firstLine="0" w:firstLineChars="0"/>
              <w:jc w:val="left"/>
              <w:rPr>
                <w:rFonts w:hint="eastAsia" w:ascii="仿宋" w:hAnsi="仿宋" w:eastAsia="仿宋" w:cs="仿宋"/>
                <w:bCs/>
                <w:sz w:val="24"/>
                <w:szCs w:val="24"/>
                <w:highlight w:val="none"/>
              </w:rPr>
            </w:pPr>
            <w:r>
              <w:rPr>
                <w:rFonts w:hint="eastAsia" w:ascii="仿宋" w:hAnsi="仿宋" w:eastAsia="仿宋" w:cs="仿宋"/>
                <w:b/>
                <w:bCs/>
                <w:color w:val="auto"/>
                <w:kern w:val="0"/>
                <w:sz w:val="24"/>
                <w:szCs w:val="24"/>
                <w:highlight w:val="none"/>
                <w:lang w:val="en-US" w:eastAsia="zh-CN" w:bidi="ar"/>
              </w:rPr>
              <w:t>注：1、提供车辆在保险合同有效期内的商业险保单复印件；2、提供每辆车的行驶证复印件。</w:t>
            </w:r>
          </w:p>
        </w:tc>
        <w:tc>
          <w:tcPr>
            <w:tcW w:w="1285" w:type="dxa"/>
            <w:tcBorders>
              <w:top w:val="single" w:color="auto" w:sz="4" w:space="0"/>
              <w:left w:val="single" w:color="auto" w:sz="4" w:space="0"/>
              <w:bottom w:val="single" w:color="auto" w:sz="4" w:space="0"/>
              <w:right w:val="single" w:color="auto" w:sz="4" w:space="0"/>
            </w:tcBorders>
            <w:vAlign w:val="center"/>
          </w:tcPr>
          <w:p w14:paraId="6C10C07B">
            <w:pPr>
              <w:spacing w:line="360" w:lineRule="auto"/>
              <w:jc w:val="center"/>
              <w:rPr>
                <w:rFonts w:hint="eastAsia" w:ascii="仿宋" w:hAnsi="仿宋" w:eastAsia="仿宋" w:cs="仿宋"/>
                <w:bCs/>
                <w:sz w:val="24"/>
                <w:szCs w:val="24"/>
                <w:highlight w:val="none"/>
              </w:rPr>
            </w:pPr>
          </w:p>
        </w:tc>
      </w:tr>
    </w:tbl>
    <w:p w14:paraId="7A18E4ED">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32749"/>
      <w:bookmarkStart w:id="34" w:name="_Toc2485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6803"/>
      <w:bookmarkStart w:id="38" w:name="_Toc17905"/>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135"/>
      <w:bookmarkStart w:id="41" w:name="_Toc27526"/>
      <w:bookmarkStart w:id="42" w:name="_Toc2989"/>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19987"/>
      <w:bookmarkStart w:id="46" w:name="_Toc7233"/>
      <w:bookmarkStart w:id="47" w:name="_Toc2031"/>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3023"/>
      <w:bookmarkStart w:id="49" w:name="_Toc21519"/>
      <w:bookmarkStart w:id="50" w:name="_Toc6482"/>
      <w:bookmarkStart w:id="51" w:name="_Toc11352"/>
      <w:bookmarkStart w:id="52" w:name="_Toc14829"/>
      <w:bookmarkStart w:id="53"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4305"/>
      <w:bookmarkStart w:id="55" w:name="_Toc30971"/>
      <w:bookmarkStart w:id="56" w:name="_Toc17857"/>
      <w:bookmarkStart w:id="57" w:name="_Toc31838"/>
      <w:bookmarkStart w:id="58" w:name="_Toc22676"/>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5526"/>
      <w:bookmarkStart w:id="68" w:name="_Toc11351"/>
      <w:bookmarkStart w:id="69" w:name="_Toc27661"/>
      <w:bookmarkStart w:id="70" w:name="_Toc12015"/>
      <w:bookmarkStart w:id="71" w:name="_Toc25638"/>
      <w:bookmarkStart w:id="72" w:name="_Toc20589"/>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2967"/>
      <w:bookmarkStart w:id="74" w:name="_Toc16435"/>
      <w:bookmarkStart w:id="75" w:name="_Toc2041"/>
      <w:bookmarkStart w:id="76" w:name="_Toc1074"/>
      <w:bookmarkStart w:id="77" w:name="_Toc23967"/>
      <w:bookmarkStart w:id="78" w:name="_Toc26969"/>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31686"/>
      <w:bookmarkStart w:id="80" w:name="_Toc26839"/>
      <w:bookmarkStart w:id="81" w:name="_Toc24806"/>
      <w:bookmarkStart w:id="82" w:name="_Toc28634"/>
      <w:bookmarkStart w:id="83" w:name="_Toc21082"/>
      <w:bookmarkStart w:id="84" w:name="_Toc1369"/>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p w14:paraId="32C57E3D">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 w:cs="Times New Roman"/>
          <w:sz w:val="24"/>
          <w:szCs w:val="24"/>
          <w:highlight w:val="none"/>
          <w:u w:val="none"/>
          <w:lang w:val="en-US" w:eastAsia="zh-CN"/>
        </w:rPr>
      </w:pPr>
      <w:r>
        <w:rPr>
          <w:rFonts w:hint="eastAsia" w:ascii="Times New Roman" w:hAnsi="Times New Roman" w:eastAsia="仿宋" w:cs="Times New Roman"/>
          <w:sz w:val="24"/>
          <w:szCs w:val="24"/>
          <w:highlight w:val="none"/>
          <w:lang w:val="en-US" w:eastAsia="zh-CN"/>
        </w:rPr>
        <w:t>公务用车车型及固定专线包车统一下浮率</w:t>
      </w:r>
      <w:r>
        <w:rPr>
          <w:rFonts w:hint="eastAsia" w:ascii="Times New Roman" w:hAnsi="Times New Roman" w:eastAsia="仿宋" w:cs="Times New Roman"/>
          <w:sz w:val="24"/>
          <w:szCs w:val="24"/>
          <w:highlight w:val="none"/>
          <w:u w:val="single"/>
          <w:lang w:val="en-US" w:eastAsia="zh-CN"/>
        </w:rPr>
        <w:t xml:space="preserve">          </w:t>
      </w:r>
      <w:r>
        <w:rPr>
          <w:rFonts w:hint="eastAsia" w:ascii="Times New Roman" w:hAnsi="Times New Roman" w:eastAsia="仿宋" w:cs="Times New Roman"/>
          <w:sz w:val="24"/>
          <w:szCs w:val="24"/>
          <w:highlight w:val="none"/>
          <w:u w:val="none"/>
          <w:lang w:val="en-US" w:eastAsia="zh-CN"/>
        </w:rPr>
        <w:t xml:space="preserve"> %</w:t>
      </w:r>
    </w:p>
    <w:p w14:paraId="65493521">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1"/>
        <w:rPr>
          <w:sz w:val="48"/>
          <w:szCs w:val="48"/>
          <w:highlight w:val="none"/>
        </w:rPr>
      </w:pPr>
      <w:r>
        <w:rPr>
          <w:rFonts w:hint="eastAsia"/>
          <w:sz w:val="48"/>
          <w:szCs w:val="48"/>
          <w:highlight w:val="none"/>
        </w:rPr>
        <w:t>*</w:t>
      </w:r>
      <w:r>
        <w:rPr>
          <w:sz w:val="48"/>
          <w:szCs w:val="48"/>
          <w:highlight w:val="none"/>
        </w:rPr>
        <w:t>**</w:t>
      </w:r>
      <w:r>
        <w:rPr>
          <w:rFonts w:hint="eastAsia"/>
          <w:sz w:val="48"/>
          <w:szCs w:val="48"/>
          <w:highlight w:val="none"/>
        </w:rPr>
        <w:t>服务项目</w:t>
      </w:r>
    </w:p>
    <w:p w14:paraId="622B975B">
      <w:pPr>
        <w:pStyle w:val="41"/>
        <w:rPr>
          <w:sz w:val="48"/>
          <w:szCs w:val="48"/>
          <w:highlight w:val="none"/>
        </w:rPr>
      </w:pPr>
      <w:r>
        <w:rPr>
          <w:rFonts w:hint="eastAsia"/>
          <w:sz w:val="48"/>
          <w:szCs w:val="48"/>
          <w:highlight w:val="none"/>
        </w:rPr>
        <w:t>采购</w:t>
      </w:r>
      <w:r>
        <w:rPr>
          <w:sz w:val="48"/>
          <w:szCs w:val="48"/>
          <w:highlight w:val="none"/>
        </w:rPr>
        <w:t>合同</w:t>
      </w:r>
    </w:p>
    <w:p w14:paraId="3987C57D">
      <w:pPr>
        <w:rPr>
          <w:sz w:val="24"/>
          <w:highlight w:val="none"/>
        </w:rPr>
        <w:sectPr>
          <w:headerReference r:id="rId6" w:type="default"/>
          <w:footerReference r:id="rId7" w:type="default"/>
          <w:footerReference r:id="rId8" w:type="even"/>
          <w:pgSz w:w="11906" w:h="16838"/>
          <w:pgMar w:top="1134" w:right="1134" w:bottom="1134" w:left="1134" w:header="850" w:footer="567" w:gutter="0"/>
          <w:pgNumType w:fmt="decimal"/>
          <w:cols w:space="425" w:num="1"/>
          <w:docGrid w:linePitch="312" w:charSpace="0"/>
        </w:sectPr>
      </w:pPr>
    </w:p>
    <w:p w14:paraId="51A81929">
      <w:pPr>
        <w:adjustRightInd w:val="0"/>
        <w:ind w:firstLine="420" w:firstLineChars="200"/>
        <w:contextualSpacing/>
        <w:jc w:val="left"/>
        <w:rPr>
          <w:color w:val="000000"/>
          <w:szCs w:val="21"/>
          <w:highlight w:val="none"/>
        </w:rPr>
      </w:pPr>
    </w:p>
    <w:p w14:paraId="38DA1C0D">
      <w:pPr>
        <w:adjustRightInd w:val="0"/>
        <w:ind w:firstLine="420" w:firstLineChars="200"/>
        <w:contextualSpacing/>
        <w:jc w:val="left"/>
        <w:rPr>
          <w:color w:val="000000"/>
          <w:szCs w:val="21"/>
          <w:highlight w:val="none"/>
        </w:rPr>
      </w:pPr>
    </w:p>
    <w:tbl>
      <w:tblPr>
        <w:tblStyle w:val="18"/>
        <w:tblW w:w="5000" w:type="pct"/>
        <w:jc w:val="center"/>
        <w:tblLayout w:type="autofit"/>
        <w:tblCellMar>
          <w:top w:w="0" w:type="dxa"/>
          <w:left w:w="0" w:type="dxa"/>
          <w:bottom w:w="0" w:type="dxa"/>
          <w:right w:w="0" w:type="dxa"/>
        </w:tblCellMar>
      </w:tblPr>
      <w:tblGrid>
        <w:gridCol w:w="4709"/>
        <w:gridCol w:w="4929"/>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highlight w:val="none"/>
              </w:rPr>
            </w:pPr>
            <w:r>
              <w:rPr>
                <w:b/>
                <w:bCs/>
                <w:color w:val="000000"/>
                <w:szCs w:val="21"/>
                <w:highlight w:val="none"/>
              </w:rPr>
              <w:t>合同编号</w:t>
            </w:r>
            <w:r>
              <w:rPr>
                <w:color w:val="000000"/>
                <w:szCs w:val="21"/>
                <w:highlight w:val="none"/>
              </w:rPr>
              <w:t>：CGZX-***</w:t>
            </w:r>
          </w:p>
          <w:p w14:paraId="2F6BC159">
            <w:pPr>
              <w:contextualSpacing/>
              <w:rPr>
                <w:color w:val="000000"/>
                <w:szCs w:val="21"/>
                <w:highlight w:val="none"/>
              </w:rPr>
            </w:pPr>
            <w:r>
              <w:rPr>
                <w:b/>
                <w:bCs/>
                <w:color w:val="000000"/>
                <w:szCs w:val="21"/>
                <w:highlight w:val="none"/>
              </w:rPr>
              <w:t>签订地点</w:t>
            </w:r>
            <w:r>
              <w:rPr>
                <w:color w:val="000000"/>
                <w:szCs w:val="21"/>
                <w:highlight w:val="none"/>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highlight w:val="none"/>
              </w:rPr>
            </w:pPr>
            <w:r>
              <w:rPr>
                <w:b/>
                <w:bCs/>
                <w:szCs w:val="21"/>
                <w:highlight w:val="none"/>
              </w:rPr>
              <w:t>采购人（以下简称甲方）</w:t>
            </w:r>
            <w:r>
              <w:rPr>
                <w:szCs w:val="21"/>
                <w:highlight w:val="none"/>
              </w:rPr>
              <w:t>：四川省人民医院</w:t>
            </w:r>
          </w:p>
          <w:p w14:paraId="2FDD4CAB">
            <w:pPr>
              <w:rPr>
                <w:szCs w:val="21"/>
                <w:highlight w:val="none"/>
              </w:rPr>
            </w:pPr>
            <w:r>
              <w:rPr>
                <w:b/>
                <w:bCs/>
                <w:szCs w:val="21"/>
                <w:highlight w:val="none"/>
              </w:rPr>
              <w:t>地址</w:t>
            </w:r>
            <w:r>
              <w:rPr>
                <w:szCs w:val="21"/>
                <w:highlight w:val="none"/>
              </w:rPr>
              <w:t>：四川省成都市一环路西二段32号</w:t>
            </w:r>
          </w:p>
          <w:p w14:paraId="0C626314">
            <w:pPr>
              <w:rPr>
                <w:szCs w:val="21"/>
                <w:highlight w:val="none"/>
              </w:rPr>
            </w:pPr>
            <w:r>
              <w:rPr>
                <w:b/>
                <w:bCs/>
                <w:szCs w:val="21"/>
                <w:highlight w:val="none"/>
              </w:rPr>
              <w:t>项目联系人：</w:t>
            </w:r>
            <w:r>
              <w:rPr>
                <w:rFonts w:hint="eastAsia"/>
                <w:szCs w:val="21"/>
                <w:highlight w:val="none"/>
                <w:lang w:val="en-US" w:eastAsia="zh-CN"/>
              </w:rPr>
              <w:t>费老师</w:t>
            </w:r>
            <w:r>
              <w:rPr>
                <w:szCs w:val="21"/>
                <w:highlight w:val="none"/>
              </w:rPr>
              <w:t xml:space="preserve"> </w:t>
            </w:r>
          </w:p>
          <w:p w14:paraId="55B6CA4B">
            <w:pPr>
              <w:rPr>
                <w:highlight w:val="none"/>
              </w:rPr>
            </w:pPr>
            <w:r>
              <w:rPr>
                <w:b/>
                <w:bCs/>
                <w:szCs w:val="21"/>
                <w:highlight w:val="none"/>
              </w:rPr>
              <w:t>电话：</w:t>
            </w:r>
            <w:r>
              <w:rPr>
                <w:szCs w:val="21"/>
                <w:highlight w:val="none"/>
              </w:rPr>
              <w:t>028-</w:t>
            </w:r>
            <w:r>
              <w:rPr>
                <w:rFonts w:hint="eastAsia"/>
                <w:szCs w:val="21"/>
                <w:highlight w:val="none"/>
                <w:lang w:val="en-US" w:eastAsia="zh-CN"/>
              </w:rPr>
              <w:t>87394783</w:t>
            </w:r>
          </w:p>
        </w:tc>
        <w:tc>
          <w:tcPr>
            <w:tcW w:w="5242" w:type="dxa"/>
          </w:tcPr>
          <w:p w14:paraId="607B7137">
            <w:pPr>
              <w:rPr>
                <w:b/>
                <w:bCs/>
                <w:szCs w:val="21"/>
                <w:highlight w:val="none"/>
              </w:rPr>
            </w:pPr>
            <w:r>
              <w:rPr>
                <w:b/>
                <w:bCs/>
                <w:szCs w:val="21"/>
                <w:highlight w:val="none"/>
              </w:rPr>
              <w:t>供应商（以下简称乙方）：***</w:t>
            </w:r>
          </w:p>
          <w:p w14:paraId="7AB3403D">
            <w:pPr>
              <w:rPr>
                <w:b/>
                <w:bCs/>
                <w:szCs w:val="21"/>
                <w:highlight w:val="none"/>
              </w:rPr>
            </w:pPr>
            <w:r>
              <w:rPr>
                <w:b/>
                <w:bCs/>
                <w:szCs w:val="21"/>
                <w:highlight w:val="none"/>
              </w:rPr>
              <w:t>地址：***</w:t>
            </w:r>
          </w:p>
          <w:p w14:paraId="49B46EA1">
            <w:pPr>
              <w:rPr>
                <w:b/>
                <w:bCs/>
                <w:szCs w:val="21"/>
                <w:highlight w:val="none"/>
              </w:rPr>
            </w:pPr>
            <w:r>
              <w:rPr>
                <w:b/>
                <w:bCs/>
                <w:szCs w:val="21"/>
                <w:highlight w:val="none"/>
              </w:rPr>
              <w:t>移动电话：***</w:t>
            </w:r>
          </w:p>
          <w:p w14:paraId="2A04E3BE">
            <w:pPr>
              <w:contextualSpacing/>
              <w:rPr>
                <w:b/>
                <w:bCs/>
                <w:szCs w:val="21"/>
                <w:highlight w:val="none"/>
              </w:rPr>
            </w:pPr>
            <w:r>
              <w:rPr>
                <w:b/>
                <w:bCs/>
                <w:szCs w:val="21"/>
                <w:highlight w:val="none"/>
              </w:rPr>
              <w:t>联系人：***</w:t>
            </w:r>
          </w:p>
          <w:p w14:paraId="18A1ADEB">
            <w:pPr>
              <w:rPr>
                <w:bCs/>
                <w:szCs w:val="21"/>
                <w:highlight w:val="none"/>
              </w:rPr>
            </w:pPr>
            <w:r>
              <w:rPr>
                <w:rFonts w:hint="eastAsia"/>
                <w:b/>
                <w:bCs/>
                <w:szCs w:val="21"/>
                <w:highlight w:val="none"/>
              </w:rPr>
              <w:t>电子邮件：</w:t>
            </w:r>
            <w:r>
              <w:rPr>
                <w:rFonts w:hint="eastAsia"/>
                <w:szCs w:val="21"/>
                <w:highlight w:val="none"/>
              </w:rPr>
              <w:t>*</w:t>
            </w:r>
            <w:r>
              <w:rPr>
                <w:szCs w:val="21"/>
                <w:highlight w:val="none"/>
              </w:rPr>
              <w:t>**</w:t>
            </w:r>
          </w:p>
        </w:tc>
      </w:tr>
    </w:tbl>
    <w:p w14:paraId="5F2EEB2D">
      <w:pPr>
        <w:ind w:firstLine="420" w:firstLineChars="200"/>
        <w:contextualSpacing/>
        <w:jc w:val="left"/>
        <w:rPr>
          <w:color w:val="000000"/>
          <w:szCs w:val="21"/>
          <w:highlight w:val="none"/>
        </w:rPr>
      </w:pPr>
    </w:p>
    <w:p w14:paraId="2600F949">
      <w:pPr>
        <w:adjustRightInd w:val="0"/>
        <w:ind w:firstLine="420" w:firstLineChars="200"/>
        <w:contextualSpacing/>
        <w:jc w:val="left"/>
        <w:rPr>
          <w:b/>
          <w:szCs w:val="21"/>
          <w:highlight w:val="none"/>
        </w:rPr>
      </w:pPr>
      <w:r>
        <w:rPr>
          <w:rFonts w:hint="eastAsia"/>
          <w:color w:val="000000"/>
          <w:szCs w:val="21"/>
          <w:highlight w:val="none"/>
        </w:rPr>
        <w:t>根</w:t>
      </w:r>
      <w:r>
        <w:rPr>
          <w:color w:val="000000"/>
          <w:szCs w:val="21"/>
          <w:highlight w:val="none"/>
        </w:rPr>
        <w:t>据《中华人民共和国民法典》及甲方发布的***项目（项目编号</w:t>
      </w:r>
      <w:permStart w:id="0" w:edGrp="everyone"/>
      <w:r>
        <w:rPr>
          <w:color w:val="000000"/>
          <w:szCs w:val="21"/>
          <w:highlight w:val="none"/>
        </w:rPr>
        <w:t>：</w:t>
      </w:r>
      <w:r>
        <w:rPr>
          <w:szCs w:val="21"/>
          <w:highlight w:val="none"/>
        </w:rPr>
        <w:t>***</w:t>
      </w:r>
      <w:permEnd w:id="0"/>
      <w:r>
        <w:rPr>
          <w:color w:val="000000"/>
          <w:szCs w:val="21"/>
          <w:highlight w:val="none"/>
        </w:rPr>
        <w:t>）《采购文件》、乙方的《</w:t>
      </w:r>
      <w:r>
        <w:rPr>
          <w:rFonts w:hint="eastAsia"/>
          <w:color w:val="000000"/>
          <w:szCs w:val="21"/>
          <w:highlight w:val="none"/>
        </w:rPr>
        <w:t>响应</w:t>
      </w:r>
      <w:r>
        <w:rPr>
          <w:color w:val="000000"/>
          <w:szCs w:val="21"/>
          <w:highlight w:val="none"/>
        </w:rPr>
        <w:t>文件》，甲、乙双方同意签订本合同。详细技术说明及其他有关合同项目的特定信息可由合同附件予以说明，合同附件及本项目的《采购文件》、《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0E683A7E">
      <w:pPr>
        <w:contextualSpacing/>
        <w:jc w:val="left"/>
        <w:rPr>
          <w:b/>
          <w:szCs w:val="21"/>
          <w:highlight w:val="none"/>
        </w:rPr>
      </w:pPr>
    </w:p>
    <w:p w14:paraId="4F98A680">
      <w:pPr>
        <w:pStyle w:val="29"/>
        <w:numPr>
          <w:ilvl w:val="0"/>
          <w:numId w:val="13"/>
        </w:numPr>
        <w:ind w:left="0" w:firstLine="0" w:firstLineChars="0"/>
        <w:contextualSpacing/>
        <w:jc w:val="left"/>
        <w:rPr>
          <w:b/>
          <w:szCs w:val="21"/>
          <w:highlight w:val="none"/>
        </w:rPr>
      </w:pPr>
      <w:r>
        <w:rPr>
          <w:b/>
          <w:szCs w:val="21"/>
          <w:highlight w:val="none"/>
        </w:rPr>
        <w:t>合同标的</w:t>
      </w:r>
    </w:p>
    <w:p w14:paraId="2E385537">
      <w:pPr>
        <w:pStyle w:val="9"/>
        <w:numPr>
          <w:ilvl w:val="0"/>
          <w:numId w:val="14"/>
        </w:numPr>
        <w:spacing w:after="0" w:line="240" w:lineRule="auto"/>
        <w:ind w:left="210" w:leftChars="0" w:hanging="210" w:hangingChars="100"/>
        <w:contextualSpacing/>
        <w:jc w:val="left"/>
        <w:rPr>
          <w:szCs w:val="21"/>
          <w:highlight w:val="none"/>
        </w:rPr>
      </w:pPr>
      <w:r>
        <w:rPr>
          <w:szCs w:val="21"/>
          <w:highlight w:val="none"/>
        </w:rPr>
        <w:t>标的名称：</w:t>
      </w:r>
      <w:permStart w:id="1" w:edGrp="everyone"/>
      <w:r>
        <w:rPr>
          <w:szCs w:val="21"/>
          <w:highlight w:val="none"/>
        </w:rPr>
        <w:t>***</w:t>
      </w:r>
      <w:permEnd w:id="1"/>
      <w:r>
        <w:rPr>
          <w:szCs w:val="21"/>
          <w:highlight w:val="none"/>
        </w:rPr>
        <w:t>。</w:t>
      </w:r>
    </w:p>
    <w:p w14:paraId="4229FB38">
      <w:pPr>
        <w:pStyle w:val="9"/>
        <w:numPr>
          <w:ilvl w:val="0"/>
          <w:numId w:val="14"/>
        </w:numPr>
        <w:spacing w:after="0" w:line="240" w:lineRule="auto"/>
        <w:ind w:left="210" w:leftChars="0" w:hanging="210" w:hangingChars="100"/>
        <w:contextualSpacing/>
        <w:jc w:val="left"/>
        <w:rPr>
          <w:szCs w:val="21"/>
          <w:highlight w:val="none"/>
        </w:rPr>
      </w:pPr>
      <w:r>
        <w:rPr>
          <w:rFonts w:hint="eastAsia"/>
          <w:szCs w:val="21"/>
          <w:highlight w:val="none"/>
        </w:rPr>
        <w:t>乙方向甲方提供服务的主要内容：*</w:t>
      </w:r>
      <w:r>
        <w:rPr>
          <w:szCs w:val="21"/>
          <w:highlight w:val="none"/>
        </w:rPr>
        <w:t>**</w:t>
      </w:r>
      <w:r>
        <w:rPr>
          <w:rFonts w:hint="eastAsia"/>
          <w:szCs w:val="21"/>
          <w:highlight w:val="none"/>
        </w:rPr>
        <w:t>。</w:t>
      </w:r>
    </w:p>
    <w:p w14:paraId="5F975DD2">
      <w:pPr>
        <w:pStyle w:val="9"/>
        <w:numPr>
          <w:ilvl w:val="0"/>
          <w:numId w:val="14"/>
        </w:numPr>
        <w:spacing w:after="0" w:line="240" w:lineRule="auto"/>
        <w:ind w:left="210" w:leftChars="0" w:hanging="210" w:hangingChars="100"/>
        <w:contextualSpacing/>
        <w:jc w:val="left"/>
        <w:rPr>
          <w:szCs w:val="21"/>
          <w:highlight w:val="none"/>
        </w:rPr>
      </w:pPr>
      <w:r>
        <w:rPr>
          <w:rFonts w:hint="eastAsia"/>
          <w:szCs w:val="21"/>
          <w:highlight w:val="none"/>
        </w:rPr>
        <w:t>服务分项明细：</w:t>
      </w:r>
      <w:r>
        <w:rPr>
          <w:rFonts w:hint="eastAsia"/>
          <w:i/>
          <w:iCs/>
          <w:color w:val="000000"/>
          <w:szCs w:val="21"/>
          <w:highlight w:val="none"/>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highlight w:val="none"/>
              </w:rPr>
            </w:pPr>
            <w:r>
              <w:rPr>
                <w:color w:val="000000"/>
                <w:szCs w:val="21"/>
                <w:highlight w:val="none"/>
              </w:rPr>
              <w:t>序号</w:t>
            </w:r>
          </w:p>
        </w:tc>
        <w:tc>
          <w:tcPr>
            <w:tcW w:w="2977" w:type="dxa"/>
            <w:vAlign w:val="center"/>
          </w:tcPr>
          <w:p w14:paraId="42032E31">
            <w:pPr>
              <w:pStyle w:val="29"/>
              <w:ind w:firstLine="0" w:firstLineChars="0"/>
              <w:jc w:val="center"/>
              <w:rPr>
                <w:color w:val="000000"/>
                <w:szCs w:val="21"/>
                <w:highlight w:val="none"/>
              </w:rPr>
            </w:pPr>
            <w:r>
              <w:rPr>
                <w:color w:val="000000"/>
                <w:szCs w:val="21"/>
                <w:highlight w:val="none"/>
              </w:rPr>
              <w:t>分项</w:t>
            </w:r>
            <w:r>
              <w:rPr>
                <w:rFonts w:hint="eastAsia"/>
                <w:color w:val="000000"/>
                <w:szCs w:val="21"/>
                <w:highlight w:val="none"/>
              </w:rPr>
              <w:t>服务</w:t>
            </w:r>
            <w:r>
              <w:rPr>
                <w:color w:val="000000"/>
                <w:szCs w:val="21"/>
                <w:highlight w:val="none"/>
              </w:rPr>
              <w:t>名称</w:t>
            </w:r>
          </w:p>
        </w:tc>
        <w:tc>
          <w:tcPr>
            <w:tcW w:w="3686" w:type="dxa"/>
            <w:vAlign w:val="center"/>
          </w:tcPr>
          <w:p w14:paraId="0F0FDBF4">
            <w:pPr>
              <w:pStyle w:val="29"/>
              <w:ind w:firstLine="0" w:firstLineChars="0"/>
              <w:jc w:val="center"/>
              <w:rPr>
                <w:color w:val="000000"/>
                <w:szCs w:val="21"/>
                <w:highlight w:val="none"/>
              </w:rPr>
            </w:pPr>
            <w:r>
              <w:rPr>
                <w:color w:val="000000"/>
                <w:szCs w:val="21"/>
                <w:highlight w:val="none"/>
              </w:rPr>
              <w:t>具体内容</w:t>
            </w:r>
          </w:p>
        </w:tc>
        <w:tc>
          <w:tcPr>
            <w:tcW w:w="963" w:type="dxa"/>
            <w:vAlign w:val="center"/>
          </w:tcPr>
          <w:p w14:paraId="6E75E46C">
            <w:pPr>
              <w:pStyle w:val="29"/>
              <w:ind w:firstLine="0" w:firstLineChars="0"/>
              <w:jc w:val="center"/>
              <w:rPr>
                <w:color w:val="000000"/>
                <w:szCs w:val="21"/>
                <w:highlight w:val="none"/>
              </w:rPr>
            </w:pPr>
            <w:r>
              <w:rPr>
                <w:color w:val="000000"/>
                <w:szCs w:val="21"/>
                <w:highlight w:val="none"/>
              </w:rPr>
              <w:t>分项价格（万元）</w:t>
            </w:r>
          </w:p>
        </w:tc>
        <w:tc>
          <w:tcPr>
            <w:tcW w:w="2016" w:type="dxa"/>
          </w:tcPr>
          <w:p w14:paraId="3BC8F9B2">
            <w:pPr>
              <w:pStyle w:val="29"/>
              <w:ind w:firstLine="0" w:firstLineChars="0"/>
              <w:jc w:val="center"/>
              <w:rPr>
                <w:color w:val="000000"/>
                <w:szCs w:val="21"/>
                <w:highlight w:val="none"/>
              </w:rPr>
            </w:pPr>
            <w:r>
              <w:rPr>
                <w:color w:val="000000"/>
                <w:szCs w:val="21"/>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highlight w:val="none"/>
              </w:rPr>
            </w:pPr>
            <w:r>
              <w:rPr>
                <w:rFonts w:hint="eastAsia"/>
                <w:color w:val="000000"/>
                <w:szCs w:val="21"/>
                <w:highlight w:val="none"/>
              </w:rPr>
              <w:t>1</w:t>
            </w:r>
          </w:p>
        </w:tc>
        <w:tc>
          <w:tcPr>
            <w:tcW w:w="2977" w:type="dxa"/>
            <w:vAlign w:val="center"/>
          </w:tcPr>
          <w:p w14:paraId="629F7C51">
            <w:pPr>
              <w:pStyle w:val="29"/>
              <w:ind w:firstLine="0" w:firstLineChars="0"/>
              <w:rPr>
                <w:color w:val="000000"/>
                <w:szCs w:val="21"/>
                <w:highlight w:val="none"/>
              </w:rPr>
            </w:pPr>
          </w:p>
        </w:tc>
        <w:tc>
          <w:tcPr>
            <w:tcW w:w="3686" w:type="dxa"/>
            <w:vAlign w:val="center"/>
          </w:tcPr>
          <w:p w14:paraId="1B711F72">
            <w:pPr>
              <w:pStyle w:val="29"/>
              <w:ind w:firstLine="0" w:firstLineChars="0"/>
              <w:rPr>
                <w:color w:val="000000"/>
                <w:szCs w:val="21"/>
                <w:highlight w:val="none"/>
              </w:rPr>
            </w:pPr>
          </w:p>
        </w:tc>
        <w:tc>
          <w:tcPr>
            <w:tcW w:w="963" w:type="dxa"/>
            <w:vAlign w:val="center"/>
          </w:tcPr>
          <w:p w14:paraId="5DD02118">
            <w:pPr>
              <w:pStyle w:val="29"/>
              <w:ind w:firstLine="0" w:firstLineChars="0"/>
              <w:jc w:val="center"/>
              <w:rPr>
                <w:color w:val="000000"/>
                <w:szCs w:val="21"/>
                <w:highlight w:val="none"/>
              </w:rPr>
            </w:pPr>
          </w:p>
        </w:tc>
        <w:tc>
          <w:tcPr>
            <w:tcW w:w="2016" w:type="dxa"/>
          </w:tcPr>
          <w:p w14:paraId="149276E7">
            <w:pPr>
              <w:pStyle w:val="29"/>
              <w:ind w:firstLine="0" w:firstLineChars="0"/>
              <w:rPr>
                <w:color w:val="000000"/>
                <w:szCs w:val="21"/>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highlight w:val="none"/>
              </w:rPr>
            </w:pPr>
            <w:r>
              <w:rPr>
                <w:rFonts w:hint="eastAsia"/>
                <w:color w:val="000000"/>
                <w:szCs w:val="21"/>
                <w:highlight w:val="none"/>
              </w:rPr>
              <w:t>2</w:t>
            </w:r>
          </w:p>
        </w:tc>
        <w:tc>
          <w:tcPr>
            <w:tcW w:w="2977" w:type="dxa"/>
            <w:vAlign w:val="center"/>
          </w:tcPr>
          <w:p w14:paraId="0E44D544">
            <w:pPr>
              <w:pStyle w:val="29"/>
              <w:ind w:firstLine="0" w:firstLineChars="0"/>
              <w:rPr>
                <w:color w:val="000000"/>
                <w:szCs w:val="21"/>
                <w:highlight w:val="none"/>
              </w:rPr>
            </w:pPr>
          </w:p>
        </w:tc>
        <w:tc>
          <w:tcPr>
            <w:tcW w:w="3686" w:type="dxa"/>
            <w:vAlign w:val="center"/>
          </w:tcPr>
          <w:p w14:paraId="01B65D9C">
            <w:pPr>
              <w:pStyle w:val="29"/>
              <w:ind w:firstLine="0" w:firstLineChars="0"/>
              <w:rPr>
                <w:color w:val="000000"/>
                <w:szCs w:val="21"/>
                <w:highlight w:val="none"/>
              </w:rPr>
            </w:pPr>
          </w:p>
        </w:tc>
        <w:tc>
          <w:tcPr>
            <w:tcW w:w="963" w:type="dxa"/>
            <w:vAlign w:val="center"/>
          </w:tcPr>
          <w:p w14:paraId="4C31DD39">
            <w:pPr>
              <w:pStyle w:val="29"/>
              <w:ind w:firstLine="0" w:firstLineChars="0"/>
              <w:jc w:val="center"/>
              <w:rPr>
                <w:color w:val="000000"/>
                <w:szCs w:val="21"/>
                <w:highlight w:val="none"/>
              </w:rPr>
            </w:pPr>
          </w:p>
        </w:tc>
        <w:tc>
          <w:tcPr>
            <w:tcW w:w="2016" w:type="dxa"/>
          </w:tcPr>
          <w:p w14:paraId="3000AC5A">
            <w:pPr>
              <w:pStyle w:val="29"/>
              <w:ind w:firstLine="0" w:firstLineChars="0"/>
              <w:rPr>
                <w:color w:val="000000"/>
                <w:szCs w:val="21"/>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highlight w:val="none"/>
              </w:rPr>
            </w:pPr>
            <w:r>
              <w:rPr>
                <w:rFonts w:hint="eastAsia"/>
                <w:color w:val="000000"/>
                <w:szCs w:val="21"/>
                <w:highlight w:val="none"/>
              </w:rPr>
              <w:t>3</w:t>
            </w:r>
          </w:p>
        </w:tc>
        <w:tc>
          <w:tcPr>
            <w:tcW w:w="2977" w:type="dxa"/>
            <w:vAlign w:val="center"/>
          </w:tcPr>
          <w:p w14:paraId="71D5F885">
            <w:pPr>
              <w:pStyle w:val="29"/>
              <w:ind w:firstLine="0" w:firstLineChars="0"/>
              <w:rPr>
                <w:color w:val="000000"/>
                <w:szCs w:val="21"/>
                <w:highlight w:val="none"/>
              </w:rPr>
            </w:pPr>
          </w:p>
        </w:tc>
        <w:tc>
          <w:tcPr>
            <w:tcW w:w="3686" w:type="dxa"/>
            <w:vAlign w:val="center"/>
          </w:tcPr>
          <w:p w14:paraId="38AC0A57">
            <w:pPr>
              <w:pStyle w:val="29"/>
              <w:ind w:firstLine="0" w:firstLineChars="0"/>
              <w:rPr>
                <w:color w:val="000000"/>
                <w:szCs w:val="21"/>
                <w:highlight w:val="none"/>
              </w:rPr>
            </w:pPr>
          </w:p>
        </w:tc>
        <w:tc>
          <w:tcPr>
            <w:tcW w:w="963" w:type="dxa"/>
            <w:vAlign w:val="center"/>
          </w:tcPr>
          <w:p w14:paraId="3B158765">
            <w:pPr>
              <w:pStyle w:val="29"/>
              <w:ind w:firstLine="0" w:firstLineChars="0"/>
              <w:jc w:val="center"/>
              <w:rPr>
                <w:color w:val="000000"/>
                <w:szCs w:val="21"/>
                <w:highlight w:val="none"/>
              </w:rPr>
            </w:pPr>
          </w:p>
        </w:tc>
        <w:tc>
          <w:tcPr>
            <w:tcW w:w="2016" w:type="dxa"/>
          </w:tcPr>
          <w:p w14:paraId="43F7F4B9">
            <w:pPr>
              <w:pStyle w:val="29"/>
              <w:ind w:firstLine="0" w:firstLineChars="0"/>
              <w:rPr>
                <w:color w:val="000000"/>
                <w:szCs w:val="21"/>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highlight w:val="none"/>
              </w:rPr>
            </w:pPr>
            <w:r>
              <w:rPr>
                <w:color w:val="000000"/>
                <w:szCs w:val="21"/>
                <w:highlight w:val="none"/>
              </w:rPr>
              <w:t>…</w:t>
            </w:r>
          </w:p>
        </w:tc>
        <w:tc>
          <w:tcPr>
            <w:tcW w:w="2977" w:type="dxa"/>
            <w:vAlign w:val="center"/>
          </w:tcPr>
          <w:p w14:paraId="492CFE5D">
            <w:pPr>
              <w:pStyle w:val="29"/>
              <w:ind w:firstLine="0" w:firstLineChars="0"/>
              <w:rPr>
                <w:color w:val="000000"/>
                <w:szCs w:val="21"/>
                <w:highlight w:val="none"/>
              </w:rPr>
            </w:pPr>
          </w:p>
        </w:tc>
        <w:tc>
          <w:tcPr>
            <w:tcW w:w="3686" w:type="dxa"/>
            <w:vAlign w:val="center"/>
          </w:tcPr>
          <w:p w14:paraId="5E27032F">
            <w:pPr>
              <w:pStyle w:val="29"/>
              <w:ind w:firstLine="0" w:firstLineChars="0"/>
              <w:rPr>
                <w:color w:val="000000"/>
                <w:szCs w:val="21"/>
                <w:highlight w:val="none"/>
              </w:rPr>
            </w:pPr>
          </w:p>
        </w:tc>
        <w:tc>
          <w:tcPr>
            <w:tcW w:w="963" w:type="dxa"/>
            <w:vAlign w:val="center"/>
          </w:tcPr>
          <w:p w14:paraId="19B21445">
            <w:pPr>
              <w:pStyle w:val="29"/>
              <w:ind w:firstLine="0" w:firstLineChars="0"/>
              <w:jc w:val="center"/>
              <w:rPr>
                <w:color w:val="000000"/>
                <w:szCs w:val="21"/>
                <w:highlight w:val="none"/>
              </w:rPr>
            </w:pPr>
          </w:p>
        </w:tc>
        <w:tc>
          <w:tcPr>
            <w:tcW w:w="2016" w:type="dxa"/>
          </w:tcPr>
          <w:p w14:paraId="5FC047A6">
            <w:pPr>
              <w:pStyle w:val="29"/>
              <w:ind w:firstLine="0" w:firstLineChars="0"/>
              <w:rPr>
                <w:color w:val="000000"/>
                <w:szCs w:val="21"/>
                <w:highlight w:val="none"/>
              </w:rPr>
            </w:pPr>
          </w:p>
        </w:tc>
      </w:tr>
    </w:tbl>
    <w:p w14:paraId="2D35C912">
      <w:pPr>
        <w:pStyle w:val="29"/>
        <w:numPr>
          <w:ilvl w:val="0"/>
          <w:numId w:val="13"/>
        </w:numPr>
        <w:ind w:firstLineChars="0"/>
        <w:jc w:val="left"/>
        <w:rPr>
          <w:b/>
          <w:szCs w:val="21"/>
          <w:highlight w:val="none"/>
        </w:rPr>
      </w:pPr>
      <w:r>
        <w:rPr>
          <w:b/>
          <w:szCs w:val="21"/>
          <w:highlight w:val="none"/>
        </w:rPr>
        <w:t>合同</w:t>
      </w:r>
      <w:r>
        <w:rPr>
          <w:rFonts w:hint="eastAsia"/>
          <w:b/>
          <w:szCs w:val="21"/>
          <w:highlight w:val="none"/>
        </w:rPr>
        <w:t>价款</w:t>
      </w:r>
    </w:p>
    <w:p w14:paraId="036F89BD">
      <w:pPr>
        <w:ind w:firstLine="480"/>
        <w:contextualSpacing/>
        <w:jc w:val="left"/>
        <w:rPr>
          <w:szCs w:val="21"/>
          <w:highlight w:val="none"/>
        </w:rPr>
      </w:pPr>
      <w:bookmarkStart w:id="95" w:name="OLE_LINK2"/>
      <w:bookmarkStart w:id="96" w:name="OLE_LINK1"/>
      <w:r>
        <w:rPr>
          <w:color w:val="000000"/>
          <w:szCs w:val="21"/>
          <w:highlight w:val="none"/>
        </w:rPr>
        <w:sym w:font="Wingdings 2" w:char="F052"/>
      </w:r>
      <w:r>
        <w:rPr>
          <w:rFonts w:hint="eastAsia"/>
          <w:szCs w:val="21"/>
          <w:highlight w:val="none"/>
        </w:rPr>
        <w:t>全包服务</w:t>
      </w:r>
    </w:p>
    <w:p w14:paraId="6903D519">
      <w:pPr>
        <w:ind w:left="420" w:leftChars="200" w:firstLine="420" w:firstLineChars="200"/>
        <w:contextualSpacing/>
        <w:jc w:val="left"/>
        <w:rPr>
          <w:szCs w:val="21"/>
          <w:highlight w:val="none"/>
        </w:rPr>
      </w:pPr>
      <w:r>
        <w:rPr>
          <w:szCs w:val="21"/>
          <w:highlight w:val="none"/>
        </w:rPr>
        <w:t>合同总价（含税）为人民币大写：*** 圆整，即RMB *** 元</w:t>
      </w:r>
      <w:r>
        <w:rPr>
          <w:rFonts w:hint="eastAsia"/>
          <w:szCs w:val="21"/>
          <w:highlight w:val="none"/>
        </w:rPr>
        <w:t>，</w:t>
      </w:r>
      <w:r>
        <w:rPr>
          <w:szCs w:val="21"/>
          <w:highlight w:val="none"/>
        </w:rPr>
        <w:t>该合同总价已包括本合同标的所涉及的所有相关费用（包括但不限于技术服务、差旅</w:t>
      </w:r>
      <w:r>
        <w:rPr>
          <w:rFonts w:hint="eastAsia"/>
          <w:szCs w:val="21"/>
          <w:highlight w:val="none"/>
        </w:rPr>
        <w:t>交通</w:t>
      </w:r>
      <w:r>
        <w:rPr>
          <w:szCs w:val="21"/>
          <w:highlight w:val="none"/>
        </w:rPr>
        <w:t>、</w:t>
      </w:r>
      <w:r>
        <w:rPr>
          <w:rFonts w:hint="eastAsia"/>
          <w:szCs w:val="21"/>
          <w:highlight w:val="none"/>
        </w:rPr>
        <w:t>原材料、备品备件及</w:t>
      </w:r>
      <w:r>
        <w:rPr>
          <w:szCs w:val="21"/>
          <w:highlight w:val="none"/>
        </w:rPr>
        <w:t>税费</w:t>
      </w:r>
      <w:r>
        <w:rPr>
          <w:rFonts w:hint="eastAsia"/>
          <w:szCs w:val="21"/>
          <w:highlight w:val="none"/>
        </w:rPr>
        <w:t>等在内</w:t>
      </w:r>
      <w:r>
        <w:rPr>
          <w:szCs w:val="21"/>
          <w:highlight w:val="none"/>
        </w:rPr>
        <w:t>的全部含税费用）。本合同执行期间合同总价不变，甲方无须另向乙方支付本合同规定之外的其他任何费用。</w:t>
      </w:r>
    </w:p>
    <w:p w14:paraId="53131E2F">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半包服务</w:t>
      </w:r>
    </w:p>
    <w:p w14:paraId="1F79E5D1">
      <w:pPr>
        <w:ind w:left="420" w:leftChars="200" w:firstLine="420" w:firstLineChars="200"/>
        <w:contextualSpacing/>
        <w:jc w:val="left"/>
        <w:rPr>
          <w:szCs w:val="21"/>
          <w:highlight w:val="none"/>
        </w:rPr>
      </w:pPr>
      <w:r>
        <w:rPr>
          <w:rFonts w:hint="eastAsia"/>
          <w:szCs w:val="21"/>
          <w:highlight w:val="none"/>
        </w:rPr>
        <w:t>1</w:t>
      </w:r>
      <w:r>
        <w:rPr>
          <w:szCs w:val="21"/>
          <w:highlight w:val="none"/>
        </w:rPr>
        <w:t>.</w:t>
      </w:r>
      <w:r>
        <w:rPr>
          <w:rFonts w:hint="eastAsia"/>
          <w:szCs w:val="21"/>
          <w:highlight w:val="none"/>
        </w:rPr>
        <w:t>本合同固定部分价款为</w:t>
      </w:r>
      <w:bookmarkStart w:id="97" w:name="OLE_LINK28"/>
      <w:r>
        <w:rPr>
          <w:szCs w:val="21"/>
          <w:highlight w:val="none"/>
        </w:rPr>
        <w:t>人民币大写：*** 圆整，即RMB *** 元</w:t>
      </w:r>
      <w:bookmarkEnd w:id="97"/>
      <w:r>
        <w:rPr>
          <w:rFonts w:hint="eastAsia"/>
          <w:szCs w:val="21"/>
          <w:highlight w:val="none"/>
        </w:rPr>
        <w:t>，</w:t>
      </w:r>
      <w:r>
        <w:rPr>
          <w:szCs w:val="21"/>
          <w:highlight w:val="none"/>
        </w:rPr>
        <w:t>该</w:t>
      </w:r>
      <w:r>
        <w:rPr>
          <w:rFonts w:hint="eastAsia"/>
          <w:szCs w:val="21"/>
          <w:highlight w:val="none"/>
        </w:rPr>
        <w:t>部分价款</w:t>
      </w:r>
      <w:r>
        <w:rPr>
          <w:szCs w:val="21"/>
          <w:highlight w:val="none"/>
        </w:rPr>
        <w:t>已包括</w:t>
      </w:r>
      <w:r>
        <w:rPr>
          <w:rFonts w:hint="eastAsia"/>
          <w:szCs w:val="21"/>
          <w:highlight w:val="none"/>
        </w:rPr>
        <w:t>*</w:t>
      </w:r>
      <w:r>
        <w:rPr>
          <w:szCs w:val="21"/>
          <w:highlight w:val="none"/>
        </w:rPr>
        <w:t>**</w:t>
      </w:r>
      <w:r>
        <w:rPr>
          <w:rFonts w:hint="eastAsia"/>
          <w:szCs w:val="21"/>
          <w:highlight w:val="none"/>
        </w:rPr>
        <w:t>及</w:t>
      </w:r>
      <w:r>
        <w:rPr>
          <w:szCs w:val="21"/>
          <w:highlight w:val="none"/>
        </w:rPr>
        <w:t>税费</w:t>
      </w:r>
      <w:r>
        <w:rPr>
          <w:rFonts w:hint="eastAsia"/>
          <w:szCs w:val="21"/>
          <w:highlight w:val="none"/>
        </w:rPr>
        <w:t>在内</w:t>
      </w:r>
      <w:r>
        <w:rPr>
          <w:szCs w:val="21"/>
          <w:highlight w:val="none"/>
        </w:rPr>
        <w:t>的全部含税费用。本合同执行期间</w:t>
      </w:r>
      <w:r>
        <w:rPr>
          <w:rFonts w:hint="eastAsia"/>
          <w:szCs w:val="21"/>
          <w:highlight w:val="none"/>
        </w:rPr>
        <w:t>该部分</w:t>
      </w:r>
      <w:r>
        <w:rPr>
          <w:szCs w:val="21"/>
          <w:highlight w:val="none"/>
        </w:rPr>
        <w:t>合同</w:t>
      </w:r>
      <w:r>
        <w:rPr>
          <w:rFonts w:hint="eastAsia"/>
          <w:szCs w:val="21"/>
          <w:highlight w:val="none"/>
        </w:rPr>
        <w:t>价款</w:t>
      </w:r>
      <w:r>
        <w:rPr>
          <w:szCs w:val="21"/>
          <w:highlight w:val="none"/>
        </w:rPr>
        <w:t>不变，甲方无须向乙方支付本合同规定之外的其他任何费用。</w:t>
      </w:r>
    </w:p>
    <w:p w14:paraId="22723641">
      <w:pPr>
        <w:ind w:left="420" w:leftChars="200" w:firstLine="420" w:firstLineChars="200"/>
        <w:contextualSpacing/>
        <w:jc w:val="left"/>
        <w:rPr>
          <w:szCs w:val="21"/>
          <w:highlight w:val="none"/>
        </w:rPr>
      </w:pPr>
      <w:r>
        <w:rPr>
          <w:rFonts w:hint="eastAsia"/>
          <w:szCs w:val="21"/>
          <w:highlight w:val="none"/>
        </w:rPr>
        <w:t>2</w:t>
      </w:r>
      <w:r>
        <w:rPr>
          <w:szCs w:val="21"/>
          <w:highlight w:val="none"/>
        </w:rPr>
        <w:t>.</w:t>
      </w:r>
      <w:r>
        <w:rPr>
          <w:rFonts w:hint="eastAsia"/>
          <w:szCs w:val="21"/>
          <w:highlight w:val="none"/>
        </w:rPr>
        <w:t>本合同按实结算部分支付总额不超过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12981F5A">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按实结算</w:t>
      </w:r>
    </w:p>
    <w:p w14:paraId="70F77AF6">
      <w:pPr>
        <w:ind w:left="420" w:leftChars="200" w:firstLine="420" w:firstLineChars="200"/>
        <w:contextualSpacing/>
        <w:jc w:val="left"/>
        <w:rPr>
          <w:szCs w:val="21"/>
          <w:highlight w:val="none"/>
        </w:rPr>
      </w:pPr>
      <w:r>
        <w:rPr>
          <w:rFonts w:hint="eastAsia"/>
          <w:szCs w:val="21"/>
          <w:highlight w:val="none"/>
        </w:rPr>
        <w:t>本合同支付总额不超过</w:t>
      </w:r>
      <w:r>
        <w:rPr>
          <w:szCs w:val="21"/>
          <w:highlight w:val="none"/>
        </w:rPr>
        <w:t>人民币大写：*** 圆整，即RMB *** 元</w:t>
      </w:r>
      <w:r>
        <w:rPr>
          <w:rFonts w:hint="eastAsia"/>
          <w:szCs w:val="21"/>
          <w:highlight w:val="none"/>
        </w:rPr>
        <w:t>，依据本合同单价进行结算，结算单价详见附件1《结算单价清单》。</w:t>
      </w:r>
    </w:p>
    <w:bookmarkEnd w:id="95"/>
    <w:bookmarkEnd w:id="96"/>
    <w:p w14:paraId="61352334">
      <w:pPr>
        <w:pStyle w:val="29"/>
        <w:numPr>
          <w:ilvl w:val="0"/>
          <w:numId w:val="13"/>
        </w:numPr>
        <w:ind w:left="0" w:firstLine="0" w:firstLineChars="0"/>
        <w:jc w:val="left"/>
        <w:rPr>
          <w:b/>
          <w:szCs w:val="21"/>
          <w:highlight w:val="none"/>
        </w:rPr>
      </w:pPr>
      <w:r>
        <w:rPr>
          <w:b/>
          <w:szCs w:val="21"/>
          <w:highlight w:val="none"/>
        </w:rPr>
        <w:t>服务期限</w:t>
      </w:r>
      <w:r>
        <w:rPr>
          <w:i/>
          <w:iCs/>
          <w:szCs w:val="21"/>
          <w:highlight w:val="none"/>
        </w:rPr>
        <w:t>&lt;根据项目实际情况选择&gt;</w:t>
      </w:r>
    </w:p>
    <w:p w14:paraId="4E947B0D">
      <w:pPr>
        <w:pStyle w:val="29"/>
        <w:jc w:val="left"/>
        <w:rPr>
          <w:bCs/>
          <w:szCs w:val="21"/>
          <w:highlight w:val="none"/>
        </w:rPr>
      </w:pPr>
      <w:r>
        <w:rPr>
          <w:color w:val="000000"/>
          <w:szCs w:val="21"/>
          <w:highlight w:val="none"/>
        </w:rPr>
        <w:sym w:font="Wingdings 2" w:char="F052"/>
      </w:r>
      <w:r>
        <w:rPr>
          <w:rFonts w:hint="eastAsia"/>
          <w:color w:val="000000"/>
          <w:szCs w:val="21"/>
          <w:highlight w:val="none"/>
        </w:rPr>
        <w:t>本</w:t>
      </w:r>
      <w:r>
        <w:rPr>
          <w:bCs/>
          <w:szCs w:val="21"/>
          <w:highlight w:val="none"/>
        </w:rPr>
        <w:t>合同服务期限为 *** 年，自 202* 年 *** 月 *** 日起至 202* 年 *** 月 *** 日。</w:t>
      </w:r>
    </w:p>
    <w:p w14:paraId="3141708C">
      <w:pPr>
        <w:pStyle w:val="29"/>
        <w:jc w:val="left"/>
        <w:rPr>
          <w:bCs/>
          <w:szCs w:val="21"/>
          <w:highlight w:val="none"/>
        </w:rPr>
      </w:pPr>
    </w:p>
    <w:p w14:paraId="368787FF">
      <w:pPr>
        <w:pStyle w:val="29"/>
        <w:jc w:val="left"/>
        <w:rPr>
          <w:bCs/>
          <w:szCs w:val="21"/>
          <w:highlight w:val="none"/>
        </w:rPr>
      </w:pPr>
      <w:r>
        <w:rPr>
          <w:color w:val="000000"/>
          <w:szCs w:val="21"/>
          <w:highlight w:val="none"/>
        </w:rPr>
        <w:sym w:font="Wingdings 2" w:char="F052"/>
      </w:r>
      <w:r>
        <w:rPr>
          <w:bCs/>
          <w:szCs w:val="21"/>
          <w:highlight w:val="none"/>
        </w:rPr>
        <w:t>本合同服务期限为</w:t>
      </w:r>
      <w:r>
        <w:rPr>
          <w:rFonts w:hint="eastAsia"/>
          <w:bCs/>
          <w:szCs w:val="21"/>
          <w:highlight w:val="none"/>
        </w:rPr>
        <w:t xml:space="preserve">双方签字盖章生效之日起 </w:t>
      </w:r>
      <w:r>
        <w:rPr>
          <w:bCs/>
          <w:szCs w:val="21"/>
          <w:highlight w:val="none"/>
        </w:rPr>
        <w:t>*** 年，</w:t>
      </w:r>
      <w:r>
        <w:rPr>
          <w:rFonts w:hint="eastAsia"/>
          <w:bCs/>
          <w:szCs w:val="21"/>
          <w:highlight w:val="none"/>
        </w:rPr>
        <w:t>即</w:t>
      </w:r>
      <w:r>
        <w:rPr>
          <w:bCs/>
          <w:szCs w:val="21"/>
          <w:highlight w:val="none"/>
        </w:rPr>
        <w:t>自 202* 年 *** 月 *** 日起至 202* 年 *** 月 *** 日。</w:t>
      </w:r>
    </w:p>
    <w:p w14:paraId="08791303">
      <w:pPr>
        <w:pStyle w:val="29"/>
        <w:jc w:val="left"/>
        <w:rPr>
          <w:bCs/>
          <w:szCs w:val="21"/>
          <w:highlight w:val="none"/>
        </w:rPr>
      </w:pPr>
    </w:p>
    <w:p w14:paraId="27DB179C">
      <w:pPr>
        <w:pStyle w:val="29"/>
        <w:ind w:left="105" w:leftChars="50" w:firstLine="315" w:firstLineChars="150"/>
        <w:jc w:val="left"/>
        <w:rPr>
          <w:b/>
          <w:szCs w:val="21"/>
          <w:highlight w:val="none"/>
        </w:rPr>
      </w:pPr>
      <w:r>
        <w:rPr>
          <w:color w:val="000000"/>
          <w:szCs w:val="21"/>
          <w:highlight w:val="none"/>
        </w:rPr>
        <w:sym w:font="Wingdings 2" w:char="F052"/>
      </w:r>
      <w:r>
        <w:rPr>
          <w:bCs/>
          <w:szCs w:val="21"/>
          <w:highlight w:val="none"/>
        </w:rPr>
        <w:t>本项目服务期为</w:t>
      </w:r>
      <w:r>
        <w:rPr>
          <w:bCs/>
          <w:szCs w:val="21"/>
          <w:highlight w:val="none"/>
          <w:u w:val="single"/>
        </w:rPr>
        <w:t>叁</w:t>
      </w:r>
      <w:r>
        <w:rPr>
          <w:bCs/>
          <w:szCs w:val="21"/>
          <w:highlight w:val="none"/>
        </w:rPr>
        <w:t>年（自202*年**月**日到202*年**月**日），合同一年一签，每年服务费为人民币 *** 元（大写：*** 圆整）。本合同为第***期，服务期为自202*年***月***日至202*年**月**日</w:t>
      </w:r>
      <w:r>
        <w:rPr>
          <w:bCs/>
          <w:szCs w:val="21"/>
          <w:highlight w:val="none"/>
          <w:u w:val="single"/>
        </w:rPr>
        <w:t>，经甲方考核合格后续签下一年合同</w:t>
      </w:r>
      <w:bookmarkStart w:id="98" w:name="OLE_LINK29"/>
      <w:r>
        <w:rPr>
          <w:rFonts w:hint="eastAsia"/>
          <w:bCs/>
          <w:szCs w:val="21"/>
          <w:highlight w:val="none"/>
        </w:rPr>
        <w:t>，考核标准详见附件</w:t>
      </w:r>
      <w:r>
        <w:rPr>
          <w:rFonts w:hint="eastAsia"/>
          <w:bCs/>
          <w:szCs w:val="21"/>
          <w:highlight w:val="none"/>
          <w:u w:val="single"/>
        </w:rPr>
        <w:t>2</w:t>
      </w:r>
      <w:r>
        <w:rPr>
          <w:rFonts w:hint="eastAsia"/>
          <w:bCs/>
          <w:szCs w:val="21"/>
          <w:highlight w:val="none"/>
        </w:rPr>
        <w:t>《考核标准》</w:t>
      </w:r>
      <w:bookmarkEnd w:id="98"/>
      <w:r>
        <w:rPr>
          <w:bCs/>
          <w:szCs w:val="21"/>
          <w:highlight w:val="none"/>
        </w:rPr>
        <w:t>。</w:t>
      </w:r>
    </w:p>
    <w:p w14:paraId="1B257405">
      <w:pPr>
        <w:pStyle w:val="29"/>
        <w:numPr>
          <w:ilvl w:val="0"/>
          <w:numId w:val="13"/>
        </w:numPr>
        <w:ind w:left="0" w:firstLine="0" w:firstLineChars="0"/>
        <w:contextualSpacing/>
        <w:jc w:val="left"/>
        <w:rPr>
          <w:b/>
          <w:szCs w:val="21"/>
          <w:highlight w:val="none"/>
        </w:rPr>
      </w:pPr>
      <w:r>
        <w:rPr>
          <w:b/>
          <w:szCs w:val="21"/>
          <w:highlight w:val="none"/>
        </w:rPr>
        <w:t>服务</w:t>
      </w:r>
      <w:r>
        <w:rPr>
          <w:rFonts w:hint="eastAsia"/>
          <w:b/>
          <w:szCs w:val="21"/>
          <w:highlight w:val="none"/>
        </w:rPr>
        <w:t>方案</w:t>
      </w:r>
    </w:p>
    <w:p w14:paraId="06E0AE13">
      <w:pPr>
        <w:ind w:firstLine="420" w:firstLineChars="200"/>
        <w:contextualSpacing/>
        <w:jc w:val="left"/>
        <w:rPr>
          <w:szCs w:val="21"/>
          <w:highlight w:val="none"/>
        </w:rPr>
      </w:pPr>
      <w:r>
        <w:rPr>
          <w:rFonts w:hint="eastAsia"/>
          <w:bCs/>
          <w:szCs w:val="21"/>
          <w:highlight w:val="none"/>
        </w:rPr>
        <w:t>乙方应严格按照本合同服务方案和甲方要求提供服务，服务方案</w:t>
      </w:r>
      <w:r>
        <w:rPr>
          <w:bCs/>
          <w:szCs w:val="21"/>
          <w:highlight w:val="none"/>
        </w:rPr>
        <w:t>详见附件3《服务</w:t>
      </w:r>
      <w:r>
        <w:rPr>
          <w:rFonts w:hint="eastAsia"/>
          <w:bCs/>
          <w:szCs w:val="21"/>
          <w:highlight w:val="none"/>
        </w:rPr>
        <w:t>方案</w:t>
      </w:r>
      <w:r>
        <w:rPr>
          <w:bCs/>
          <w:szCs w:val="21"/>
          <w:highlight w:val="none"/>
        </w:rPr>
        <w:t>》</w:t>
      </w:r>
      <w:r>
        <w:rPr>
          <w:rFonts w:hint="eastAsia"/>
          <w:bCs/>
          <w:szCs w:val="21"/>
          <w:highlight w:val="none"/>
        </w:rPr>
        <w:t>。</w:t>
      </w:r>
    </w:p>
    <w:p w14:paraId="7482C29A">
      <w:pPr>
        <w:pStyle w:val="29"/>
        <w:numPr>
          <w:ilvl w:val="0"/>
          <w:numId w:val="13"/>
        </w:numPr>
        <w:ind w:left="0" w:firstLine="0" w:firstLineChars="0"/>
        <w:contextualSpacing/>
        <w:jc w:val="left"/>
        <w:rPr>
          <w:b/>
          <w:szCs w:val="21"/>
          <w:highlight w:val="none"/>
        </w:rPr>
      </w:pPr>
      <w:r>
        <w:rPr>
          <w:b/>
          <w:szCs w:val="21"/>
          <w:highlight w:val="none"/>
        </w:rPr>
        <w:t>验收</w:t>
      </w:r>
    </w:p>
    <w:p w14:paraId="57707485">
      <w:pPr>
        <w:pStyle w:val="29"/>
        <w:numPr>
          <w:ilvl w:val="0"/>
          <w:numId w:val="15"/>
        </w:numPr>
        <w:ind w:left="0" w:firstLine="0" w:firstLineChars="0"/>
        <w:contextualSpacing/>
        <w:rPr>
          <w:szCs w:val="21"/>
          <w:highlight w:val="none"/>
        </w:rPr>
      </w:pPr>
      <w:r>
        <w:rPr>
          <w:szCs w:val="21"/>
          <w:highlight w:val="none"/>
        </w:rPr>
        <w:t>甲、乙双方确定，按照本合同约定的验收方案对乙方按本合同约定所提供的服务进行验收。</w:t>
      </w:r>
    </w:p>
    <w:p w14:paraId="103305C9">
      <w:pPr>
        <w:pStyle w:val="29"/>
        <w:numPr>
          <w:ilvl w:val="0"/>
          <w:numId w:val="15"/>
        </w:numPr>
        <w:ind w:left="0" w:firstLine="0" w:firstLineChars="0"/>
        <w:contextualSpacing/>
        <w:rPr>
          <w:szCs w:val="21"/>
          <w:highlight w:val="none"/>
        </w:rPr>
      </w:pPr>
      <w:r>
        <w:rPr>
          <w:szCs w:val="21"/>
          <w:highlight w:val="none"/>
        </w:rPr>
        <w:t>验收方案：</w:t>
      </w:r>
    </w:p>
    <w:p w14:paraId="10719FFA">
      <w:pPr>
        <w:pStyle w:val="29"/>
        <w:numPr>
          <w:ilvl w:val="0"/>
          <w:numId w:val="16"/>
        </w:numPr>
        <w:ind w:firstLineChars="0"/>
        <w:contextualSpacing/>
        <w:rPr>
          <w:color w:val="000000"/>
          <w:szCs w:val="21"/>
          <w:highlight w:val="none"/>
        </w:rPr>
      </w:pPr>
      <w:r>
        <w:rPr>
          <w:rFonts w:hint="eastAsia"/>
          <w:color w:val="000000"/>
          <w:szCs w:val="21"/>
          <w:highlight w:val="none"/>
        </w:rPr>
        <w:t>验收主体：甲方</w:t>
      </w:r>
    </w:p>
    <w:p w14:paraId="7212F6E2">
      <w:pPr>
        <w:pStyle w:val="29"/>
        <w:numPr>
          <w:ilvl w:val="0"/>
          <w:numId w:val="16"/>
        </w:numPr>
        <w:ind w:firstLineChars="0"/>
        <w:contextualSpacing/>
        <w:rPr>
          <w:color w:val="000000"/>
          <w:szCs w:val="21"/>
          <w:highlight w:val="none"/>
        </w:rPr>
      </w:pPr>
      <w:r>
        <w:rPr>
          <w:rFonts w:hint="eastAsia"/>
          <w:color w:val="000000"/>
          <w:szCs w:val="21"/>
          <w:highlight w:val="none"/>
        </w:rPr>
        <w:t>验收组织方式：自行验收</w:t>
      </w:r>
    </w:p>
    <w:p w14:paraId="5C963DBA">
      <w:pPr>
        <w:pStyle w:val="29"/>
        <w:numPr>
          <w:ilvl w:val="0"/>
          <w:numId w:val="16"/>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0ACAEB8E">
      <w:pPr>
        <w:pStyle w:val="29"/>
        <w:numPr>
          <w:ilvl w:val="0"/>
          <w:numId w:val="16"/>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25BB580A">
      <w:pPr>
        <w:pStyle w:val="29"/>
        <w:numPr>
          <w:ilvl w:val="0"/>
          <w:numId w:val="16"/>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按照甲方的采购文件要求及乙方响应文件响应情况，由乙方向甲方提供的</w:t>
      </w:r>
      <w:r>
        <w:rPr>
          <w:rFonts w:hint="eastAsia"/>
          <w:szCs w:val="21"/>
          <w:highlight w:val="none"/>
          <w:u w:val="single"/>
        </w:rPr>
        <w:t>全部服务</w:t>
      </w:r>
      <w:r>
        <w:rPr>
          <w:rFonts w:hint="eastAsia"/>
          <w:szCs w:val="21"/>
          <w:highlight w:val="none"/>
        </w:rPr>
        <w:t>的履约情况。</w:t>
      </w:r>
    </w:p>
    <w:p w14:paraId="1F2D4CFA">
      <w:pPr>
        <w:pStyle w:val="29"/>
        <w:numPr>
          <w:ilvl w:val="0"/>
          <w:numId w:val="16"/>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27EEE864">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13560871">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668E8ECC">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甲</w:t>
      </w:r>
      <w:r>
        <w:rPr>
          <w:rFonts w:hint="eastAsia" w:ascii="Times New Roman" w:hAnsi="Times New Roman"/>
          <w:color w:val="000000"/>
          <w:szCs w:val="21"/>
          <w:highlight w:val="none"/>
        </w:rPr>
        <w:t>方</w:t>
      </w:r>
      <w:r>
        <w:rPr>
          <w:rFonts w:ascii="Times New Roman" w:hAnsi="Times New Roman"/>
          <w:color w:val="000000"/>
          <w:szCs w:val="21"/>
          <w:highlight w:val="none"/>
        </w:rPr>
        <w:t>完成考核后X日内组织验收</w:t>
      </w:r>
    </w:p>
    <w:p w14:paraId="06090759">
      <w:pPr>
        <w:pStyle w:val="16"/>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0A943DA8">
      <w:pPr>
        <w:pStyle w:val="29"/>
        <w:numPr>
          <w:ilvl w:val="0"/>
          <w:numId w:val="16"/>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740E083B">
      <w:pPr>
        <w:pStyle w:val="29"/>
        <w:numPr>
          <w:ilvl w:val="0"/>
          <w:numId w:val="16"/>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595EB419">
      <w:pPr>
        <w:pStyle w:val="29"/>
        <w:numPr>
          <w:ilvl w:val="0"/>
          <w:numId w:val="16"/>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212FF5E1">
      <w:pPr>
        <w:pStyle w:val="29"/>
        <w:numPr>
          <w:ilvl w:val="0"/>
          <w:numId w:val="16"/>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7F88790">
      <w:pPr>
        <w:pStyle w:val="29"/>
        <w:numPr>
          <w:ilvl w:val="0"/>
          <w:numId w:val="16"/>
        </w:numPr>
        <w:ind w:firstLineChars="0"/>
        <w:contextualSpacing/>
        <w:rPr>
          <w:szCs w:val="21"/>
          <w:highlight w:val="none"/>
        </w:rPr>
      </w:pPr>
      <w:r>
        <w:rPr>
          <w:szCs w:val="21"/>
          <w:highlight w:val="none"/>
        </w:rPr>
        <w:t>验收标准：</w:t>
      </w:r>
    </w:p>
    <w:p w14:paraId="24757C73">
      <w:pPr>
        <w:pStyle w:val="16"/>
        <w:numPr>
          <w:ilvl w:val="0"/>
          <w:numId w:val="17"/>
        </w:numPr>
        <w:spacing w:after="0"/>
        <w:ind w:firstLineChars="0"/>
        <w:contextualSpacing/>
        <w:rPr>
          <w:rFonts w:ascii="Times New Roman" w:hAnsi="Times New Roman"/>
          <w:szCs w:val="21"/>
          <w:highlight w:val="none"/>
        </w:rPr>
      </w:pPr>
      <w:bookmarkStart w:id="99" w:name="OLE_LINK4"/>
      <w:r>
        <w:rPr>
          <w:rFonts w:ascii="Times New Roman" w:hAnsi="Times New Roman"/>
          <w:szCs w:val="21"/>
          <w:highlight w:val="none"/>
          <w:shd w:val="clear" w:color="auto" w:fill="FFFFFF"/>
        </w:rPr>
        <w:t>国家相关法律法规、行业标准、技术规范。</w:t>
      </w:r>
    </w:p>
    <w:p w14:paraId="4A341926">
      <w:pPr>
        <w:pStyle w:val="16"/>
        <w:numPr>
          <w:ilvl w:val="0"/>
          <w:numId w:val="17"/>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4BB5AAAF">
      <w:pPr>
        <w:pStyle w:val="16"/>
        <w:numPr>
          <w:ilvl w:val="0"/>
          <w:numId w:val="17"/>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bookmarkEnd w:id="99"/>
    <w:p w14:paraId="2BFFECC6">
      <w:pPr>
        <w:pStyle w:val="16"/>
        <w:numPr>
          <w:ilvl w:val="0"/>
          <w:numId w:val="17"/>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142B41FF">
      <w:pPr>
        <w:pStyle w:val="16"/>
        <w:numPr>
          <w:ilvl w:val="0"/>
          <w:numId w:val="17"/>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5A8F93D9">
      <w:pPr>
        <w:pStyle w:val="16"/>
        <w:numPr>
          <w:ilvl w:val="0"/>
          <w:numId w:val="17"/>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5FCD4D1B">
      <w:pPr>
        <w:pStyle w:val="29"/>
        <w:numPr>
          <w:ilvl w:val="0"/>
          <w:numId w:val="16"/>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6213DBF3">
      <w:pPr>
        <w:pStyle w:val="29"/>
        <w:numPr>
          <w:ilvl w:val="0"/>
          <w:numId w:val="15"/>
        </w:numPr>
        <w:ind w:left="0" w:firstLine="0" w:firstLineChars="0"/>
        <w:rPr>
          <w:szCs w:val="21"/>
          <w:highlight w:val="none"/>
        </w:rPr>
      </w:pPr>
      <w:r>
        <w:rPr>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highlight w:val="none"/>
        </w:rPr>
        <w:t>10</w:t>
      </w:r>
      <w:r>
        <w:rPr>
          <w:szCs w:val="21"/>
          <w:highlight w:val="none"/>
        </w:rPr>
        <w:t>%的违约金给甲方，违约金不能弥补甲方损失的，乙方应全额赔偿。</w:t>
      </w:r>
    </w:p>
    <w:p w14:paraId="2EE9DCA2">
      <w:pPr>
        <w:pStyle w:val="29"/>
        <w:numPr>
          <w:ilvl w:val="0"/>
          <w:numId w:val="13"/>
        </w:numPr>
        <w:ind w:left="0" w:firstLine="0" w:firstLineChars="0"/>
        <w:contextualSpacing/>
        <w:jc w:val="left"/>
        <w:rPr>
          <w:b/>
          <w:szCs w:val="21"/>
          <w:highlight w:val="none"/>
        </w:rPr>
      </w:pPr>
      <w:r>
        <w:rPr>
          <w:b/>
          <w:szCs w:val="21"/>
          <w:highlight w:val="none"/>
        </w:rPr>
        <w:t>付款方式</w:t>
      </w:r>
    </w:p>
    <w:p w14:paraId="5CC20725">
      <w:pPr>
        <w:pStyle w:val="9"/>
        <w:numPr>
          <w:ilvl w:val="0"/>
          <w:numId w:val="18"/>
        </w:numPr>
        <w:spacing w:after="0" w:line="240" w:lineRule="auto"/>
        <w:ind w:left="227" w:leftChars="0" w:hanging="227"/>
        <w:contextualSpacing/>
        <w:jc w:val="left"/>
        <w:rPr>
          <w:szCs w:val="21"/>
          <w:highlight w:val="none"/>
        </w:rPr>
      </w:pPr>
      <w:r>
        <w:rPr>
          <w:szCs w:val="21"/>
          <w:highlight w:val="none"/>
        </w:rPr>
        <w:t>履约保证金：</w:t>
      </w:r>
    </w:p>
    <w:p w14:paraId="1A98FD8C">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w:t>
      </w:r>
      <w:r>
        <w:rPr>
          <w:rFonts w:ascii="Times New Roman" w:hAnsi="Times New Roman"/>
          <w:color w:val="000000"/>
          <w:szCs w:val="21"/>
          <w:highlight w:val="none"/>
          <w:u w:val="single"/>
        </w:rPr>
        <w:t>***</w:t>
      </w:r>
      <w:r>
        <w:rPr>
          <w:rFonts w:ascii="Times New Roman" w:hAnsi="Times New Roman"/>
          <w:color w:val="000000"/>
          <w:szCs w:val="21"/>
          <w:highlight w:val="none"/>
        </w:rPr>
        <w:t>个工作日内，按合同总价</w:t>
      </w:r>
      <w:r>
        <w:rPr>
          <w:rFonts w:ascii="Times New Roman" w:hAnsi="Times New Roman"/>
          <w:color w:val="000000"/>
          <w:szCs w:val="21"/>
          <w:highlight w:val="none"/>
          <w:u w:val="single"/>
        </w:rPr>
        <w:t>***</w:t>
      </w:r>
      <w:r>
        <w:rPr>
          <w:rFonts w:ascii="Times New Roman" w:hAnsi="Times New Roman"/>
          <w:color w:val="000000"/>
          <w:szCs w:val="21"/>
          <w:highlight w:val="none"/>
        </w:rPr>
        <w:t>%支付履约保证金；本合同</w:t>
      </w:r>
      <w:r>
        <w:rPr>
          <w:rFonts w:hint="eastAsia" w:ascii="Times New Roman" w:hAnsi="Times New Roman"/>
          <w:color w:val="000000"/>
          <w:szCs w:val="21"/>
          <w:highlight w:val="none"/>
        </w:rPr>
        <w:t>服务期满且验收合格</w:t>
      </w:r>
      <w:r>
        <w:rPr>
          <w:rFonts w:ascii="Times New Roman" w:hAnsi="Times New Roman"/>
          <w:color w:val="000000"/>
          <w:szCs w:val="21"/>
          <w:highlight w:val="none"/>
        </w:rPr>
        <w:t>后，甲方接到乙方付款申请后</w:t>
      </w:r>
      <w:r>
        <w:rPr>
          <w:rFonts w:ascii="Times New Roman" w:hAnsi="Times New Roman"/>
          <w:color w:val="000000"/>
          <w:szCs w:val="21"/>
          <w:highlight w:val="none"/>
          <w:u w:val="single"/>
        </w:rPr>
        <w:t>30</w:t>
      </w:r>
      <w:r>
        <w:rPr>
          <w:rFonts w:ascii="Times New Roman" w:hAnsi="Times New Roman"/>
          <w:color w:val="000000"/>
          <w:szCs w:val="21"/>
          <w:highlight w:val="none"/>
        </w:rPr>
        <w:t>个工作日内，甲方一次性无息退还乙方的履约保证金；经验收后乙方履约不合格的，履约保证金不予退还。</w:t>
      </w:r>
    </w:p>
    <w:p w14:paraId="7A4394EF">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本合同不涉及履约保证金。</w:t>
      </w:r>
    </w:p>
    <w:p w14:paraId="0DB5940E">
      <w:pPr>
        <w:pStyle w:val="9"/>
        <w:numPr>
          <w:ilvl w:val="0"/>
          <w:numId w:val="18"/>
        </w:numPr>
        <w:spacing w:after="0" w:line="240" w:lineRule="auto"/>
        <w:ind w:left="227" w:leftChars="0" w:hanging="227"/>
        <w:contextualSpacing/>
        <w:jc w:val="left"/>
        <w:rPr>
          <w:szCs w:val="21"/>
          <w:highlight w:val="none"/>
        </w:rPr>
      </w:pPr>
      <w:r>
        <w:rPr>
          <w:szCs w:val="21"/>
          <w:highlight w:val="none"/>
        </w:rPr>
        <w:t>本</w:t>
      </w:r>
      <w:r>
        <w:rPr>
          <w:rFonts w:hint="eastAsia"/>
          <w:szCs w:val="21"/>
          <w:highlight w:val="none"/>
        </w:rPr>
        <w:t>合同</w:t>
      </w:r>
      <w:r>
        <w:rPr>
          <w:szCs w:val="21"/>
          <w:highlight w:val="none"/>
        </w:rPr>
        <w:t>价款采用以下方式支付，以人民币结算：</w:t>
      </w:r>
    </w:p>
    <w:p w14:paraId="09FDA0E6">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一次性支付：</w:t>
      </w:r>
    </w:p>
    <w:p w14:paraId="621259CA">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u w:val="single"/>
        </w:rPr>
        <w:t>5</w:t>
      </w:r>
      <w:r>
        <w:rPr>
          <w:rFonts w:ascii="Times New Roman" w:hAnsi="Times New Roman"/>
          <w:szCs w:val="21"/>
          <w:highlight w:val="none"/>
        </w:rPr>
        <w:t>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w:t>
      </w:r>
      <w:r>
        <w:rPr>
          <w:rFonts w:ascii="Times New Roman" w:hAnsi="Times New Roman"/>
          <w:color w:val="000000"/>
          <w:szCs w:val="21"/>
          <w:highlight w:val="none"/>
          <w:u w:val="single"/>
        </w:rPr>
        <w:t>55</w:t>
      </w:r>
      <w:r>
        <w:rPr>
          <w:rFonts w:ascii="Times New Roman" w:hAnsi="Times New Roman"/>
          <w:color w:val="000000"/>
          <w:szCs w:val="21"/>
          <w:highlight w:val="none"/>
        </w:rPr>
        <w:t>日内支付合同总价100%的</w:t>
      </w:r>
      <w:r>
        <w:rPr>
          <w:rFonts w:hint="eastAsia" w:ascii="Times New Roman" w:hAnsi="Times New Roman"/>
          <w:color w:val="000000"/>
          <w:szCs w:val="21"/>
          <w:highlight w:val="none"/>
        </w:rPr>
        <w:t>金额</w:t>
      </w:r>
      <w:r>
        <w:rPr>
          <w:rFonts w:ascii="Times New Roman" w:hAnsi="Times New Roman"/>
          <w:color w:val="000000"/>
          <w:szCs w:val="21"/>
          <w:highlight w:val="none"/>
        </w:rPr>
        <w:t>给乙方。</w:t>
      </w:r>
    </w:p>
    <w:p w14:paraId="750B8A19">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分阶段支付，支付期限</w:t>
      </w:r>
      <w:r>
        <w:rPr>
          <w:rFonts w:hint="eastAsia" w:ascii="Times New Roman" w:hAnsi="Times New Roman"/>
          <w:color w:val="000000"/>
          <w:szCs w:val="21"/>
          <w:highlight w:val="none"/>
        </w:rPr>
        <w:t>、方式</w:t>
      </w:r>
      <w:r>
        <w:rPr>
          <w:rFonts w:ascii="Times New Roman" w:hAnsi="Times New Roman"/>
          <w:color w:val="000000"/>
          <w:szCs w:val="21"/>
          <w:highlight w:val="none"/>
        </w:rPr>
        <w:t>及额度如下：</w:t>
      </w:r>
    </w:p>
    <w:p w14:paraId="56BDDA9D">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（1）</w:t>
      </w:r>
      <w:bookmarkStart w:id="100" w:name="OLE_LINK30"/>
      <w:r>
        <w:rPr>
          <w:rFonts w:hint="eastAsia"/>
          <w:szCs w:val="21"/>
          <w:highlight w:val="none"/>
        </w:rPr>
        <w:t>固定部分价款</w:t>
      </w:r>
      <w:bookmarkEnd w:id="100"/>
      <w:r>
        <w:rPr>
          <w:rFonts w:ascii="Times New Roman" w:hAnsi="Times New Roman"/>
          <w:color w:val="000000"/>
          <w:szCs w:val="21"/>
          <w:highlight w:val="none"/>
        </w:rPr>
        <w:t>：</w:t>
      </w: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rPr>
        <w:t>5日内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资料后55日内</w:t>
      </w:r>
      <w:r>
        <w:rPr>
          <w:rFonts w:hint="eastAsia" w:ascii="Times New Roman" w:hAnsi="Times New Roman"/>
          <w:color w:val="000000"/>
          <w:szCs w:val="21"/>
          <w:highlight w:val="none"/>
        </w:rPr>
        <w:t>向乙方</w:t>
      </w:r>
      <w:r>
        <w:rPr>
          <w:rFonts w:ascii="Times New Roman" w:hAnsi="Times New Roman"/>
          <w:color w:val="000000"/>
          <w:szCs w:val="21"/>
          <w:highlight w:val="none"/>
        </w:rPr>
        <w:t>支付</w:t>
      </w:r>
      <w:r>
        <w:rPr>
          <w:rFonts w:hint="eastAsia" w:ascii="Times New Roman" w:hAnsi="Times New Roman"/>
          <w:color w:val="000000"/>
          <w:szCs w:val="21"/>
          <w:highlight w:val="none"/>
        </w:rPr>
        <w:t>本合同</w:t>
      </w:r>
      <w:r>
        <w:rPr>
          <w:rFonts w:hint="eastAsia" w:ascii="Times New Roman" w:hAnsi="Times New Roman"/>
          <w:color w:val="000000"/>
          <w:szCs w:val="21"/>
          <w:highlight w:val="none"/>
          <w:u w:val="single"/>
        </w:rPr>
        <w:t>第二条</w:t>
      </w:r>
      <w:r>
        <w:rPr>
          <w:rFonts w:hint="eastAsia" w:ascii="Times New Roman" w:hAnsi="Times New Roman"/>
          <w:color w:val="000000"/>
          <w:szCs w:val="21"/>
          <w:highlight w:val="none"/>
        </w:rPr>
        <w:t>写明的全部</w:t>
      </w:r>
      <w:r>
        <w:rPr>
          <w:rFonts w:hint="eastAsia"/>
          <w:szCs w:val="21"/>
          <w:highlight w:val="none"/>
        </w:rPr>
        <w:t>固定部分价款</w:t>
      </w:r>
      <w:r>
        <w:rPr>
          <w:rFonts w:ascii="Times New Roman" w:hAnsi="Times New Roman"/>
          <w:color w:val="000000"/>
          <w:szCs w:val="21"/>
          <w:highlight w:val="none"/>
        </w:rPr>
        <w:t>。</w:t>
      </w:r>
    </w:p>
    <w:p w14:paraId="4C3983EC">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（2）</w:t>
      </w:r>
      <w:r>
        <w:rPr>
          <w:rFonts w:hint="eastAsia" w:ascii="Times New Roman" w:hAnsi="Times New Roman"/>
          <w:color w:val="000000"/>
          <w:szCs w:val="21"/>
          <w:highlight w:val="none"/>
        </w:rPr>
        <w:t>按实结算部分：每</w:t>
      </w:r>
      <w:r>
        <w:rPr>
          <w:rFonts w:hint="eastAsia" w:ascii="Times New Roman" w:hAnsi="Times New Roman"/>
          <w:color w:val="000000"/>
          <w:szCs w:val="21"/>
          <w:highlight w:val="none"/>
          <w:u w:val="single"/>
        </w:rPr>
        <w:t>XX</w:t>
      </w:r>
      <w:r>
        <w:rPr>
          <w:rFonts w:ascii="Times New Roman" w:hAnsi="Times New Roman"/>
          <w:i/>
          <w:iCs/>
          <w:szCs w:val="21"/>
          <w:highlight w:val="none"/>
        </w:rPr>
        <w:t>&lt;</w:t>
      </w:r>
      <w:r>
        <w:rPr>
          <w:rFonts w:hint="eastAsia" w:ascii="Times New Roman" w:hAnsi="Times New Roman"/>
          <w:i/>
          <w:iCs/>
          <w:szCs w:val="21"/>
          <w:highlight w:val="none"/>
        </w:rPr>
        <w:t>约定按固定周期支付的（如每季度），</w:t>
      </w:r>
      <w:r>
        <w:rPr>
          <w:rFonts w:ascii="Times New Roman" w:hAnsi="Times New Roman"/>
          <w:i/>
          <w:iCs/>
          <w:szCs w:val="21"/>
          <w:highlight w:val="none"/>
        </w:rPr>
        <w:t>可根据项目具体情况编制</w:t>
      </w:r>
      <w:r>
        <w:rPr>
          <w:rFonts w:hint="eastAsia" w:ascii="Times New Roman" w:hAnsi="Times New Roman"/>
          <w:i/>
          <w:iCs/>
          <w:szCs w:val="21"/>
          <w:highlight w:val="none"/>
        </w:rPr>
        <w:t>本条款</w:t>
      </w:r>
      <w:r>
        <w:rPr>
          <w:rFonts w:ascii="Times New Roman" w:hAnsi="Times New Roman"/>
          <w:i/>
          <w:iCs/>
          <w:szCs w:val="21"/>
          <w:highlight w:val="none"/>
        </w:rPr>
        <w:t>&gt;</w:t>
      </w:r>
      <w:r>
        <w:rPr>
          <w:rFonts w:hint="eastAsia" w:ascii="Times New Roman" w:hAnsi="Times New Roman"/>
          <w:color w:val="000000"/>
          <w:szCs w:val="21"/>
          <w:highlight w:val="none"/>
        </w:rPr>
        <w:t>结算一次费用，结算单价以</w:t>
      </w:r>
      <w:r>
        <w:rPr>
          <w:rFonts w:hint="eastAsia"/>
          <w:szCs w:val="21"/>
          <w:highlight w:val="none"/>
        </w:rPr>
        <w:t>《结算单价清单》</w:t>
      </w:r>
      <w:r>
        <w:rPr>
          <w:rFonts w:hint="eastAsia" w:ascii="Times New Roman" w:hAnsi="Times New Roman"/>
          <w:color w:val="000000"/>
          <w:szCs w:val="21"/>
          <w:highlight w:val="none"/>
        </w:rPr>
        <w:t>为准。</w:t>
      </w:r>
      <w:r>
        <w:rPr>
          <w:rFonts w:hint="eastAsia"/>
          <w:highlight w:val="none"/>
          <w:lang w:bidi="ar"/>
        </w:rPr>
        <w:t>结算前，乙方须向甲方提供结算费用清单进行确认，并在确认后 5 日内按清单金额向甲方提供合法有效票据及其他相关请款资料，甲方接到乙方请款资料后的</w:t>
      </w:r>
      <w:r>
        <w:rPr>
          <w:rFonts w:hint="eastAsia"/>
          <w:highlight w:val="none"/>
          <w:u w:val="single"/>
          <w:lang w:bidi="ar"/>
        </w:rPr>
        <w:t>55</w:t>
      </w:r>
      <w:r>
        <w:rPr>
          <w:rFonts w:hint="eastAsia"/>
          <w:highlight w:val="none"/>
          <w:lang w:bidi="ar"/>
        </w:rPr>
        <w:t>日内，向乙方全额支付上述结算费用。</w:t>
      </w:r>
    </w:p>
    <w:p w14:paraId="5586C7FB">
      <w:pPr>
        <w:pStyle w:val="9"/>
        <w:numPr>
          <w:ilvl w:val="0"/>
          <w:numId w:val="18"/>
        </w:numPr>
        <w:spacing w:after="0" w:line="240" w:lineRule="auto"/>
        <w:ind w:left="227" w:leftChars="0" w:hanging="227"/>
        <w:contextualSpacing/>
        <w:jc w:val="left"/>
        <w:rPr>
          <w:szCs w:val="21"/>
          <w:highlight w:val="none"/>
        </w:rPr>
      </w:pPr>
      <w:r>
        <w:rPr>
          <w:szCs w:val="21"/>
          <w:highlight w:val="none"/>
        </w:rPr>
        <w:t>甲方付款前，乙方需</w:t>
      </w:r>
      <w:r>
        <w:rPr>
          <w:rFonts w:hint="eastAsia"/>
          <w:highlight w:val="none"/>
          <w:lang w:bidi="ar"/>
        </w:rPr>
        <w:t>提供合法有效票据及其他相关请款资料</w:t>
      </w:r>
      <w:r>
        <w:rPr>
          <w:szCs w:val="21"/>
          <w:highlight w:val="none"/>
        </w:rPr>
        <w:t>，否则甲方有权拒绝支付且不承担任何违约责任，且乙方不得因此停止</w:t>
      </w:r>
      <w:r>
        <w:rPr>
          <w:rFonts w:hint="eastAsia"/>
          <w:szCs w:val="21"/>
          <w:highlight w:val="none"/>
        </w:rPr>
        <w:t>服务</w:t>
      </w:r>
      <w:r>
        <w:rPr>
          <w:szCs w:val="21"/>
          <w:highlight w:val="none"/>
        </w:rPr>
        <w:t>。</w:t>
      </w:r>
    </w:p>
    <w:p w14:paraId="2EB2BA75">
      <w:pPr>
        <w:pStyle w:val="9"/>
        <w:numPr>
          <w:ilvl w:val="0"/>
          <w:numId w:val="18"/>
        </w:numPr>
        <w:spacing w:after="0" w:line="240" w:lineRule="auto"/>
        <w:ind w:left="227" w:leftChars="0" w:hanging="227"/>
        <w:contextualSpacing/>
        <w:jc w:val="left"/>
        <w:rPr>
          <w:szCs w:val="21"/>
          <w:highlight w:val="none"/>
        </w:rPr>
      </w:pPr>
      <w:r>
        <w:rPr>
          <w:szCs w:val="21"/>
          <w:highlight w:val="none"/>
        </w:rPr>
        <w:t>乙方开票信息应与合同预留账户信息一致。如有变更，乙方应当在变更后3日内通知甲方。否则，由此造成的损失由乙方自行承担。</w:t>
      </w:r>
    </w:p>
    <w:p w14:paraId="19A7DEEB">
      <w:pPr>
        <w:pStyle w:val="29"/>
        <w:numPr>
          <w:ilvl w:val="0"/>
          <w:numId w:val="13"/>
        </w:numPr>
        <w:ind w:left="0" w:firstLine="0" w:firstLineChars="0"/>
        <w:contextualSpacing/>
        <w:jc w:val="left"/>
        <w:rPr>
          <w:b/>
          <w:szCs w:val="21"/>
          <w:highlight w:val="none"/>
        </w:rPr>
      </w:pPr>
      <w:r>
        <w:rPr>
          <w:b/>
          <w:szCs w:val="21"/>
          <w:highlight w:val="none"/>
        </w:rPr>
        <w:t>双方权利与义务</w:t>
      </w:r>
    </w:p>
    <w:p w14:paraId="581F8AA0">
      <w:pPr>
        <w:pStyle w:val="9"/>
        <w:numPr>
          <w:ilvl w:val="0"/>
          <w:numId w:val="19"/>
        </w:numPr>
        <w:spacing w:after="0" w:line="240" w:lineRule="auto"/>
        <w:ind w:left="227" w:leftChars="0" w:hanging="227"/>
        <w:contextualSpacing/>
        <w:jc w:val="left"/>
        <w:rPr>
          <w:szCs w:val="21"/>
          <w:highlight w:val="none"/>
        </w:rPr>
      </w:pPr>
      <w:r>
        <w:rPr>
          <w:szCs w:val="21"/>
          <w:highlight w:val="none"/>
        </w:rPr>
        <w:t>甲方权利与义务</w:t>
      </w:r>
    </w:p>
    <w:p w14:paraId="4D16113D">
      <w:pPr>
        <w:pStyle w:val="29"/>
        <w:numPr>
          <w:ilvl w:val="0"/>
          <w:numId w:val="20"/>
        </w:numPr>
        <w:adjustRightInd w:val="0"/>
        <w:ind w:left="525" w:hanging="525" w:hangingChars="250"/>
        <w:contextualSpacing/>
        <w:jc w:val="left"/>
        <w:rPr>
          <w:szCs w:val="21"/>
          <w:highlight w:val="none"/>
        </w:rPr>
      </w:pPr>
      <w:r>
        <w:rPr>
          <w:szCs w:val="21"/>
          <w:highlight w:val="none"/>
        </w:rPr>
        <w:t>按合同约定向乙方支付费用。</w:t>
      </w:r>
    </w:p>
    <w:p w14:paraId="62A02753">
      <w:pPr>
        <w:pStyle w:val="29"/>
        <w:numPr>
          <w:ilvl w:val="0"/>
          <w:numId w:val="20"/>
        </w:numPr>
        <w:adjustRightInd w:val="0"/>
        <w:ind w:left="525" w:hanging="525" w:hangingChars="250"/>
        <w:contextualSpacing/>
        <w:jc w:val="left"/>
        <w:rPr>
          <w:szCs w:val="21"/>
          <w:highlight w:val="none"/>
        </w:rPr>
      </w:pPr>
      <w:r>
        <w:rPr>
          <w:szCs w:val="21"/>
          <w:highlight w:val="none"/>
        </w:rPr>
        <w:t>保证乙方实施服务所必须的外部条件如电源、水源的正常供应及开启、关闭等。</w:t>
      </w:r>
    </w:p>
    <w:p w14:paraId="35119703">
      <w:pPr>
        <w:pStyle w:val="29"/>
        <w:numPr>
          <w:ilvl w:val="0"/>
          <w:numId w:val="20"/>
        </w:numPr>
        <w:adjustRightInd w:val="0"/>
        <w:ind w:left="525" w:hanging="525" w:hangingChars="250"/>
        <w:contextualSpacing/>
        <w:jc w:val="left"/>
        <w:rPr>
          <w:szCs w:val="21"/>
          <w:highlight w:val="none"/>
        </w:rPr>
      </w:pPr>
      <w:r>
        <w:rPr>
          <w:szCs w:val="21"/>
          <w:highlight w:val="none"/>
        </w:rPr>
        <w:t>对于乙方在提供</w:t>
      </w:r>
      <w:r>
        <w:rPr>
          <w:rFonts w:hint="eastAsia"/>
          <w:szCs w:val="21"/>
          <w:highlight w:val="none"/>
        </w:rPr>
        <w:t>服务</w:t>
      </w:r>
      <w:r>
        <w:rPr>
          <w:szCs w:val="21"/>
          <w:highlight w:val="none"/>
        </w:rPr>
        <w:t>期间所提供的信息，甲方应予保密，未经乙方书面同意，甲方不得擅自使用或透露给第三方。</w:t>
      </w:r>
    </w:p>
    <w:p w14:paraId="7EDB0B3A">
      <w:pPr>
        <w:pStyle w:val="29"/>
        <w:numPr>
          <w:ilvl w:val="0"/>
          <w:numId w:val="20"/>
        </w:numPr>
        <w:adjustRightInd w:val="0"/>
        <w:ind w:left="525" w:hanging="525" w:hangingChars="250"/>
        <w:contextualSpacing/>
        <w:jc w:val="left"/>
        <w:rPr>
          <w:szCs w:val="21"/>
          <w:highlight w:val="none"/>
        </w:rPr>
      </w:pPr>
      <w:r>
        <w:rPr>
          <w:rFonts w:hint="eastAsia"/>
          <w:szCs w:val="21"/>
          <w:highlight w:val="none"/>
        </w:rPr>
        <w:t>甲方对服务人员不满意的，有权要求乙方在7日内更换相关服务人员。</w:t>
      </w:r>
    </w:p>
    <w:p w14:paraId="344AB8AA">
      <w:pPr>
        <w:pStyle w:val="9"/>
        <w:numPr>
          <w:ilvl w:val="0"/>
          <w:numId w:val="19"/>
        </w:numPr>
        <w:spacing w:after="0" w:line="240" w:lineRule="auto"/>
        <w:ind w:left="227" w:leftChars="0" w:hanging="227"/>
        <w:contextualSpacing/>
        <w:jc w:val="left"/>
        <w:rPr>
          <w:szCs w:val="21"/>
          <w:highlight w:val="none"/>
        </w:rPr>
      </w:pPr>
      <w:r>
        <w:rPr>
          <w:szCs w:val="21"/>
          <w:highlight w:val="none"/>
        </w:rPr>
        <w:t>乙方权利与义务</w:t>
      </w:r>
    </w:p>
    <w:p w14:paraId="319B30B1">
      <w:pPr>
        <w:pStyle w:val="9"/>
        <w:numPr>
          <w:ilvl w:val="0"/>
          <w:numId w:val="21"/>
        </w:numPr>
        <w:spacing w:after="0" w:line="240" w:lineRule="auto"/>
        <w:ind w:left="525" w:leftChars="0" w:hanging="525" w:hangingChars="250"/>
        <w:contextualSpacing/>
        <w:jc w:val="left"/>
        <w:rPr>
          <w:szCs w:val="21"/>
          <w:highlight w:val="none"/>
        </w:rPr>
      </w:pPr>
      <w:r>
        <w:rPr>
          <w:szCs w:val="21"/>
          <w:highlight w:val="none"/>
        </w:rPr>
        <w:t>按本合同约定向甲方提供服务</w:t>
      </w:r>
      <w:r>
        <w:rPr>
          <w:rFonts w:hint="eastAsia"/>
          <w:szCs w:val="21"/>
          <w:highlight w:val="none"/>
        </w:rPr>
        <w:t>。</w:t>
      </w:r>
    </w:p>
    <w:p w14:paraId="29A7D576">
      <w:pPr>
        <w:pStyle w:val="9"/>
        <w:numPr>
          <w:ilvl w:val="0"/>
          <w:numId w:val="21"/>
        </w:numPr>
        <w:spacing w:after="0" w:line="240" w:lineRule="auto"/>
        <w:ind w:left="525" w:leftChars="0" w:hanging="525" w:hangingChars="250"/>
        <w:contextualSpacing/>
        <w:jc w:val="left"/>
        <w:rPr>
          <w:szCs w:val="21"/>
          <w:highlight w:val="none"/>
        </w:rPr>
      </w:pPr>
      <w:r>
        <w:rPr>
          <w:rFonts w:hint="eastAsia"/>
          <w:szCs w:val="21"/>
          <w:highlight w:val="none"/>
        </w:rPr>
        <w:t>乙方应保证提供的服务人员具备相应的服务能力和服务资质（如涉及）</w:t>
      </w:r>
      <w:r>
        <w:rPr>
          <w:szCs w:val="21"/>
          <w:highlight w:val="none"/>
        </w:rPr>
        <w:t>。</w:t>
      </w:r>
    </w:p>
    <w:p w14:paraId="26B4DD92">
      <w:pPr>
        <w:pStyle w:val="9"/>
        <w:numPr>
          <w:ilvl w:val="0"/>
          <w:numId w:val="21"/>
        </w:numPr>
        <w:spacing w:after="0" w:line="240" w:lineRule="auto"/>
        <w:ind w:left="525" w:leftChars="0" w:hanging="525" w:hangingChars="250"/>
        <w:contextualSpacing/>
        <w:jc w:val="left"/>
        <w:rPr>
          <w:szCs w:val="21"/>
          <w:highlight w:val="none"/>
        </w:rPr>
      </w:pPr>
      <w:r>
        <w:rPr>
          <w:rFonts w:hint="eastAsia"/>
          <w:szCs w:val="21"/>
          <w:highlight w:val="none"/>
        </w:rPr>
        <w:t>如服务涉及更换备品备件、材料等，</w:t>
      </w:r>
      <w:r>
        <w:rPr>
          <w:szCs w:val="21"/>
          <w:highlight w:val="none"/>
        </w:rPr>
        <w:t>乙方应保证服务中更换的</w:t>
      </w:r>
      <w:r>
        <w:rPr>
          <w:rFonts w:hint="eastAsia"/>
          <w:szCs w:val="21"/>
          <w:highlight w:val="none"/>
        </w:rPr>
        <w:t>备品</w:t>
      </w:r>
      <w:r>
        <w:rPr>
          <w:szCs w:val="21"/>
          <w:highlight w:val="none"/>
        </w:rPr>
        <w:t>备件、材料</w:t>
      </w:r>
      <w:r>
        <w:rPr>
          <w:rFonts w:hint="eastAsia"/>
          <w:szCs w:val="21"/>
          <w:highlight w:val="none"/>
        </w:rPr>
        <w:t>达到本项目采购文件及乙方响应文件中的技术要求和质量标准，</w:t>
      </w:r>
      <w:r>
        <w:rPr>
          <w:szCs w:val="21"/>
          <w:highlight w:val="none"/>
        </w:rPr>
        <w:t>符合或优于国家（行业）标准，并保证所更换的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材料在正确安装及正常使用和保养条件下，于其使用寿命期内性能</w:t>
      </w:r>
      <w:r>
        <w:rPr>
          <w:rFonts w:hint="eastAsia"/>
          <w:szCs w:val="21"/>
          <w:highlight w:val="none"/>
        </w:rPr>
        <w:t>满足甲方需求</w:t>
      </w:r>
      <w:r>
        <w:rPr>
          <w:szCs w:val="21"/>
          <w:highlight w:val="none"/>
        </w:rPr>
        <w:t>。</w:t>
      </w:r>
    </w:p>
    <w:p w14:paraId="03A4EB61">
      <w:pPr>
        <w:pStyle w:val="9"/>
        <w:numPr>
          <w:ilvl w:val="0"/>
          <w:numId w:val="21"/>
        </w:numPr>
        <w:spacing w:after="0" w:line="240" w:lineRule="auto"/>
        <w:ind w:left="525" w:leftChars="0" w:hanging="525" w:hangingChars="250"/>
        <w:contextualSpacing/>
        <w:jc w:val="left"/>
        <w:rPr>
          <w:szCs w:val="21"/>
          <w:highlight w:val="none"/>
        </w:rPr>
      </w:pPr>
      <w:r>
        <w:rPr>
          <w:szCs w:val="21"/>
          <w:highlight w:val="none"/>
        </w:rPr>
        <w:t>如服务涉及计算机软件产品的，乙方须承诺在服务中设备安装的软件已获得软件厂商的正规授权。</w:t>
      </w:r>
    </w:p>
    <w:p w14:paraId="68E6AAB3">
      <w:pPr>
        <w:pStyle w:val="9"/>
        <w:numPr>
          <w:ilvl w:val="0"/>
          <w:numId w:val="21"/>
        </w:numPr>
        <w:spacing w:after="0" w:line="240" w:lineRule="auto"/>
        <w:ind w:left="525" w:leftChars="0" w:hanging="525" w:hangingChars="250"/>
        <w:contextualSpacing/>
        <w:jc w:val="left"/>
        <w:rPr>
          <w:szCs w:val="21"/>
          <w:highlight w:val="none"/>
        </w:rPr>
      </w:pPr>
      <w:r>
        <w:rPr>
          <w:szCs w:val="21"/>
          <w:highlight w:val="none"/>
        </w:rPr>
        <w:t>乙方对在按本合同约定向甲方提供服务过程中所获得的所有数据、商业秘密或其它技术及经营信息负有保密的义务，不得向任何第三方透露或泄露。</w:t>
      </w:r>
    </w:p>
    <w:p w14:paraId="742F7349">
      <w:pPr>
        <w:pStyle w:val="29"/>
        <w:numPr>
          <w:ilvl w:val="0"/>
          <w:numId w:val="13"/>
        </w:numPr>
        <w:ind w:left="0" w:firstLine="0" w:firstLineChars="0"/>
        <w:contextualSpacing/>
        <w:jc w:val="left"/>
        <w:rPr>
          <w:b/>
          <w:szCs w:val="21"/>
          <w:highlight w:val="none"/>
        </w:rPr>
      </w:pPr>
      <w:r>
        <w:rPr>
          <w:b/>
          <w:szCs w:val="21"/>
          <w:highlight w:val="none"/>
        </w:rPr>
        <w:t>违约责任</w:t>
      </w:r>
      <w:r>
        <w:rPr>
          <w:bCs/>
          <w:i/>
          <w:iCs/>
          <w:szCs w:val="21"/>
          <w:highlight w:val="none"/>
        </w:rPr>
        <w:t>&lt;本条款中违约金比例可根据项目实际情况确定</w:t>
      </w:r>
      <w:r>
        <w:rPr>
          <w:rFonts w:hint="eastAsia"/>
          <w:bCs/>
          <w:i/>
          <w:iCs/>
          <w:szCs w:val="21"/>
          <w:highlight w:val="none"/>
        </w:rPr>
        <w:t>，如合同无固定总金额的，请按实际需求调整表述</w:t>
      </w:r>
      <w:r>
        <w:rPr>
          <w:bCs/>
          <w:i/>
          <w:iCs/>
          <w:szCs w:val="21"/>
          <w:highlight w:val="none"/>
        </w:rPr>
        <w:t>&gt;</w:t>
      </w:r>
    </w:p>
    <w:p w14:paraId="5B66A4B0">
      <w:pPr>
        <w:pStyle w:val="9"/>
        <w:numPr>
          <w:ilvl w:val="0"/>
          <w:numId w:val="22"/>
        </w:numPr>
        <w:spacing w:after="0" w:line="240" w:lineRule="auto"/>
        <w:ind w:left="227" w:leftChars="0" w:hanging="227"/>
        <w:contextualSpacing/>
        <w:jc w:val="left"/>
        <w:rPr>
          <w:szCs w:val="21"/>
          <w:highlight w:val="none"/>
        </w:rPr>
      </w:pPr>
      <w:r>
        <w:rPr>
          <w:szCs w:val="21"/>
          <w:highlight w:val="none"/>
        </w:rPr>
        <w:t>甲方违约责任：甲方无正当理由拒绝乙方按本合同约定提供服务的，甲方应偿付合同总</w:t>
      </w:r>
      <w:r>
        <w:rPr>
          <w:rFonts w:hint="eastAsia"/>
          <w:szCs w:val="21"/>
          <w:highlight w:val="none"/>
        </w:rPr>
        <w:t>金额的</w:t>
      </w:r>
      <w:r>
        <w:rPr>
          <w:rFonts w:hint="eastAsia"/>
          <w:szCs w:val="21"/>
          <w:highlight w:val="none"/>
          <w:u w:val="single"/>
          <w:lang w:val="en-US" w:eastAsia="zh-CN"/>
        </w:rPr>
        <w:t xml:space="preserve">  </w:t>
      </w:r>
      <w:r>
        <w:rPr>
          <w:szCs w:val="21"/>
          <w:highlight w:val="none"/>
          <w:u w:val="single"/>
        </w:rPr>
        <w:t>%</w:t>
      </w:r>
      <w:r>
        <w:rPr>
          <w:rFonts w:hint="eastAsia"/>
          <w:szCs w:val="21"/>
          <w:highlight w:val="none"/>
        </w:rPr>
        <w:t>作为</w:t>
      </w:r>
      <w:r>
        <w:rPr>
          <w:szCs w:val="21"/>
          <w:highlight w:val="none"/>
        </w:rPr>
        <w:t>违约金。</w:t>
      </w:r>
    </w:p>
    <w:p w14:paraId="0BC8E6CE">
      <w:pPr>
        <w:pStyle w:val="29"/>
        <w:numPr>
          <w:ilvl w:val="0"/>
          <w:numId w:val="22"/>
        </w:numPr>
        <w:ind w:left="0" w:firstLine="0" w:firstLineChars="0"/>
        <w:rPr>
          <w:szCs w:val="21"/>
          <w:highlight w:val="none"/>
        </w:rPr>
      </w:pPr>
      <w:r>
        <w:rPr>
          <w:szCs w:val="21"/>
          <w:highlight w:val="none"/>
        </w:rPr>
        <w:t>乙方违约责任：</w:t>
      </w:r>
    </w:p>
    <w:p w14:paraId="354B31C5">
      <w:pPr>
        <w:pStyle w:val="9"/>
        <w:numPr>
          <w:ilvl w:val="0"/>
          <w:numId w:val="23"/>
        </w:numPr>
        <w:spacing w:after="0" w:line="240" w:lineRule="auto"/>
        <w:ind w:left="525" w:leftChars="0" w:hanging="525" w:hangingChars="250"/>
        <w:contextualSpacing/>
        <w:jc w:val="left"/>
        <w:rPr>
          <w:szCs w:val="21"/>
          <w:highlight w:val="none"/>
        </w:rPr>
      </w:pPr>
      <w:bookmarkStart w:id="101" w:name="OLE_LINK18"/>
      <w:bookmarkStart w:id="102" w:name="OLE_LINK17"/>
      <w:r>
        <w:rPr>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r>
        <w:rPr>
          <w:rFonts w:hint="eastAsia" w:ascii="宋体" w:hAnsi="宋体" w:eastAsia="宋体" w:cs="宋体"/>
          <w:szCs w:val="21"/>
          <w:highlight w:val="none"/>
        </w:rPr>
        <w:t>乙方应赔偿由此给甲方造成的实际损失并向甲方支付合同总额10%的违约金。</w:t>
      </w:r>
    </w:p>
    <w:p w14:paraId="20C1309B">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因乙方在服务中更换的</w:t>
      </w:r>
      <w:r>
        <w:rPr>
          <w:rFonts w:hint="eastAsia"/>
          <w:szCs w:val="21"/>
          <w:highlight w:val="none"/>
        </w:rPr>
        <w:t>备品</w:t>
      </w:r>
      <w:r>
        <w:rPr>
          <w:szCs w:val="21"/>
          <w:highlight w:val="none"/>
        </w:rPr>
        <w:t>备件</w:t>
      </w:r>
      <w:r>
        <w:rPr>
          <w:rFonts w:hint="eastAsia"/>
          <w:szCs w:val="21"/>
          <w:highlight w:val="none"/>
        </w:rPr>
        <w:t>或原</w:t>
      </w:r>
      <w:r>
        <w:rPr>
          <w:szCs w:val="21"/>
          <w:highlight w:val="none"/>
        </w:rPr>
        <w:t>材料在质保期内并在正常使用情况下出现质量原因导致甲方或第三方财产或人身损害的，由乙方承担赔偿责任。</w:t>
      </w:r>
      <w:r>
        <w:rPr>
          <w:rFonts w:hint="eastAsia" w:ascii="宋体" w:hAnsi="宋体" w:eastAsia="宋体" w:cs="宋体"/>
          <w:szCs w:val="21"/>
          <w:highlight w:val="none"/>
        </w:rPr>
        <w:t>乙方应赔偿由此给甲方造成的实际损失并向甲方支付合同总额10%的违约金。</w:t>
      </w:r>
    </w:p>
    <w:p w14:paraId="2E725C36">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在本合同的履行中，</w:t>
      </w:r>
      <w:r>
        <w:rPr>
          <w:rFonts w:hint="eastAsia"/>
          <w:szCs w:val="21"/>
          <w:highlight w:val="none"/>
        </w:rPr>
        <w:t>如</w:t>
      </w:r>
      <w:r>
        <w:rPr>
          <w:szCs w:val="21"/>
          <w:highlight w:val="none"/>
        </w:rPr>
        <w:t>乙方提供的服务存在设计、工艺或材料缺陷（包括潜在缺陷），乙方应当对由于上述缺陷造成的损失负责。</w:t>
      </w:r>
      <w:r>
        <w:rPr>
          <w:rFonts w:hint="eastAsia" w:ascii="宋体" w:hAnsi="宋体" w:eastAsia="宋体" w:cs="宋体"/>
          <w:szCs w:val="21"/>
          <w:highlight w:val="none"/>
        </w:rPr>
        <w:t>乙方应赔偿由此给甲方造成的实际损失并向甲方支付合同总额10%的违约金。</w:t>
      </w:r>
    </w:p>
    <w:p w14:paraId="74485C68">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在本合同履行中，</w:t>
      </w:r>
      <w:r>
        <w:rPr>
          <w:rFonts w:hint="eastAsia"/>
          <w:szCs w:val="21"/>
          <w:highlight w:val="none"/>
        </w:rPr>
        <w:t>如</w:t>
      </w:r>
      <w:r>
        <w:rPr>
          <w:szCs w:val="21"/>
          <w:highlight w:val="none"/>
        </w:rPr>
        <w:t>乙方</w:t>
      </w:r>
      <w:r>
        <w:rPr>
          <w:rFonts w:hint="eastAsia"/>
          <w:szCs w:val="21"/>
          <w:highlight w:val="none"/>
        </w:rPr>
        <w:t>未按本合同约定及时向甲方提供服务</w:t>
      </w:r>
      <w:r>
        <w:rPr>
          <w:szCs w:val="21"/>
          <w:highlight w:val="none"/>
        </w:rPr>
        <w:t>，每发生一次，乙方应按</w:t>
      </w:r>
      <w:r>
        <w:rPr>
          <w:rFonts w:hint="eastAsia"/>
          <w:szCs w:val="21"/>
          <w:highlight w:val="none"/>
          <w:u w:val="single"/>
        </w:rPr>
        <w:t>合同总金额</w:t>
      </w:r>
      <w:r>
        <w:rPr>
          <w:szCs w:val="21"/>
          <w:highlight w:val="none"/>
        </w:rPr>
        <w:t>的</w:t>
      </w:r>
      <w:r>
        <w:rPr>
          <w:rFonts w:hint="eastAsia"/>
          <w:szCs w:val="21"/>
          <w:highlight w:val="none"/>
          <w:u w:val="single"/>
        </w:rPr>
        <w:t>***</w:t>
      </w:r>
      <w:r>
        <w:rPr>
          <w:rFonts w:hint="eastAsia"/>
          <w:szCs w:val="21"/>
          <w:highlight w:val="none"/>
        </w:rPr>
        <w:t>‰</w:t>
      </w:r>
      <w:r>
        <w:rPr>
          <w:szCs w:val="21"/>
          <w:highlight w:val="none"/>
        </w:rPr>
        <w:t>向甲方支付违约金。甲方可采取必要的补救措施，但由此而产生的风险责任和费用将由乙方负担，甲方根据合同规定对乙方行使的其他权利不受影响。</w:t>
      </w:r>
    </w:p>
    <w:p w14:paraId="170DE4FD">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乙方在</w:t>
      </w:r>
      <w:r>
        <w:rPr>
          <w:rFonts w:hint="eastAsia"/>
          <w:szCs w:val="21"/>
          <w:highlight w:val="none"/>
        </w:rPr>
        <w:t>提供服务</w:t>
      </w:r>
      <w:r>
        <w:rPr>
          <w:szCs w:val="21"/>
          <w:highlight w:val="none"/>
        </w:rPr>
        <w:t>过程</w:t>
      </w:r>
      <w:r>
        <w:rPr>
          <w:rFonts w:hint="eastAsia"/>
          <w:szCs w:val="21"/>
          <w:highlight w:val="none"/>
        </w:rPr>
        <w:t>中</w:t>
      </w:r>
      <w:r>
        <w:rPr>
          <w:szCs w:val="21"/>
          <w:highlight w:val="none"/>
        </w:rPr>
        <w:t>侵犯他人知识产权，甲方有权单方解除合同，并要求乙方赔偿所造成的损失，同时甲方有权要求对方按照</w:t>
      </w:r>
      <w:r>
        <w:rPr>
          <w:szCs w:val="21"/>
          <w:highlight w:val="none"/>
          <w:u w:val="single"/>
        </w:rPr>
        <w:t>合同总金额</w:t>
      </w:r>
      <w:r>
        <w:rPr>
          <w:szCs w:val="21"/>
          <w:highlight w:val="none"/>
        </w:rPr>
        <w:t>的</w:t>
      </w:r>
      <w:r>
        <w:rPr>
          <w:rFonts w:hint="eastAsia"/>
          <w:szCs w:val="21"/>
          <w:highlight w:val="none"/>
          <w:u w:val="single"/>
          <w:lang w:val="en-US" w:eastAsia="zh-CN"/>
        </w:rPr>
        <w:t xml:space="preserve">   </w:t>
      </w:r>
      <w:r>
        <w:rPr>
          <w:szCs w:val="21"/>
          <w:highlight w:val="none"/>
        </w:rPr>
        <w:t>%</w:t>
      </w:r>
      <w:r>
        <w:rPr>
          <w:rFonts w:hint="eastAsia"/>
          <w:szCs w:val="21"/>
          <w:highlight w:val="none"/>
        </w:rPr>
        <w:t>支付</w:t>
      </w:r>
      <w:r>
        <w:rPr>
          <w:szCs w:val="21"/>
          <w:highlight w:val="none"/>
        </w:rPr>
        <w:t>违约金。</w:t>
      </w:r>
    </w:p>
    <w:p w14:paraId="0B168445">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乙方违反保密义务，甲方有权单方解除合同，乙方应按甲方实际损失向甲方进行赔偿并向甲方支付</w:t>
      </w:r>
      <w:r>
        <w:rPr>
          <w:rFonts w:hint="eastAsia"/>
          <w:szCs w:val="21"/>
          <w:highlight w:val="none"/>
          <w:u w:val="single"/>
        </w:rPr>
        <w:t>合同总金额</w:t>
      </w:r>
      <w:r>
        <w:rPr>
          <w:rFonts w:hint="eastAsia"/>
          <w:szCs w:val="21"/>
          <w:highlight w:val="none"/>
        </w:rPr>
        <w:t>的</w:t>
      </w:r>
      <w:r>
        <w:rPr>
          <w:rFonts w:hint="eastAsia"/>
          <w:szCs w:val="21"/>
          <w:highlight w:val="none"/>
          <w:u w:val="single"/>
          <w:lang w:val="en-US" w:eastAsia="zh-CN"/>
        </w:rPr>
        <w:t xml:space="preserve">   </w:t>
      </w:r>
      <w:r>
        <w:rPr>
          <w:szCs w:val="21"/>
          <w:highlight w:val="none"/>
        </w:rPr>
        <w:t>%</w:t>
      </w:r>
      <w:r>
        <w:rPr>
          <w:rFonts w:hint="eastAsia"/>
          <w:szCs w:val="21"/>
          <w:highlight w:val="none"/>
        </w:rPr>
        <w:t>作为</w:t>
      </w:r>
      <w:r>
        <w:rPr>
          <w:szCs w:val="21"/>
          <w:highlight w:val="none"/>
        </w:rPr>
        <w:t>违约金。</w:t>
      </w:r>
    </w:p>
    <w:bookmarkEnd w:id="101"/>
    <w:bookmarkEnd w:id="102"/>
    <w:p w14:paraId="79DD140B">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乙方偿付的违约金不足以弥补甲方损失的，还应按甲方损失尚未弥补的部分，支付赔偿金给甲方。</w:t>
      </w:r>
    </w:p>
    <w:p w14:paraId="3156E70D">
      <w:pPr>
        <w:pStyle w:val="9"/>
        <w:numPr>
          <w:ilvl w:val="0"/>
          <w:numId w:val="23"/>
        </w:numPr>
        <w:spacing w:after="0" w:line="240" w:lineRule="auto"/>
        <w:ind w:left="525" w:leftChars="0" w:hanging="525" w:hangingChars="250"/>
        <w:contextualSpacing/>
        <w:jc w:val="left"/>
        <w:rPr>
          <w:szCs w:val="21"/>
          <w:highlight w:val="none"/>
        </w:rPr>
      </w:pPr>
      <w:r>
        <w:rPr>
          <w:szCs w:val="21"/>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3"/>
        </w:numPr>
        <w:snapToGrid w:val="0"/>
        <w:spacing w:after="0" w:line="240" w:lineRule="auto"/>
        <w:ind w:left="525" w:leftChars="0" w:hanging="525" w:hangingChars="250"/>
        <w:contextualSpacing/>
        <w:jc w:val="left"/>
        <w:rPr>
          <w:szCs w:val="21"/>
          <w:highlight w:val="none"/>
        </w:rPr>
      </w:pPr>
      <w:r>
        <w:rPr>
          <w:szCs w:val="21"/>
          <w:highlight w:val="none"/>
        </w:rPr>
        <w:t>如本</w:t>
      </w:r>
      <w:r>
        <w:rPr>
          <w:rFonts w:ascii="宋体" w:hAnsi="宋体" w:cs="微软雅黑"/>
          <w:szCs w:val="21"/>
          <w:highlight w:val="none"/>
        </w:rPr>
        <w:t>合同</w:t>
      </w:r>
      <w:r>
        <w:rPr>
          <w:rFonts w:hint="cs" w:ascii="宋体" w:hAnsi="宋体"/>
          <w:szCs w:val="21"/>
          <w:highlight w:val="none"/>
        </w:rPr>
        <w:t>要</w:t>
      </w:r>
      <w:r>
        <w:rPr>
          <w:szCs w:val="21"/>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highlight w:val="none"/>
        </w:rPr>
      </w:pPr>
      <w:r>
        <w:rPr>
          <w:szCs w:val="21"/>
          <w:highlight w:val="none"/>
        </w:rPr>
        <w:t>3.本合同履行中如有任何一方违约，那么守约方为保障自己合法权益而产生的律师费、诉讼费、差旅费、公告费等，均由违约方承担。</w:t>
      </w:r>
    </w:p>
    <w:p w14:paraId="754D0209">
      <w:pPr>
        <w:pStyle w:val="29"/>
        <w:numPr>
          <w:ilvl w:val="0"/>
          <w:numId w:val="13"/>
        </w:numPr>
        <w:ind w:left="0" w:firstLine="0" w:firstLineChars="0"/>
        <w:contextualSpacing/>
        <w:jc w:val="left"/>
        <w:rPr>
          <w:b/>
          <w:szCs w:val="21"/>
          <w:highlight w:val="none"/>
        </w:rPr>
      </w:pPr>
      <w:r>
        <w:rPr>
          <w:b/>
          <w:szCs w:val="21"/>
          <w:highlight w:val="none"/>
        </w:rPr>
        <w:t>不可抗力</w:t>
      </w:r>
    </w:p>
    <w:p w14:paraId="26541785">
      <w:pPr>
        <w:pStyle w:val="29"/>
        <w:snapToGrid w:val="0"/>
        <w:rPr>
          <w:bCs/>
          <w:szCs w:val="21"/>
          <w:highlight w:val="none"/>
        </w:rPr>
      </w:pPr>
      <w:r>
        <w:rPr>
          <w:bCs/>
          <w:szCs w:val="21"/>
          <w:highlight w:val="none"/>
        </w:rPr>
        <w:t>如果遇到自然灾害和灾难及其他不可抗力事件而影响合同履行时，乙方应在三个工作日内以书面形式通知甲方。若不可抗力原因影响本合同执行时间超过***</w:t>
      </w:r>
      <w:r>
        <w:rPr>
          <w:rFonts w:hint="eastAsia"/>
          <w:bCs/>
          <w:szCs w:val="21"/>
          <w:highlight w:val="none"/>
        </w:rPr>
        <w:t>日</w:t>
      </w:r>
      <w:r>
        <w:rPr>
          <w:bCs/>
          <w:szCs w:val="21"/>
          <w:highlight w:val="none"/>
        </w:rPr>
        <w:t>，甲方有权解除合同，双方互不承担违约责任。</w:t>
      </w:r>
    </w:p>
    <w:p w14:paraId="031713B9">
      <w:pPr>
        <w:pStyle w:val="29"/>
        <w:numPr>
          <w:ilvl w:val="0"/>
          <w:numId w:val="13"/>
        </w:numPr>
        <w:ind w:left="0" w:firstLine="0" w:firstLineChars="0"/>
        <w:contextualSpacing/>
        <w:jc w:val="left"/>
        <w:rPr>
          <w:b/>
          <w:szCs w:val="21"/>
          <w:highlight w:val="none"/>
        </w:rPr>
      </w:pPr>
      <w:r>
        <w:rPr>
          <w:b/>
          <w:szCs w:val="21"/>
          <w:highlight w:val="none"/>
        </w:rPr>
        <w:t>合同终止及解除</w:t>
      </w:r>
    </w:p>
    <w:p w14:paraId="275C61D9">
      <w:pPr>
        <w:pStyle w:val="29"/>
        <w:numPr>
          <w:ilvl w:val="0"/>
          <w:numId w:val="24"/>
        </w:numPr>
        <w:ind w:left="0" w:firstLine="0" w:firstLineChars="0"/>
        <w:rPr>
          <w:szCs w:val="21"/>
          <w:highlight w:val="none"/>
        </w:rPr>
      </w:pPr>
      <w:r>
        <w:rPr>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4"/>
        </w:numPr>
        <w:ind w:left="0" w:firstLine="0" w:firstLineChars="0"/>
        <w:rPr>
          <w:szCs w:val="21"/>
          <w:highlight w:val="none"/>
        </w:rPr>
      </w:pPr>
      <w:r>
        <w:rPr>
          <w:szCs w:val="21"/>
          <w:highlight w:val="none"/>
        </w:rPr>
        <w:t>在甲、乙任何一方有严重违约行为时，另一方有权单方解除合同。</w:t>
      </w:r>
    </w:p>
    <w:p w14:paraId="2BA7B89E">
      <w:pPr>
        <w:pStyle w:val="29"/>
        <w:numPr>
          <w:ilvl w:val="0"/>
          <w:numId w:val="13"/>
        </w:numPr>
        <w:ind w:left="0" w:firstLine="0" w:firstLineChars="0"/>
        <w:contextualSpacing/>
        <w:jc w:val="left"/>
        <w:rPr>
          <w:b/>
          <w:szCs w:val="21"/>
          <w:highlight w:val="none"/>
        </w:rPr>
      </w:pPr>
      <w:r>
        <w:rPr>
          <w:b/>
          <w:szCs w:val="21"/>
          <w:highlight w:val="none"/>
        </w:rPr>
        <w:t>争议解决办法</w:t>
      </w:r>
    </w:p>
    <w:p w14:paraId="5C6244A3">
      <w:pPr>
        <w:pStyle w:val="29"/>
        <w:numPr>
          <w:ilvl w:val="0"/>
          <w:numId w:val="25"/>
        </w:numPr>
        <w:ind w:left="0" w:firstLine="0" w:firstLineChars="0"/>
        <w:rPr>
          <w:szCs w:val="21"/>
          <w:highlight w:val="none"/>
        </w:rPr>
      </w:pPr>
      <w:r>
        <w:rPr>
          <w:szCs w:val="21"/>
          <w:highlight w:val="none"/>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5"/>
        </w:numPr>
        <w:ind w:left="0" w:firstLine="0" w:firstLineChars="0"/>
        <w:rPr>
          <w:szCs w:val="21"/>
          <w:highlight w:val="none"/>
        </w:rPr>
      </w:pPr>
      <w:r>
        <w:rPr>
          <w:szCs w:val="21"/>
          <w:highlight w:val="none"/>
        </w:rPr>
        <w:t>合同履行期间,若双方发生争议，可协商或由有关部门调解解决，协商或调解不成的，任何一方均有权向甲方所在地具有管辖权的人民法院起诉。</w:t>
      </w:r>
    </w:p>
    <w:p w14:paraId="533F8595">
      <w:pPr>
        <w:pStyle w:val="29"/>
        <w:numPr>
          <w:ilvl w:val="0"/>
          <w:numId w:val="13"/>
        </w:numPr>
        <w:ind w:left="0" w:firstLine="0" w:firstLineChars="0"/>
        <w:contextualSpacing/>
        <w:jc w:val="left"/>
        <w:rPr>
          <w:b/>
          <w:szCs w:val="21"/>
          <w:highlight w:val="none"/>
        </w:rPr>
      </w:pPr>
      <w:r>
        <w:rPr>
          <w:b/>
          <w:szCs w:val="21"/>
          <w:highlight w:val="none"/>
        </w:rPr>
        <w:t>送达（送达地址是司法机关、执法机关和仲裁机关将法律文书送达给当事人的收件地址）</w:t>
      </w:r>
    </w:p>
    <w:p w14:paraId="46F487CF">
      <w:pPr>
        <w:pStyle w:val="34"/>
        <w:numPr>
          <w:ilvl w:val="0"/>
          <w:numId w:val="26"/>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2E0AF282">
      <w:pPr>
        <w:pStyle w:val="34"/>
        <w:numPr>
          <w:ilvl w:val="0"/>
          <w:numId w:val="26"/>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750624B0">
      <w:pPr>
        <w:pStyle w:val="34"/>
        <w:numPr>
          <w:ilvl w:val="0"/>
          <w:numId w:val="26"/>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3"/>
        </w:numPr>
        <w:ind w:left="0" w:firstLine="0" w:firstLineChars="0"/>
        <w:contextualSpacing/>
        <w:jc w:val="left"/>
        <w:rPr>
          <w:b/>
          <w:szCs w:val="21"/>
          <w:highlight w:val="none"/>
        </w:rPr>
      </w:pPr>
      <w:r>
        <w:rPr>
          <w:b/>
          <w:szCs w:val="21"/>
          <w:highlight w:val="none"/>
        </w:rPr>
        <w:t>其他</w:t>
      </w:r>
    </w:p>
    <w:p w14:paraId="162904B6">
      <w:pPr>
        <w:pStyle w:val="29"/>
        <w:numPr>
          <w:ilvl w:val="0"/>
          <w:numId w:val="27"/>
        </w:numPr>
        <w:ind w:left="0" w:firstLine="0" w:firstLineChars="0"/>
        <w:rPr>
          <w:szCs w:val="21"/>
          <w:highlight w:val="none"/>
        </w:rPr>
      </w:pPr>
      <w:r>
        <w:rPr>
          <w:szCs w:val="21"/>
          <w:highlight w:val="none"/>
        </w:rPr>
        <w:t>如有未尽事宜，由双方依法订立补充合同。补充合同及本合同附件均为本合同的组成部分，与本合同具有同等法律效力。</w:t>
      </w:r>
    </w:p>
    <w:p w14:paraId="3EA6778F">
      <w:pPr>
        <w:pStyle w:val="29"/>
        <w:numPr>
          <w:ilvl w:val="0"/>
          <w:numId w:val="27"/>
        </w:numPr>
        <w:ind w:left="0" w:firstLine="0" w:firstLineChars="0"/>
        <w:rPr>
          <w:szCs w:val="21"/>
          <w:highlight w:val="none"/>
        </w:rPr>
      </w:pPr>
      <w:r>
        <w:rPr>
          <w:szCs w:val="21"/>
          <w:highlight w:val="none"/>
        </w:rPr>
        <w:t>本合同一式四份，自双方</w:t>
      </w:r>
      <w:r>
        <w:rPr>
          <w:rFonts w:hint="eastAsia"/>
          <w:szCs w:val="21"/>
          <w:highlight w:val="none"/>
        </w:rPr>
        <w:t>签字且盖章之</w:t>
      </w:r>
      <w:r>
        <w:rPr>
          <w:szCs w:val="21"/>
          <w:highlight w:val="none"/>
        </w:rPr>
        <w:t>日起生效。甲方三份，乙方一份。</w:t>
      </w:r>
    </w:p>
    <w:p w14:paraId="134580B1">
      <w:pPr>
        <w:pStyle w:val="29"/>
        <w:numPr>
          <w:ilvl w:val="0"/>
          <w:numId w:val="13"/>
        </w:numPr>
        <w:ind w:left="0" w:firstLine="0" w:firstLineChars="0"/>
        <w:contextualSpacing/>
        <w:jc w:val="left"/>
        <w:rPr>
          <w:b/>
          <w:szCs w:val="21"/>
          <w:highlight w:val="none"/>
        </w:rPr>
      </w:pPr>
      <w:r>
        <w:rPr>
          <w:b/>
          <w:szCs w:val="21"/>
          <w:highlight w:val="none"/>
        </w:rPr>
        <w:t>合同附件</w:t>
      </w:r>
    </w:p>
    <w:p w14:paraId="6C66D4AC">
      <w:pPr>
        <w:rPr>
          <w:szCs w:val="21"/>
          <w:highlight w:val="none"/>
        </w:rPr>
      </w:pPr>
      <w:r>
        <w:rPr>
          <w:szCs w:val="21"/>
          <w:highlight w:val="none"/>
        </w:rPr>
        <w:t>本合同为</w:t>
      </w:r>
      <w:r>
        <w:rPr>
          <w:rFonts w:hint="eastAsia"/>
          <w:szCs w:val="21"/>
          <w:highlight w:val="none"/>
          <w:u w:val="single"/>
        </w:rPr>
        <w:t>有</w:t>
      </w:r>
      <w:r>
        <w:rPr>
          <w:szCs w:val="21"/>
          <w:highlight w:val="none"/>
        </w:rPr>
        <w:t>附件合同</w:t>
      </w:r>
      <w:r>
        <w:rPr>
          <w:rFonts w:hint="eastAsia"/>
          <w:szCs w:val="21"/>
          <w:highlight w:val="none"/>
        </w:rPr>
        <w:t>，附件如下：</w:t>
      </w:r>
      <w:r>
        <w:rPr>
          <w:i/>
          <w:iCs/>
          <w:szCs w:val="21"/>
          <w:highlight w:val="none"/>
        </w:rPr>
        <w:t>&lt;根据项目实际情况编制&gt;</w:t>
      </w:r>
    </w:p>
    <w:p w14:paraId="3FF9CA8A">
      <w:pPr>
        <w:jc w:val="left"/>
        <w:outlineLvl w:val="0"/>
        <w:rPr>
          <w:szCs w:val="21"/>
          <w:highlight w:val="none"/>
        </w:rPr>
      </w:pPr>
      <w:r>
        <w:rPr>
          <w:rFonts w:hint="eastAsia"/>
          <w:szCs w:val="21"/>
          <w:highlight w:val="none"/>
        </w:rPr>
        <w:t>附件1《</w:t>
      </w:r>
      <w:bookmarkStart w:id="103" w:name="OLE_LINK32"/>
      <w:r>
        <w:rPr>
          <w:rFonts w:hint="eastAsia"/>
          <w:szCs w:val="21"/>
          <w:highlight w:val="none"/>
        </w:rPr>
        <w:t>结算单价清单</w:t>
      </w:r>
      <w:bookmarkEnd w:id="103"/>
      <w:r>
        <w:rPr>
          <w:rFonts w:hint="eastAsia"/>
          <w:szCs w:val="21"/>
          <w:highlight w:val="none"/>
        </w:rPr>
        <w:t>》</w:t>
      </w:r>
    </w:p>
    <w:p w14:paraId="6CDBD3F1">
      <w:pPr>
        <w:jc w:val="left"/>
        <w:outlineLvl w:val="0"/>
        <w:rPr>
          <w:szCs w:val="21"/>
          <w:highlight w:val="none"/>
        </w:rPr>
      </w:pPr>
      <w:r>
        <w:rPr>
          <w:rFonts w:hint="eastAsia"/>
          <w:szCs w:val="21"/>
          <w:highlight w:val="none"/>
        </w:rPr>
        <w:t>附件2《考核标准》</w:t>
      </w:r>
    </w:p>
    <w:p w14:paraId="485EAD27">
      <w:pPr>
        <w:jc w:val="left"/>
        <w:outlineLvl w:val="0"/>
        <w:rPr>
          <w:szCs w:val="21"/>
          <w:highlight w:val="none"/>
        </w:rPr>
      </w:pPr>
      <w:r>
        <w:rPr>
          <w:szCs w:val="21"/>
          <w:highlight w:val="none"/>
        </w:rPr>
        <w:t>附件3《服务</w:t>
      </w:r>
      <w:r>
        <w:rPr>
          <w:rFonts w:hint="eastAsia"/>
          <w:szCs w:val="21"/>
          <w:highlight w:val="none"/>
        </w:rPr>
        <w:t>方案</w:t>
      </w:r>
      <w:r>
        <w:rPr>
          <w:szCs w:val="21"/>
          <w:highlight w:val="none"/>
        </w:rPr>
        <w:t>》</w:t>
      </w:r>
    </w:p>
    <w:p w14:paraId="73257A85">
      <w:pPr>
        <w:jc w:val="center"/>
        <w:rPr>
          <w:szCs w:val="21"/>
          <w:highlight w:val="none"/>
        </w:rPr>
      </w:pPr>
      <w:r>
        <w:rPr>
          <w:szCs w:val="21"/>
          <w:highlight w:val="none"/>
        </w:rPr>
        <w:t>——</w:t>
      </w:r>
      <w:r>
        <w:rPr>
          <w:sz w:val="18"/>
          <w:szCs w:val="18"/>
          <w:highlight w:val="none"/>
        </w:rPr>
        <w:t>以下无正文</w:t>
      </w:r>
      <w:r>
        <w:rPr>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highlight w:val="none"/>
              </w:rPr>
            </w:pPr>
            <w:r>
              <w:rPr>
                <w:szCs w:val="21"/>
                <w:highlight w:val="none"/>
              </w:rPr>
              <w:t>签订时间：</w:t>
            </w:r>
            <w:r>
              <w:rPr>
                <w:highlight w:val="none"/>
              </w:rPr>
              <w:t>202*</w:t>
            </w:r>
            <w:r>
              <w:rPr>
                <w:szCs w:val="21"/>
                <w:highlight w:val="none"/>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highlight w:val="none"/>
              </w:rPr>
            </w:pPr>
            <w:r>
              <w:rPr>
                <w:szCs w:val="21"/>
                <w:highlight w:val="none"/>
              </w:rPr>
              <w:t>甲方：四川省人民医院（盖章）</w:t>
            </w:r>
          </w:p>
          <w:p w14:paraId="1BF2641A">
            <w:pPr>
              <w:rPr>
                <w:szCs w:val="21"/>
                <w:highlight w:val="none"/>
              </w:rPr>
            </w:pPr>
            <w:r>
              <w:rPr>
                <w:szCs w:val="21"/>
                <w:highlight w:val="none"/>
              </w:rPr>
              <w:t>法定代表人（授权代表签字）：</w:t>
            </w:r>
          </w:p>
          <w:p w14:paraId="3CF6E833">
            <w:pPr>
              <w:rPr>
                <w:szCs w:val="21"/>
                <w:highlight w:val="none"/>
              </w:rPr>
            </w:pPr>
            <w:r>
              <w:rPr>
                <w:szCs w:val="21"/>
                <w:highlight w:val="none"/>
              </w:rPr>
              <w:t>地    址：四川省成都市一环路西二段32号</w:t>
            </w:r>
          </w:p>
          <w:p w14:paraId="6736D38D">
            <w:pPr>
              <w:rPr>
                <w:szCs w:val="21"/>
                <w:highlight w:val="none"/>
              </w:rPr>
            </w:pPr>
            <w:r>
              <w:rPr>
                <w:szCs w:val="21"/>
                <w:highlight w:val="none"/>
              </w:rPr>
              <w:t>开户银行：建设银行成都青羊支行</w:t>
            </w:r>
          </w:p>
          <w:p w14:paraId="3D5EBF0F">
            <w:pPr>
              <w:rPr>
                <w:szCs w:val="21"/>
                <w:highlight w:val="none"/>
              </w:rPr>
            </w:pPr>
            <w:r>
              <w:rPr>
                <w:szCs w:val="21"/>
                <w:highlight w:val="none"/>
              </w:rPr>
              <w:t>账号：5100 1446 4360 5037 4282</w:t>
            </w:r>
          </w:p>
        </w:tc>
        <w:tc>
          <w:tcPr>
            <w:tcW w:w="5247" w:type="dxa"/>
          </w:tcPr>
          <w:p w14:paraId="76D47F6F">
            <w:pPr>
              <w:rPr>
                <w:szCs w:val="21"/>
                <w:highlight w:val="none"/>
              </w:rPr>
            </w:pPr>
            <w:r>
              <w:rPr>
                <w:szCs w:val="21"/>
                <w:highlight w:val="none"/>
              </w:rPr>
              <w:t>乙方：</w:t>
            </w:r>
            <w:permStart w:id="2" w:edGrp="everyone"/>
            <w:r>
              <w:rPr>
                <w:szCs w:val="21"/>
                <w:highlight w:val="none"/>
              </w:rPr>
              <w:t>***</w:t>
            </w:r>
            <w:permEnd w:id="2"/>
            <w:r>
              <w:rPr>
                <w:szCs w:val="21"/>
                <w:highlight w:val="none"/>
              </w:rPr>
              <w:t>（盖章）</w:t>
            </w:r>
          </w:p>
          <w:p w14:paraId="5129AF1F">
            <w:pPr>
              <w:rPr>
                <w:szCs w:val="21"/>
                <w:highlight w:val="none"/>
              </w:rPr>
            </w:pPr>
            <w:r>
              <w:rPr>
                <w:szCs w:val="21"/>
                <w:highlight w:val="none"/>
              </w:rPr>
              <w:t>法定代表人（授权代表签字）：</w:t>
            </w:r>
          </w:p>
          <w:p w14:paraId="47302462">
            <w:pPr>
              <w:rPr>
                <w:szCs w:val="21"/>
                <w:highlight w:val="none"/>
              </w:rPr>
            </w:pPr>
            <w:r>
              <w:rPr>
                <w:szCs w:val="21"/>
                <w:highlight w:val="none"/>
              </w:rPr>
              <w:t>地址：</w:t>
            </w:r>
            <w:permStart w:id="3" w:edGrp="everyone"/>
            <w:r>
              <w:rPr>
                <w:szCs w:val="21"/>
                <w:highlight w:val="none"/>
              </w:rPr>
              <w:t>***</w:t>
            </w:r>
            <w:permEnd w:id="3"/>
          </w:p>
          <w:p w14:paraId="1CF0A190">
            <w:pPr>
              <w:rPr>
                <w:szCs w:val="21"/>
                <w:highlight w:val="none"/>
              </w:rPr>
            </w:pPr>
            <w:r>
              <w:rPr>
                <w:szCs w:val="21"/>
                <w:highlight w:val="none"/>
              </w:rPr>
              <w:t>开户银行：</w:t>
            </w:r>
            <w:permStart w:id="4" w:edGrp="everyone"/>
            <w:r>
              <w:rPr>
                <w:szCs w:val="21"/>
                <w:highlight w:val="none"/>
              </w:rPr>
              <w:t>***</w:t>
            </w:r>
          </w:p>
          <w:permEnd w:id="4"/>
          <w:p w14:paraId="5672E29C">
            <w:pPr>
              <w:widowControl/>
              <w:jc w:val="left"/>
              <w:rPr>
                <w:highlight w:val="none"/>
              </w:rPr>
            </w:pPr>
            <w:r>
              <w:rPr>
                <w:szCs w:val="21"/>
                <w:highlight w:val="none"/>
              </w:rPr>
              <w:t>账号：</w:t>
            </w:r>
            <w:permStart w:id="5" w:edGrp="everyone"/>
            <w:r>
              <w:rPr>
                <w:szCs w:val="21"/>
                <w:highlight w:val="none"/>
              </w:rPr>
              <w:t>***</w:t>
            </w:r>
            <w:permEnd w:id="5"/>
          </w:p>
        </w:tc>
      </w:tr>
    </w:tbl>
    <w:p w14:paraId="1A128CAE">
      <w:pPr>
        <w:widowControl/>
        <w:jc w:val="left"/>
        <w:rPr>
          <w:szCs w:val="21"/>
          <w:highlight w:val="none"/>
        </w:rPr>
        <w:sectPr>
          <w:type w:val="continuous"/>
          <w:pgSz w:w="11906" w:h="16838"/>
          <w:pgMar w:top="851" w:right="1134" w:bottom="851" w:left="1134" w:header="0" w:footer="567" w:gutter="0"/>
          <w:pgNumType w:fmt="decimal"/>
          <w:cols w:space="425" w:num="1"/>
          <w:docGrid w:linePitch="312" w:charSpace="0"/>
        </w:sectPr>
      </w:pPr>
    </w:p>
    <w:p w14:paraId="7B4B943E">
      <w:pPr>
        <w:widowControl/>
        <w:jc w:val="left"/>
        <w:rPr>
          <w:b/>
          <w:bCs/>
          <w:szCs w:val="21"/>
          <w:highlight w:val="none"/>
        </w:rPr>
      </w:pPr>
      <w:r>
        <w:rPr>
          <w:b/>
          <w:bCs/>
          <w:szCs w:val="21"/>
          <w:highlight w:val="none"/>
        </w:rPr>
        <w:t>附件</w:t>
      </w:r>
      <w:r>
        <w:rPr>
          <w:rFonts w:hint="eastAsia"/>
          <w:b/>
          <w:bCs/>
          <w:szCs w:val="21"/>
          <w:highlight w:val="none"/>
        </w:rPr>
        <w:t>1</w:t>
      </w:r>
      <w:r>
        <w:rPr>
          <w:b/>
          <w:bCs/>
          <w:szCs w:val="21"/>
          <w:highlight w:val="none"/>
        </w:rPr>
        <w:t>：</w:t>
      </w:r>
      <w:r>
        <w:rPr>
          <w:rFonts w:hint="eastAsia"/>
          <w:b/>
          <w:bCs/>
          <w:szCs w:val="21"/>
          <w:highlight w:val="none"/>
        </w:rPr>
        <w:t>结算单价清单（人民币：元）</w:t>
      </w:r>
      <w:r>
        <w:rPr>
          <w:rFonts w:hint="eastAsia"/>
          <w:b/>
          <w:bCs/>
          <w:i/>
          <w:iCs/>
          <w:szCs w:val="21"/>
          <w:highlight w:val="none"/>
        </w:rPr>
        <w:t>&lt;根据项目实际情况编制</w:t>
      </w:r>
      <w:r>
        <w:rPr>
          <w:b/>
          <w:bCs/>
          <w:i/>
          <w:iCs/>
          <w:szCs w:val="21"/>
          <w:highlight w:val="none"/>
        </w:rPr>
        <w:t>&gt;</w:t>
      </w:r>
    </w:p>
    <w:p w14:paraId="1D831279">
      <w:pPr>
        <w:widowControl/>
        <w:jc w:val="left"/>
        <w:rPr>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jc w:val="center"/>
              <w:rPr>
                <w:b/>
                <w:bCs/>
                <w:szCs w:val="21"/>
                <w:highlight w:val="none"/>
              </w:rPr>
            </w:pPr>
            <w:r>
              <w:rPr>
                <w:rFonts w:hint="eastAsia"/>
                <w:b/>
                <w:bCs/>
                <w:szCs w:val="21"/>
                <w:highlight w:val="none"/>
              </w:rPr>
              <w:t>序号</w:t>
            </w:r>
          </w:p>
        </w:tc>
        <w:tc>
          <w:tcPr>
            <w:tcW w:w="3686" w:type="dxa"/>
            <w:vAlign w:val="center"/>
          </w:tcPr>
          <w:p w14:paraId="6C23FD50">
            <w:pPr>
              <w:widowControl/>
              <w:jc w:val="center"/>
              <w:rPr>
                <w:b/>
                <w:bCs/>
                <w:szCs w:val="21"/>
                <w:highlight w:val="none"/>
              </w:rPr>
            </w:pPr>
            <w:r>
              <w:rPr>
                <w:rFonts w:hint="eastAsia"/>
                <w:b/>
                <w:bCs/>
                <w:szCs w:val="21"/>
                <w:highlight w:val="none"/>
              </w:rPr>
              <w:t>结算项目名称</w:t>
            </w:r>
          </w:p>
        </w:tc>
        <w:tc>
          <w:tcPr>
            <w:tcW w:w="3402" w:type="dxa"/>
            <w:vAlign w:val="center"/>
          </w:tcPr>
          <w:p w14:paraId="3BB9E943">
            <w:pPr>
              <w:widowControl/>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66368B46">
            <w:pPr>
              <w:widowControl/>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5589F7C3">
            <w:pPr>
              <w:widowControl/>
              <w:jc w:val="center"/>
              <w:rPr>
                <w:b/>
                <w:bCs/>
                <w:szCs w:val="21"/>
                <w:highlight w:val="none"/>
              </w:rPr>
            </w:pPr>
            <w:r>
              <w:rPr>
                <w:rFonts w:hint="eastAsia"/>
                <w:b/>
                <w:bCs/>
                <w:szCs w:val="21"/>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jc w:val="center"/>
              <w:rPr>
                <w:szCs w:val="21"/>
                <w:highlight w:val="none"/>
              </w:rPr>
            </w:pPr>
            <w:r>
              <w:rPr>
                <w:rFonts w:hint="eastAsia"/>
                <w:szCs w:val="21"/>
                <w:highlight w:val="none"/>
              </w:rPr>
              <w:t>1</w:t>
            </w:r>
          </w:p>
        </w:tc>
        <w:tc>
          <w:tcPr>
            <w:tcW w:w="3686" w:type="dxa"/>
            <w:vAlign w:val="center"/>
          </w:tcPr>
          <w:p w14:paraId="4A635D96">
            <w:pPr>
              <w:widowControl/>
              <w:jc w:val="left"/>
              <w:rPr>
                <w:szCs w:val="21"/>
                <w:highlight w:val="none"/>
              </w:rPr>
            </w:pPr>
          </w:p>
        </w:tc>
        <w:tc>
          <w:tcPr>
            <w:tcW w:w="3402" w:type="dxa"/>
            <w:vAlign w:val="center"/>
          </w:tcPr>
          <w:p w14:paraId="610A0DF8">
            <w:pPr>
              <w:widowControl/>
              <w:jc w:val="left"/>
              <w:rPr>
                <w:szCs w:val="21"/>
                <w:highlight w:val="none"/>
              </w:rPr>
            </w:pPr>
          </w:p>
        </w:tc>
        <w:tc>
          <w:tcPr>
            <w:tcW w:w="992" w:type="dxa"/>
            <w:vAlign w:val="center"/>
          </w:tcPr>
          <w:p w14:paraId="59C6D210">
            <w:pPr>
              <w:widowControl/>
              <w:jc w:val="center"/>
              <w:rPr>
                <w:szCs w:val="21"/>
                <w:highlight w:val="none"/>
              </w:rPr>
            </w:pPr>
          </w:p>
        </w:tc>
        <w:tc>
          <w:tcPr>
            <w:tcW w:w="986" w:type="dxa"/>
            <w:vAlign w:val="center"/>
          </w:tcPr>
          <w:p w14:paraId="3B758A07">
            <w:pPr>
              <w:widowControl/>
              <w:jc w:val="center"/>
              <w:rPr>
                <w:szCs w:val="21"/>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vAlign w:val="center"/>
          </w:tcPr>
          <w:p w14:paraId="69B6FD72">
            <w:pPr>
              <w:widowControl/>
              <w:jc w:val="center"/>
              <w:rPr>
                <w:szCs w:val="21"/>
                <w:highlight w:val="none"/>
              </w:rPr>
            </w:pPr>
            <w:r>
              <w:rPr>
                <w:rFonts w:hint="eastAsia"/>
                <w:szCs w:val="21"/>
                <w:highlight w:val="none"/>
              </w:rPr>
              <w:t>2</w:t>
            </w:r>
          </w:p>
        </w:tc>
        <w:tc>
          <w:tcPr>
            <w:tcW w:w="3686" w:type="dxa"/>
            <w:vAlign w:val="center"/>
          </w:tcPr>
          <w:p w14:paraId="2C25F4E1">
            <w:pPr>
              <w:widowControl/>
              <w:jc w:val="left"/>
              <w:rPr>
                <w:szCs w:val="21"/>
                <w:highlight w:val="none"/>
              </w:rPr>
            </w:pPr>
          </w:p>
        </w:tc>
        <w:tc>
          <w:tcPr>
            <w:tcW w:w="3402" w:type="dxa"/>
            <w:vAlign w:val="center"/>
          </w:tcPr>
          <w:p w14:paraId="473015E2">
            <w:pPr>
              <w:widowControl/>
              <w:jc w:val="left"/>
              <w:rPr>
                <w:szCs w:val="21"/>
                <w:highlight w:val="none"/>
              </w:rPr>
            </w:pPr>
          </w:p>
        </w:tc>
        <w:tc>
          <w:tcPr>
            <w:tcW w:w="992" w:type="dxa"/>
            <w:vAlign w:val="center"/>
          </w:tcPr>
          <w:p w14:paraId="1AC45725">
            <w:pPr>
              <w:widowControl/>
              <w:jc w:val="center"/>
              <w:rPr>
                <w:szCs w:val="21"/>
                <w:highlight w:val="none"/>
              </w:rPr>
            </w:pPr>
          </w:p>
        </w:tc>
        <w:tc>
          <w:tcPr>
            <w:tcW w:w="986" w:type="dxa"/>
            <w:vAlign w:val="center"/>
          </w:tcPr>
          <w:p w14:paraId="794FEA53">
            <w:pPr>
              <w:widowControl/>
              <w:jc w:val="center"/>
              <w:rPr>
                <w:szCs w:val="21"/>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szCs w:val="21"/>
                <w:highlight w:val="none"/>
              </w:rPr>
            </w:pPr>
            <w:r>
              <w:rPr>
                <w:szCs w:val="21"/>
                <w:highlight w:val="none"/>
              </w:rPr>
              <w:t>…</w:t>
            </w:r>
          </w:p>
        </w:tc>
        <w:tc>
          <w:tcPr>
            <w:tcW w:w="3686" w:type="dxa"/>
            <w:vAlign w:val="center"/>
          </w:tcPr>
          <w:p w14:paraId="09F89178">
            <w:pPr>
              <w:widowControl/>
              <w:jc w:val="left"/>
              <w:rPr>
                <w:szCs w:val="21"/>
                <w:highlight w:val="none"/>
              </w:rPr>
            </w:pPr>
          </w:p>
        </w:tc>
        <w:tc>
          <w:tcPr>
            <w:tcW w:w="3402" w:type="dxa"/>
            <w:vAlign w:val="center"/>
          </w:tcPr>
          <w:p w14:paraId="1FF16C42">
            <w:pPr>
              <w:widowControl/>
              <w:jc w:val="left"/>
              <w:rPr>
                <w:szCs w:val="21"/>
                <w:highlight w:val="none"/>
              </w:rPr>
            </w:pPr>
          </w:p>
        </w:tc>
        <w:tc>
          <w:tcPr>
            <w:tcW w:w="992" w:type="dxa"/>
            <w:vAlign w:val="center"/>
          </w:tcPr>
          <w:p w14:paraId="0BD2D448">
            <w:pPr>
              <w:widowControl/>
              <w:jc w:val="center"/>
              <w:rPr>
                <w:szCs w:val="21"/>
                <w:highlight w:val="none"/>
              </w:rPr>
            </w:pPr>
          </w:p>
        </w:tc>
        <w:tc>
          <w:tcPr>
            <w:tcW w:w="986" w:type="dxa"/>
            <w:vAlign w:val="center"/>
          </w:tcPr>
          <w:p w14:paraId="32267964">
            <w:pPr>
              <w:widowControl/>
              <w:jc w:val="center"/>
              <w:rPr>
                <w:szCs w:val="21"/>
                <w:highlight w:val="none"/>
              </w:rPr>
            </w:pPr>
          </w:p>
        </w:tc>
      </w:tr>
    </w:tbl>
    <w:p w14:paraId="799425E9">
      <w:pPr>
        <w:widowControl/>
        <w:jc w:val="left"/>
        <w:rPr>
          <w:szCs w:val="21"/>
          <w:highlight w:val="none"/>
        </w:rPr>
        <w:sectPr>
          <w:footerReference r:id="rId9" w:type="default"/>
          <w:pgSz w:w="11906" w:h="16838"/>
          <w:pgMar w:top="851" w:right="1134" w:bottom="851" w:left="1134" w:header="0" w:footer="567" w:gutter="0"/>
          <w:pgNumType w:fmt="decimal"/>
          <w:cols w:space="425" w:num="1"/>
          <w:docGrid w:linePitch="312" w:charSpace="0"/>
        </w:sectPr>
      </w:pPr>
    </w:p>
    <w:p w14:paraId="6BEFDD75">
      <w:pPr>
        <w:widowControl/>
        <w:jc w:val="left"/>
        <w:rPr>
          <w:rFonts w:ascii="宋体" w:hAnsi="宋体"/>
          <w:b/>
          <w:bCs/>
          <w:szCs w:val="21"/>
          <w:highlight w:val="none"/>
        </w:rPr>
      </w:pPr>
      <w:r>
        <w:rPr>
          <w:rFonts w:hint="eastAsia" w:ascii="宋体" w:hAnsi="宋体"/>
          <w:b/>
          <w:bCs/>
          <w:szCs w:val="21"/>
          <w:highlight w:val="none"/>
        </w:rPr>
        <w:t>附件2：考核标准</w:t>
      </w:r>
    </w:p>
    <w:p w14:paraId="6C0FC75D">
      <w:pPr>
        <w:rPr>
          <w:highlight w:val="none"/>
        </w:rPr>
      </w:pPr>
    </w:p>
    <w:p w14:paraId="5A024B68">
      <w:pPr>
        <w:rPr>
          <w:highlight w:val="none"/>
        </w:rPr>
        <w:sectPr>
          <w:footerReference r:id="rId10" w:type="default"/>
          <w:pgSz w:w="11906" w:h="16838"/>
          <w:pgMar w:top="851" w:right="1134" w:bottom="851" w:left="1134" w:header="0" w:footer="567" w:gutter="0"/>
          <w:pgNumType w:fmt="decimal"/>
          <w:cols w:space="425" w:num="1"/>
          <w:docGrid w:linePitch="312" w:charSpace="0"/>
        </w:sectPr>
      </w:pPr>
      <w:r>
        <w:rPr>
          <w:rFonts w:hint="eastAsia"/>
          <w:highlight w:val="none"/>
        </w:rPr>
        <w:t>*</w:t>
      </w:r>
      <w:r>
        <w:rPr>
          <w:highlight w:val="none"/>
        </w:rPr>
        <w:t>**</w:t>
      </w:r>
    </w:p>
    <w:p w14:paraId="692BA005">
      <w:pPr>
        <w:widowControl/>
        <w:jc w:val="left"/>
        <w:rPr>
          <w:rFonts w:ascii="宋体" w:hAnsi="宋体"/>
          <w:b/>
          <w:bCs/>
          <w:szCs w:val="21"/>
          <w:highlight w:val="none"/>
        </w:rPr>
      </w:pPr>
      <w:r>
        <w:rPr>
          <w:rFonts w:hint="eastAsia" w:ascii="宋体" w:hAnsi="宋体"/>
          <w:b/>
          <w:bCs/>
          <w:szCs w:val="21"/>
          <w:highlight w:val="none"/>
        </w:rPr>
        <w:t>附件</w:t>
      </w:r>
      <w:r>
        <w:rPr>
          <w:rFonts w:ascii="宋体" w:hAnsi="宋体"/>
          <w:b/>
          <w:bCs/>
          <w:szCs w:val="21"/>
          <w:highlight w:val="none"/>
        </w:rPr>
        <w:t>3</w:t>
      </w:r>
      <w:r>
        <w:rPr>
          <w:rFonts w:hint="eastAsia" w:ascii="宋体" w:hAnsi="宋体"/>
          <w:b/>
          <w:bCs/>
          <w:szCs w:val="21"/>
          <w:highlight w:val="none"/>
        </w:rPr>
        <w:t>：</w:t>
      </w:r>
      <w:r>
        <w:rPr>
          <w:rFonts w:ascii="宋体" w:hAnsi="宋体"/>
          <w:b/>
          <w:bCs/>
          <w:szCs w:val="21"/>
          <w:highlight w:val="none"/>
        </w:rPr>
        <w:t>服务</w:t>
      </w:r>
      <w:r>
        <w:rPr>
          <w:rFonts w:hint="eastAsia" w:ascii="宋体" w:hAnsi="宋体"/>
          <w:b/>
          <w:bCs/>
          <w:szCs w:val="21"/>
          <w:highlight w:val="none"/>
        </w:rPr>
        <w:t>方案</w:t>
      </w:r>
    </w:p>
    <w:p w14:paraId="49A6C9EA">
      <w:pPr>
        <w:rPr>
          <w:highlight w:val="none"/>
        </w:rPr>
      </w:pPr>
    </w:p>
    <w:p w14:paraId="1E9CF7A4">
      <w:pPr>
        <w:rPr>
          <w:highlight w:val="none"/>
        </w:rPr>
      </w:pPr>
      <w:r>
        <w:rPr>
          <w:rFonts w:hint="eastAsia"/>
          <w:highlight w:val="none"/>
        </w:rPr>
        <w:t>*</w:t>
      </w:r>
      <w:r>
        <w:rPr>
          <w:highlight w:val="none"/>
        </w:rP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00DD2FF-BAEB-4648-9D5E-187A81297965}"/>
  </w:font>
  <w:font w:name="Arial">
    <w:panose1 w:val="020B0604020202020204"/>
    <w:charset w:val="01"/>
    <w:family w:val="swiss"/>
    <w:pitch w:val="default"/>
    <w:sig w:usb0="E0002EFF" w:usb1="C000785B" w:usb2="00000009" w:usb3="00000000" w:csb0="400001FF" w:csb1="FFFF0000"/>
    <w:embedRegular r:id="rId2" w:fontKey="{42ED6F9A-BEC6-47D6-9FA0-E83F4962BD2F}"/>
  </w:font>
  <w:font w:name="黑体">
    <w:panose1 w:val="02010609060101010101"/>
    <w:charset w:val="86"/>
    <w:family w:val="auto"/>
    <w:pitch w:val="default"/>
    <w:sig w:usb0="800002BF" w:usb1="38CF7CFA" w:usb2="00000016" w:usb3="00000000" w:csb0="00040001" w:csb1="00000000"/>
    <w:embedRegular r:id="rId3" w:fontKey="{51EBB9E3-0D1F-4C0A-8FBF-D2A9860C45F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4" w:fontKey="{E75917E4-AE6F-4919-BABE-CD9AAC3BB489}"/>
  </w:font>
  <w:font w:name="FangSong_GB2312">
    <w:altName w:val="仿宋"/>
    <w:panose1 w:val="020B0604020202020204"/>
    <w:charset w:val="86"/>
    <w:family w:val="modern"/>
    <w:pitch w:val="default"/>
    <w:sig w:usb0="00000000" w:usb1="00000000" w:usb2="00000010" w:usb3="00000000" w:csb0="00040001" w:csb1="00000000"/>
    <w:embedRegular r:id="rId5" w:fontKey="{477A97A0-31C0-47F1-BE20-643A86E53B31}"/>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6" w:fontKey="{EAFCCAC1-241E-4286-B342-8B60C052E004}"/>
  </w:font>
  <w:font w:name="Segoe UI Symbol">
    <w:panose1 w:val="020B0502040204020203"/>
    <w:charset w:val="00"/>
    <w:family w:val="swiss"/>
    <w:pitch w:val="default"/>
    <w:sig w:usb0="800001E3" w:usb1="1200FFEF" w:usb2="00040000" w:usb3="04000000" w:csb0="00000001" w:csb1="40000000"/>
    <w:embedRegular r:id="rId7" w:fontKey="{D3017A04-FA96-4647-AEDF-9B5EC3790F17}"/>
  </w:font>
  <w:font w:name="新宋体">
    <w:panose1 w:val="02010609030101010101"/>
    <w:charset w:val="86"/>
    <w:family w:val="auto"/>
    <w:pitch w:val="default"/>
    <w:sig w:usb0="00000203" w:usb1="288F0000" w:usb2="00000006" w:usb3="00000000" w:csb0="00040001" w:csb1="00000000"/>
    <w:embedRegular r:id="rId8" w:fontKey="{E439C908-2258-4BF6-9F5D-CF95532C3A1B}"/>
  </w:font>
  <w:font w:name="Wingdings 2">
    <w:altName w:val="Wingdings"/>
    <w:panose1 w:val="05020102010507070707"/>
    <w:charset w:val="4D"/>
    <w:family w:val="decorative"/>
    <w:pitch w:val="default"/>
    <w:sig w:usb0="00000000" w:usb1="00000000" w:usb2="00000000" w:usb3="00000000" w:csb0="80000001" w:csb1="00000000"/>
  </w:font>
  <w:font w:name="微软雅黑">
    <w:panose1 w:val="020B0503020204020204"/>
    <w:charset w:val="86"/>
    <w:family w:val="auto"/>
    <w:pitch w:val="default"/>
    <w:sig w:usb0="80000287" w:usb1="2ACF3C50" w:usb2="00000016" w:usb3="00000000" w:csb0="0004001F" w:csb1="00000000"/>
    <w:embedRegular r:id="rId9" w:fontKey="{FED57823-4B49-4D88-836F-0EF3ABD71832}"/>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11"/>
      <w:contextualSpacing/>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8E4C22">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28E4C22">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33EBEC3C">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852DEE">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1852DEE">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E3BA3">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2A7043">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E2A7043">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D25A27">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CD25A27">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42</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51C0F">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43CFE6AC"/>
    <w:multiLevelType w:val="singleLevel"/>
    <w:tmpl w:val="43CFE6AC"/>
    <w:lvl w:ilvl="0" w:tentative="0">
      <w:start w:val="1"/>
      <w:numFmt w:val="decimal"/>
      <w:lvlText w:val="%1."/>
      <w:lvlJc w:val="left"/>
      <w:pPr>
        <w:ind w:left="425" w:hanging="425"/>
      </w:pPr>
      <w:rPr>
        <w:rFonts w:hint="default"/>
      </w:rPr>
    </w:lvl>
  </w:abstractNum>
  <w:abstractNum w:abstractNumId="18">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6"/>
  </w:num>
  <w:num w:numId="5">
    <w:abstractNumId w:val="12"/>
  </w:num>
  <w:num w:numId="6">
    <w:abstractNumId w:val="21"/>
  </w:num>
  <w:num w:numId="7">
    <w:abstractNumId w:val="15"/>
  </w:num>
  <w:num w:numId="8">
    <w:abstractNumId w:val="2"/>
  </w:num>
  <w:num w:numId="9">
    <w:abstractNumId w:val="1"/>
  </w:num>
  <w:num w:numId="10">
    <w:abstractNumId w:val="0"/>
  </w:num>
  <w:num w:numId="11">
    <w:abstractNumId w:val="4"/>
  </w:num>
  <w:num w:numId="12">
    <w:abstractNumId w:val="17"/>
  </w:num>
  <w:num w:numId="13">
    <w:abstractNumId w:val="11"/>
  </w:num>
  <w:num w:numId="14">
    <w:abstractNumId w:val="22"/>
  </w:num>
  <w:num w:numId="15">
    <w:abstractNumId w:val="25"/>
  </w:num>
  <w:num w:numId="16">
    <w:abstractNumId w:val="19"/>
  </w:num>
  <w:num w:numId="17">
    <w:abstractNumId w:val="8"/>
  </w:num>
  <w:num w:numId="18">
    <w:abstractNumId w:val="6"/>
  </w:num>
  <w:num w:numId="19">
    <w:abstractNumId w:val="23"/>
  </w:num>
  <w:num w:numId="20">
    <w:abstractNumId w:val="18"/>
  </w:num>
  <w:num w:numId="21">
    <w:abstractNumId w:val="7"/>
  </w:num>
  <w:num w:numId="22">
    <w:abstractNumId w:val="10"/>
  </w:num>
  <w:num w:numId="23">
    <w:abstractNumId w:val="24"/>
  </w:num>
  <w:num w:numId="24">
    <w:abstractNumId w:val="5"/>
  </w:num>
  <w:num w:numId="25">
    <w:abstractNumId w:val="20"/>
  </w:num>
  <w:num w:numId="26">
    <w:abstractNumId w:val="9"/>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812738"/>
    <w:rsid w:val="02881678"/>
    <w:rsid w:val="058C78B0"/>
    <w:rsid w:val="05E13064"/>
    <w:rsid w:val="078A573C"/>
    <w:rsid w:val="093A3733"/>
    <w:rsid w:val="09866978"/>
    <w:rsid w:val="0B4508AE"/>
    <w:rsid w:val="0B582596"/>
    <w:rsid w:val="0CF161C9"/>
    <w:rsid w:val="0E0B7FF0"/>
    <w:rsid w:val="0F0C783C"/>
    <w:rsid w:val="0F392D3F"/>
    <w:rsid w:val="117A5014"/>
    <w:rsid w:val="127F05A0"/>
    <w:rsid w:val="13541895"/>
    <w:rsid w:val="136D78F8"/>
    <w:rsid w:val="13CE4912"/>
    <w:rsid w:val="15CC4977"/>
    <w:rsid w:val="162A4F7D"/>
    <w:rsid w:val="16A82A66"/>
    <w:rsid w:val="18DC7CA7"/>
    <w:rsid w:val="193006AE"/>
    <w:rsid w:val="1994787E"/>
    <w:rsid w:val="1B1202BF"/>
    <w:rsid w:val="1B6E63C8"/>
    <w:rsid w:val="1B8934AF"/>
    <w:rsid w:val="1DCD1936"/>
    <w:rsid w:val="1DD000AF"/>
    <w:rsid w:val="1E09745A"/>
    <w:rsid w:val="1E176351"/>
    <w:rsid w:val="23D4489F"/>
    <w:rsid w:val="24142DE7"/>
    <w:rsid w:val="262001B9"/>
    <w:rsid w:val="27B87AF9"/>
    <w:rsid w:val="27E80EA9"/>
    <w:rsid w:val="280414A1"/>
    <w:rsid w:val="28570368"/>
    <w:rsid w:val="29C5318E"/>
    <w:rsid w:val="2B502F98"/>
    <w:rsid w:val="2C9A0A9E"/>
    <w:rsid w:val="2D60110A"/>
    <w:rsid w:val="2DA70D65"/>
    <w:rsid w:val="2E454529"/>
    <w:rsid w:val="2FCC5DF6"/>
    <w:rsid w:val="334D6B41"/>
    <w:rsid w:val="3427766B"/>
    <w:rsid w:val="343706EB"/>
    <w:rsid w:val="351A08D0"/>
    <w:rsid w:val="35E623C9"/>
    <w:rsid w:val="36334CE5"/>
    <w:rsid w:val="36A0126C"/>
    <w:rsid w:val="36C16F69"/>
    <w:rsid w:val="38E0196F"/>
    <w:rsid w:val="3A551407"/>
    <w:rsid w:val="3B033C36"/>
    <w:rsid w:val="3CCA7E7E"/>
    <w:rsid w:val="3E5D4E8E"/>
    <w:rsid w:val="3FE25336"/>
    <w:rsid w:val="40B76A90"/>
    <w:rsid w:val="41345E57"/>
    <w:rsid w:val="42075FF8"/>
    <w:rsid w:val="42842020"/>
    <w:rsid w:val="441475BD"/>
    <w:rsid w:val="468567BB"/>
    <w:rsid w:val="4782487D"/>
    <w:rsid w:val="4AC676BD"/>
    <w:rsid w:val="4B31068E"/>
    <w:rsid w:val="4B6905AE"/>
    <w:rsid w:val="4BA55220"/>
    <w:rsid w:val="4BAD0151"/>
    <w:rsid w:val="4C8F75A2"/>
    <w:rsid w:val="4DAD4403"/>
    <w:rsid w:val="4E8C008E"/>
    <w:rsid w:val="4F3A196F"/>
    <w:rsid w:val="4FEF758C"/>
    <w:rsid w:val="506E3D67"/>
    <w:rsid w:val="50771A9C"/>
    <w:rsid w:val="51C47F6D"/>
    <w:rsid w:val="5455382C"/>
    <w:rsid w:val="5571592E"/>
    <w:rsid w:val="58E37FE6"/>
    <w:rsid w:val="5AB04370"/>
    <w:rsid w:val="5BA0525E"/>
    <w:rsid w:val="5BEC2214"/>
    <w:rsid w:val="5D0A3490"/>
    <w:rsid w:val="5D446827"/>
    <w:rsid w:val="5D7E0D39"/>
    <w:rsid w:val="5E4D1E02"/>
    <w:rsid w:val="5E9D3F29"/>
    <w:rsid w:val="5EB50A07"/>
    <w:rsid w:val="5F817E72"/>
    <w:rsid w:val="5FD73541"/>
    <w:rsid w:val="60384CD1"/>
    <w:rsid w:val="60655808"/>
    <w:rsid w:val="635A7DCF"/>
    <w:rsid w:val="63750A53"/>
    <w:rsid w:val="63A9427A"/>
    <w:rsid w:val="63D462B1"/>
    <w:rsid w:val="641A3596"/>
    <w:rsid w:val="64D96647"/>
    <w:rsid w:val="655B51E5"/>
    <w:rsid w:val="65E40ADA"/>
    <w:rsid w:val="6628494E"/>
    <w:rsid w:val="66287D10"/>
    <w:rsid w:val="66330B86"/>
    <w:rsid w:val="66360241"/>
    <w:rsid w:val="66B170EC"/>
    <w:rsid w:val="66E22203"/>
    <w:rsid w:val="68B812C9"/>
    <w:rsid w:val="698044A5"/>
    <w:rsid w:val="69D50CF4"/>
    <w:rsid w:val="69F10D61"/>
    <w:rsid w:val="6B621F16"/>
    <w:rsid w:val="6C31699C"/>
    <w:rsid w:val="6C487AFD"/>
    <w:rsid w:val="6CB24363"/>
    <w:rsid w:val="6EA93466"/>
    <w:rsid w:val="6F817E1F"/>
    <w:rsid w:val="6FCF0795"/>
    <w:rsid w:val="71381023"/>
    <w:rsid w:val="73714961"/>
    <w:rsid w:val="73B94777"/>
    <w:rsid w:val="754D1D92"/>
    <w:rsid w:val="758350A9"/>
    <w:rsid w:val="75992388"/>
    <w:rsid w:val="78BA61D2"/>
    <w:rsid w:val="79687E1D"/>
    <w:rsid w:val="7A041511"/>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1319</Words>
  <Characters>1406</Characters>
  <Lines>72</Lines>
  <Paragraphs>20</Paragraphs>
  <TotalTime>5</TotalTime>
  <ScaleCrop>false</ScaleCrop>
  <LinksUpToDate>false</LinksUpToDate>
  <CharactersWithSpaces>1481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2026-05-20T03:47:54Z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E601BCCD564D468087DED88956EB7D95_13</vt:lpwstr>
  </property>
  <property fmtid="{D5CDD505-2E9C-101B-9397-08002B2CF9AE}" pid="4" name="KSOTemplateDocerSaveRecord">
    <vt:lpwstr>eyJoZGlkIjoiOTkyMTAwNWNkOWQxN2M2ZGU0YTllNDJiNjQ2ZjgyNjkiLCJ1c2VySWQiOiIzNjM4OTIzNDkifQ==</vt:lpwstr>
  </property>
</Properties>
</file>