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行风智能管理系统</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rPr>
          <w:rFonts w:ascii="Times New Roman" w:hAnsi="Times New Roman" w:cs="Times New Roman"/>
        </w:rPr>
      </w:pPr>
      <w:bookmarkStart w:id="0" w:name="_Toc21919"/>
      <w:bookmarkStart w:id="1" w:name="_Toc20358"/>
      <w:bookmarkStart w:id="2" w:name="_Toc62832406"/>
      <w:bookmarkStart w:id="3" w:name="_Toc1907"/>
      <w:bookmarkStart w:id="4" w:name="_Toc471310326"/>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四川省人民医院行风智能管理系统采购项目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CGZX-YXX20261330</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498000.00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9"/>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00EA646A">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B1AE184">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u w:val="single"/>
                <w:lang w:val="zh-CN"/>
              </w:rPr>
              <w:t>XXX</w:t>
            </w:r>
            <w:r>
              <w:rPr>
                <w:rFonts w:ascii="Times New Roman" w:hAnsi="Times New Roman" w:eastAsia="仿宋" w:cs="Times New Roman"/>
                <w:sz w:val="22"/>
                <w:szCs w:val="22"/>
                <w:u w:val="single"/>
                <w:lang w:val="zh-CN"/>
              </w:rPr>
              <w:t>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若得分相同则报价最低的为成交供应商。若得分相同且报价亦相同，则采取随机抽取的方式确定成交供应商。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王老师028-87393060</w:t>
            </w:r>
          </w:p>
          <w:p w14:paraId="2BA809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医学信息中心</w:t>
            </w:r>
            <w:r>
              <w:rPr>
                <w:rFonts w:ascii="Times New Roman" w:hAnsi="Times New Roman" w:eastAsia="仿宋" w:cs="Times New Roman"/>
                <w:sz w:val="22"/>
              </w:rPr>
              <w:t>部门</w:t>
            </w:r>
          </w:p>
          <w:p w14:paraId="6870918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万老师028-87393250</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rPr>
          <w:rFonts w:ascii="Times New Roman" w:hAnsi="Times New Roman" w:cs="Times New Roman"/>
        </w:rPr>
      </w:pPr>
      <w:bookmarkStart w:id="6" w:name="_Toc14460"/>
      <w:bookmarkStart w:id="7" w:name="_Toc22329"/>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028-87393060</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3E122B10">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31"/>
        <w:gridCol w:w="11"/>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w:t>
            </w:r>
            <w:r>
              <w:rPr>
                <w:rFonts w:ascii="Times New Roman" w:hAnsi="Times New Roman" w:eastAsia="仿宋" w:cs="Times New Roman"/>
                <w:b/>
                <w:bCs/>
                <w:sz w:val="22"/>
                <w:u w:val="single"/>
              </w:rPr>
              <w:t xml:space="preserve"> </w:t>
            </w:r>
          </w:p>
        </w:tc>
        <w:tc>
          <w:tcPr>
            <w:tcW w:w="2846" w:type="pct"/>
            <w:vAlign w:val="center"/>
          </w:tcPr>
          <w:p w14:paraId="7D3D2FEC">
            <w:pPr>
              <w:rPr>
                <w:rFonts w:ascii="Times New Roman" w:hAnsi="Times New Roman" w:eastAsia="仿宋" w:cs="Times New Roman"/>
                <w:sz w:val="22"/>
                <w:u w:val="single"/>
              </w:rPr>
            </w:pPr>
            <w:r>
              <w:rPr>
                <w:rFonts w:ascii="Times New Roman" w:hAnsi="Times New Roman" w:eastAsia="仿宋" w:cs="Times New Roman"/>
                <w:sz w:val="22"/>
              </w:rPr>
              <w:t xml:space="preserve">提供 </w:t>
            </w:r>
            <w:r>
              <w:rPr>
                <w:rFonts w:ascii="Times New Roman" w:hAnsi="Times New Roman" w:eastAsia="仿宋" w:cs="Times New Roman"/>
                <w:sz w:val="22"/>
                <w:u w:val="single"/>
              </w:rPr>
              <w:t xml:space="preserve">  </w:t>
            </w:r>
            <w:r>
              <w:rPr>
                <w:rFonts w:hint="eastAsia" w:ascii="Times New Roman" w:hAnsi="Times New Roman" w:eastAsia="仿宋" w:cs="Times New Roman"/>
                <w:b/>
                <w:bCs/>
                <w:sz w:val="22"/>
                <w:u w:val="single"/>
                <w:lang w:val="en-US" w:eastAsia="zh-CN"/>
              </w:rPr>
              <w:t>/</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3"/>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5F0302DA">
      <w:r>
        <w:rPr>
          <w:rFonts w:hint="eastAsia" w:ascii="仿宋" w:hAnsi="仿宋" w:eastAsia="仿宋" w:cs="仿宋"/>
          <w:kern w:val="2"/>
          <w:sz w:val="24"/>
          <w:szCs w:val="24"/>
          <w:lang w:val="en-US" w:eastAsia="zh-CN" w:bidi="ar-SA"/>
        </w:rPr>
        <w:t>注：（1）本章中带“★”的条款为实质性要求，不满足将被作为无效响应处理。参数条款中带“●”为有要求演示的条款，供应商在</w:t>
      </w:r>
      <w:r>
        <w:rPr>
          <w:rFonts w:hint="eastAsia" w:ascii="仿宋" w:hAnsi="仿宋" w:eastAsia="仿宋" w:cs="仿宋"/>
          <w:b/>
          <w:bCs/>
          <w:kern w:val="2"/>
          <w:sz w:val="24"/>
          <w:szCs w:val="24"/>
          <w:lang w:val="en-US" w:eastAsia="zh-CN" w:bidi="ar-SA"/>
        </w:rPr>
        <w:t>开标当天</w:t>
      </w:r>
      <w:r>
        <w:rPr>
          <w:rFonts w:hint="eastAsia" w:ascii="仿宋" w:hAnsi="仿宋" w:eastAsia="仿宋" w:cs="仿宋"/>
          <w:kern w:val="2"/>
          <w:sz w:val="24"/>
          <w:szCs w:val="24"/>
          <w:lang w:val="en-US" w:eastAsia="zh-CN" w:bidi="ar-SA"/>
        </w:rPr>
        <w:t>需进行产品功能的现场程序演示，不接受PPT、DEMO、录制的视频演示，演示环境由供应商自行搭建，要求演示时间不超过20分钟（腾讯会议演示）。</w:t>
      </w:r>
    </w:p>
    <w:p w14:paraId="205A2891">
      <w:pPr>
        <w:pStyle w:val="16"/>
        <w:numPr>
          <w:ilvl w:val="0"/>
          <w:numId w:val="0"/>
        </w:numPr>
        <w:spacing w:line="360" w:lineRule="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b/>
          <w:bCs/>
          <w:sz w:val="24"/>
          <w:szCs w:val="24"/>
          <w:lang w:val="en-US" w:eastAsia="zh-CN"/>
        </w:rPr>
        <w:t>一、</w:t>
      </w:r>
      <w:r>
        <w:rPr>
          <w:rFonts w:ascii="Times New Roman" w:hAnsi="Times New Roman" w:eastAsia="仿宋" w:cs="Times New Roman"/>
          <w:b/>
          <w:bCs/>
          <w:sz w:val="24"/>
          <w:szCs w:val="24"/>
        </w:rPr>
        <w:t>项目简介</w:t>
      </w:r>
      <w:bookmarkStart w:id="99" w:name="_GoBack"/>
      <w:bookmarkEnd w:id="99"/>
      <w:r>
        <w:rPr>
          <w:rFonts w:ascii="Times New Roman" w:hAnsi="Times New Roman" w:eastAsia="仿宋" w:cs="Times New Roman"/>
          <w:sz w:val="24"/>
          <w:szCs w:val="24"/>
        </w:rPr>
        <w:cr/>
      </w:r>
      <w:r>
        <w:rPr>
          <w:rFonts w:hint="eastAsia" w:ascii="Times New Roman" w:hAnsi="Times New Roman" w:eastAsia="仿宋" w:cs="Times New Roman"/>
          <w:sz w:val="24"/>
          <w:szCs w:val="24"/>
        </w:rPr>
        <w:t>本项目拟确定一名供应商为采购人提供行风智能管理系统。</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w:t>
      </w:r>
      <w:r>
        <w:rPr>
          <w:rFonts w:hint="eastAsia" w:ascii="Times New Roman" w:hAnsi="Times New Roman" w:eastAsia="仿宋" w:cs="Times New Roman"/>
          <w:b/>
          <w:bCs/>
          <w:sz w:val="24"/>
          <w:szCs w:val="24"/>
          <w:lang w:val="en-US" w:eastAsia="zh-CN"/>
        </w:rPr>
        <w:t>（一）采购清单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670"/>
        <w:gridCol w:w="1945"/>
        <w:gridCol w:w="1671"/>
        <w:gridCol w:w="1671"/>
        <w:gridCol w:w="3457"/>
      </w:tblGrid>
      <w:tr w14:paraId="75DD9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80"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top"/>
          </w:tcPr>
          <w:p w14:paraId="4BE39A95">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序号</w:t>
            </w:r>
          </w:p>
        </w:tc>
        <w:tc>
          <w:tcPr>
            <w:tcW w:w="525"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top"/>
          </w:tcPr>
          <w:p w14:paraId="610E77EA">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品名</w:t>
            </w:r>
          </w:p>
        </w:tc>
        <w:tc>
          <w:tcPr>
            <w:tcW w:w="180"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top"/>
          </w:tcPr>
          <w:p w14:paraId="5CE9F831">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数量</w:t>
            </w:r>
          </w:p>
        </w:tc>
        <w:tc>
          <w:tcPr>
            <w:tcW w:w="180"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top"/>
          </w:tcPr>
          <w:p w14:paraId="658D0D62">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单位</w:t>
            </w:r>
          </w:p>
        </w:tc>
        <w:tc>
          <w:tcPr>
            <w:tcW w:w="390"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top"/>
          </w:tcPr>
          <w:p w14:paraId="72E53282">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限高单价（元）</w:t>
            </w:r>
          </w:p>
        </w:tc>
      </w:tr>
      <w:tr w14:paraId="6684E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8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71FD6D3">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w:t>
            </w:r>
          </w:p>
        </w:tc>
        <w:tc>
          <w:tcPr>
            <w:tcW w:w="5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8D4AF41">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行风管理系统</w:t>
            </w:r>
          </w:p>
        </w:tc>
        <w:tc>
          <w:tcPr>
            <w:tcW w:w="18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5F897B0">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w:t>
            </w:r>
          </w:p>
        </w:tc>
        <w:tc>
          <w:tcPr>
            <w:tcW w:w="18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81B6CDE">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套</w:t>
            </w:r>
          </w:p>
        </w:tc>
        <w:tc>
          <w:tcPr>
            <w:tcW w:w="39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A47BCD9">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498000</w:t>
            </w:r>
          </w:p>
        </w:tc>
      </w:tr>
    </w:tbl>
    <w:p w14:paraId="7D7415D5">
      <w:pPr>
        <w:pStyle w:val="4"/>
        <w:keepNext w:val="0"/>
        <w:keepLines w:val="0"/>
        <w:pageBreakBefore w:val="0"/>
        <w:widowControl/>
        <w:numPr>
          <w:ilvl w:val="0"/>
          <w:numId w:val="0"/>
        </w:numPr>
        <w:suppressLineNumbers w:val="0"/>
        <w:kinsoku/>
        <w:wordWrap/>
        <w:overflowPunct/>
        <w:topLinePunct w:val="0"/>
        <w:autoSpaceDE w:val="0"/>
        <w:bidi w:val="0"/>
        <w:snapToGrid/>
        <w:spacing w:before="0" w:beforeAutospacing="0" w:after="0" w:afterAutospacing="0"/>
        <w:ind w:left="0" w:leftChars="0" w:firstLine="0" w:firstLineChars="0"/>
        <w:jc w:val="both"/>
        <w:textAlignment w:val="auto"/>
        <w:rPr>
          <w:rFonts w:hint="eastAsia" w:ascii="仿宋" w:hAnsi="仿宋" w:eastAsia="仿宋" w:cs="仿宋"/>
          <w:b w:val="0"/>
          <w:kern w:val="2"/>
          <w:sz w:val="24"/>
          <w:szCs w:val="24"/>
          <w:lang w:val="en-US" w:eastAsia="zh-CN" w:bidi="ar-SA"/>
        </w:rPr>
      </w:pP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b w:val="0"/>
          <w:kern w:val="2"/>
          <w:sz w:val="24"/>
          <w:szCs w:val="24"/>
          <w:lang w:val="en-US" w:eastAsia="zh-CN" w:bidi="ar-SA"/>
        </w:rPr>
        <w:t>★</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一</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b/>
          <w:bCs/>
          <w:kern w:val="2"/>
          <w:sz w:val="24"/>
          <w:szCs w:val="24"/>
          <w:lang w:val="en-US" w:eastAsia="zh-CN" w:bidi="ar-SA"/>
        </w:rPr>
        <w:t>接口清单</w:t>
      </w:r>
    </w:p>
    <w:p w14:paraId="710494D5">
      <w:pPr>
        <w:pStyle w:val="14"/>
        <w:keepNext w:val="0"/>
        <w:keepLines w:val="0"/>
        <w:pageBreakBefore w:val="0"/>
        <w:widowControl/>
        <w:suppressLineNumbers w:val="0"/>
        <w:kinsoku/>
        <w:wordWrap/>
        <w:overflowPunct/>
        <w:topLinePunct w:val="0"/>
        <w:autoSpaceDE w:val="0"/>
        <w:autoSpaceDN/>
        <w:bidi w:val="0"/>
        <w:snapToGrid/>
        <w:spacing w:beforeAutospacing="0" w:afterAutospacing="0" w:line="360" w:lineRule="auto"/>
        <w:ind w:left="0" w:firstLine="42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项目实施期间，凡涉及与东软集团股份有限公司（以下简称“东软”）既有系统对接的，所产生的费用由采购人承担；其余非东软系统对接产生的费用，则由成交供应商一力承担，涵盖设备、包装、运输、安装、调试、税费及可能衍生的各项支出，均包含在本次采购费用中，采购人不再支付成交金额以外的任何款项。对接过程中，成交供应商应与采购人现有软件供应商友好协商，并于协商前向采购人提交接口方案清单，对接所产生费用的限高价为本项目合同总价的</w:t>
      </w:r>
      <w:r>
        <w:rPr>
          <w:rFonts w:hint="eastAsia" w:ascii="仿宋" w:hAnsi="仿宋" w:eastAsia="仿宋" w:cs="仿宋"/>
          <w:kern w:val="2"/>
          <w:sz w:val="24"/>
          <w:szCs w:val="24"/>
          <w:u w:val="single"/>
          <w:lang w:val="en-US" w:eastAsia="zh-CN" w:bidi="ar-SA"/>
        </w:rPr>
        <w:t>10</w:t>
      </w:r>
      <w:r>
        <w:rPr>
          <w:rFonts w:hint="eastAsia" w:ascii="仿宋" w:hAnsi="仿宋" w:eastAsia="仿宋" w:cs="仿宋"/>
          <w:kern w:val="2"/>
          <w:sz w:val="24"/>
          <w:szCs w:val="24"/>
          <w:lang w:val="en-US" w:eastAsia="zh-CN" w:bidi="ar-SA"/>
        </w:rPr>
        <w:t>%。</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08"/>
        <w:gridCol w:w="2112"/>
        <w:gridCol w:w="2994"/>
        <w:gridCol w:w="4500"/>
      </w:tblGrid>
      <w:tr w14:paraId="45CFF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0"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top"/>
          </w:tcPr>
          <w:p w14:paraId="42A885EA">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序号</w:t>
            </w:r>
          </w:p>
        </w:tc>
        <w:tc>
          <w:tcPr>
            <w:tcW w:w="1725"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top"/>
          </w:tcPr>
          <w:p w14:paraId="015F7FB3">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软硬件</w:t>
            </w:r>
          </w:p>
        </w:tc>
        <w:tc>
          <w:tcPr>
            <w:tcW w:w="2445"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top"/>
          </w:tcPr>
          <w:p w14:paraId="3B2B654E">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生产厂商（全称）</w:t>
            </w:r>
          </w:p>
        </w:tc>
        <w:tc>
          <w:tcPr>
            <w:tcW w:w="3675" w:type="dxa"/>
            <w:tcBorders>
              <w:top w:val="single" w:color="auto" w:sz="6" w:space="0"/>
              <w:left w:val="single" w:color="auto" w:sz="6" w:space="0"/>
              <w:bottom w:val="single" w:color="auto" w:sz="4" w:space="0"/>
              <w:right w:val="single" w:color="auto" w:sz="6" w:space="0"/>
            </w:tcBorders>
            <w:shd w:val="clear" w:color="auto" w:fill="auto"/>
            <w:tcMar>
              <w:top w:w="0" w:type="dxa"/>
              <w:left w:w="105" w:type="dxa"/>
              <w:bottom w:w="0" w:type="dxa"/>
              <w:right w:w="105" w:type="dxa"/>
            </w:tcMar>
            <w:vAlign w:val="top"/>
          </w:tcPr>
          <w:p w14:paraId="525849A6">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对接描述</w:t>
            </w:r>
          </w:p>
        </w:tc>
      </w:tr>
      <w:tr w14:paraId="25445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AEB3D56">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714AA3A">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HIS系统</w:t>
            </w:r>
          </w:p>
        </w:tc>
        <w:tc>
          <w:tcPr>
            <w:tcW w:w="244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A3F1284">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东软集团股份有限公司</w:t>
            </w:r>
          </w:p>
        </w:tc>
        <w:tc>
          <w:tcPr>
            <w:tcW w:w="3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E24E0F1">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通过视图或接口获取数据，通过接口对业务数据进行修改</w:t>
            </w:r>
          </w:p>
        </w:tc>
      </w:tr>
      <w:tr w14:paraId="2D77A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4B7F2AB">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2</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AF81C5B">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LIS系统</w:t>
            </w:r>
          </w:p>
        </w:tc>
        <w:tc>
          <w:tcPr>
            <w:tcW w:w="244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77F26FF">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东软集团股份有限公司</w:t>
            </w:r>
          </w:p>
        </w:tc>
        <w:tc>
          <w:tcPr>
            <w:tcW w:w="3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9E92F7F">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通过视图或接口获取数据</w:t>
            </w:r>
          </w:p>
        </w:tc>
      </w:tr>
      <w:tr w14:paraId="7B5CD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6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8124374">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4A48F9A">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省医员工数字门户/OA</w:t>
            </w:r>
          </w:p>
        </w:tc>
        <w:tc>
          <w:tcPr>
            <w:tcW w:w="244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D15A8E3">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成都义幻医疗科技有限公司</w:t>
            </w:r>
          </w:p>
        </w:tc>
        <w:tc>
          <w:tcPr>
            <w:tcW w:w="3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1D33F3E">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OA提供应用跳转入口，对接单点登录，对接消息推送</w:t>
            </w:r>
          </w:p>
        </w:tc>
      </w:tr>
      <w:tr w14:paraId="1E757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7C44D0F">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18AC130">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不良事件管理平台</w:t>
            </w:r>
          </w:p>
        </w:tc>
        <w:tc>
          <w:tcPr>
            <w:tcW w:w="244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402AA3A">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广州火龙果信息科技有限公司</w:t>
            </w:r>
          </w:p>
        </w:tc>
        <w:tc>
          <w:tcPr>
            <w:tcW w:w="3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65EE6AB">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通过视图或接口获取数据</w:t>
            </w:r>
          </w:p>
        </w:tc>
      </w:tr>
      <w:tr w14:paraId="1C614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6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578194F0">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5</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5B168AD">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一体化病案系统</w:t>
            </w:r>
          </w:p>
        </w:tc>
        <w:tc>
          <w:tcPr>
            <w:tcW w:w="244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33412BEB">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上海今创信息技术有限公司</w:t>
            </w:r>
          </w:p>
        </w:tc>
        <w:tc>
          <w:tcPr>
            <w:tcW w:w="3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C4B0CD4">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通过视图或接口获取数据</w:t>
            </w:r>
          </w:p>
        </w:tc>
      </w:tr>
      <w:tr w14:paraId="3764D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66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CA909FA">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6</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2260057">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DRG 运行管理系统</w:t>
            </w:r>
          </w:p>
        </w:tc>
        <w:tc>
          <w:tcPr>
            <w:tcW w:w="244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20768290">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国新健康保障服务有限公司</w:t>
            </w:r>
          </w:p>
        </w:tc>
        <w:tc>
          <w:tcPr>
            <w:tcW w:w="3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C2A114A">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通过视图或接口获取数据</w:t>
            </w:r>
          </w:p>
        </w:tc>
      </w:tr>
      <w:tr w14:paraId="6F13D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66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83200F0">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7</w:t>
            </w:r>
          </w:p>
        </w:tc>
        <w:tc>
          <w:tcPr>
            <w:tcW w:w="172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5D49762">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合理用药整体解决方案\处方点评</w:t>
            </w:r>
          </w:p>
        </w:tc>
        <w:tc>
          <w:tcPr>
            <w:tcW w:w="244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6B13174D">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四川美康医药软件研究开发股份有限公司</w:t>
            </w:r>
          </w:p>
        </w:tc>
        <w:tc>
          <w:tcPr>
            <w:tcW w:w="3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C1E43CF">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通过视图或接口获取处方点评相关数据</w:t>
            </w:r>
          </w:p>
        </w:tc>
      </w:tr>
    </w:tbl>
    <w:p w14:paraId="09B982B9">
      <w:pPr>
        <w:pStyle w:val="4"/>
        <w:keepNext w:val="0"/>
        <w:keepLines w:val="0"/>
        <w:pageBreakBefore w:val="0"/>
        <w:widowControl/>
        <w:numPr>
          <w:ilvl w:val="0"/>
          <w:numId w:val="0"/>
        </w:numPr>
        <w:suppressLineNumbers w:val="0"/>
        <w:kinsoku/>
        <w:wordWrap/>
        <w:overflowPunct/>
        <w:topLinePunct w:val="0"/>
        <w:autoSpaceDE w:val="0"/>
        <w:bidi w:val="0"/>
        <w:snapToGrid/>
        <w:spacing w:before="0" w:beforeAutospacing="0" w:after="0" w:afterAutospacing="0"/>
        <w:ind w:left="0" w:leftChars="0" w:firstLine="0" w:firstLineChars="0"/>
        <w:jc w:val="both"/>
        <w:textAlignment w:val="auto"/>
        <w:rPr>
          <w:rFonts w:hint="eastAsia" w:cs="Times New Roman"/>
          <w:b w:val="0"/>
          <w:kern w:val="2"/>
          <w:sz w:val="24"/>
          <w:szCs w:val="24"/>
          <w:lang w:val="en-US" w:eastAsia="zh-CN" w:bidi="ar-SA"/>
        </w:rPr>
      </w:pPr>
      <w:r>
        <w:rPr>
          <w:rFonts w:hint="eastAsia" w:cs="Times New Roman"/>
          <w:sz w:val="24"/>
          <w:szCs w:val="24"/>
          <w:lang w:val="en-US" w:eastAsia="zh-CN"/>
        </w:rPr>
        <w:t>（二）技术</w:t>
      </w:r>
      <w:r>
        <w:rPr>
          <w:rFonts w:hint="eastAsia" w:cs="Times New Roman"/>
          <w:b/>
          <w:bCs/>
          <w:kern w:val="2"/>
          <w:sz w:val="24"/>
          <w:szCs w:val="24"/>
          <w:lang w:val="en-US" w:eastAsia="zh-CN" w:bidi="ar-SA"/>
        </w:rPr>
        <w:t>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23"/>
        <w:gridCol w:w="2013"/>
        <w:gridCol w:w="7613"/>
      </w:tblGrid>
      <w:tr w14:paraId="2CC6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65" w:hRule="atLeast"/>
        </w:trPr>
        <w:tc>
          <w:tcPr>
            <w:tcW w:w="675" w:type="dxa"/>
            <w:shd w:val="clear" w:color="auto" w:fill="auto"/>
            <w:tcMar>
              <w:top w:w="150" w:type="dxa"/>
              <w:left w:w="0" w:type="dxa"/>
              <w:bottom w:w="150" w:type="dxa"/>
              <w:right w:w="240" w:type="dxa"/>
            </w:tcMar>
            <w:vAlign w:val="center"/>
          </w:tcPr>
          <w:p w14:paraId="77583874">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序号</w:t>
            </w:r>
          </w:p>
        </w:tc>
        <w:tc>
          <w:tcPr>
            <w:tcW w:w="1650" w:type="dxa"/>
            <w:shd w:val="clear" w:color="auto" w:fill="auto"/>
            <w:tcMar>
              <w:top w:w="150" w:type="dxa"/>
              <w:left w:w="240" w:type="dxa"/>
              <w:bottom w:w="150" w:type="dxa"/>
              <w:right w:w="240" w:type="dxa"/>
            </w:tcMar>
            <w:vAlign w:val="center"/>
          </w:tcPr>
          <w:p w14:paraId="3A2E0495">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模块</w:t>
            </w:r>
          </w:p>
        </w:tc>
        <w:tc>
          <w:tcPr>
            <w:tcW w:w="6240" w:type="dxa"/>
            <w:shd w:val="clear" w:color="auto" w:fill="auto"/>
            <w:tcMar>
              <w:top w:w="150" w:type="dxa"/>
              <w:left w:w="240" w:type="dxa"/>
              <w:bottom w:w="150" w:type="dxa"/>
              <w:right w:w="240" w:type="dxa"/>
            </w:tcMar>
            <w:vAlign w:val="center"/>
          </w:tcPr>
          <w:p w14:paraId="664ABCE4">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技术要求</w:t>
            </w:r>
          </w:p>
        </w:tc>
      </w:tr>
      <w:tr w14:paraId="419A7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55" w:hRule="atLeast"/>
        </w:trPr>
        <w:tc>
          <w:tcPr>
            <w:tcW w:w="675" w:type="dxa"/>
            <w:shd w:val="clear" w:color="auto" w:fill="auto"/>
            <w:tcMar>
              <w:top w:w="150" w:type="dxa"/>
              <w:left w:w="0" w:type="dxa"/>
              <w:bottom w:w="150" w:type="dxa"/>
              <w:right w:w="240" w:type="dxa"/>
            </w:tcMar>
            <w:vAlign w:val="center"/>
          </w:tcPr>
          <w:p w14:paraId="58010D53">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w:t>
            </w:r>
          </w:p>
        </w:tc>
        <w:tc>
          <w:tcPr>
            <w:tcW w:w="1650" w:type="dxa"/>
            <w:shd w:val="clear" w:color="auto" w:fill="auto"/>
            <w:tcMar>
              <w:top w:w="150" w:type="dxa"/>
              <w:left w:w="240" w:type="dxa"/>
              <w:bottom w:w="150" w:type="dxa"/>
              <w:right w:w="240" w:type="dxa"/>
            </w:tcMar>
            <w:vAlign w:val="center"/>
          </w:tcPr>
          <w:p w14:paraId="44E327C5">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平台基本架构</w:t>
            </w:r>
          </w:p>
        </w:tc>
        <w:tc>
          <w:tcPr>
            <w:tcW w:w="6240" w:type="dxa"/>
            <w:shd w:val="clear" w:color="auto" w:fill="auto"/>
            <w:tcMar>
              <w:top w:w="150" w:type="dxa"/>
              <w:left w:w="240" w:type="dxa"/>
              <w:bottom w:w="150" w:type="dxa"/>
              <w:right w:w="0" w:type="dxa"/>
            </w:tcMar>
            <w:vAlign w:val="center"/>
          </w:tcPr>
          <w:p w14:paraId="457B1D9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lang w:eastAsia="zh-CN"/>
              </w:rPr>
            </w:pPr>
            <w:r>
              <w:rPr>
                <w:rStyle w:val="21"/>
                <w:rFonts w:hint="eastAsia" w:ascii="仿宋" w:hAnsi="仿宋" w:eastAsia="仿宋" w:cs="仿宋"/>
                <w:b w:val="0"/>
                <w:bCs/>
                <w:color w:val="auto"/>
                <w:sz w:val="24"/>
                <w:szCs w:val="24"/>
              </w:rPr>
              <w:t>1.应使用B/S架构，支持的浏览器至少包括：Chrome、Edge、Firefox</w:t>
            </w:r>
          </w:p>
          <w:p w14:paraId="5D94864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2.移动端支持：本次采购系统应支持移动端的访问使用，页面需与移动端设备的布局、操作相适配</w:t>
            </w:r>
          </w:p>
          <w:p w14:paraId="205E4C2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3.移动端通过OA系统应用为统一入口；支持统一集成医院OA认证实现单点登录</w:t>
            </w:r>
          </w:p>
          <w:p w14:paraId="4AE608E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4.支持与院内HIS、LIS、DRGs、病案系统、处方点评系统、不良事件系统、OA进行接口对接</w:t>
            </w:r>
          </w:p>
          <w:p w14:paraId="5A14CFF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5.</w:t>
            </w:r>
            <w:r>
              <w:rPr>
                <w:rFonts w:hint="eastAsia" w:ascii="仿宋" w:hAnsi="仿宋" w:eastAsia="仿宋" w:cs="仿宋"/>
                <w:sz w:val="24"/>
                <w:szCs w:val="24"/>
              </w:rPr>
              <w:t>系统内置符合BPMN2.0标准的审批流程引擎，每个独立业务流程均可实现配置（至少包括节点增减、审批人指派、会签/或签切换）；所有业务审批流程均在系统内部实现，支持审批消息推送和快速跳转</w:t>
            </w:r>
          </w:p>
          <w:p w14:paraId="05B261F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6.支持权限控制；系统菜单、操作权限、数据权限支持按角色（至少包括院领导、医务部管理员、科室负责人、普通医师）隔离</w:t>
            </w:r>
          </w:p>
          <w:p w14:paraId="35FE669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7.敏感数据（至少包括患者信息、考评结果、记分记录）导出可脱敏；PDF导出可添加医院水印</w:t>
            </w:r>
          </w:p>
          <w:p w14:paraId="705876F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8.系统支持记录用户登录日志，用户操作日志，系统性能日志；日志保留不少于180天</w:t>
            </w:r>
          </w:p>
          <w:p w14:paraId="55E24F7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Fonts w:hint="eastAsia" w:ascii="仿宋" w:hAnsi="仿宋" w:eastAsia="仿宋" w:cs="仿宋"/>
                <w:b w:val="0"/>
                <w:bCs w:val="0"/>
                <w:kern w:val="2"/>
                <w:sz w:val="24"/>
                <w:szCs w:val="24"/>
                <w:lang w:val="en-US" w:eastAsia="zh-CN" w:bidi="ar-SA"/>
              </w:rPr>
              <w:t>9.页面首次加载时间≤3秒；应满足所有请求中至少95%的请求响应时间≤500毫秒；支持≥200并发用户；报表生成时间≤10秒</w:t>
            </w:r>
          </w:p>
          <w:p w14:paraId="7D28DAE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10.提供数据备份方案，系统宕机恢复方案</w:t>
            </w:r>
          </w:p>
          <w:p w14:paraId="014D62E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11.提供数据大屏界面，针对此项目开发模块中涉及的重要数据进行统一展示</w:t>
            </w:r>
          </w:p>
        </w:tc>
      </w:tr>
      <w:tr w14:paraId="132FC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675" w:type="dxa"/>
            <w:shd w:val="clear" w:color="auto" w:fill="auto"/>
            <w:tcMar>
              <w:top w:w="150" w:type="dxa"/>
              <w:left w:w="0" w:type="dxa"/>
              <w:bottom w:w="150" w:type="dxa"/>
              <w:right w:w="240" w:type="dxa"/>
            </w:tcMar>
            <w:vAlign w:val="center"/>
          </w:tcPr>
          <w:p w14:paraId="5B74EA05">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2</w:t>
            </w:r>
          </w:p>
        </w:tc>
        <w:tc>
          <w:tcPr>
            <w:tcW w:w="1650" w:type="dxa"/>
            <w:shd w:val="clear" w:color="auto" w:fill="auto"/>
            <w:tcMar>
              <w:top w:w="150" w:type="dxa"/>
              <w:left w:w="240" w:type="dxa"/>
              <w:bottom w:w="150" w:type="dxa"/>
              <w:right w:w="240" w:type="dxa"/>
            </w:tcMar>
            <w:vAlign w:val="center"/>
          </w:tcPr>
          <w:p w14:paraId="7A9BA317">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不良事件闭环管理平台</w:t>
            </w:r>
          </w:p>
        </w:tc>
        <w:tc>
          <w:tcPr>
            <w:tcW w:w="6240" w:type="dxa"/>
            <w:shd w:val="clear" w:color="auto" w:fill="auto"/>
            <w:tcMar>
              <w:top w:w="150" w:type="dxa"/>
              <w:left w:w="240" w:type="dxa"/>
              <w:bottom w:w="150" w:type="dxa"/>
              <w:right w:w="0" w:type="dxa"/>
            </w:tcMar>
            <w:vAlign w:val="center"/>
          </w:tcPr>
          <w:p w14:paraId="071C971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1.对接不良事件管理系统获取不良事件源数据，且支持在系统独立上报</w:t>
            </w:r>
          </w:p>
          <w:p w14:paraId="5BD0ABC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Fonts w:hint="eastAsia" w:ascii="仿宋" w:hAnsi="仿宋" w:eastAsia="仿宋" w:cs="仿宋"/>
                <w:kern w:val="2"/>
                <w:sz w:val="24"/>
                <w:szCs w:val="24"/>
                <w:lang w:val="en-US" w:eastAsia="zh-CN" w:bidi="ar-SA"/>
              </w:rPr>
              <w:t>●</w:t>
            </w:r>
            <w:r>
              <w:rPr>
                <w:rStyle w:val="21"/>
                <w:rFonts w:hint="eastAsia" w:ascii="仿宋" w:hAnsi="仿宋" w:eastAsia="仿宋" w:cs="仿宋"/>
                <w:b w:val="0"/>
                <w:bCs/>
                <w:color w:val="auto"/>
                <w:sz w:val="24"/>
                <w:szCs w:val="24"/>
              </w:rPr>
              <w:t>2.支持规则引擎，可配置的规则维度至少包括：事件类型、发生频次、涉及患者年龄、涉及药品/耗材；规则生效后实时触发预警</w:t>
            </w:r>
          </w:p>
          <w:p w14:paraId="5E2DD28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Fonts w:hint="eastAsia" w:ascii="仿宋" w:hAnsi="仿宋" w:eastAsia="仿宋" w:cs="仿宋"/>
                <w:kern w:val="2"/>
                <w:sz w:val="24"/>
                <w:szCs w:val="24"/>
                <w:lang w:val="en-US" w:eastAsia="zh-CN" w:bidi="ar-SA"/>
              </w:rPr>
              <w:t>●</w:t>
            </w:r>
            <w:r>
              <w:rPr>
                <w:rStyle w:val="21"/>
                <w:rFonts w:hint="eastAsia" w:ascii="仿宋" w:hAnsi="仿宋" w:eastAsia="仿宋" w:cs="仿宋"/>
                <w:b w:val="0"/>
                <w:bCs/>
                <w:color w:val="auto"/>
                <w:sz w:val="24"/>
                <w:szCs w:val="24"/>
              </w:rPr>
              <w:t>3.系统依据配置规则自动判定事件等级（Ⅰ/Ⅱ/Ⅲ/Ⅳ级）；根据事件等级触发不同的通知处理流程；支持事件手动升级或降级（保存修改记录）</w:t>
            </w:r>
          </w:p>
          <w:p w14:paraId="0E8E471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状态流转：上报成功→待整改→整改中→待验证→已关闭；状态流转需记录整改措施、操作人员、操作时间、操作备注；整改措施支持上传佐证材料；超时催办机制：可配置各节点时限（单位：小时/工作日），定时扫描超时节点，自动触发催办消息</w:t>
            </w:r>
          </w:p>
          <w:p w14:paraId="26E2B6A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5.支持每月对不良事件生成月报，包含事件发生类别和风险预警报告与提示建议，自行设计不良事件分析内容模板，包括不良事件发生类别与数量、关联科室、存在的原因与下一步改进建议</w:t>
            </w:r>
          </w:p>
        </w:tc>
      </w:tr>
      <w:tr w14:paraId="2FFF2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675" w:type="dxa"/>
            <w:shd w:val="clear" w:color="auto" w:fill="auto"/>
            <w:tcMar>
              <w:top w:w="150" w:type="dxa"/>
              <w:left w:w="0" w:type="dxa"/>
              <w:bottom w:w="150" w:type="dxa"/>
              <w:right w:w="240" w:type="dxa"/>
            </w:tcMar>
            <w:vAlign w:val="center"/>
          </w:tcPr>
          <w:p w14:paraId="0A9A8214">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w:t>
            </w:r>
          </w:p>
        </w:tc>
        <w:tc>
          <w:tcPr>
            <w:tcW w:w="1650" w:type="dxa"/>
            <w:shd w:val="clear" w:color="auto" w:fill="auto"/>
            <w:tcMar>
              <w:top w:w="150" w:type="dxa"/>
              <w:left w:w="240" w:type="dxa"/>
              <w:bottom w:w="150" w:type="dxa"/>
              <w:right w:w="240" w:type="dxa"/>
            </w:tcMar>
            <w:vAlign w:val="center"/>
          </w:tcPr>
          <w:p w14:paraId="37C46E3C">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医德考评平台</w:t>
            </w:r>
          </w:p>
        </w:tc>
        <w:tc>
          <w:tcPr>
            <w:tcW w:w="6240" w:type="dxa"/>
            <w:shd w:val="clear" w:color="auto" w:fill="auto"/>
            <w:tcMar>
              <w:top w:w="150" w:type="dxa"/>
              <w:left w:w="240" w:type="dxa"/>
              <w:bottom w:w="150" w:type="dxa"/>
              <w:right w:w="0" w:type="dxa"/>
            </w:tcMar>
            <w:vAlign w:val="top"/>
          </w:tcPr>
          <w:p w14:paraId="32F4939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1.对接HIS、处方点评系统（获取不合理处方记录）、DRGs系统获取指标计算的基本数据</w:t>
            </w:r>
          </w:p>
          <w:p w14:paraId="5F50B67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Fonts w:hint="eastAsia" w:ascii="仿宋" w:hAnsi="仿宋" w:eastAsia="仿宋" w:cs="仿宋"/>
                <w:kern w:val="2"/>
                <w:sz w:val="24"/>
                <w:szCs w:val="24"/>
                <w:lang w:val="en-US" w:eastAsia="zh-CN" w:bidi="ar-SA"/>
              </w:rPr>
              <w:t>●</w:t>
            </w:r>
            <w:r>
              <w:rPr>
                <w:rStyle w:val="21"/>
                <w:rFonts w:hint="eastAsia" w:ascii="仿宋" w:hAnsi="仿宋" w:eastAsia="仿宋" w:cs="仿宋"/>
                <w:b w:val="0"/>
                <w:bCs/>
                <w:color w:val="auto"/>
                <w:sz w:val="24"/>
                <w:szCs w:val="24"/>
              </w:rPr>
              <w:t>2.支持动态增删改考评指标；每个指标需包含：指标名称、指标类别（加分项/扣分项）、适用对象（全员/按科室/按职称）、分值、权重、触发条件、数据来源（手工录入/系统对接自动抓取）</w:t>
            </w:r>
          </w:p>
          <w:p w14:paraId="53517E3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Fonts w:hint="eastAsia" w:ascii="仿宋" w:hAnsi="仿宋" w:eastAsia="仿宋" w:cs="仿宋"/>
                <w:kern w:val="2"/>
                <w:sz w:val="24"/>
                <w:szCs w:val="24"/>
                <w:lang w:val="en-US" w:eastAsia="zh-CN" w:bidi="ar-SA"/>
              </w:rPr>
              <w:t>●</w:t>
            </w:r>
            <w:r>
              <w:rPr>
                <w:rStyle w:val="21"/>
                <w:rFonts w:hint="eastAsia" w:ascii="仿宋" w:hAnsi="仿宋" w:eastAsia="仿宋" w:cs="仿宋"/>
                <w:b w:val="0"/>
                <w:bCs/>
                <w:color w:val="auto"/>
                <w:sz w:val="24"/>
                <w:szCs w:val="24"/>
              </w:rPr>
              <w:t>3.支持手动上传加分项佐证文件（至少包括荣誉证书、感谢信、锦旗、上缴红包），自动识别加分类型并对应加分</w:t>
            </w:r>
          </w:p>
          <w:p w14:paraId="33619CE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4.系统每月自动汇总各医生当月加减分明细，生成月报表；加减分记录需关联原始数据（至少包括投诉单号、处方编号），支持逐笔溯源</w:t>
            </w:r>
          </w:p>
          <w:p w14:paraId="5531339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5.月度及年度考评结果可推送至本人；支持查询本人及本科室（限科室负责人）考评详情，查询范围包括：各指标得分明细、加减分原始记录、排名。考评结果支持管理人员做手动修改调整。</w:t>
            </w:r>
          </w:p>
          <w:p w14:paraId="603E74F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6.导出报告PDF时支持添加水印</w:t>
            </w:r>
          </w:p>
          <w:p w14:paraId="3FE79C1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Fonts w:hint="eastAsia" w:ascii="仿宋" w:hAnsi="仿宋" w:eastAsia="仿宋" w:cs="仿宋"/>
                <w:kern w:val="2"/>
                <w:sz w:val="24"/>
                <w:szCs w:val="24"/>
                <w:lang w:val="en-US" w:eastAsia="zh-CN" w:bidi="ar-SA"/>
              </w:rPr>
              <w:t>●</w:t>
            </w:r>
            <w:r>
              <w:rPr>
                <w:rStyle w:val="21"/>
                <w:rFonts w:hint="eastAsia" w:ascii="仿宋" w:hAnsi="仿宋" w:eastAsia="仿宋" w:cs="仿宋"/>
                <w:b w:val="0"/>
                <w:bCs/>
                <w:color w:val="auto"/>
                <w:sz w:val="24"/>
                <w:szCs w:val="24"/>
              </w:rPr>
              <w:t>7.记录所有增删改动作，包含操作人员、IP地址、操作时间、操作内容</w:t>
            </w:r>
          </w:p>
          <w:p w14:paraId="4434965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8.支持生成年度医德考评报告，包含：个人年度总分、各维度得分、与同科室/同职称人员对比、年度增减趋势图</w:t>
            </w:r>
          </w:p>
        </w:tc>
      </w:tr>
      <w:tr w14:paraId="763FB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845" w:hRule="atLeast"/>
        </w:trPr>
        <w:tc>
          <w:tcPr>
            <w:tcW w:w="675" w:type="dxa"/>
            <w:shd w:val="clear" w:color="auto" w:fill="auto"/>
            <w:tcMar>
              <w:top w:w="150" w:type="dxa"/>
              <w:left w:w="0" w:type="dxa"/>
              <w:bottom w:w="150" w:type="dxa"/>
              <w:right w:w="240" w:type="dxa"/>
            </w:tcMar>
            <w:vAlign w:val="center"/>
          </w:tcPr>
          <w:p w14:paraId="2BBD1DBD">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w:t>
            </w:r>
          </w:p>
        </w:tc>
        <w:tc>
          <w:tcPr>
            <w:tcW w:w="1650" w:type="dxa"/>
            <w:shd w:val="clear" w:color="auto" w:fill="auto"/>
            <w:tcMar>
              <w:top w:w="150" w:type="dxa"/>
              <w:left w:w="240" w:type="dxa"/>
              <w:bottom w:w="150" w:type="dxa"/>
              <w:right w:w="240" w:type="dxa"/>
            </w:tcMar>
            <w:vAlign w:val="center"/>
          </w:tcPr>
          <w:p w14:paraId="3ECF3EFB">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行政参与术前谈话平台</w:t>
            </w:r>
          </w:p>
        </w:tc>
        <w:tc>
          <w:tcPr>
            <w:tcW w:w="6240" w:type="dxa"/>
            <w:shd w:val="clear" w:color="auto" w:fill="auto"/>
            <w:tcMar>
              <w:top w:w="150" w:type="dxa"/>
              <w:left w:w="240" w:type="dxa"/>
              <w:bottom w:w="150" w:type="dxa"/>
              <w:right w:w="0" w:type="dxa"/>
            </w:tcMar>
            <w:vAlign w:val="center"/>
          </w:tcPr>
          <w:p w14:paraId="168A78C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Fonts w:hint="eastAsia" w:ascii="仿宋" w:hAnsi="仿宋" w:eastAsia="仿宋" w:cs="仿宋"/>
                <w:kern w:val="2"/>
                <w:sz w:val="24"/>
                <w:szCs w:val="24"/>
                <w:lang w:val="en-US" w:eastAsia="zh-CN" w:bidi="ar-SA"/>
              </w:rPr>
              <w:t>●</w:t>
            </w:r>
            <w:r>
              <w:rPr>
                <w:rStyle w:val="21"/>
                <w:rFonts w:hint="eastAsia" w:ascii="仿宋" w:hAnsi="仿宋" w:eastAsia="仿宋" w:cs="仿宋"/>
                <w:b w:val="0"/>
                <w:bCs/>
                <w:color w:val="auto"/>
                <w:sz w:val="24"/>
                <w:szCs w:val="24"/>
              </w:rPr>
              <w:t>1.可在系统发起申请，需填写：患者姓名、住院号（自动调用HIS接口获取入院病情及术前检查结果）、手术名称、预期手术时间、风险点、申请理由</w:t>
            </w:r>
          </w:p>
          <w:p w14:paraId="0194E0A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Fonts w:hint="eastAsia" w:ascii="仿宋" w:hAnsi="仿宋" w:eastAsia="仿宋" w:cs="仿宋"/>
                <w:kern w:val="2"/>
                <w:sz w:val="24"/>
                <w:szCs w:val="24"/>
                <w:lang w:val="en-US" w:eastAsia="zh-CN" w:bidi="ar-SA"/>
              </w:rPr>
              <w:t>●</w:t>
            </w:r>
            <w:r>
              <w:rPr>
                <w:rStyle w:val="21"/>
                <w:rFonts w:hint="eastAsia" w:ascii="仿宋" w:hAnsi="仿宋" w:eastAsia="仿宋" w:cs="仿宋"/>
                <w:b w:val="0"/>
                <w:bCs/>
                <w:color w:val="auto"/>
                <w:sz w:val="24"/>
                <w:szCs w:val="24"/>
              </w:rPr>
              <w:t>2.支持可视化配置审批节点：医师→科室负责人→医务部；各节点支持会签/或签配置；移动端在线审批</w:t>
            </w:r>
          </w:p>
          <w:p w14:paraId="3AC6E8A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3.审批节点流转时，支持消息推送至节点负责人</w:t>
            </w:r>
          </w:p>
          <w:p w14:paraId="221E991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4.支持集成音视频录制和上传功能；录制文件支持加密，上传至指定存储服务器，与谈话记录关联；文件存储格式：视频MP4，音频MP3</w:t>
            </w:r>
          </w:p>
          <w:p w14:paraId="3DFB5D1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5.支持三方（院方、医方、患方）通过手写板或移动端（IPAD）进行电子签名，并自动存档</w:t>
            </w:r>
          </w:p>
          <w:p w14:paraId="357CDA5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6.页面提供“查看电子病历”按钮，点击后需在系统权限校验通过后跳转至患者电子病历网页</w:t>
            </w:r>
          </w:p>
          <w:p w14:paraId="515D786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7.支持按至少包括患者姓名、住院号、手术日期、谈话医生维度检索历史谈话记录；记录详情包含：完整审批流程、签名文件、音视频文件；支持全部谈话记录以文档形式一键导出</w:t>
            </w:r>
          </w:p>
          <w:p w14:paraId="70F3D5C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8.对行政参与术前谈话信息（至少包括入院诊断、科室、术式、主刀医师、风险因素） 汇总分析，就谈话数量做科室与人员排序</w:t>
            </w:r>
          </w:p>
        </w:tc>
      </w:tr>
      <w:tr w14:paraId="1E410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675" w:type="dxa"/>
            <w:shd w:val="clear" w:color="auto" w:fill="auto"/>
            <w:tcMar>
              <w:top w:w="150" w:type="dxa"/>
              <w:left w:w="0" w:type="dxa"/>
              <w:bottom w:w="150" w:type="dxa"/>
              <w:right w:w="240" w:type="dxa"/>
            </w:tcMar>
            <w:vAlign w:val="center"/>
          </w:tcPr>
          <w:p w14:paraId="5CFC83FD">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5</w:t>
            </w:r>
          </w:p>
        </w:tc>
        <w:tc>
          <w:tcPr>
            <w:tcW w:w="1650" w:type="dxa"/>
            <w:shd w:val="clear" w:color="auto" w:fill="auto"/>
            <w:tcMar>
              <w:top w:w="150" w:type="dxa"/>
              <w:left w:w="240" w:type="dxa"/>
              <w:bottom w:w="150" w:type="dxa"/>
              <w:right w:w="240" w:type="dxa"/>
            </w:tcMar>
            <w:vAlign w:val="center"/>
          </w:tcPr>
          <w:p w14:paraId="4F8B12DA">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不良执业记分管理平台</w:t>
            </w:r>
          </w:p>
        </w:tc>
        <w:tc>
          <w:tcPr>
            <w:tcW w:w="6240" w:type="dxa"/>
            <w:shd w:val="clear" w:color="auto" w:fill="auto"/>
            <w:tcMar>
              <w:top w:w="150" w:type="dxa"/>
              <w:left w:w="240" w:type="dxa"/>
              <w:bottom w:w="150" w:type="dxa"/>
              <w:right w:w="0" w:type="dxa"/>
            </w:tcMar>
            <w:vAlign w:val="center"/>
          </w:tcPr>
          <w:p w14:paraId="6EB2612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1.支持Excel模板导入；导入时系统自动校验数据格式，校验通过后自动匹配被记分人员（按姓名+工号双重匹配）；导入记录需留存操作日志</w:t>
            </w:r>
          </w:p>
          <w:p w14:paraId="463D806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2.内嵌可配置规则引擎，支持动态增删改考评指标；指标需包含：行为类别（至少包括“违反诊疗规范”“不合理用药”“投诉属实”）、扣分分值、适用对象（角色/科室）、预警阈值</w:t>
            </w:r>
          </w:p>
          <w:p w14:paraId="13F87B6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3.流转过程：行为记录→佐证上传→自动匹配人员→记分判定→分级预警→生成扣分记录；各环节记录操作人员、操作时间；状态支持回退</w:t>
            </w:r>
          </w:p>
          <w:p w14:paraId="77770B8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4.按月自动汇总扣分情况；达到预设阈值时触发分级预警（黄色/橙色/红色），预警信息推送至医务科及科室负责人</w:t>
            </w:r>
          </w:p>
          <w:p w14:paraId="42C507C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5.年度自动生成结构化医师执业行为画像报告，包含：各维度扣分明细、年度累计扣分趋势、与同类人员对比、风险等级评定；支持Word/PDF导出</w:t>
            </w:r>
          </w:p>
        </w:tc>
      </w:tr>
      <w:tr w14:paraId="15F83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675" w:type="dxa"/>
            <w:shd w:val="clear" w:color="auto" w:fill="auto"/>
            <w:tcMar>
              <w:top w:w="150" w:type="dxa"/>
              <w:left w:w="0" w:type="dxa"/>
              <w:bottom w:w="150" w:type="dxa"/>
              <w:right w:w="240" w:type="dxa"/>
            </w:tcMar>
            <w:vAlign w:val="center"/>
          </w:tcPr>
          <w:p w14:paraId="2AD60F50">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6</w:t>
            </w:r>
          </w:p>
        </w:tc>
        <w:tc>
          <w:tcPr>
            <w:tcW w:w="1650" w:type="dxa"/>
            <w:shd w:val="clear" w:color="auto" w:fill="auto"/>
            <w:tcMar>
              <w:top w:w="150" w:type="dxa"/>
              <w:left w:w="240" w:type="dxa"/>
              <w:bottom w:w="150" w:type="dxa"/>
              <w:right w:w="240" w:type="dxa"/>
            </w:tcMar>
            <w:vAlign w:val="center"/>
          </w:tcPr>
          <w:p w14:paraId="2D8FD54D">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医药（械）代表备案管理平台</w:t>
            </w:r>
          </w:p>
        </w:tc>
        <w:tc>
          <w:tcPr>
            <w:tcW w:w="6240" w:type="dxa"/>
            <w:shd w:val="clear" w:color="auto" w:fill="auto"/>
            <w:tcMar>
              <w:top w:w="150" w:type="dxa"/>
              <w:left w:w="240" w:type="dxa"/>
              <w:bottom w:w="150" w:type="dxa"/>
              <w:right w:w="0" w:type="dxa"/>
            </w:tcMar>
            <w:vAlign w:val="center"/>
          </w:tcPr>
          <w:p w14:paraId="427A9A5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Fonts w:hint="eastAsia" w:ascii="仿宋" w:hAnsi="仿宋" w:eastAsia="仿宋" w:cs="仿宋"/>
                <w:kern w:val="2"/>
                <w:sz w:val="24"/>
                <w:szCs w:val="24"/>
                <w:lang w:val="en-US" w:eastAsia="zh-CN" w:bidi="ar-SA"/>
              </w:rPr>
              <w:t>●</w:t>
            </w:r>
            <w:r>
              <w:rPr>
                <w:rStyle w:val="21"/>
                <w:rFonts w:hint="eastAsia" w:ascii="仿宋" w:hAnsi="仿宋" w:eastAsia="仿宋" w:cs="仿宋"/>
                <w:b w:val="0"/>
                <w:bCs/>
                <w:color w:val="auto"/>
                <w:sz w:val="24"/>
                <w:szCs w:val="24"/>
              </w:rPr>
              <w:t>1.在微信公众号或开放网站开通预约入口；医药代表端实现注册登记（至少包括姓名、身份证号、所属企业、代理产品、联系电话）、预约申请（至少包括选择科室、预约日期及时段、拜访目的）</w:t>
            </w:r>
          </w:p>
          <w:p w14:paraId="351ED74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Fonts w:hint="eastAsia" w:ascii="仿宋" w:hAnsi="仿宋" w:eastAsia="仿宋" w:cs="仿宋"/>
                <w:kern w:val="2"/>
                <w:sz w:val="24"/>
                <w:szCs w:val="24"/>
                <w:lang w:val="en-US" w:eastAsia="zh-CN" w:bidi="ar-SA"/>
              </w:rPr>
              <w:t>●2.管理人员（科主任或医务部人员）审核预约申请，支持通过/驳回/改期；审核通过后自动生成电子二维码访问登记凭证</w:t>
            </w:r>
          </w:p>
          <w:p w14:paraId="5208817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Fonts w:hint="eastAsia" w:ascii="仿宋" w:hAnsi="仿宋" w:eastAsia="仿宋" w:cs="仿宋"/>
                <w:kern w:val="2"/>
                <w:sz w:val="24"/>
                <w:szCs w:val="24"/>
                <w:lang w:val="en-US" w:eastAsia="zh-CN" w:bidi="ar-SA"/>
              </w:rPr>
              <w:t>●</w:t>
            </w:r>
            <w:r>
              <w:rPr>
                <w:rStyle w:val="21"/>
                <w:rFonts w:hint="eastAsia" w:ascii="仿宋" w:hAnsi="仿宋" w:eastAsia="仿宋" w:cs="仿宋"/>
                <w:b w:val="0"/>
                <w:bCs/>
                <w:color w:val="auto"/>
                <w:sz w:val="24"/>
                <w:szCs w:val="24"/>
              </w:rPr>
              <w:t>3.动态生成医药（械）代表拜访电子准入证，代表出示电子证件后方可入院办理相关业务</w:t>
            </w:r>
          </w:p>
          <w:p w14:paraId="2B59DB1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4.医药（械）代表的各个洽谈业务节点，系统支持扫码自动生成记录：到达时间（基于扫码）、拜访科室、接洽人员（支持手动确认）、交流摘要；支持上传现场照片/视频</w:t>
            </w:r>
          </w:p>
          <w:p w14:paraId="2F2EFCB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5.为每位医药代表及所属企业建立信用档案；信用评分规则：初始100分，违规行为（至少包括未预约访问、超时停留、被投诉）按规则扣分；信用等级分数过低可触发预警提醒</w:t>
            </w:r>
          </w:p>
          <w:p w14:paraId="07FB425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6.需提供可视化统计看板，包含：访问频次趋势图（月/季/年）、科室分布热力图、信用等级分布、违规行为排行；支持导出备案台账（Excel格式）</w:t>
            </w:r>
          </w:p>
        </w:tc>
      </w:tr>
      <w:tr w14:paraId="3A0FF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675" w:type="dxa"/>
            <w:shd w:val="clear" w:color="auto" w:fill="auto"/>
            <w:tcMar>
              <w:top w:w="150" w:type="dxa"/>
              <w:left w:w="0" w:type="dxa"/>
              <w:bottom w:w="150" w:type="dxa"/>
              <w:right w:w="240" w:type="dxa"/>
            </w:tcMar>
            <w:vAlign w:val="center"/>
          </w:tcPr>
          <w:p w14:paraId="3DF886B6">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7</w:t>
            </w:r>
          </w:p>
        </w:tc>
        <w:tc>
          <w:tcPr>
            <w:tcW w:w="1650" w:type="dxa"/>
            <w:shd w:val="clear" w:color="auto" w:fill="auto"/>
            <w:tcMar>
              <w:top w:w="150" w:type="dxa"/>
              <w:left w:w="240" w:type="dxa"/>
              <w:bottom w:w="150" w:type="dxa"/>
              <w:right w:w="240" w:type="dxa"/>
            </w:tcMar>
            <w:vAlign w:val="center"/>
          </w:tcPr>
          <w:p w14:paraId="2E3D6EAA">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医疗行为风险预警监测平台</w:t>
            </w:r>
          </w:p>
        </w:tc>
        <w:tc>
          <w:tcPr>
            <w:tcW w:w="6240" w:type="dxa"/>
            <w:shd w:val="clear" w:color="auto" w:fill="auto"/>
            <w:tcMar>
              <w:top w:w="150" w:type="dxa"/>
              <w:left w:w="240" w:type="dxa"/>
              <w:bottom w:w="150" w:type="dxa"/>
              <w:right w:w="0" w:type="dxa"/>
            </w:tcMar>
            <w:vAlign w:val="center"/>
          </w:tcPr>
          <w:p w14:paraId="767D365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1.支持每日周期性从HIS（门诊/住院费用、手术记录、诊断信息）、LIS（检验结果）、病案首页（出院诊断、手术编码）采集数据并进行指标计算。</w:t>
            </w:r>
          </w:p>
          <w:p w14:paraId="1F8C3ED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2.内置可配置预警规则，至少包含以下规则动态调整且支持扩展：（1）非计划再手术（同一患者30天内再次手术）（2）非计划再入院（出院31天内再次入院）（3）高额费用（单次住院费用≥20万元）（4）住院超过30天（阈值可调）（5）检验检查0/E值≥4（阈值可调）（6）全院每月退费的检验检查频次≥10次/项目或科室（7）药品与耗材0/E值≥4（阈值可调）</w:t>
            </w:r>
          </w:p>
          <w:p w14:paraId="2F3B919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3.预警支持按风险等级（高/中/低）分级；高风险预警实时推送至预设管理人员；预警列表需显示：患者姓名、住院号、所属科室、预警类型、风险等级、触发时间</w:t>
            </w:r>
          </w:p>
          <w:p w14:paraId="6DC2E3E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4.管理人员点击预警记录后，支持在权限校验后查看患者完整信息，包括：web电子病历、费用明细（按项目分类）、手术记录、检验结果</w:t>
            </w:r>
          </w:p>
          <w:p w14:paraId="26E720D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5.预警信息生成后，支持将处置意见推送至相关科室负责人，提醒及时处置，并通过平台反馈处置意见</w:t>
            </w:r>
          </w:p>
          <w:p w14:paraId="2D06CBC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6.提供风险趋势分析报告，支持按至少包括科室、病种、医生维度统计高风险事件数量及趋势；图表类型支持至少包括折线图、柱状图、热力图、饼图、散点图、漏斗图；支持按时间范围（月/季/年）筛选导出</w:t>
            </w:r>
          </w:p>
        </w:tc>
      </w:tr>
      <w:tr w14:paraId="455ED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675" w:type="dxa"/>
            <w:shd w:val="clear" w:color="auto" w:fill="auto"/>
            <w:tcMar>
              <w:top w:w="150" w:type="dxa"/>
              <w:left w:w="0" w:type="dxa"/>
              <w:bottom w:w="150" w:type="dxa"/>
              <w:right w:w="240" w:type="dxa"/>
            </w:tcMar>
            <w:vAlign w:val="center"/>
          </w:tcPr>
          <w:p w14:paraId="18F5FEAF">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8</w:t>
            </w:r>
          </w:p>
        </w:tc>
        <w:tc>
          <w:tcPr>
            <w:tcW w:w="1650" w:type="dxa"/>
            <w:shd w:val="clear" w:color="auto" w:fill="auto"/>
            <w:tcMar>
              <w:top w:w="150" w:type="dxa"/>
              <w:left w:w="240" w:type="dxa"/>
              <w:bottom w:w="150" w:type="dxa"/>
              <w:right w:w="240" w:type="dxa"/>
            </w:tcMar>
            <w:vAlign w:val="center"/>
          </w:tcPr>
          <w:p w14:paraId="6D398F60">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医疗组长考核平台</w:t>
            </w:r>
          </w:p>
        </w:tc>
        <w:tc>
          <w:tcPr>
            <w:tcW w:w="6240" w:type="dxa"/>
            <w:shd w:val="clear" w:color="auto" w:fill="auto"/>
            <w:tcMar>
              <w:top w:w="150" w:type="dxa"/>
              <w:left w:w="240" w:type="dxa"/>
              <w:bottom w:w="150" w:type="dxa"/>
              <w:right w:w="0" w:type="dxa"/>
            </w:tcMar>
            <w:vAlign w:val="center"/>
          </w:tcPr>
          <w:p w14:paraId="1FCB10C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1.需对接病案首页数据（至少包括主诊医师信息，费用，平均住院日，手术等级）、DRGs系统、HIS（获取手术/住院/费用数据）；各系统数据采集频率根据实际业务状况配置。</w:t>
            </w:r>
          </w:p>
          <w:p w14:paraId="00EB05F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2.支持Excel指标数据导入，系统自动识别匹配医疗组及考核项，系统自动计算加扣分。</w:t>
            </w:r>
          </w:p>
          <w:p w14:paraId="794B38C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需支持以下指标评分：手术科室（12项）：DDDS、非计划再次手术人次、低风险死亡、Ⅰ类手术切口感染、病案2日归档率、医疗纠纷（事故）、四级手术台次、微创手术台次、CMI值、住院人次、手术台次、平均住院床日、耗材占比、药占比、医疗服务收入占比；非手术科室（10项）：非计划再入院人次、低风险死亡、病案2日归档率、医疗事故、RW≥2患者人次、CMI值、住院人次、平均住院床日、耗材占比、药占比、医疗服务收入占比</w:t>
            </w:r>
          </w:p>
          <w:p w14:paraId="02904E5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4.每月自动生成医疗组考核表，并推送至各医疗组长；组长可查看：评分明细（各指标得分及扣分原因）、当月科室排名、与上月对比变化</w:t>
            </w:r>
          </w:p>
          <w:p w14:paraId="4CBE392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5.根据半年度与年度考核成绩分片区作医疗组考核排名，生成考核报告，包含：柱状图（各医疗组总分对比）、雷达图（各维度得分分布）、趋势对比（连续12个月变化）；支持Word/PDF导出</w:t>
            </w:r>
          </w:p>
        </w:tc>
      </w:tr>
      <w:tr w14:paraId="607C5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0" w:hRule="atLeast"/>
        </w:trPr>
        <w:tc>
          <w:tcPr>
            <w:tcW w:w="675" w:type="dxa"/>
            <w:shd w:val="clear" w:color="auto" w:fill="auto"/>
            <w:tcMar>
              <w:top w:w="150" w:type="dxa"/>
              <w:left w:w="0" w:type="dxa"/>
              <w:bottom w:w="150" w:type="dxa"/>
              <w:right w:w="240" w:type="dxa"/>
            </w:tcMar>
            <w:vAlign w:val="center"/>
          </w:tcPr>
          <w:p w14:paraId="570E1B6A">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9</w:t>
            </w:r>
          </w:p>
        </w:tc>
        <w:tc>
          <w:tcPr>
            <w:tcW w:w="1650" w:type="dxa"/>
            <w:shd w:val="clear" w:color="auto" w:fill="auto"/>
            <w:tcMar>
              <w:top w:w="150" w:type="dxa"/>
              <w:left w:w="240" w:type="dxa"/>
              <w:bottom w:w="150" w:type="dxa"/>
              <w:right w:w="240" w:type="dxa"/>
            </w:tcMar>
            <w:vAlign w:val="center"/>
          </w:tcPr>
          <w:p w14:paraId="16A00E10">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医疗组组长申请与变更信息管理平台</w:t>
            </w:r>
          </w:p>
        </w:tc>
        <w:tc>
          <w:tcPr>
            <w:tcW w:w="6240" w:type="dxa"/>
            <w:shd w:val="clear" w:color="auto" w:fill="auto"/>
            <w:tcMar>
              <w:top w:w="150" w:type="dxa"/>
              <w:left w:w="240" w:type="dxa"/>
              <w:bottom w:w="150" w:type="dxa"/>
              <w:right w:w="0" w:type="dxa"/>
            </w:tcMar>
            <w:vAlign w:val="top"/>
          </w:tcPr>
          <w:p w14:paraId="4CA2D99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1.形成医疗组长信息维护和管理的统一入口，与HIS医疗组长数据进行同步并对数据变更记录进行完整记录</w:t>
            </w:r>
          </w:p>
          <w:p w14:paraId="348330E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2.支持三类申请流程：①医疗组长申请（医师发起→科室负责人审批→医务部审批）；②成员变更（组长发起→科室负责人审批→医务部备案）；③下级医生轮换（组长发起→科室负责人审批）；各流程节点支持移动端审批</w:t>
            </w:r>
          </w:p>
          <w:p w14:paraId="6D7DB31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3.建立医疗组长任职信息化档案，对变更与停止当医疗组长有记录痕迹，自动归档现任及历任组长任职时间段；记录字段包含：医疗组编码、组长姓名工号、任职开始日期、任职结束日期、变更或停止原因</w:t>
            </w:r>
          </w:p>
          <w:p w14:paraId="313195A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4.审核通过的申请结果</w:t>
            </w:r>
            <w:r>
              <w:rPr>
                <w:rFonts w:hint="eastAsia" w:ascii="仿宋" w:hAnsi="仿宋" w:eastAsia="仿宋" w:cs="仿宋"/>
                <w:sz w:val="24"/>
                <w:szCs w:val="24"/>
                <w:lang w:val="en-US" w:eastAsia="zh-CN"/>
              </w:rPr>
              <w:t>需</w:t>
            </w:r>
            <w:r>
              <w:rPr>
                <w:rStyle w:val="21"/>
                <w:rFonts w:hint="eastAsia" w:ascii="仿宋" w:hAnsi="仿宋" w:eastAsia="仿宋" w:cs="仿宋"/>
                <w:b w:val="0"/>
                <w:bCs/>
                <w:color w:val="auto"/>
                <w:sz w:val="24"/>
                <w:szCs w:val="24"/>
              </w:rPr>
              <w:t>通过接口回写至HIS及病案首页系统；回写内容：组长姓名及工号、组内成员名单及角色（主诊/主治/住院）；回写失败时</w:t>
            </w:r>
            <w:r>
              <w:rPr>
                <w:rFonts w:hint="eastAsia" w:ascii="仿宋" w:hAnsi="仿宋" w:eastAsia="仿宋" w:cs="仿宋"/>
                <w:sz w:val="24"/>
                <w:szCs w:val="24"/>
                <w:lang w:val="en-US" w:eastAsia="zh-CN"/>
              </w:rPr>
              <w:t>需</w:t>
            </w:r>
            <w:r>
              <w:rPr>
                <w:rStyle w:val="21"/>
                <w:rFonts w:hint="eastAsia" w:ascii="仿宋" w:hAnsi="仿宋" w:eastAsia="仿宋" w:cs="仿宋"/>
                <w:b w:val="0"/>
                <w:bCs/>
                <w:color w:val="auto"/>
                <w:sz w:val="24"/>
                <w:szCs w:val="24"/>
              </w:rPr>
              <w:t>记录日志并支持手动重推</w:t>
            </w:r>
          </w:p>
          <w:p w14:paraId="27C2B97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5.与HIS系统里医疗组长授权管理关联，保存病案时系统</w:t>
            </w:r>
            <w:r>
              <w:rPr>
                <w:rFonts w:hint="eastAsia" w:ascii="仿宋" w:hAnsi="仿宋" w:eastAsia="仿宋" w:cs="仿宋"/>
                <w:sz w:val="24"/>
                <w:szCs w:val="24"/>
                <w:lang w:val="en-US" w:eastAsia="zh-CN"/>
              </w:rPr>
              <w:t>需</w:t>
            </w:r>
            <w:r>
              <w:rPr>
                <w:rStyle w:val="21"/>
                <w:rFonts w:hint="eastAsia" w:ascii="仿宋" w:hAnsi="仿宋" w:eastAsia="仿宋" w:cs="仿宋"/>
                <w:b w:val="0"/>
                <w:bCs/>
                <w:color w:val="auto"/>
                <w:sz w:val="24"/>
                <w:szCs w:val="24"/>
              </w:rPr>
              <w:t>自动校验：①“主诊医生”</w:t>
            </w:r>
            <w:r>
              <w:rPr>
                <w:rFonts w:hint="eastAsia" w:ascii="仿宋" w:hAnsi="仿宋" w:eastAsia="仿宋" w:cs="仿宋"/>
                <w:sz w:val="24"/>
                <w:szCs w:val="24"/>
                <w:lang w:val="en-US" w:eastAsia="zh-CN"/>
              </w:rPr>
              <w:t>需</w:t>
            </w:r>
            <w:r>
              <w:rPr>
                <w:rStyle w:val="21"/>
                <w:rFonts w:hint="eastAsia" w:ascii="仿宋" w:hAnsi="仿宋" w:eastAsia="仿宋" w:cs="仿宋"/>
                <w:b w:val="0"/>
                <w:bCs/>
                <w:color w:val="auto"/>
                <w:sz w:val="24"/>
                <w:szCs w:val="24"/>
              </w:rPr>
              <w:t>为当前有效医疗组组长；②“主治医生”</w:t>
            </w:r>
            <w:r>
              <w:rPr>
                <w:rFonts w:hint="eastAsia" w:ascii="仿宋" w:hAnsi="仿宋" w:eastAsia="仿宋" w:cs="仿宋"/>
                <w:sz w:val="24"/>
                <w:szCs w:val="24"/>
                <w:lang w:val="en-US" w:eastAsia="zh-CN"/>
              </w:rPr>
              <w:t>需</w:t>
            </w:r>
            <w:r>
              <w:rPr>
                <w:rStyle w:val="21"/>
                <w:rFonts w:hint="eastAsia" w:ascii="仿宋" w:hAnsi="仿宋" w:eastAsia="仿宋" w:cs="仿宋"/>
                <w:b w:val="0"/>
                <w:bCs/>
                <w:color w:val="auto"/>
                <w:sz w:val="24"/>
                <w:szCs w:val="24"/>
              </w:rPr>
              <w:t>对应一级医生；③“住院医生”</w:t>
            </w:r>
            <w:r>
              <w:rPr>
                <w:rFonts w:hint="eastAsia" w:ascii="仿宋" w:hAnsi="仿宋" w:eastAsia="仿宋" w:cs="仿宋"/>
                <w:sz w:val="24"/>
                <w:szCs w:val="24"/>
                <w:lang w:val="en-US" w:eastAsia="zh-CN"/>
              </w:rPr>
              <w:t>需</w:t>
            </w:r>
            <w:r>
              <w:rPr>
                <w:rStyle w:val="21"/>
                <w:rFonts w:hint="eastAsia" w:ascii="仿宋" w:hAnsi="仿宋" w:eastAsia="仿宋" w:cs="仿宋"/>
                <w:b w:val="0"/>
                <w:bCs/>
                <w:color w:val="auto"/>
                <w:sz w:val="24"/>
                <w:szCs w:val="24"/>
              </w:rPr>
              <w:t>对应二级医生；校验不通过时阻塞保存并返回明确错误提示。</w:t>
            </w:r>
          </w:p>
        </w:tc>
      </w:tr>
    </w:tbl>
    <w:p w14:paraId="147A51C3">
      <w:pPr>
        <w:pStyle w:val="16"/>
        <w:numPr>
          <w:ilvl w:val="0"/>
          <w:numId w:val="0"/>
        </w:numPr>
        <w:ind w:firstLine="0" w:firstLineChars="0"/>
        <w:rPr>
          <w:rFonts w:ascii="Times New Roman" w:hAnsi="Times New Roman" w:eastAsia="仿宋" w:cs="Times New Roman"/>
          <w:sz w:val="24"/>
          <w:szCs w:val="24"/>
        </w:rPr>
      </w:pPr>
      <w:r>
        <w:rPr>
          <w:rFonts w:hint="eastAsia" w:ascii="仿宋" w:hAnsi="仿宋" w:eastAsia="仿宋" w:cs="仿宋"/>
          <w:color w:val="auto"/>
          <w:sz w:val="24"/>
          <w:szCs w:val="24"/>
        </w:rPr>
        <w:t>★</w:t>
      </w: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三</w:t>
      </w: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服务要求</w:t>
      </w:r>
      <w:r>
        <w:rPr>
          <w:rFonts w:ascii="Times New Roman" w:hAnsi="Times New Roman" w:eastAsia="仿宋" w:cs="Times New Roman"/>
          <w:sz w:val="24"/>
          <w:szCs w:val="24"/>
        </w:rPr>
        <w:cr/>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40"/>
        <w:gridCol w:w="1794"/>
        <w:gridCol w:w="6461"/>
        <w:gridCol w:w="1519"/>
      </w:tblGrid>
      <w:tr w14:paraId="7FF87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shd w:val="clear" w:color="auto" w:fill="auto"/>
            <w:tcMar>
              <w:top w:w="0" w:type="dxa"/>
              <w:left w:w="105" w:type="dxa"/>
              <w:bottom w:w="0" w:type="dxa"/>
              <w:right w:w="105" w:type="dxa"/>
            </w:tcMar>
            <w:vAlign w:val="top"/>
          </w:tcPr>
          <w:p w14:paraId="09E085FB">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lang w:val="en-US" w:eastAsia="zh-CN"/>
              </w:rPr>
            </w:pPr>
            <w:r>
              <w:rPr>
                <w:rStyle w:val="21"/>
                <w:rFonts w:hint="eastAsia" w:ascii="仿宋" w:hAnsi="仿宋" w:eastAsia="仿宋" w:cs="仿宋"/>
                <w:color w:val="auto"/>
                <w:sz w:val="24"/>
                <w:szCs w:val="24"/>
                <w:lang w:val="en-US" w:eastAsia="zh-CN"/>
              </w:rPr>
              <w:t>序号</w:t>
            </w:r>
          </w:p>
        </w:tc>
        <w:tc>
          <w:tcPr>
            <w:tcW w:w="1794" w:type="dxa"/>
            <w:shd w:val="clear" w:color="auto" w:fill="auto"/>
            <w:tcMar>
              <w:top w:w="0" w:type="dxa"/>
              <w:left w:w="105" w:type="dxa"/>
              <w:bottom w:w="0" w:type="dxa"/>
              <w:right w:w="105" w:type="dxa"/>
            </w:tcMar>
            <w:vAlign w:val="top"/>
          </w:tcPr>
          <w:p w14:paraId="7EB1905D">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服务类型</w:t>
            </w:r>
          </w:p>
        </w:tc>
        <w:tc>
          <w:tcPr>
            <w:tcW w:w="6461" w:type="dxa"/>
            <w:shd w:val="clear" w:color="auto" w:fill="auto"/>
            <w:tcMar>
              <w:top w:w="0" w:type="dxa"/>
              <w:left w:w="105" w:type="dxa"/>
              <w:bottom w:w="0" w:type="dxa"/>
              <w:right w:w="105" w:type="dxa"/>
            </w:tcMar>
            <w:vAlign w:val="top"/>
          </w:tcPr>
          <w:p w14:paraId="3DCC49DF">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服务内容</w:t>
            </w:r>
          </w:p>
        </w:tc>
        <w:tc>
          <w:tcPr>
            <w:tcW w:w="1519" w:type="dxa"/>
            <w:shd w:val="clear" w:color="auto" w:fill="auto"/>
            <w:tcMar>
              <w:top w:w="0" w:type="dxa"/>
              <w:left w:w="105" w:type="dxa"/>
              <w:bottom w:w="0" w:type="dxa"/>
              <w:right w:w="105" w:type="dxa"/>
            </w:tcMar>
            <w:vAlign w:val="top"/>
          </w:tcPr>
          <w:p w14:paraId="51192D18">
            <w:pPr>
              <w:pStyle w:val="14"/>
              <w:keepNext w:val="0"/>
              <w:keepLines w:val="0"/>
              <w:widowControl/>
              <w:suppressLineNumbers w:val="0"/>
              <w:spacing w:line="360" w:lineRule="auto"/>
              <w:jc w:val="center"/>
              <w:textAlignment w:val="center"/>
              <w:rPr>
                <w:rStyle w:val="21"/>
                <w:rFonts w:hint="eastAsia" w:ascii="仿宋" w:hAnsi="仿宋" w:eastAsia="仿宋" w:cs="仿宋"/>
                <w:color w:val="auto"/>
                <w:sz w:val="24"/>
                <w:szCs w:val="24"/>
              </w:rPr>
            </w:pPr>
            <w:r>
              <w:rPr>
                <w:rStyle w:val="21"/>
                <w:rFonts w:hint="eastAsia" w:ascii="仿宋" w:hAnsi="仿宋" w:eastAsia="仿宋" w:cs="仿宋"/>
                <w:color w:val="auto"/>
                <w:sz w:val="24"/>
                <w:szCs w:val="24"/>
              </w:rPr>
              <w:t>服务期</w:t>
            </w:r>
          </w:p>
        </w:tc>
      </w:tr>
      <w:tr w14:paraId="66851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40" w:type="dxa"/>
            <w:shd w:val="clear" w:color="auto" w:fill="auto"/>
            <w:tcMar>
              <w:top w:w="0" w:type="dxa"/>
              <w:left w:w="105" w:type="dxa"/>
              <w:bottom w:w="0" w:type="dxa"/>
              <w:right w:w="105" w:type="dxa"/>
            </w:tcMar>
            <w:vAlign w:val="center"/>
          </w:tcPr>
          <w:p w14:paraId="16569081">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w:t>
            </w:r>
          </w:p>
        </w:tc>
        <w:tc>
          <w:tcPr>
            <w:tcW w:w="1794" w:type="dxa"/>
            <w:shd w:val="clear" w:color="auto" w:fill="auto"/>
            <w:tcMar>
              <w:top w:w="0" w:type="dxa"/>
              <w:left w:w="105" w:type="dxa"/>
              <w:bottom w:w="0" w:type="dxa"/>
              <w:right w:w="105" w:type="dxa"/>
            </w:tcMar>
            <w:vAlign w:val="center"/>
          </w:tcPr>
          <w:p w14:paraId="766D5478">
            <w:pPr>
              <w:pStyle w:val="14"/>
              <w:keepNext w:val="0"/>
              <w:keepLines w:val="0"/>
              <w:widowControl/>
              <w:suppressLineNumbers w:val="0"/>
              <w:spacing w:line="360" w:lineRule="auto"/>
              <w:jc w:val="center"/>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基本服务</w:t>
            </w:r>
          </w:p>
        </w:tc>
        <w:tc>
          <w:tcPr>
            <w:tcW w:w="6461" w:type="dxa"/>
            <w:shd w:val="clear" w:color="auto" w:fill="auto"/>
            <w:tcMar>
              <w:top w:w="0" w:type="dxa"/>
              <w:left w:w="105" w:type="dxa"/>
              <w:bottom w:w="0" w:type="dxa"/>
              <w:right w:w="105" w:type="dxa"/>
            </w:tcMar>
            <w:vAlign w:val="top"/>
          </w:tcPr>
          <w:p w14:paraId="7B9959A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基本服务至少满足以下内容：</w:t>
            </w:r>
          </w:p>
          <w:p w14:paraId="2FC383A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1.稳定性：服务期内需保障业务稳定，不无故出现崩溃或宕机现象；</w:t>
            </w:r>
          </w:p>
          <w:p w14:paraId="5E9F85A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2.安全性：具备完善的安全防护机制，做好数据备份，在合同签订后15个工作日内提交《安全事件应急响应手册》，重大安全事件（</w:t>
            </w:r>
            <w:r>
              <w:rPr>
                <w:rFonts w:hint="eastAsia" w:ascii="仿宋" w:hAnsi="仿宋" w:eastAsia="仿宋" w:cs="仿宋"/>
                <w:sz w:val="24"/>
                <w:szCs w:val="24"/>
                <w:lang w:val="en-US" w:eastAsia="zh-CN"/>
              </w:rPr>
              <w:t>至少包括</w:t>
            </w:r>
            <w:r>
              <w:rPr>
                <w:rStyle w:val="21"/>
                <w:rFonts w:hint="eastAsia" w:ascii="仿宋" w:hAnsi="仿宋" w:eastAsia="仿宋" w:cs="仿宋"/>
                <w:b w:val="0"/>
                <w:bCs/>
                <w:color w:val="auto"/>
                <w:sz w:val="24"/>
                <w:szCs w:val="24"/>
              </w:rPr>
              <w:t>数据泄露、勒索病毒）30 分钟内电话通报、2小时内到场、4小时内出具初步处置报告；</w:t>
            </w:r>
          </w:p>
          <w:p w14:paraId="48BBF8A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3.数据质量：收到异议后，成交供应商应在5个工作日内对数据质量问题进行原因查找和反馈，30个工作日内对数据质量问题进行数据清洗；</w:t>
            </w:r>
          </w:p>
          <w:p w14:paraId="671C529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4.响应速度：服务期内，采购人通过电话、微信、现场提出的支持需求，供应商需在需求提出的当日完成响应；</w:t>
            </w:r>
          </w:p>
          <w:p w14:paraId="38E452D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5.定期巡检：服务期内每月提供至少1次软件服务期巡检报告；</w:t>
            </w:r>
          </w:p>
          <w:p w14:paraId="1EABCA8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6.培训服务：每年提供≥2次培训服务，并提交培训方案和签到表；</w:t>
            </w:r>
          </w:p>
          <w:p w14:paraId="73F49FE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7.文档服务：上线运行之日提交本次采购内容的《四川省人民医院应用系统档案》。服务期满后需提交本次采购内容的运维记录签字扫描版本。</w:t>
            </w:r>
          </w:p>
          <w:p w14:paraId="270B0D2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8.人员服务：无</w:t>
            </w:r>
          </w:p>
          <w:p w14:paraId="18895F1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9、其他：</w:t>
            </w:r>
          </w:p>
          <w:p w14:paraId="2177222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1）为高质量数据集项目数据采集提供相关支持；</w:t>
            </w:r>
          </w:p>
          <w:p w14:paraId="7BD0E30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2）服务期内，采购人每月按照四川省人民医院供应商考核指标对供应商行为进行评价考核，考核结果关联最终付款金额和履约保证金（如有履约保证金）。</w:t>
            </w:r>
          </w:p>
          <w:p w14:paraId="174EBC8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3）</w:t>
            </w:r>
            <w:r>
              <w:rPr>
                <w:rStyle w:val="21"/>
                <w:rFonts w:hint="eastAsia" w:ascii="仿宋" w:hAnsi="仿宋" w:eastAsia="仿宋" w:cs="仿宋"/>
                <w:b w:val="0"/>
                <w:bCs/>
                <w:color w:val="auto"/>
                <w:sz w:val="24"/>
                <w:szCs w:val="24"/>
                <w:lang w:eastAsia="zh-CN"/>
              </w:rPr>
              <w:t>成交</w:t>
            </w:r>
            <w:r>
              <w:rPr>
                <w:rStyle w:val="21"/>
                <w:rFonts w:hint="eastAsia" w:ascii="仿宋" w:hAnsi="仿宋" w:eastAsia="仿宋" w:cs="仿宋"/>
                <w:b w:val="0"/>
                <w:bCs/>
                <w:color w:val="auto"/>
                <w:sz w:val="24"/>
                <w:szCs w:val="24"/>
              </w:rPr>
              <w:t>供应商应当与本项目相关的第三方保持有痕的沟通，明确项目的</w:t>
            </w:r>
            <w:r>
              <w:rPr>
                <w:rStyle w:val="21"/>
                <w:rFonts w:hint="eastAsia" w:ascii="仿宋" w:hAnsi="仿宋" w:eastAsia="仿宋" w:cs="仿宋"/>
                <w:b w:val="0"/>
                <w:bCs/>
                <w:color w:val="auto"/>
                <w:sz w:val="24"/>
                <w:szCs w:val="24"/>
                <w:lang w:val="en-US" w:eastAsia="zh-CN"/>
              </w:rPr>
              <w:t>至少包括</w:t>
            </w:r>
            <w:r>
              <w:rPr>
                <w:rStyle w:val="21"/>
                <w:rFonts w:hint="eastAsia" w:ascii="仿宋" w:hAnsi="仿宋" w:eastAsia="仿宋" w:cs="仿宋"/>
                <w:b w:val="0"/>
                <w:bCs/>
                <w:color w:val="auto"/>
                <w:sz w:val="24"/>
                <w:szCs w:val="24"/>
              </w:rPr>
              <w:t>具体要求和功能方面的细节。采购人负责组织、监督和验收，以确保项目的顺利完成。</w:t>
            </w:r>
          </w:p>
          <w:p w14:paraId="2FCA186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4）如涉及因本项目开发的系统原因造成采购人的经济损失，由</w:t>
            </w:r>
            <w:r>
              <w:rPr>
                <w:rStyle w:val="21"/>
                <w:rFonts w:hint="eastAsia" w:ascii="仿宋" w:hAnsi="仿宋" w:eastAsia="仿宋" w:cs="仿宋"/>
                <w:b w:val="0"/>
                <w:bCs/>
                <w:color w:val="auto"/>
                <w:sz w:val="24"/>
                <w:szCs w:val="24"/>
                <w:lang w:eastAsia="zh-CN"/>
              </w:rPr>
              <w:t>成交</w:t>
            </w:r>
            <w:r>
              <w:rPr>
                <w:rStyle w:val="21"/>
                <w:rFonts w:hint="eastAsia" w:ascii="仿宋" w:hAnsi="仿宋" w:eastAsia="仿宋" w:cs="仿宋"/>
                <w:b w:val="0"/>
                <w:bCs/>
                <w:color w:val="auto"/>
                <w:sz w:val="24"/>
                <w:szCs w:val="24"/>
              </w:rPr>
              <w:t>供应商负责向采购人进行赔偿。</w:t>
            </w:r>
          </w:p>
        </w:tc>
        <w:tc>
          <w:tcPr>
            <w:tcW w:w="1519" w:type="dxa"/>
            <w:vMerge w:val="restart"/>
            <w:shd w:val="clear" w:color="auto" w:fill="auto"/>
            <w:tcMar>
              <w:top w:w="0" w:type="dxa"/>
              <w:left w:w="105" w:type="dxa"/>
              <w:bottom w:w="0" w:type="dxa"/>
              <w:right w:w="105" w:type="dxa"/>
            </w:tcMar>
            <w:vAlign w:val="center"/>
          </w:tcPr>
          <w:p w14:paraId="3405768E">
            <w:pPr>
              <w:pStyle w:val="14"/>
              <w:keepNext w:val="0"/>
              <w:keepLines w:val="0"/>
              <w:widowControl/>
              <w:suppressLineNumbers w:val="0"/>
              <w:spacing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验收合格之日起，提供不低于3年</w:t>
            </w:r>
          </w:p>
        </w:tc>
      </w:tr>
      <w:tr w14:paraId="1BE2E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40" w:type="dxa"/>
            <w:shd w:val="clear" w:color="auto" w:fill="auto"/>
            <w:tcMar>
              <w:top w:w="0" w:type="dxa"/>
              <w:left w:w="105" w:type="dxa"/>
              <w:bottom w:w="0" w:type="dxa"/>
              <w:right w:w="105" w:type="dxa"/>
            </w:tcMar>
            <w:vAlign w:val="center"/>
          </w:tcPr>
          <w:p w14:paraId="76DD804C">
            <w:pPr>
              <w:pStyle w:val="14"/>
              <w:keepNext w:val="0"/>
              <w:keepLines w:val="0"/>
              <w:widowControl/>
              <w:suppressLineNumbers w:val="0"/>
              <w:spacing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2</w:t>
            </w:r>
          </w:p>
        </w:tc>
        <w:tc>
          <w:tcPr>
            <w:tcW w:w="1794" w:type="dxa"/>
            <w:shd w:val="clear" w:color="auto" w:fill="auto"/>
            <w:tcMar>
              <w:top w:w="0" w:type="dxa"/>
              <w:left w:w="105" w:type="dxa"/>
              <w:bottom w:w="0" w:type="dxa"/>
              <w:right w:w="105" w:type="dxa"/>
            </w:tcMar>
            <w:vAlign w:val="center"/>
          </w:tcPr>
          <w:p w14:paraId="3D7E2018">
            <w:pPr>
              <w:pStyle w:val="14"/>
              <w:keepNext w:val="0"/>
              <w:keepLines w:val="0"/>
              <w:widowControl/>
              <w:suppressLineNumbers w:val="0"/>
              <w:spacing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质保服务</w:t>
            </w:r>
          </w:p>
        </w:tc>
        <w:tc>
          <w:tcPr>
            <w:tcW w:w="6461" w:type="dxa"/>
            <w:shd w:val="clear" w:color="auto" w:fill="auto"/>
            <w:tcMar>
              <w:top w:w="0" w:type="dxa"/>
              <w:left w:w="105" w:type="dxa"/>
              <w:bottom w:w="0" w:type="dxa"/>
              <w:right w:w="105" w:type="dxa"/>
            </w:tcMar>
            <w:vAlign w:val="center"/>
          </w:tcPr>
          <w:p w14:paraId="0BD124AE">
            <w:pPr>
              <w:pStyle w:val="14"/>
              <w:keepNext w:val="0"/>
              <w:keepLines w:val="0"/>
              <w:widowControl/>
              <w:suppressLineNumbers w:val="0"/>
              <w:spacing w:line="360" w:lineRule="auto"/>
              <w:jc w:val="left"/>
              <w:textAlignment w:val="center"/>
              <w:rPr>
                <w:rStyle w:val="21"/>
                <w:rFonts w:hint="eastAsia" w:ascii="仿宋" w:hAnsi="仿宋" w:eastAsia="仿宋" w:cs="仿宋"/>
                <w:b w:val="0"/>
                <w:bCs/>
                <w:color w:val="auto"/>
                <w:sz w:val="24"/>
                <w:szCs w:val="24"/>
              </w:rPr>
            </w:pPr>
            <w:r>
              <w:rPr>
                <w:rStyle w:val="21"/>
                <w:rFonts w:hint="eastAsia" w:ascii="仿宋" w:hAnsi="仿宋" w:eastAsia="仿宋" w:cs="仿宋"/>
                <w:b w:val="0"/>
                <w:bCs/>
                <w:color w:val="auto"/>
                <w:sz w:val="24"/>
                <w:szCs w:val="24"/>
              </w:rPr>
              <w:t>保证软件功能正常运行。</w:t>
            </w:r>
          </w:p>
        </w:tc>
        <w:tc>
          <w:tcPr>
            <w:tcW w:w="1519" w:type="dxa"/>
            <w:vMerge w:val="continue"/>
            <w:shd w:val="clear" w:color="auto" w:fill="auto"/>
            <w:tcMar>
              <w:top w:w="0" w:type="dxa"/>
              <w:left w:w="105" w:type="dxa"/>
              <w:bottom w:w="0" w:type="dxa"/>
              <w:right w:w="105" w:type="dxa"/>
            </w:tcMar>
            <w:vAlign w:val="top"/>
          </w:tcPr>
          <w:p w14:paraId="25D467FA">
            <w:pPr>
              <w:pStyle w:val="14"/>
              <w:keepNext w:val="0"/>
              <w:keepLines w:val="0"/>
              <w:widowControl/>
              <w:suppressLineNumbers w:val="0"/>
              <w:spacing w:line="360" w:lineRule="auto"/>
              <w:jc w:val="left"/>
              <w:textAlignment w:val="center"/>
              <w:rPr>
                <w:rStyle w:val="21"/>
                <w:rFonts w:hint="eastAsia" w:ascii="仿宋" w:hAnsi="仿宋" w:eastAsia="仿宋" w:cs="仿宋"/>
                <w:b w:val="0"/>
                <w:bCs/>
                <w:color w:val="auto"/>
                <w:sz w:val="24"/>
                <w:szCs w:val="24"/>
              </w:rPr>
            </w:pPr>
          </w:p>
        </w:tc>
      </w:tr>
    </w:tbl>
    <w:p w14:paraId="78FBF029">
      <w:pPr>
        <w:spacing w:line="360" w:lineRule="auto"/>
        <w:rPr>
          <w:rFonts w:hint="eastAsia" w:ascii="仿宋" w:hAnsi="仿宋" w:eastAsia="仿宋" w:cs="仿宋"/>
          <w:sz w:val="24"/>
          <w:szCs w:val="24"/>
        </w:rPr>
      </w:pPr>
      <w:r>
        <w:rPr>
          <w:rFonts w:hint="eastAsia" w:ascii="仿宋" w:hAnsi="仿宋" w:eastAsia="仿宋" w:cs="仿宋"/>
          <w:color w:val="auto"/>
          <w:sz w:val="24"/>
          <w:szCs w:val="24"/>
        </w:rPr>
        <w:t>★</w:t>
      </w:r>
      <w:r>
        <w:rPr>
          <w:rFonts w:ascii="Times New Roman" w:hAnsi="Times New Roman" w:eastAsia="仿宋" w:cs="Times New Roman"/>
          <w:b/>
          <w:bCs/>
          <w:sz w:val="24"/>
          <w:szCs w:val="24"/>
        </w:rPr>
        <w:t>四、商务要求：</w:t>
      </w:r>
      <w:r>
        <w:rPr>
          <w:rFonts w:ascii="Times New Roman" w:hAnsi="Times New Roman" w:eastAsia="仿宋" w:cs="Times New Roman"/>
          <w:sz w:val="24"/>
          <w:szCs w:val="24"/>
        </w:rPr>
        <w:cr/>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一</w:t>
      </w:r>
      <w:r>
        <w:rPr>
          <w:rFonts w:hint="eastAsia" w:ascii="仿宋" w:hAnsi="仿宋" w:eastAsia="仿宋" w:cs="仿宋"/>
          <w:sz w:val="24"/>
          <w:szCs w:val="24"/>
          <w:lang w:eastAsia="zh-CN"/>
        </w:rPr>
        <w:t>）</w:t>
      </w:r>
      <w:r>
        <w:rPr>
          <w:rFonts w:hint="eastAsia" w:ascii="仿宋" w:hAnsi="仿宋" w:eastAsia="仿宋" w:cs="仿宋"/>
          <w:sz w:val="24"/>
          <w:szCs w:val="24"/>
        </w:rPr>
        <w:t>实施要求</w:t>
      </w:r>
    </w:p>
    <w:p w14:paraId="03F0022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 实施时间：本项目合同签订生效后，供应商应在 5 个工作日内开始实施；</w:t>
      </w:r>
    </w:p>
    <w:p w14:paraId="2007367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 实施周期：本项目开始实施之日起240日内，完成本项目包含的所有软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58D4513C">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 服务地点：本项目涉及四川省人民医院所有院区。</w:t>
      </w:r>
    </w:p>
    <w:p w14:paraId="074D4A05">
      <w:pPr>
        <w:spacing w:line="360" w:lineRule="auto"/>
        <w:rPr>
          <w:rFonts w:hint="eastAsia" w:ascii="仿宋" w:hAnsi="仿宋" w:eastAsia="仿宋" w:cs="仿宋"/>
          <w:sz w:val="24"/>
          <w:szCs w:val="24"/>
        </w:rPr>
      </w:pPr>
      <w:r>
        <w:rPr>
          <w:rFonts w:hint="eastAsia" w:ascii="仿宋" w:hAnsi="仿宋" w:eastAsia="仿宋" w:cs="仿宋"/>
          <w:sz w:val="24"/>
          <w:szCs w:val="24"/>
          <w:lang w:val="zh-CN" w:eastAsia="zh-CN"/>
        </w:rPr>
        <w:t>（</w:t>
      </w:r>
      <w:r>
        <w:rPr>
          <w:rFonts w:hint="eastAsia" w:ascii="仿宋" w:hAnsi="仿宋" w:eastAsia="仿宋" w:cs="仿宋"/>
          <w:sz w:val="24"/>
          <w:szCs w:val="24"/>
          <w:lang w:val="en-US" w:eastAsia="zh-CN"/>
        </w:rPr>
        <w:t>二</w:t>
      </w:r>
      <w:r>
        <w:rPr>
          <w:rFonts w:hint="eastAsia" w:ascii="仿宋" w:hAnsi="仿宋" w:eastAsia="仿宋" w:cs="仿宋"/>
          <w:sz w:val="24"/>
          <w:szCs w:val="24"/>
          <w:lang w:val="zh-CN" w:eastAsia="zh-CN"/>
        </w:rPr>
        <w:t>）</w:t>
      </w:r>
      <w:r>
        <w:rPr>
          <w:rFonts w:hint="eastAsia" w:ascii="仿宋" w:hAnsi="仿宋" w:eastAsia="仿宋" w:cs="仿宋"/>
          <w:sz w:val="24"/>
          <w:szCs w:val="24"/>
        </w:rPr>
        <w:t>付款方式</w:t>
      </w:r>
    </w:p>
    <w:p w14:paraId="3063EFE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第一次付款：合同签订生效且项目验收通过后，满足付款条件后5日内供应商向采购人提供合法有效票据及其他相关请款资料，采购人于接到上述票据及资料后的55日内，向供应商支付合同总价80%的金额。</w:t>
      </w:r>
    </w:p>
    <w:p w14:paraId="6AE069E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第二次付款：项目服务期结束后，满足付款条件后5日内供应商向采购人提供合法有效票据及其他相关请款资料，采购人于接到上述票据及资料后的55日内，向供应商支付合同总价20%的金额。</w:t>
      </w:r>
    </w:p>
    <w:p w14:paraId="7A814C62">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eastAsia="zh-CN"/>
        </w:rPr>
        <w:t>（</w:t>
      </w:r>
      <w:r>
        <w:rPr>
          <w:rFonts w:hint="eastAsia" w:ascii="仿宋" w:hAnsi="仿宋" w:eastAsia="仿宋" w:cs="仿宋"/>
          <w:sz w:val="24"/>
          <w:szCs w:val="24"/>
          <w:lang w:val="en-US" w:eastAsia="zh-CN"/>
        </w:rPr>
        <w:t>三</w:t>
      </w:r>
      <w:r>
        <w:rPr>
          <w:rFonts w:hint="eastAsia" w:ascii="仿宋" w:hAnsi="仿宋" w:eastAsia="仿宋" w:cs="仿宋"/>
          <w:sz w:val="24"/>
          <w:szCs w:val="24"/>
          <w:lang w:val="zh-CN" w:eastAsia="zh-CN"/>
        </w:rPr>
        <w:t>）</w:t>
      </w:r>
      <w:r>
        <w:rPr>
          <w:rFonts w:hint="eastAsia" w:ascii="仿宋" w:hAnsi="仿宋" w:eastAsia="仿宋" w:cs="仿宋"/>
          <w:sz w:val="24"/>
          <w:szCs w:val="24"/>
        </w:rPr>
        <w:t>知识产权</w:t>
      </w:r>
      <w:r>
        <w:rPr>
          <w:rFonts w:hint="eastAsia" w:ascii="仿宋" w:hAnsi="仿宋" w:eastAsia="仿宋" w:cs="仿宋"/>
          <w:sz w:val="24"/>
          <w:szCs w:val="24"/>
          <w:lang w:val="en-US" w:eastAsia="zh-CN"/>
        </w:rPr>
        <w:t>归属</w:t>
      </w:r>
    </w:p>
    <w:p w14:paraId="2E1B63F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由采购人、供应商双方共同开发的项目：采购人、供应商双方共同研发的该系统软件产品，知识产权归采购人、供应商双方共同拥有，软件所有数据归采购人所有。</w:t>
      </w:r>
    </w:p>
    <w:p w14:paraId="4F834F3E">
      <w:pPr>
        <w:pStyle w:val="16"/>
        <w:numPr>
          <w:ilvl w:val="0"/>
          <w:numId w:val="0"/>
        </w:numPr>
        <w:ind w:firstLine="0" w:firstLineChars="0"/>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四</w:t>
      </w:r>
      <w:r>
        <w:rPr>
          <w:rFonts w:hint="eastAsia" w:ascii="Times New Roman" w:hAnsi="Times New Roman" w:eastAsia="仿宋" w:cs="Times New Roman"/>
          <w:sz w:val="24"/>
          <w:szCs w:val="24"/>
          <w:lang w:eastAsia="zh-CN"/>
        </w:rPr>
        <w:t>）履约验收方案</w:t>
      </w:r>
    </w:p>
    <w:p w14:paraId="73E7B76C">
      <w:pPr>
        <w:pStyle w:val="16"/>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1.验收主体:采购人</w:t>
      </w:r>
    </w:p>
    <w:p w14:paraId="04C83F7E">
      <w:pPr>
        <w:pStyle w:val="16"/>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2.验收组织方式:自行验收</w:t>
      </w:r>
    </w:p>
    <w:p w14:paraId="30C52C8E">
      <w:pPr>
        <w:pStyle w:val="16"/>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3.验收程序:一次性验收</w:t>
      </w:r>
    </w:p>
    <w:p w14:paraId="09075411">
      <w:pPr>
        <w:pStyle w:val="16"/>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sz w:val="24"/>
          <w:szCs w:val="24"/>
          <w:lang w:val="en-US"/>
        </w:rPr>
      </w:pPr>
      <w:r>
        <w:rPr>
          <w:rFonts w:hint="eastAsia" w:ascii="仿宋" w:hAnsi="仿宋" w:eastAsia="仿宋" w:cs="仿宋"/>
          <w:b w:val="0"/>
          <w:sz w:val="24"/>
          <w:szCs w:val="24"/>
          <w:vertAlign w:val="baseline"/>
          <w:lang w:val="en-US" w:eastAsia="zh-CN"/>
        </w:rPr>
        <w:t>4.验收方式:现场整体验收</w:t>
      </w:r>
    </w:p>
    <w:p w14:paraId="7930BEDA">
      <w:pPr>
        <w:pStyle w:val="16"/>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5.履约验收内容:按照基于本项目采购需求编制的采购文件要求及供应商响应文件情况，由供应商向采购人提供的全部服务。</w:t>
      </w:r>
    </w:p>
    <w:p w14:paraId="751DA128">
      <w:pPr>
        <w:pStyle w:val="16"/>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6.履约验收时间:合同签订生效且软件完全部署上线，符合验收条件后5日内供应商通知采购人验收，采购人接到供应商通知后10日内组织验收。</w:t>
      </w:r>
    </w:p>
    <w:p w14:paraId="5E16B79D">
      <w:pPr>
        <w:pStyle w:val="16"/>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7.是否邀请本项目的其他供应商:否</w:t>
      </w:r>
    </w:p>
    <w:p w14:paraId="4584E809">
      <w:pPr>
        <w:pStyle w:val="16"/>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8.是否邀请服务对象：否</w:t>
      </w:r>
    </w:p>
    <w:p w14:paraId="7D1B5DE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9.是否邀请专家：否</w:t>
      </w:r>
    </w:p>
    <w:p w14:paraId="655040A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10.是否邀请第三方检测机构：否</w:t>
      </w:r>
    </w:p>
    <w:p w14:paraId="1195C670">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11验收标准</w:t>
      </w:r>
    </w:p>
    <w:p w14:paraId="4A98CB1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1）国家相关法律法规、行业标准、技术规范</w:t>
      </w:r>
    </w:p>
    <w:p w14:paraId="31E6A3E6">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2）基于本项目采购需求编制的采购文件相关技术、服务要求、供应商响应文件相关响应内容。</w:t>
      </w:r>
    </w:p>
    <w:p w14:paraId="77F264B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3）产品生产厂家出具的产品说明书、技术白皮书等官方技术资料（如涉及）。</w:t>
      </w:r>
    </w:p>
    <w:p w14:paraId="0179D04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4）如验收时，采购人与供应商认为本项目验收标准中的技术指标、质量要求等内容存在相互抵触或对其理解存在异议，应按照其中更严格的要求、标准等进行验收。</w:t>
      </w:r>
    </w:p>
    <w:p w14:paraId="0A744100">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5）按照《财政部关于进一步加强政府采购需求和履约验收管理的指导意见》（财库〔2016〕205号）的要求进行验收。（如本项目不涉及政府采购，将参照此条款）。</w:t>
      </w:r>
    </w:p>
    <w:p w14:paraId="5F9BF384">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6）如本项目验收方式为考核验收，则考核结果须为合格。</w:t>
      </w:r>
    </w:p>
    <w:p w14:paraId="33566EB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7）其它标准：无。</w:t>
      </w:r>
    </w:p>
    <w:p w14:paraId="1BE18B7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12.履约验收其它事项：无。</w:t>
      </w:r>
    </w:p>
    <w:p w14:paraId="7BDEEDE9">
      <w:pPr>
        <w:pStyle w:val="2"/>
        <w:spacing w:line="360" w:lineRule="auto"/>
        <w:ind w:firstLine="240" w:firstLineChars="100"/>
        <w:rPr>
          <w:rFonts w:hint="default"/>
          <w:lang w:val="en-US" w:eastAsia="zh-CN"/>
        </w:rPr>
      </w:pPr>
      <w:r>
        <w:rPr>
          <w:rFonts w:hint="eastAsia" w:ascii="仿宋" w:hAnsi="仿宋" w:eastAsia="仿宋" w:cs="仿宋"/>
          <w:b w:val="0"/>
          <w:sz w:val="24"/>
          <w:szCs w:val="24"/>
          <w:vertAlign w:val="baseline"/>
          <w:lang w:val="en-US" w:eastAsia="zh-CN"/>
        </w:rPr>
        <w:t>（五）供应商考核内容详见附件1:《供应商考核表》</w:t>
      </w:r>
    </w:p>
    <w:p w14:paraId="44576BBE">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b/>
          <w:bCs/>
        </w:rPr>
      </w:pPr>
      <w:r>
        <w:rPr>
          <w:rFonts w:hint="eastAsia" w:ascii="Times New Roman" w:hAnsi="Times New Roman" w:eastAsia="仿宋" w:cs="Times New Roman"/>
          <w:b/>
          <w:bCs/>
          <w:sz w:val="24"/>
          <w:szCs w:val="24"/>
          <w:lang w:val="en-US" w:eastAsia="zh-CN"/>
        </w:rPr>
        <w:t>五、履约要求</w:t>
      </w:r>
    </w:p>
    <w:p w14:paraId="0392DD0D">
      <w:pPr>
        <w:pStyle w:val="2"/>
        <w:spacing w:line="360" w:lineRule="auto"/>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一）项目实施方案：1、供应商具有项目技术方案，至少包括（1）项目需求分析；（2）系统架构设计方案；（3）系统对接方案。2、供应商具有系统实施方案，至少包括（1）项目进度计划；（2）质量保障措施；（3）系统故障、应急处理方案；（4）测试验收方案。3、供应商具有售后服务方案，至少包括（1）售后服务体系；（2）售后服务人员安排及联系方式；（3）售后响应时间及措施；（4）人员培训方案。</w:t>
      </w:r>
    </w:p>
    <w:p w14:paraId="36C0F213">
      <w:pPr>
        <w:pStyle w:val="16"/>
        <w:ind w:firstLine="480" w:firstLineChars="200"/>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（二）业绩：供应商提供2023年1月1日（含）以来类似行风智能管理系统类项目的业绩证明。注：提供成交通知书或采购合同关键页（合同首页、建设内容、金额、签字盖章页）材料复印件，并加盖供应商鲜章。</w:t>
      </w:r>
    </w:p>
    <w:p w14:paraId="31FFE0F8">
      <w:pPr>
        <w:rPr>
          <w:rFonts w:ascii="Times New Roman" w:hAnsi="Times New Roman" w:eastAsia="仿宋" w:cs="Times New Roman"/>
          <w:sz w:val="24"/>
          <w:szCs w:val="24"/>
        </w:rPr>
      </w:pPr>
      <w:r>
        <w:rPr>
          <w:rFonts w:ascii="Times New Roman" w:hAnsi="Times New Roman" w:eastAsia="仿宋" w:cs="Times New Roman"/>
          <w:sz w:val="24"/>
          <w:szCs w:val="24"/>
        </w:rPr>
        <w:br w:type="page"/>
      </w:r>
    </w:p>
    <w:p w14:paraId="7FB50E5B">
      <w:pPr>
        <w:pStyle w:val="14"/>
        <w:keepNext w:val="0"/>
        <w:keepLines w:val="0"/>
        <w:widowControl/>
        <w:suppressLineNumbers w:val="0"/>
        <w:spacing w:line="360" w:lineRule="auto"/>
        <w:rPr>
          <w:rFonts w:hint="eastAsia" w:ascii="仿宋" w:hAnsi="仿宋" w:eastAsia="仿宋" w:cs="仿宋"/>
          <w:b w:val="0"/>
          <w:bCs/>
          <w:sz w:val="24"/>
          <w:szCs w:val="24"/>
          <w:lang w:val="en-US" w:eastAsia="zh-CN"/>
        </w:rPr>
      </w:pPr>
      <w:r>
        <w:rPr>
          <w:rStyle w:val="21"/>
          <w:rFonts w:hint="eastAsia" w:ascii="仿宋" w:hAnsi="仿宋" w:eastAsia="仿宋" w:cs="仿宋"/>
          <w:b w:val="0"/>
          <w:bCs/>
          <w:kern w:val="2"/>
          <w:sz w:val="24"/>
          <w:szCs w:val="24"/>
          <w:lang w:val="en-US" w:eastAsia="zh-CN"/>
        </w:rPr>
        <w:t>附件1：</w:t>
      </w:r>
      <w:r>
        <w:rPr>
          <w:rStyle w:val="21"/>
          <w:rFonts w:hint="eastAsia" w:ascii="仿宋" w:hAnsi="仿宋" w:eastAsia="仿宋" w:cs="仿宋"/>
          <w:b w:val="0"/>
          <w:bCs/>
          <w:kern w:val="2"/>
          <w:sz w:val="24"/>
          <w:szCs w:val="24"/>
        </w:rPr>
        <w:t>供应商考核</w:t>
      </w:r>
      <w:r>
        <w:rPr>
          <w:rStyle w:val="21"/>
          <w:rFonts w:hint="eastAsia" w:ascii="仿宋" w:hAnsi="仿宋" w:eastAsia="仿宋" w:cs="仿宋"/>
          <w:b w:val="0"/>
          <w:bCs/>
          <w:kern w:val="2"/>
          <w:sz w:val="24"/>
          <w:szCs w:val="24"/>
          <w:lang w:val="en-US" w:eastAsia="zh-CN"/>
        </w:rPr>
        <w:t>表</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336"/>
        <w:gridCol w:w="1647"/>
        <w:gridCol w:w="1830"/>
        <w:gridCol w:w="1446"/>
        <w:gridCol w:w="3331"/>
        <w:gridCol w:w="824"/>
      </w:tblGrid>
      <w:tr w14:paraId="71602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8520" w:type="dxa"/>
            <w:gridSpan w:val="6"/>
            <w:tcBorders>
              <w:top w:val="single" w:color="auto" w:sz="4" w:space="0"/>
              <w:left w:val="single" w:color="auto" w:sz="4" w:space="0"/>
              <w:bottom w:val="single" w:color="auto" w:sz="4" w:space="0"/>
              <w:right w:val="single" w:color="auto" w:sz="4" w:space="0"/>
            </w:tcBorders>
            <w:shd w:val="clear" w:color="auto" w:fill="DBE3F4"/>
            <w:tcMar>
              <w:top w:w="0" w:type="dxa"/>
              <w:left w:w="105" w:type="dxa"/>
              <w:bottom w:w="0" w:type="dxa"/>
              <w:right w:w="105" w:type="dxa"/>
            </w:tcMar>
            <w:vAlign w:val="top"/>
          </w:tcPr>
          <w:p w14:paraId="03A8F871">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24"/>
                <w:szCs w:val="24"/>
              </w:rPr>
              <w:t>四川省人民医院供应商考核</w:t>
            </w:r>
          </w:p>
        </w:tc>
      </w:tr>
      <w:tr w14:paraId="0C83E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DBE3F4"/>
            <w:tcMar>
              <w:top w:w="0" w:type="dxa"/>
              <w:left w:w="105" w:type="dxa"/>
              <w:bottom w:w="0" w:type="dxa"/>
              <w:right w:w="105" w:type="dxa"/>
            </w:tcMar>
            <w:vAlign w:val="center"/>
          </w:tcPr>
          <w:p w14:paraId="553A45C2">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850" w:type="dxa"/>
            <w:gridSpan w:val="2"/>
            <w:tcBorders>
              <w:top w:val="single" w:color="auto" w:sz="4" w:space="0"/>
              <w:left w:val="single" w:color="auto" w:sz="4" w:space="0"/>
              <w:bottom w:val="single" w:color="auto" w:sz="4" w:space="0"/>
              <w:right w:val="single" w:color="auto" w:sz="4" w:space="0"/>
            </w:tcBorders>
            <w:shd w:val="clear" w:color="auto" w:fill="DBE3F4"/>
            <w:tcMar>
              <w:top w:w="0" w:type="dxa"/>
              <w:left w:w="105" w:type="dxa"/>
              <w:bottom w:w="0" w:type="dxa"/>
              <w:right w:w="105" w:type="dxa"/>
            </w:tcMar>
            <w:vAlign w:val="center"/>
          </w:tcPr>
          <w:p w14:paraId="36389A2E">
            <w:pPr>
              <w:keepNext w:val="0"/>
              <w:keepLines w:val="0"/>
              <w:widowControl/>
              <w:suppressLineNumbers w:val="0"/>
              <w:jc w:val="left"/>
              <w:rPr>
                <w:rFonts w:hint="eastAsia" w:ascii="仿宋" w:hAnsi="仿宋" w:eastAsia="仿宋" w:cs="仿宋"/>
                <w:sz w:val="24"/>
                <w:szCs w:val="24"/>
              </w:rPr>
            </w:pPr>
          </w:p>
        </w:tc>
        <w:tc>
          <w:tcPr>
            <w:tcW w:w="1185" w:type="dxa"/>
            <w:tcBorders>
              <w:top w:val="single" w:color="auto" w:sz="4" w:space="0"/>
              <w:left w:val="single" w:color="auto" w:sz="4" w:space="0"/>
              <w:bottom w:val="single" w:color="auto" w:sz="4" w:space="0"/>
              <w:right w:val="single" w:color="auto" w:sz="4" w:space="0"/>
            </w:tcBorders>
            <w:shd w:val="clear" w:color="auto" w:fill="DBE3F4"/>
            <w:tcMar>
              <w:top w:w="0" w:type="dxa"/>
              <w:left w:w="105" w:type="dxa"/>
              <w:bottom w:w="0" w:type="dxa"/>
              <w:right w:w="105" w:type="dxa"/>
            </w:tcMar>
            <w:vAlign w:val="center"/>
          </w:tcPr>
          <w:p w14:paraId="5E618B3D">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合同名</w:t>
            </w:r>
          </w:p>
        </w:tc>
        <w:tc>
          <w:tcPr>
            <w:tcW w:w="3390" w:type="dxa"/>
            <w:gridSpan w:val="2"/>
            <w:tcBorders>
              <w:top w:val="single" w:color="auto" w:sz="4" w:space="0"/>
              <w:left w:val="single" w:color="auto" w:sz="4" w:space="0"/>
              <w:bottom w:val="single" w:color="auto" w:sz="4" w:space="0"/>
              <w:right w:val="single" w:color="auto" w:sz="4" w:space="0"/>
            </w:tcBorders>
            <w:shd w:val="clear" w:color="auto" w:fill="DBE3F4"/>
            <w:tcMar>
              <w:top w:w="0" w:type="dxa"/>
              <w:left w:w="105" w:type="dxa"/>
              <w:bottom w:w="0" w:type="dxa"/>
              <w:right w:w="105" w:type="dxa"/>
            </w:tcMar>
            <w:vAlign w:val="top"/>
          </w:tcPr>
          <w:p w14:paraId="3DFBA6EE">
            <w:pPr>
              <w:keepNext w:val="0"/>
              <w:keepLines w:val="0"/>
              <w:widowControl/>
              <w:suppressLineNumbers w:val="0"/>
              <w:jc w:val="left"/>
              <w:rPr>
                <w:rFonts w:hint="eastAsia" w:ascii="仿宋" w:hAnsi="仿宋" w:eastAsia="仿宋" w:cs="仿宋"/>
                <w:sz w:val="24"/>
                <w:szCs w:val="24"/>
              </w:rPr>
            </w:pPr>
          </w:p>
        </w:tc>
      </w:tr>
      <w:tr w14:paraId="4D5CB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DBE3F4"/>
            <w:tcMar>
              <w:top w:w="0" w:type="dxa"/>
              <w:left w:w="105" w:type="dxa"/>
              <w:bottom w:w="0" w:type="dxa"/>
              <w:right w:w="105" w:type="dxa"/>
            </w:tcMar>
            <w:vAlign w:val="center"/>
          </w:tcPr>
          <w:p w14:paraId="33B59E26">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350" w:type="dxa"/>
            <w:tcBorders>
              <w:top w:val="single" w:color="auto" w:sz="4" w:space="0"/>
              <w:left w:val="single" w:color="auto" w:sz="4" w:space="0"/>
              <w:bottom w:val="single" w:color="auto" w:sz="4" w:space="0"/>
              <w:right w:val="single" w:color="auto" w:sz="4" w:space="0"/>
            </w:tcBorders>
            <w:shd w:val="clear" w:color="auto" w:fill="DBE3F4"/>
            <w:tcMar>
              <w:top w:w="0" w:type="dxa"/>
              <w:left w:w="105" w:type="dxa"/>
              <w:bottom w:w="0" w:type="dxa"/>
              <w:right w:w="105" w:type="dxa"/>
            </w:tcMar>
            <w:vAlign w:val="center"/>
          </w:tcPr>
          <w:p w14:paraId="0B3A1F3E">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w:t>
            </w:r>
          </w:p>
        </w:tc>
        <w:tc>
          <w:tcPr>
            <w:tcW w:w="5415" w:type="dxa"/>
            <w:gridSpan w:val="3"/>
            <w:tcBorders>
              <w:top w:val="single" w:color="auto" w:sz="4" w:space="0"/>
              <w:left w:val="single" w:color="auto" w:sz="4" w:space="0"/>
              <w:bottom w:val="single" w:color="auto" w:sz="4" w:space="0"/>
              <w:right w:val="single" w:color="auto" w:sz="4" w:space="0"/>
            </w:tcBorders>
            <w:shd w:val="clear" w:color="auto" w:fill="DBE3F4"/>
            <w:tcMar>
              <w:top w:w="0" w:type="dxa"/>
              <w:left w:w="105" w:type="dxa"/>
              <w:bottom w:w="0" w:type="dxa"/>
              <w:right w:w="105" w:type="dxa"/>
            </w:tcMar>
            <w:vAlign w:val="center"/>
          </w:tcPr>
          <w:p w14:paraId="20C24A0A">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675" w:type="dxa"/>
            <w:tcBorders>
              <w:top w:val="single" w:color="auto" w:sz="4" w:space="0"/>
              <w:left w:val="single" w:color="auto" w:sz="4" w:space="0"/>
              <w:bottom w:val="single" w:color="auto" w:sz="4" w:space="0"/>
              <w:right w:val="single" w:color="auto" w:sz="4" w:space="0"/>
            </w:tcBorders>
            <w:shd w:val="clear" w:color="auto" w:fill="DBE3F4"/>
            <w:tcMar>
              <w:top w:w="0" w:type="dxa"/>
              <w:left w:w="105" w:type="dxa"/>
              <w:bottom w:w="0" w:type="dxa"/>
              <w:right w:w="105" w:type="dxa"/>
            </w:tcMar>
            <w:vAlign w:val="center"/>
          </w:tcPr>
          <w:p w14:paraId="3E8B7361">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扣分</w:t>
            </w:r>
          </w:p>
        </w:tc>
      </w:tr>
      <w:tr w14:paraId="3AACC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895B7C">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性能质</w:t>
            </w:r>
          </w:p>
          <w:p w14:paraId="40F6CE7D">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量评价</w:t>
            </w:r>
          </w:p>
          <w:p w14:paraId="17FC8807">
            <w:pPr>
              <w:pStyle w:val="14"/>
              <w:keepNext w:val="0"/>
              <w:keepLines w:val="0"/>
              <w:widowControl/>
              <w:suppressLineNumbers w:val="0"/>
              <w:spacing w:after="195" w:afterAutospacing="0"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 </w:t>
            </w:r>
          </w:p>
        </w:tc>
        <w:tc>
          <w:tcPr>
            <w:tcW w:w="13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B7186B9">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稳定性</w:t>
            </w:r>
          </w:p>
        </w:tc>
        <w:tc>
          <w:tcPr>
            <w:tcW w:w="5415" w:type="dxa"/>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3A75B2D">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5BE54CA">
            <w:pPr>
              <w:keepNext w:val="0"/>
              <w:keepLines w:val="0"/>
              <w:widowControl/>
              <w:suppressLineNumbers w:val="0"/>
              <w:jc w:val="left"/>
              <w:rPr>
                <w:rFonts w:hint="eastAsia" w:ascii="仿宋" w:hAnsi="仿宋" w:eastAsia="仿宋" w:cs="仿宋"/>
                <w:sz w:val="24"/>
                <w:szCs w:val="24"/>
              </w:rPr>
            </w:pPr>
          </w:p>
        </w:tc>
      </w:tr>
      <w:tr w14:paraId="3A894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6820CF6">
            <w:pPr>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18F7F5D">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安全性</w:t>
            </w:r>
          </w:p>
        </w:tc>
        <w:tc>
          <w:tcPr>
            <w:tcW w:w="5415" w:type="dxa"/>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F417E38">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07D5DF63">
            <w:pPr>
              <w:keepNext w:val="0"/>
              <w:keepLines w:val="0"/>
              <w:widowControl/>
              <w:suppressLineNumbers w:val="0"/>
              <w:jc w:val="left"/>
              <w:rPr>
                <w:rFonts w:hint="eastAsia" w:ascii="仿宋" w:hAnsi="仿宋" w:eastAsia="仿宋" w:cs="仿宋"/>
                <w:sz w:val="24"/>
                <w:szCs w:val="24"/>
              </w:rPr>
            </w:pPr>
          </w:p>
        </w:tc>
      </w:tr>
      <w:tr w14:paraId="0899A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D98ABE1">
            <w:pPr>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0D3447">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用户满意度</w:t>
            </w:r>
          </w:p>
        </w:tc>
        <w:tc>
          <w:tcPr>
            <w:tcW w:w="5415" w:type="dxa"/>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3279F0D">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DE102A9">
            <w:pPr>
              <w:keepNext w:val="0"/>
              <w:keepLines w:val="0"/>
              <w:widowControl/>
              <w:suppressLineNumbers w:val="0"/>
              <w:jc w:val="left"/>
              <w:rPr>
                <w:rFonts w:hint="eastAsia" w:ascii="仿宋" w:hAnsi="仿宋" w:eastAsia="仿宋" w:cs="仿宋"/>
                <w:sz w:val="24"/>
                <w:szCs w:val="24"/>
              </w:rPr>
            </w:pPr>
          </w:p>
        </w:tc>
      </w:tr>
      <w:tr w14:paraId="25C75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trPr>
        <w:tc>
          <w:tcPr>
            <w:tcW w:w="1095"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11D6843">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使用支</w:t>
            </w:r>
          </w:p>
          <w:p w14:paraId="5B658D29">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持评价</w:t>
            </w:r>
          </w:p>
        </w:tc>
        <w:tc>
          <w:tcPr>
            <w:tcW w:w="13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FACF114">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考勤</w:t>
            </w:r>
          </w:p>
        </w:tc>
        <w:tc>
          <w:tcPr>
            <w:tcW w:w="5415" w:type="dxa"/>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05C88DD">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53B60BA">
            <w:pPr>
              <w:keepNext w:val="0"/>
              <w:keepLines w:val="0"/>
              <w:widowControl/>
              <w:suppressLineNumbers w:val="0"/>
              <w:jc w:val="left"/>
              <w:rPr>
                <w:rFonts w:hint="eastAsia" w:ascii="仿宋" w:hAnsi="仿宋" w:eastAsia="仿宋" w:cs="仿宋"/>
                <w:sz w:val="24"/>
                <w:szCs w:val="24"/>
              </w:rPr>
            </w:pPr>
          </w:p>
        </w:tc>
      </w:tr>
      <w:tr w14:paraId="7326F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4143C3B">
            <w:pPr>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66AB42A">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响应速度</w:t>
            </w:r>
          </w:p>
        </w:tc>
        <w:tc>
          <w:tcPr>
            <w:tcW w:w="5415" w:type="dxa"/>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5BDDA48">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AD627C4">
            <w:pPr>
              <w:keepNext w:val="0"/>
              <w:keepLines w:val="0"/>
              <w:widowControl/>
              <w:suppressLineNumbers w:val="0"/>
              <w:jc w:val="left"/>
              <w:rPr>
                <w:rFonts w:hint="eastAsia" w:ascii="仿宋" w:hAnsi="仿宋" w:eastAsia="仿宋" w:cs="仿宋"/>
                <w:sz w:val="24"/>
                <w:szCs w:val="24"/>
              </w:rPr>
            </w:pPr>
          </w:p>
        </w:tc>
      </w:tr>
      <w:tr w14:paraId="1B228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26F510F">
            <w:pPr>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9501F15">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备件供应</w:t>
            </w:r>
          </w:p>
          <w:p w14:paraId="49269215">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sz w:val="24"/>
                <w:szCs w:val="24"/>
              </w:rPr>
              <w:t>（本项仅涉</w:t>
            </w:r>
          </w:p>
          <w:p w14:paraId="17B60F80">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sz w:val="24"/>
                <w:szCs w:val="24"/>
              </w:rPr>
              <w:t>及提供硬件</w:t>
            </w:r>
          </w:p>
          <w:p w14:paraId="784B4B09">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sz w:val="24"/>
                <w:szCs w:val="24"/>
              </w:rPr>
              <w:t>的供应商）</w:t>
            </w:r>
          </w:p>
        </w:tc>
        <w:tc>
          <w:tcPr>
            <w:tcW w:w="5415" w:type="dxa"/>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C36E0D2">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EA40538">
            <w:pPr>
              <w:keepNext w:val="0"/>
              <w:keepLines w:val="0"/>
              <w:widowControl/>
              <w:suppressLineNumbers w:val="0"/>
              <w:jc w:val="left"/>
              <w:rPr>
                <w:rFonts w:hint="eastAsia" w:ascii="仿宋" w:hAnsi="仿宋" w:eastAsia="仿宋" w:cs="仿宋"/>
                <w:sz w:val="24"/>
                <w:szCs w:val="24"/>
              </w:rPr>
            </w:pPr>
          </w:p>
        </w:tc>
      </w:tr>
      <w:tr w14:paraId="02B40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B6A8C10">
            <w:pPr>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E96BE11">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定期巡检</w:t>
            </w:r>
          </w:p>
        </w:tc>
        <w:tc>
          <w:tcPr>
            <w:tcW w:w="5415" w:type="dxa"/>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16F39C3">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7A904326">
            <w:pPr>
              <w:keepNext w:val="0"/>
              <w:keepLines w:val="0"/>
              <w:widowControl/>
              <w:suppressLineNumbers w:val="0"/>
              <w:jc w:val="left"/>
              <w:rPr>
                <w:rFonts w:hint="eastAsia" w:ascii="仿宋" w:hAnsi="仿宋" w:eastAsia="仿宋" w:cs="仿宋"/>
                <w:sz w:val="24"/>
                <w:szCs w:val="24"/>
              </w:rPr>
            </w:pPr>
          </w:p>
        </w:tc>
      </w:tr>
      <w:tr w14:paraId="436E8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0AE2241">
            <w:pPr>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66BD4BF">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培训服务</w:t>
            </w:r>
          </w:p>
        </w:tc>
        <w:tc>
          <w:tcPr>
            <w:tcW w:w="5415" w:type="dxa"/>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904CC06">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没有按要求派专业技术人员对医院相关人员进行包含但不限于使用操作、设备维修、保养的培训（不少于2次/年，并提供培训方案和培训签到表），缺少一次扣1分；</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41AB86A3">
            <w:pPr>
              <w:keepNext w:val="0"/>
              <w:keepLines w:val="0"/>
              <w:widowControl/>
              <w:suppressLineNumbers w:val="0"/>
              <w:jc w:val="left"/>
              <w:rPr>
                <w:rFonts w:hint="eastAsia" w:ascii="仿宋" w:hAnsi="仿宋" w:eastAsia="仿宋" w:cs="仿宋"/>
                <w:sz w:val="24"/>
                <w:szCs w:val="24"/>
              </w:rPr>
            </w:pPr>
          </w:p>
        </w:tc>
      </w:tr>
      <w:tr w14:paraId="67DB9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64ABD4D">
            <w:pPr>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EA8D94B">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技术文档</w:t>
            </w:r>
          </w:p>
        </w:tc>
        <w:tc>
          <w:tcPr>
            <w:tcW w:w="5415" w:type="dxa"/>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184711D">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未能在规定时间内按要求提交文档，包括但不限于操作手册、业务数据结构表、运维记录、巡检记录，缺少一项扣1分；</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top"/>
          </w:tcPr>
          <w:p w14:paraId="19A51122">
            <w:pPr>
              <w:keepNext w:val="0"/>
              <w:keepLines w:val="0"/>
              <w:widowControl/>
              <w:suppressLineNumbers w:val="0"/>
              <w:jc w:val="left"/>
              <w:rPr>
                <w:rFonts w:hint="eastAsia" w:ascii="仿宋" w:hAnsi="仿宋" w:eastAsia="仿宋" w:cs="仿宋"/>
                <w:sz w:val="24"/>
                <w:szCs w:val="24"/>
              </w:rPr>
            </w:pPr>
          </w:p>
        </w:tc>
      </w:tr>
      <w:tr w14:paraId="79859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70" w:hRule="atLeast"/>
        </w:trPr>
        <w:tc>
          <w:tcPr>
            <w:tcW w:w="1095" w:type="dxa"/>
            <w:vMerge w:val="restar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D024AF6">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违规违</w:t>
            </w:r>
          </w:p>
          <w:p w14:paraId="0365F343">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sz w:val="24"/>
                <w:szCs w:val="24"/>
              </w:rPr>
              <w:t>纪评价</w:t>
            </w:r>
          </w:p>
        </w:tc>
        <w:tc>
          <w:tcPr>
            <w:tcW w:w="13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8FBB14E">
            <w:pPr>
              <w:pStyle w:val="14"/>
              <w:keepNext w:val="0"/>
              <w:keepLines w:val="0"/>
              <w:widowControl/>
              <w:suppressLineNumbers w:val="0"/>
              <w:autoSpaceDE w:val="0"/>
              <w:autoSpaceDN/>
              <w:spacing w:after="195" w:afterAutospacing="0"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廉洁从业</w:t>
            </w:r>
          </w:p>
        </w:tc>
        <w:tc>
          <w:tcPr>
            <w:tcW w:w="5415" w:type="dxa"/>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7D502F6">
            <w:pPr>
              <w:pStyle w:val="14"/>
              <w:keepNext w:val="0"/>
              <w:keepLines w:val="0"/>
              <w:widowControl/>
              <w:suppressLineNumbers w:val="0"/>
              <w:rPr>
                <w:rFonts w:hint="eastAsia" w:ascii="仿宋" w:hAnsi="仿宋" w:eastAsia="仿宋" w:cs="仿宋"/>
                <w:sz w:val="24"/>
                <w:szCs w:val="24"/>
              </w:rPr>
            </w:pPr>
            <w:r>
              <w:rPr>
                <w:rStyle w:val="21"/>
                <w:rFonts w:hint="eastAsia" w:ascii="仿宋" w:hAnsi="仿宋" w:eastAsia="仿宋" w:cs="仿宋"/>
                <w:sz w:val="24"/>
                <w:szCs w:val="24"/>
              </w:rPr>
              <w:t>违反行业廉洁要求或违法违纪行为，一旦查实，一票否决</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940FFDD">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一票否决</w:t>
            </w:r>
          </w:p>
        </w:tc>
      </w:tr>
      <w:tr w14:paraId="72124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3682AFC">
            <w:pPr>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BC48589">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安全规范</w:t>
            </w:r>
          </w:p>
        </w:tc>
        <w:tc>
          <w:tcPr>
            <w:tcW w:w="5415" w:type="dxa"/>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920FD60">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89823D2">
            <w:pPr>
              <w:keepNext w:val="0"/>
              <w:keepLines w:val="0"/>
              <w:widowControl/>
              <w:suppressLineNumbers w:val="0"/>
              <w:jc w:val="left"/>
              <w:rPr>
                <w:rFonts w:hint="eastAsia" w:ascii="仿宋" w:hAnsi="仿宋" w:eastAsia="仿宋" w:cs="仿宋"/>
                <w:sz w:val="24"/>
                <w:szCs w:val="24"/>
              </w:rPr>
            </w:pPr>
          </w:p>
        </w:tc>
      </w:tr>
      <w:tr w14:paraId="4EEC4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vMerge w:val="continue"/>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B537CAE">
            <w:pPr>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2C368A6">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sz w:val="24"/>
                <w:szCs w:val="24"/>
              </w:rPr>
              <w:t>其他违纪违规</w:t>
            </w:r>
          </w:p>
        </w:tc>
        <w:tc>
          <w:tcPr>
            <w:tcW w:w="5415" w:type="dxa"/>
            <w:gridSpan w:val="3"/>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B178A10">
            <w:pPr>
              <w:pStyle w:val="14"/>
              <w:keepNext w:val="0"/>
              <w:keepLines w:val="0"/>
              <w:widowControl/>
              <w:suppressLineNumbers w:val="0"/>
              <w:rPr>
                <w:rFonts w:hint="eastAsia" w:ascii="仿宋" w:hAnsi="仿宋" w:eastAsia="仿宋" w:cs="仿宋"/>
                <w:sz w:val="24"/>
                <w:szCs w:val="24"/>
              </w:rPr>
            </w:pPr>
            <w:r>
              <w:rPr>
                <w:rFonts w:hint="eastAsia" w:ascii="仿宋" w:hAnsi="仿宋" w:eastAsia="仿宋" w:cs="仿宋"/>
                <w:sz w:val="24"/>
                <w:szCs w:val="24"/>
              </w:rPr>
              <w:t>其他不利于医院信息化建设相关行为，视情节严重程度，经采购人讨论酌情扣分</w:t>
            </w:r>
          </w:p>
        </w:tc>
        <w:tc>
          <w:tcPr>
            <w:tcW w:w="67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0ABB928">
            <w:pPr>
              <w:keepNext w:val="0"/>
              <w:keepLines w:val="0"/>
              <w:widowControl/>
              <w:suppressLineNumbers w:val="0"/>
              <w:jc w:val="left"/>
              <w:rPr>
                <w:rFonts w:hint="eastAsia" w:ascii="仿宋" w:hAnsi="仿宋" w:eastAsia="仿宋" w:cs="仿宋"/>
                <w:sz w:val="24"/>
                <w:szCs w:val="24"/>
              </w:rPr>
            </w:pPr>
          </w:p>
        </w:tc>
      </w:tr>
      <w:tr w14:paraId="61357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3ED794C">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扣分合计</w:t>
            </w:r>
          </w:p>
        </w:tc>
        <w:tc>
          <w:tcPr>
            <w:tcW w:w="7425" w:type="dxa"/>
            <w:gridSpan w:val="5"/>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E6910AC">
            <w:pPr>
              <w:keepNext w:val="0"/>
              <w:keepLines w:val="0"/>
              <w:widowControl/>
              <w:suppressLineNumbers w:val="0"/>
              <w:jc w:val="left"/>
              <w:rPr>
                <w:rFonts w:hint="eastAsia" w:ascii="仿宋" w:hAnsi="仿宋" w:eastAsia="仿宋" w:cs="仿宋"/>
                <w:sz w:val="24"/>
                <w:szCs w:val="24"/>
              </w:rPr>
            </w:pPr>
          </w:p>
        </w:tc>
      </w:tr>
      <w:tr w14:paraId="54634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09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3D7AA2C">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考核人</w:t>
            </w:r>
          </w:p>
        </w:tc>
        <w:tc>
          <w:tcPr>
            <w:tcW w:w="7425" w:type="dxa"/>
            <w:gridSpan w:val="5"/>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8DF2DF8">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 </w:t>
            </w:r>
          </w:p>
          <w:p w14:paraId="5591A52C">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                                                               年    月    日</w:t>
            </w:r>
          </w:p>
        </w:tc>
      </w:tr>
    </w:tbl>
    <w:p w14:paraId="24C3912C">
      <w:pPr>
        <w:spacing w:line="360" w:lineRule="auto"/>
        <w:rPr>
          <w:rFonts w:hint="eastAsia" w:ascii="仿宋" w:hAnsi="仿宋" w:eastAsia="仿宋" w:cs="仿宋"/>
          <w:sz w:val="24"/>
          <w:szCs w:val="24"/>
        </w:rPr>
      </w:pPr>
    </w:p>
    <w:p w14:paraId="74FC3954">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备注：</w:t>
      </w:r>
    </w:p>
    <w:p w14:paraId="760D2916">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 服务期内，采购人可按照本项目采购需求内容对应的考核指标对供应商进行考核，具体指标以采购人要求为准；</w:t>
      </w:r>
    </w:p>
    <w:p w14:paraId="2930BFDC">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 考核关联最终付款金额，具体计算规则如下：</w:t>
      </w:r>
    </w:p>
    <w:p w14:paraId="61BC1BB6">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平均扣分=服务期汇总考核扣分之和÷服务期内考核次数</w:t>
      </w:r>
    </w:p>
    <w:p w14:paraId="1B346D30">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2）0分〈平均扣分≤3分，将对供应商进行诫勉谈话；  </w:t>
      </w:r>
    </w:p>
    <w:p w14:paraId="51319045">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3）3分〈平均扣分≤5分，对供应商提出警告，从合同待支付金额中或履约保证金中扣除合同支付上限金额5%费用，扣完为止；</w:t>
      </w:r>
    </w:p>
    <w:p w14:paraId="4B46BE9F">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4）5分〈平均扣分≤10分，对供应商提出严重警告，从合同待支付金额中或履约保证金中扣除合同支付上限金额10%费用，扣完为止；</w:t>
      </w:r>
    </w:p>
    <w:p w14:paraId="5E82C06A">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4）10分〈平均扣分，视为不合格，终止合同，合同待支付金额和履约保金（如有履约保证金）不予退还；</w:t>
      </w:r>
    </w:p>
    <w:p w14:paraId="118757C3">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 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11F25102">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 如合同待支付金额或履约保证金中无款可扣且考核后出现扣款情况，供应商承诺在得到采购人考核结果后的10日内向采购人缴纳对应的扣款金额。</w:t>
      </w:r>
      <w:r>
        <w:rPr>
          <w:rFonts w:hint="eastAsia" w:ascii="仿宋" w:hAnsi="仿宋" w:eastAsia="仿宋" w:cs="仿宋"/>
          <w:kern w:val="2"/>
          <w:sz w:val="24"/>
          <w:szCs w:val="24"/>
          <w:lang w:eastAsia="zh-CN"/>
        </w:rPr>
        <w:t>（</w:t>
      </w:r>
      <w:r>
        <w:rPr>
          <w:rFonts w:hint="eastAsia" w:ascii="仿宋" w:hAnsi="仿宋" w:eastAsia="仿宋" w:cs="仿宋"/>
          <w:kern w:val="2"/>
          <w:sz w:val="24"/>
          <w:szCs w:val="24"/>
          <w:lang w:val="en-US" w:eastAsia="zh-CN"/>
        </w:rPr>
        <w:t>提供承诺函</w:t>
      </w:r>
      <w:r>
        <w:rPr>
          <w:rFonts w:hint="eastAsia" w:ascii="仿宋" w:hAnsi="仿宋" w:eastAsia="仿宋" w:cs="仿宋"/>
          <w:kern w:val="2"/>
          <w:sz w:val="24"/>
          <w:szCs w:val="24"/>
          <w:lang w:eastAsia="zh-CN"/>
        </w:rPr>
        <w:t>）</w:t>
      </w:r>
    </w:p>
    <w:p w14:paraId="4A6A2942">
      <w:pPr>
        <w:pStyle w:val="16"/>
        <w:ind w:firstLine="480" w:firstLineChars="200"/>
        <w:rPr>
          <w:rFonts w:ascii="Times New Roman" w:hAnsi="Times New Roman" w:eastAsia="仿宋" w:cs="Times New Roman"/>
          <w:sz w:val="24"/>
          <w:szCs w:val="24"/>
        </w:rPr>
      </w:pPr>
      <w:r>
        <w:rPr>
          <w:rFonts w:hint="eastAsia" w:ascii="仿宋" w:hAnsi="仿宋" w:eastAsia="仿宋" w:cs="仿宋"/>
          <w:kern w:val="2"/>
          <w:sz w:val="24"/>
          <w:szCs w:val="24"/>
          <w:lang w:val="en-US" w:eastAsia="zh-CN" w:bidi="ar-SA"/>
        </w:rPr>
        <w:t>5. 本考核指标最终解释权归四川省医学科学院·四川省人民医院</w:t>
      </w:r>
      <w:r>
        <w:rPr>
          <w:rFonts w:ascii="Times New Roman" w:hAnsi="Times New Roman" w:eastAsia="仿宋" w:cs="Times New Roman"/>
          <w:sz w:val="24"/>
          <w:szCs w:val="24"/>
        </w:rPr>
        <w:t>。</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3"/>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1591"/>
        <w:gridCol w:w="1462"/>
        <w:gridCol w:w="5181"/>
        <w:gridCol w:w="1148"/>
      </w:tblGrid>
      <w:tr w14:paraId="051FE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035" w:type="dxa"/>
            <w:tcBorders>
              <w:top w:val="single" w:color="auto" w:sz="4" w:space="0"/>
              <w:left w:val="single" w:color="auto" w:sz="4" w:space="0"/>
              <w:bottom w:val="single" w:color="auto" w:sz="4" w:space="0"/>
              <w:right w:val="single" w:color="auto" w:sz="4" w:space="0"/>
            </w:tcBorders>
            <w:vAlign w:val="center"/>
          </w:tcPr>
          <w:p w14:paraId="1DC7619C">
            <w:pPr>
              <w:spacing w:line="360" w:lineRule="auto"/>
              <w:ind w:firstLine="28"/>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91" w:type="dxa"/>
            <w:tcBorders>
              <w:top w:val="single" w:color="auto" w:sz="4" w:space="0"/>
              <w:left w:val="single" w:color="auto" w:sz="4" w:space="0"/>
              <w:bottom w:val="single" w:color="auto" w:sz="4" w:space="0"/>
              <w:right w:val="single" w:color="auto" w:sz="4" w:space="0"/>
            </w:tcBorders>
            <w:vAlign w:val="center"/>
          </w:tcPr>
          <w:p w14:paraId="14BB2356">
            <w:pPr>
              <w:spacing w:line="360" w:lineRule="auto"/>
              <w:ind w:firstLine="28"/>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462" w:type="dxa"/>
            <w:tcBorders>
              <w:top w:val="single" w:color="auto" w:sz="4" w:space="0"/>
              <w:left w:val="single" w:color="auto" w:sz="4" w:space="0"/>
              <w:bottom w:val="single" w:color="auto" w:sz="4" w:space="0"/>
              <w:right w:val="single" w:color="auto" w:sz="4" w:space="0"/>
            </w:tcBorders>
            <w:vAlign w:val="center"/>
          </w:tcPr>
          <w:p w14:paraId="2CAA0CF4">
            <w:pPr>
              <w:spacing w:line="360" w:lineRule="auto"/>
              <w:ind w:firstLine="28"/>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5181" w:type="dxa"/>
            <w:tcBorders>
              <w:top w:val="single" w:color="auto" w:sz="4" w:space="0"/>
              <w:left w:val="single" w:color="auto" w:sz="4" w:space="0"/>
              <w:bottom w:val="single" w:color="auto" w:sz="4" w:space="0"/>
              <w:right w:val="single" w:color="auto" w:sz="4" w:space="0"/>
            </w:tcBorders>
            <w:vAlign w:val="center"/>
          </w:tcPr>
          <w:p w14:paraId="4B7441A1">
            <w:pPr>
              <w:spacing w:line="360" w:lineRule="auto"/>
              <w:ind w:firstLine="28"/>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148" w:type="dxa"/>
            <w:tcBorders>
              <w:top w:val="single" w:color="auto" w:sz="4" w:space="0"/>
              <w:left w:val="single" w:color="auto" w:sz="4" w:space="0"/>
              <w:bottom w:val="single" w:color="auto" w:sz="4" w:space="0"/>
              <w:right w:val="single" w:color="auto" w:sz="4" w:space="0"/>
            </w:tcBorders>
            <w:vAlign w:val="center"/>
          </w:tcPr>
          <w:p w14:paraId="073B12F5">
            <w:pPr>
              <w:spacing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135C6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035" w:type="dxa"/>
            <w:tcBorders>
              <w:top w:val="single" w:color="auto" w:sz="4" w:space="0"/>
              <w:left w:val="single" w:color="auto" w:sz="4" w:space="0"/>
              <w:bottom w:val="single" w:color="auto" w:sz="4" w:space="0"/>
              <w:right w:val="single" w:color="auto" w:sz="4" w:space="0"/>
            </w:tcBorders>
            <w:vAlign w:val="center"/>
          </w:tcPr>
          <w:p w14:paraId="0037895A">
            <w:pPr>
              <w:spacing w:line="360" w:lineRule="auto"/>
              <w:ind w:firstLine="28"/>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91" w:type="dxa"/>
            <w:tcBorders>
              <w:top w:val="single" w:color="auto" w:sz="4" w:space="0"/>
              <w:left w:val="single" w:color="auto" w:sz="4" w:space="0"/>
              <w:bottom w:val="single" w:color="auto" w:sz="4" w:space="0"/>
              <w:right w:val="single" w:color="auto" w:sz="4" w:space="0"/>
            </w:tcBorders>
            <w:vAlign w:val="center"/>
          </w:tcPr>
          <w:p w14:paraId="4FD3B8C1">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1462" w:type="dxa"/>
            <w:tcBorders>
              <w:top w:val="single" w:color="auto" w:sz="4" w:space="0"/>
              <w:left w:val="single" w:color="auto" w:sz="4" w:space="0"/>
              <w:bottom w:val="single" w:color="auto" w:sz="4" w:space="0"/>
              <w:right w:val="single" w:color="auto" w:sz="4" w:space="0"/>
            </w:tcBorders>
            <w:vAlign w:val="center"/>
          </w:tcPr>
          <w:p w14:paraId="338847EE">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5181" w:type="dxa"/>
            <w:tcBorders>
              <w:top w:val="single" w:color="auto" w:sz="4" w:space="0"/>
              <w:left w:val="single" w:color="auto" w:sz="4" w:space="0"/>
              <w:bottom w:val="single" w:color="auto" w:sz="4" w:space="0"/>
              <w:right w:val="single" w:color="auto" w:sz="4" w:space="0"/>
            </w:tcBorders>
            <w:vAlign w:val="center"/>
          </w:tcPr>
          <w:p w14:paraId="087B9436">
            <w:pPr>
              <w:spacing w:line="360" w:lineRule="auto"/>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1148" w:type="dxa"/>
            <w:tcBorders>
              <w:top w:val="single" w:color="auto" w:sz="4" w:space="0"/>
              <w:left w:val="single" w:color="auto" w:sz="4" w:space="0"/>
              <w:bottom w:val="single" w:color="auto" w:sz="4" w:space="0"/>
              <w:right w:val="single" w:color="auto" w:sz="4" w:space="0"/>
            </w:tcBorders>
            <w:vAlign w:val="center"/>
          </w:tcPr>
          <w:p w14:paraId="2C83709D">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5E424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035" w:type="dxa"/>
            <w:tcBorders>
              <w:top w:val="single" w:color="auto" w:sz="4" w:space="0"/>
              <w:left w:val="single" w:color="auto" w:sz="4" w:space="0"/>
              <w:right w:val="single" w:color="auto" w:sz="4" w:space="0"/>
            </w:tcBorders>
            <w:vAlign w:val="center"/>
          </w:tcPr>
          <w:p w14:paraId="345806DA">
            <w:pPr>
              <w:spacing w:line="360" w:lineRule="auto"/>
              <w:ind w:firstLine="28"/>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91" w:type="dxa"/>
            <w:tcBorders>
              <w:top w:val="single" w:color="auto" w:sz="4" w:space="0"/>
              <w:left w:val="single" w:color="auto" w:sz="4" w:space="0"/>
              <w:right w:val="single" w:color="auto" w:sz="4" w:space="0"/>
            </w:tcBorders>
            <w:vAlign w:val="center"/>
          </w:tcPr>
          <w:p w14:paraId="2D714A6F">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技术参数59</w:t>
            </w:r>
            <w:r>
              <w:rPr>
                <w:rFonts w:hint="eastAsia" w:ascii="仿宋" w:hAnsi="仿宋" w:eastAsia="仿宋" w:cs="仿宋"/>
                <w:color w:val="000000" w:themeColor="text1"/>
                <w:sz w:val="24"/>
                <w:szCs w:val="24"/>
                <w:highlight w:val="none"/>
                <w14:textFill>
                  <w14:solidFill>
                    <w14:schemeClr w14:val="tx1"/>
                  </w14:solidFill>
                </w14:textFill>
              </w:rPr>
              <w:t>%</w:t>
            </w:r>
          </w:p>
        </w:tc>
        <w:tc>
          <w:tcPr>
            <w:tcW w:w="1462" w:type="dxa"/>
            <w:tcBorders>
              <w:top w:val="single" w:color="auto" w:sz="4" w:space="0"/>
              <w:left w:val="single" w:color="auto" w:sz="4" w:space="0"/>
              <w:bottom w:val="single" w:color="auto" w:sz="4" w:space="0"/>
              <w:right w:val="single" w:color="auto" w:sz="4" w:space="0"/>
            </w:tcBorders>
            <w:vAlign w:val="center"/>
          </w:tcPr>
          <w:p w14:paraId="23484C28">
            <w:pPr>
              <w:spacing w:line="360" w:lineRule="auto"/>
              <w:jc w:val="center"/>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59分</w:t>
            </w:r>
          </w:p>
        </w:tc>
        <w:tc>
          <w:tcPr>
            <w:tcW w:w="5181" w:type="dxa"/>
            <w:tcBorders>
              <w:top w:val="single" w:color="auto" w:sz="4" w:space="0"/>
              <w:left w:val="single" w:color="auto" w:sz="4" w:space="0"/>
              <w:bottom w:val="single" w:color="auto" w:sz="4" w:space="0"/>
              <w:right w:val="single" w:color="auto" w:sz="4" w:space="0"/>
            </w:tcBorders>
            <w:vAlign w:val="center"/>
          </w:tcPr>
          <w:p w14:paraId="3AC51D8F">
            <w:pPr>
              <w:keepNext w:val="0"/>
              <w:keepLines w:val="0"/>
              <w:pageBreakBefore w:val="0"/>
              <w:widowControl/>
              <w:kinsoku/>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带“★”的为实质性要求，不允许有负偏离</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不作为评审要求</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带</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b w:val="0"/>
                <w:color w:val="000000" w:themeColor="text1"/>
                <w:sz w:val="24"/>
                <w:szCs w:val="24"/>
                <w:lang w:val="en-US" w:eastAsia="zh-CN"/>
                <w14:textFill>
                  <w14:solidFill>
                    <w14:schemeClr w14:val="tx1"/>
                  </w14:solidFill>
                </w14:textFill>
              </w:rPr>
              <w:t>的参数条款为演示技术参数条款，作为演示评分因素；</w:t>
            </w:r>
            <w:r>
              <w:rPr>
                <w:rFonts w:hint="eastAsia" w:ascii="仿宋" w:hAnsi="仿宋" w:eastAsia="仿宋" w:cs="仿宋"/>
                <w:color w:val="000000" w:themeColor="text1"/>
                <w:sz w:val="24"/>
                <w:szCs w:val="24"/>
                <w:lang w:val="en-US" w:eastAsia="zh-CN"/>
                <w14:textFill>
                  <w14:solidFill>
                    <w14:schemeClr w14:val="tx1"/>
                  </w14:solidFill>
                </w14:textFill>
              </w:rPr>
              <w:t>非</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lang w:val="en-US" w:eastAsia="zh-CN"/>
                <w14:textFill>
                  <w14:solidFill>
                    <w14:schemeClr w14:val="tx1"/>
                  </w14:solidFill>
                </w14:textFill>
              </w:rPr>
              <w:t>参数条款</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lang w:val="en-US" w:eastAsia="zh-CN"/>
                <w14:textFill>
                  <w14:solidFill>
                    <w14:schemeClr w14:val="tx1"/>
                  </w14:solidFill>
                </w14:textFill>
              </w:rPr>
              <w:t>一般技术参数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b w:val="0"/>
                <w:color w:val="000000" w:themeColor="text1"/>
                <w:sz w:val="24"/>
                <w:szCs w:val="24"/>
                <w:lang w:val="en-US" w:eastAsia="zh-CN"/>
                <w14:textFill>
                  <w14:solidFill>
                    <w14:schemeClr w14:val="tx1"/>
                  </w14:solidFill>
                </w14:textFill>
              </w:rPr>
              <w:t>作为一般评分因素</w:t>
            </w:r>
            <w:r>
              <w:rPr>
                <w:rFonts w:hint="eastAsia" w:ascii="仿宋" w:hAnsi="仿宋" w:eastAsia="仿宋" w:cs="仿宋"/>
                <w:color w:val="000000" w:themeColor="text1"/>
                <w:sz w:val="24"/>
                <w:szCs w:val="24"/>
                <w:lang w:eastAsia="zh-CN"/>
                <w14:textFill>
                  <w14:solidFill>
                    <w14:schemeClr w14:val="tx1"/>
                  </w14:solidFill>
                </w14:textFill>
              </w:rPr>
              <w:t>。</w:t>
            </w:r>
          </w:p>
          <w:p w14:paraId="524D03F0">
            <w:pPr>
              <w:keepNext w:val="0"/>
              <w:keepLines w:val="0"/>
              <w:pageBreakBefore w:val="0"/>
              <w:widowControl/>
              <w:kinsoku/>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供应商响应文件</w:t>
            </w:r>
            <w:r>
              <w:rPr>
                <w:rFonts w:hint="eastAsia" w:ascii="仿宋" w:hAnsi="仿宋" w:eastAsia="仿宋" w:cs="仿宋"/>
                <w:color w:val="000000" w:themeColor="text1"/>
                <w:sz w:val="24"/>
                <w:szCs w:val="24"/>
                <w14:textFill>
                  <w14:solidFill>
                    <w14:schemeClr w14:val="tx1"/>
                  </w14:solidFill>
                </w14:textFill>
              </w:rPr>
              <w:t>完全符合</w:t>
            </w:r>
            <w:r>
              <w:rPr>
                <w:rFonts w:hint="eastAsia" w:ascii="仿宋" w:hAnsi="仿宋" w:eastAsia="仿宋" w:cs="仿宋"/>
                <w:color w:val="000000" w:themeColor="text1"/>
                <w:sz w:val="24"/>
                <w:szCs w:val="24"/>
                <w:lang w:val="en-US" w:eastAsia="zh-CN"/>
                <w14:textFill>
                  <w14:solidFill>
                    <w14:schemeClr w14:val="tx1"/>
                  </w14:solidFill>
                </w14:textFill>
              </w:rPr>
              <w:t>谈判</w:t>
            </w:r>
            <w:r>
              <w:rPr>
                <w:rFonts w:hint="eastAsia" w:ascii="仿宋" w:hAnsi="仿宋" w:eastAsia="仿宋" w:cs="仿宋"/>
                <w:color w:val="000000" w:themeColor="text1"/>
                <w:sz w:val="24"/>
                <w:szCs w:val="24"/>
                <w14:textFill>
                  <w14:solidFill>
                    <w14:schemeClr w14:val="tx1"/>
                  </w14:solidFill>
                </w14:textFill>
              </w:rPr>
              <w:t>文件“（三）参数</w:t>
            </w:r>
            <w:r>
              <w:rPr>
                <w:rFonts w:hint="eastAsia" w:ascii="仿宋" w:hAnsi="仿宋" w:eastAsia="仿宋" w:cs="仿宋"/>
                <w:color w:val="000000" w:themeColor="text1"/>
                <w:sz w:val="24"/>
                <w:szCs w:val="24"/>
                <w:lang w:val="en-US" w:eastAsia="zh-CN"/>
                <w14:textFill>
                  <w14:solidFill>
                    <w14:schemeClr w14:val="tx1"/>
                  </w14:solidFill>
                </w14:textFill>
              </w:rPr>
              <w:t>要求</w:t>
            </w:r>
            <w:r>
              <w:rPr>
                <w:rFonts w:hint="eastAsia" w:ascii="仿宋" w:hAnsi="仿宋" w:eastAsia="仿宋" w:cs="仿宋"/>
                <w:color w:val="000000" w:themeColor="text1"/>
                <w:sz w:val="24"/>
                <w:szCs w:val="24"/>
                <w14:textFill>
                  <w14:solidFill>
                    <w14:schemeClr w14:val="tx1"/>
                  </w14:solidFill>
                </w14:textFill>
              </w:rPr>
              <w:t>”的得</w:t>
            </w:r>
            <w:r>
              <w:rPr>
                <w:rFonts w:hint="eastAsia" w:ascii="仿宋" w:hAnsi="仿宋" w:eastAsia="仿宋" w:cs="仿宋"/>
                <w:color w:val="000000" w:themeColor="text1"/>
                <w:sz w:val="24"/>
                <w:szCs w:val="24"/>
                <w:lang w:val="en-US" w:eastAsia="zh-CN"/>
                <w14:textFill>
                  <w14:solidFill>
                    <w14:schemeClr w14:val="tx1"/>
                  </w14:solidFill>
                </w14:textFill>
              </w:rPr>
              <w:t>59</w:t>
            </w:r>
            <w:r>
              <w:rPr>
                <w:rFonts w:hint="eastAsia" w:ascii="仿宋" w:hAnsi="仿宋" w:eastAsia="仿宋" w:cs="仿宋"/>
                <w:color w:val="000000" w:themeColor="text1"/>
                <w:sz w:val="24"/>
                <w:szCs w:val="24"/>
                <w14:textFill>
                  <w14:solidFill>
                    <w14:schemeClr w14:val="tx1"/>
                  </w14:solidFill>
                </w14:textFill>
              </w:rPr>
              <w:t>分。</w:t>
            </w:r>
          </w:p>
          <w:p w14:paraId="5CBAD268">
            <w:pPr>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技术参数</w:t>
            </w:r>
            <w:r>
              <w:rPr>
                <w:rFonts w:hint="eastAsia" w:ascii="仿宋" w:hAnsi="仿宋" w:eastAsia="仿宋" w:cs="仿宋"/>
                <w:color w:val="000000" w:themeColor="text1"/>
                <w:sz w:val="24"/>
                <w:szCs w:val="24"/>
                <w14:textFill>
                  <w14:solidFill>
                    <w14:schemeClr w14:val="tx1"/>
                  </w14:solidFill>
                </w14:textFill>
              </w:rPr>
              <w:t>条款</w:t>
            </w:r>
            <w:r>
              <w:rPr>
                <w:rFonts w:hint="eastAsia" w:ascii="仿宋" w:hAnsi="仿宋" w:eastAsia="仿宋" w:cs="仿宋"/>
                <w:color w:val="000000" w:themeColor="text1"/>
                <w:sz w:val="24"/>
                <w:szCs w:val="24"/>
                <w:lang w:eastAsia="zh-CN"/>
                <w14:textFill>
                  <w14:solidFill>
                    <w14:schemeClr w14:val="tx1"/>
                  </w14:solidFill>
                </w14:textFill>
              </w:rPr>
              <w:t>的响应得分规则如下：</w:t>
            </w:r>
          </w:p>
          <w:p w14:paraId="428B20B1">
            <w:pPr>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1、一般技术参数条款=（供应商满足一般技术参数条款条数÷一般技术参数条款总条数）×</w:t>
            </w:r>
            <w:r>
              <w:rPr>
                <w:rFonts w:hint="eastAsia" w:ascii="仿宋" w:hAnsi="仿宋" w:eastAsia="仿宋" w:cs="仿宋"/>
                <w:color w:val="000000" w:themeColor="text1"/>
                <w:sz w:val="24"/>
                <w:szCs w:val="24"/>
                <w:lang w:val="en-US" w:eastAsia="zh-CN"/>
                <w14:textFill>
                  <w14:solidFill>
                    <w14:schemeClr w14:val="tx1"/>
                  </w14:solidFill>
                </w14:textFill>
              </w:rPr>
              <w:t>49</w:t>
            </w:r>
            <w:r>
              <w:rPr>
                <w:rFonts w:hint="eastAsia" w:ascii="仿宋" w:hAnsi="仿宋" w:eastAsia="仿宋" w:cs="仿宋"/>
                <w:color w:val="000000" w:themeColor="text1"/>
                <w:sz w:val="24"/>
                <w:szCs w:val="24"/>
                <w:lang w:eastAsia="zh-CN"/>
                <w14:textFill>
                  <w14:solidFill>
                    <w14:schemeClr w14:val="tx1"/>
                  </w14:solidFill>
                </w14:textFill>
              </w:rPr>
              <w:t>。</w:t>
            </w:r>
          </w:p>
          <w:p w14:paraId="17B7CECE">
            <w:pPr>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2、演示技术参数条款=（供应商满足演示技术参数条款条数÷演示技术参数条款总条数）×</w:t>
            </w:r>
            <w:r>
              <w:rPr>
                <w:rFonts w:hint="eastAsia" w:ascii="仿宋" w:hAnsi="仿宋" w:eastAsia="仿宋" w:cs="仿宋"/>
                <w:color w:val="000000" w:themeColor="text1"/>
                <w:sz w:val="24"/>
                <w:szCs w:val="24"/>
                <w:lang w:val="en-US" w:eastAsia="zh-CN"/>
                <w14:textFill>
                  <w14:solidFill>
                    <w14:schemeClr w14:val="tx1"/>
                  </w14:solidFill>
                </w14:textFill>
              </w:rPr>
              <w:t>10</w:t>
            </w:r>
            <w:r>
              <w:rPr>
                <w:rFonts w:hint="eastAsia" w:ascii="仿宋" w:hAnsi="仿宋" w:eastAsia="仿宋" w:cs="仿宋"/>
                <w:color w:val="000000" w:themeColor="text1"/>
                <w:sz w:val="24"/>
                <w:szCs w:val="24"/>
                <w:lang w:eastAsia="zh-CN"/>
                <w14:textFill>
                  <w14:solidFill>
                    <w14:schemeClr w14:val="tx1"/>
                  </w14:solidFill>
                </w14:textFill>
              </w:rPr>
              <w:t>。</w:t>
            </w:r>
          </w:p>
          <w:p w14:paraId="52A23CE7">
            <w:pPr>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注：①得分保留小数点后两位小数，四舍五入。</w:t>
            </w:r>
          </w:p>
          <w:p w14:paraId="7916F1AA">
            <w:pPr>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②项数以不能再拆分的最小项为一项。</w:t>
            </w:r>
          </w:p>
          <w:p w14:paraId="70C61B4E">
            <w:pPr>
              <w:spacing w:line="360" w:lineRule="auto"/>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若每一项技术指标项均有负偏离，此处分值应扣完，得0分。</w:t>
            </w:r>
          </w:p>
          <w:p w14:paraId="2AADB7BA">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③演示未通过的参数，视为负偏离。</w:t>
            </w:r>
          </w:p>
        </w:tc>
        <w:tc>
          <w:tcPr>
            <w:tcW w:w="1148" w:type="dxa"/>
            <w:tcBorders>
              <w:top w:val="single" w:color="auto" w:sz="4" w:space="0"/>
              <w:left w:val="single" w:color="auto" w:sz="4" w:space="0"/>
              <w:bottom w:val="single" w:color="auto" w:sz="4" w:space="0"/>
              <w:right w:val="single" w:color="auto" w:sz="4" w:space="0"/>
            </w:tcBorders>
            <w:vAlign w:val="center"/>
          </w:tcPr>
          <w:p w14:paraId="07D9B4F7">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035" w:type="dxa"/>
            <w:tcBorders>
              <w:left w:val="single" w:color="auto" w:sz="4" w:space="0"/>
              <w:bottom w:val="single" w:color="auto" w:sz="4" w:space="0"/>
              <w:right w:val="single" w:color="auto" w:sz="4" w:space="0"/>
            </w:tcBorders>
            <w:vAlign w:val="center"/>
          </w:tcPr>
          <w:p w14:paraId="2445FE33">
            <w:pPr>
              <w:spacing w:line="360" w:lineRule="auto"/>
              <w:ind w:firstLine="28"/>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91" w:type="dxa"/>
            <w:tcBorders>
              <w:left w:val="single" w:color="auto" w:sz="4" w:space="0"/>
              <w:bottom w:val="single" w:color="auto" w:sz="4" w:space="0"/>
              <w:right w:val="single" w:color="auto" w:sz="4" w:space="0"/>
            </w:tcBorders>
            <w:vAlign w:val="center"/>
          </w:tcPr>
          <w:p w14:paraId="79495A5F">
            <w:pPr>
              <w:spacing w:line="360" w:lineRule="auto"/>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项目实施方案9%</w:t>
            </w:r>
          </w:p>
        </w:tc>
        <w:tc>
          <w:tcPr>
            <w:tcW w:w="1462" w:type="dxa"/>
            <w:tcBorders>
              <w:top w:val="single" w:color="auto" w:sz="4" w:space="0"/>
              <w:left w:val="single" w:color="auto" w:sz="4" w:space="0"/>
              <w:bottom w:val="single" w:color="auto" w:sz="4" w:space="0"/>
              <w:right w:val="single" w:color="auto" w:sz="4" w:space="0"/>
            </w:tcBorders>
            <w:vAlign w:val="center"/>
          </w:tcPr>
          <w:p w14:paraId="35228BFA">
            <w:pPr>
              <w:spacing w:line="360" w:lineRule="auto"/>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9分</w:t>
            </w:r>
          </w:p>
        </w:tc>
        <w:tc>
          <w:tcPr>
            <w:tcW w:w="5181" w:type="dxa"/>
            <w:tcBorders>
              <w:top w:val="single" w:color="auto" w:sz="4" w:space="0"/>
              <w:left w:val="single" w:color="auto" w:sz="4" w:space="0"/>
              <w:bottom w:val="single" w:color="auto" w:sz="4" w:space="0"/>
              <w:right w:val="single" w:color="auto" w:sz="4" w:space="0"/>
            </w:tcBorders>
            <w:vAlign w:val="center"/>
          </w:tcPr>
          <w:p w14:paraId="414A31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1、供应商具有项目技术方案，至少包括（1）项目需求分析；（2）系统架构设计方案；（3）系统对接方案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分，每有一处内容存在缺陷（缺陷是指：内容</w:t>
            </w:r>
            <w:r>
              <w:rPr>
                <w:rFonts w:hint="eastAsia" w:ascii="仿宋" w:hAnsi="仿宋" w:eastAsia="仿宋" w:cs="仿宋"/>
                <w:color w:val="000000" w:themeColor="text1"/>
                <w:sz w:val="24"/>
                <w:szCs w:val="24"/>
                <w:highlight w:val="none"/>
                <w:lang w:val="en-US" w:eastAsia="zh-CN"/>
                <w14:textFill>
                  <w14:solidFill>
                    <w14:schemeClr w14:val="tx1"/>
                  </w14:solidFill>
                </w14:textFill>
              </w:rPr>
              <w:t>不一致</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地点名称错误、</w:t>
            </w:r>
            <w:r>
              <w:rPr>
                <w:rFonts w:hint="eastAsia" w:ascii="仿宋" w:hAnsi="仿宋" w:eastAsia="仿宋" w:cs="仿宋"/>
                <w:color w:val="000000" w:themeColor="text1"/>
                <w:sz w:val="24"/>
                <w:szCs w:val="24"/>
                <w:highlight w:val="none"/>
                <w14:textFill>
                  <w14:solidFill>
                    <w14:schemeClr w14:val="tx1"/>
                  </w14:solidFill>
                </w14:textFill>
              </w:rPr>
              <w:t xml:space="preserve">内容与本项目实际需求不符、不符合相关规范及标准）扣 </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6CF895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bCs/>
                <w:sz w:val="24"/>
                <w:szCs w:val="24"/>
                <w:lang w:val="en-US" w:eastAsia="zh-CN"/>
              </w:rPr>
              <w:t>供应商具有系统实施方案，至少包括（1）项目进度计划；（2）质量保障措施；（3）系统故障、应急处理方案；（4）测试验收方案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分，每有一处内容存在缺陷（缺陷是指：内容</w:t>
            </w:r>
            <w:r>
              <w:rPr>
                <w:rFonts w:hint="eastAsia" w:ascii="仿宋" w:hAnsi="仿宋" w:eastAsia="仿宋" w:cs="仿宋"/>
                <w:color w:val="000000" w:themeColor="text1"/>
                <w:sz w:val="24"/>
                <w:szCs w:val="24"/>
                <w:highlight w:val="none"/>
                <w:lang w:val="en-US" w:eastAsia="zh-CN"/>
                <w14:textFill>
                  <w14:solidFill>
                    <w14:schemeClr w14:val="tx1"/>
                  </w14:solidFill>
                </w14:textFill>
              </w:rPr>
              <w:t>不一致</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地点名称错误、</w:t>
            </w:r>
            <w:r>
              <w:rPr>
                <w:rFonts w:hint="eastAsia" w:ascii="仿宋" w:hAnsi="仿宋" w:eastAsia="仿宋" w:cs="仿宋"/>
                <w:color w:val="000000" w:themeColor="text1"/>
                <w:sz w:val="24"/>
                <w:szCs w:val="24"/>
                <w:highlight w:val="none"/>
                <w14:textFill>
                  <w14:solidFill>
                    <w14:schemeClr w14:val="tx1"/>
                  </w14:solidFill>
                </w14:textFill>
              </w:rPr>
              <w:t xml:space="preserve">内容与本项目实际需求不符、不符合相关规范及标准）扣 </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20E978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Cs/>
                <w:sz w:val="24"/>
                <w:szCs w:val="24"/>
                <w:lang w:val="en-US" w:eastAsia="zh-CN"/>
              </w:rPr>
              <w:t>供应商具有售后服务方案，至少包括（1）售后服务体系；（2）售后服务人员安排及联系方式；（3）售后响应时间及措施；（4）人员培训方案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分，每有一处内容存在缺陷（缺陷是指：内容</w:t>
            </w:r>
            <w:r>
              <w:rPr>
                <w:rFonts w:hint="eastAsia" w:ascii="仿宋" w:hAnsi="仿宋" w:eastAsia="仿宋" w:cs="仿宋"/>
                <w:color w:val="000000" w:themeColor="text1"/>
                <w:sz w:val="24"/>
                <w:szCs w:val="24"/>
                <w:highlight w:val="none"/>
                <w:lang w:val="en-US" w:eastAsia="zh-CN"/>
                <w14:textFill>
                  <w14:solidFill>
                    <w14:schemeClr w14:val="tx1"/>
                  </w14:solidFill>
                </w14:textFill>
              </w:rPr>
              <w:t>不一致</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地点名称错误、</w:t>
            </w:r>
            <w:r>
              <w:rPr>
                <w:rFonts w:hint="eastAsia" w:ascii="仿宋" w:hAnsi="仿宋" w:eastAsia="仿宋" w:cs="仿宋"/>
                <w:color w:val="000000" w:themeColor="text1"/>
                <w:sz w:val="24"/>
                <w:szCs w:val="24"/>
                <w:highlight w:val="none"/>
                <w14:textFill>
                  <w14:solidFill>
                    <w14:schemeClr w14:val="tx1"/>
                  </w14:solidFill>
                </w14:textFill>
              </w:rPr>
              <w:t xml:space="preserve">内容与本项目实际需求不符、不符合相关规范及标准）扣 </w:t>
            </w:r>
            <w:r>
              <w:rPr>
                <w:rFonts w:hint="eastAsia" w:ascii="仿宋" w:hAnsi="仿宋" w:eastAsia="仿宋" w:cs="仿宋"/>
                <w:color w:val="000000" w:themeColor="text1"/>
                <w:sz w:val="24"/>
                <w:szCs w:val="24"/>
                <w:highlight w:val="none"/>
                <w:lang w:val="en-US" w:eastAsia="zh-CN"/>
                <w14:textFill>
                  <w14:solidFill>
                    <w14:schemeClr w14:val="tx1"/>
                  </w14:solidFill>
                </w14:textFill>
              </w:rPr>
              <w:t>0.25</w:t>
            </w:r>
            <w:r>
              <w:rPr>
                <w:rFonts w:hint="eastAsia" w:ascii="仿宋" w:hAnsi="仿宋" w:eastAsia="仿宋" w:cs="仿宋"/>
                <w:color w:val="000000" w:themeColor="text1"/>
                <w:sz w:val="24"/>
                <w:szCs w:val="24"/>
                <w:highlight w:val="none"/>
                <w14:textFill>
                  <w14:solidFill>
                    <w14:schemeClr w14:val="tx1"/>
                  </w14:solidFill>
                </w14:textFill>
              </w:rPr>
              <w:t>分，扣完为止。</w:t>
            </w:r>
          </w:p>
        </w:tc>
        <w:tc>
          <w:tcPr>
            <w:tcW w:w="1148" w:type="dxa"/>
            <w:tcBorders>
              <w:top w:val="single" w:color="auto" w:sz="4" w:space="0"/>
              <w:left w:val="single" w:color="auto" w:sz="4" w:space="0"/>
              <w:bottom w:val="single" w:color="auto" w:sz="4" w:space="0"/>
              <w:right w:val="single" w:color="auto" w:sz="4" w:space="0"/>
            </w:tcBorders>
            <w:vAlign w:val="center"/>
          </w:tcPr>
          <w:p w14:paraId="4530A003">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39076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035" w:type="dxa"/>
            <w:tcBorders>
              <w:top w:val="single" w:color="auto" w:sz="4" w:space="0"/>
              <w:left w:val="single" w:color="auto" w:sz="4" w:space="0"/>
              <w:bottom w:val="single" w:color="auto" w:sz="4" w:space="0"/>
              <w:right w:val="single" w:color="auto" w:sz="4" w:space="0"/>
            </w:tcBorders>
            <w:vAlign w:val="center"/>
          </w:tcPr>
          <w:p w14:paraId="6610FC4B">
            <w:pPr>
              <w:spacing w:line="360" w:lineRule="auto"/>
              <w:ind w:firstLine="28"/>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591" w:type="dxa"/>
            <w:tcBorders>
              <w:top w:val="single" w:color="auto" w:sz="4" w:space="0"/>
              <w:left w:val="single" w:color="auto" w:sz="4" w:space="0"/>
              <w:bottom w:val="single" w:color="auto" w:sz="4" w:space="0"/>
              <w:right w:val="single" w:color="auto" w:sz="4" w:space="0"/>
            </w:tcBorders>
            <w:vAlign w:val="center"/>
          </w:tcPr>
          <w:p w14:paraId="014C832A">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p>
        </w:tc>
        <w:tc>
          <w:tcPr>
            <w:tcW w:w="1462" w:type="dxa"/>
            <w:tcBorders>
              <w:top w:val="single" w:color="auto" w:sz="4" w:space="0"/>
              <w:left w:val="single" w:color="auto" w:sz="4" w:space="0"/>
              <w:bottom w:val="single" w:color="auto" w:sz="4" w:space="0"/>
              <w:right w:val="single" w:color="auto" w:sz="4" w:space="0"/>
            </w:tcBorders>
            <w:vAlign w:val="center"/>
          </w:tcPr>
          <w:p w14:paraId="2B6FE886">
            <w:pPr>
              <w:spacing w:line="360" w:lineRule="auto"/>
              <w:jc w:val="center"/>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2分</w:t>
            </w:r>
          </w:p>
        </w:tc>
        <w:tc>
          <w:tcPr>
            <w:tcW w:w="5181" w:type="dxa"/>
            <w:tcBorders>
              <w:top w:val="single" w:color="auto" w:sz="4" w:space="0"/>
              <w:left w:val="single" w:color="auto" w:sz="4" w:space="0"/>
              <w:bottom w:val="single" w:color="auto" w:sz="4" w:space="0"/>
              <w:right w:val="single" w:color="auto" w:sz="4" w:space="0"/>
            </w:tcBorders>
            <w:vAlign w:val="center"/>
          </w:tcPr>
          <w:p w14:paraId="4F9140AA">
            <w:pPr>
              <w:spacing w:line="360" w:lineRule="auto"/>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供应商提供2023年1月1日（含）以来类似行风智能管理系统类项目的业绩证明，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78EB2815">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注：提供成交通知书或采购合同关键页（合同首页、建设内容、金额、签字盖章页）材料复印件，并加盖供应商鲜章，缺项或不提供的不得分。</w:t>
            </w:r>
          </w:p>
        </w:tc>
        <w:tc>
          <w:tcPr>
            <w:tcW w:w="1148" w:type="dxa"/>
            <w:tcBorders>
              <w:top w:val="single" w:color="auto" w:sz="4" w:space="0"/>
              <w:left w:val="single" w:color="auto" w:sz="4" w:space="0"/>
              <w:bottom w:val="single" w:color="auto" w:sz="4" w:space="0"/>
              <w:right w:val="single" w:color="auto" w:sz="4" w:space="0"/>
            </w:tcBorders>
            <w:vAlign w:val="center"/>
          </w:tcPr>
          <w:p w14:paraId="71FD4FB5">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bl>
    <w:p w14:paraId="7E8E1998">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3"/>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24859"/>
      <w:bookmarkStart w:id="33" w:name="_Toc1690"/>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17905"/>
      <w:bookmarkStart w:id="37" w:name="_Toc3558"/>
      <w:bookmarkStart w:id="38" w:name="_Toc24123"/>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19987"/>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6482"/>
      <w:bookmarkStart w:id="49" w:name="_Toc21519"/>
      <w:bookmarkStart w:id="50" w:name="_Toc14829"/>
      <w:bookmarkStart w:id="51" w:name="_Toc16029"/>
      <w:bookmarkStart w:id="52" w:name="_Toc11352"/>
      <w:bookmarkStart w:id="53" w:name="_Toc3023"/>
    </w:p>
    <w:p w14:paraId="43B80407">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57F5DD5">
      <w:pPr>
        <w:pStyle w:val="4"/>
        <w:ind w:firstLine="0"/>
      </w:pPr>
      <w:r>
        <w:t>承诺函</w:t>
      </w:r>
      <w:bookmarkEnd w:id="48"/>
      <w:bookmarkEnd w:id="49"/>
      <w:bookmarkEnd w:id="50"/>
      <w:bookmarkEnd w:id="51"/>
      <w:bookmarkEnd w:id="52"/>
      <w:bookmarkEnd w:id="53"/>
    </w:p>
    <w:p w14:paraId="023F6D54">
      <w:pPr>
        <w:pStyle w:val="2"/>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1838"/>
      <w:bookmarkStart w:id="55" w:name="_Toc17857"/>
      <w:bookmarkStart w:id="56" w:name="_Toc22676"/>
      <w:bookmarkStart w:id="57" w:name="_Toc30971"/>
      <w:bookmarkStart w:id="58" w:name="_Toc4305"/>
      <w:r>
        <w:rPr>
          <w:rFonts w:ascii="Times New Roman" w:hAnsi="Times New Roman" w:cs="Times New Roman"/>
        </w:rPr>
        <w:br w:type="page"/>
      </w:r>
    </w:p>
    <w:p w14:paraId="72845348">
      <w:pPr>
        <w:pStyle w:val="4"/>
        <w:ind w:firstLine="0"/>
      </w:pPr>
      <w:r>
        <w:t>具有独立承担民事责任的能力</w:t>
      </w:r>
      <w:bookmarkEnd w:id="54"/>
      <w:bookmarkEnd w:id="55"/>
      <w:bookmarkEnd w:id="56"/>
      <w:bookmarkEnd w:id="57"/>
      <w:bookmarkEnd w:id="58"/>
    </w:p>
    <w:p w14:paraId="597BE704">
      <w:pPr>
        <w:pStyle w:val="2"/>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4"/>
        <w:ind w:firstLine="0"/>
        <w:rPr>
          <w:rStyle w:val="33"/>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76B8A196">
      <w:pPr>
        <w:pStyle w:val="4"/>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2"/>
        <w:ind w:left="420" w:leftChars="200"/>
        <w:jc w:val="both"/>
        <w:rPr>
          <w:rFonts w:ascii="Times New Roman" w:hAnsi="Times New Roman" w:eastAsia="仿宋" w:cs="Times New Roman"/>
          <w:color w:val="auto"/>
        </w:rPr>
      </w:pPr>
    </w:p>
    <w:p w14:paraId="50A012A9">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4"/>
        <w:ind w:firstLine="0"/>
        <w:rPr>
          <w:szCs w:val="32"/>
        </w:rPr>
      </w:pPr>
      <w:r>
        <w:rPr>
          <w:szCs w:val="32"/>
        </w:rPr>
        <w:br w:type="page"/>
      </w:r>
      <w:bookmarkStart w:id="67" w:name="_Toc12015"/>
      <w:bookmarkStart w:id="68" w:name="_Toc15526"/>
      <w:bookmarkStart w:id="69" w:name="_Toc20589"/>
      <w:bookmarkStart w:id="70" w:name="_Toc27661"/>
      <w:bookmarkStart w:id="71" w:name="_Toc25638"/>
      <w:bookmarkStart w:id="72" w:name="_Toc11351"/>
      <w:r>
        <w:rPr>
          <w:rStyle w:val="41"/>
          <w:b/>
        </w:rPr>
        <w:t>法定代表人身份证明书</w:t>
      </w:r>
      <w:bookmarkEnd w:id="67"/>
      <w:bookmarkEnd w:id="68"/>
      <w:bookmarkEnd w:id="69"/>
      <w:bookmarkEnd w:id="70"/>
      <w:bookmarkEnd w:id="71"/>
      <w:bookmarkEnd w:id="72"/>
    </w:p>
    <w:p w14:paraId="0AB454D2">
      <w:pPr>
        <w:pStyle w:val="32"/>
        <w:jc w:val="center"/>
        <w:rPr>
          <w:rFonts w:ascii="Times New Roman" w:hAnsi="Times New Roman" w:eastAsia="仿宋" w:cs="Times New Roman"/>
          <w:color w:val="auto"/>
        </w:rPr>
      </w:pPr>
    </w:p>
    <w:p w14:paraId="43269FBB">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2"/>
        <w:jc w:val="center"/>
        <w:rPr>
          <w:rFonts w:ascii="Times New Roman" w:hAnsi="Times New Roman" w:eastAsia="仿宋" w:cs="Times New Roman"/>
          <w:color w:val="auto"/>
        </w:rPr>
      </w:pPr>
    </w:p>
    <w:p w14:paraId="6757BD29">
      <w:pPr>
        <w:pStyle w:val="32"/>
        <w:jc w:val="center"/>
        <w:rPr>
          <w:rFonts w:ascii="Times New Roman" w:hAnsi="Times New Roman" w:eastAsia="仿宋" w:cs="Times New Roman"/>
          <w:color w:val="auto"/>
        </w:rPr>
      </w:pPr>
    </w:p>
    <w:p w14:paraId="2C00BF0A">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2"/>
        <w:jc w:val="both"/>
        <w:rPr>
          <w:rFonts w:ascii="Times New Roman" w:hAnsi="Times New Roman" w:eastAsia="仿宋" w:cs="Times New Roman"/>
          <w:color w:val="auto"/>
        </w:rPr>
      </w:pPr>
    </w:p>
    <w:p w14:paraId="46E4D155">
      <w:pPr>
        <w:pStyle w:val="32"/>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2"/>
        <w:jc w:val="center"/>
        <w:rPr>
          <w:rFonts w:ascii="Times New Roman" w:hAnsi="Times New Roman" w:eastAsia="仿宋" w:cs="Times New Roman"/>
          <w:color w:val="auto"/>
        </w:rPr>
      </w:pPr>
    </w:p>
    <w:p w14:paraId="53CC06E9">
      <w:pPr>
        <w:pStyle w:val="32"/>
        <w:jc w:val="center"/>
        <w:rPr>
          <w:rFonts w:ascii="Times New Roman" w:hAnsi="Times New Roman" w:eastAsia="仿宋" w:cs="Times New Roman"/>
          <w:color w:val="auto"/>
        </w:rPr>
      </w:pPr>
    </w:p>
    <w:p w14:paraId="55320CDB">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2"/>
        <w:jc w:val="both"/>
        <w:rPr>
          <w:rFonts w:ascii="Times New Roman" w:hAnsi="Times New Roman" w:eastAsia="仿宋" w:cs="Times New Roman"/>
          <w:color w:val="auto"/>
          <w:sz w:val="32"/>
          <w:szCs w:val="32"/>
        </w:rPr>
      </w:pPr>
    </w:p>
    <w:p w14:paraId="31D6EAC3">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1CF8FCEE">
      <w:pPr>
        <w:pStyle w:val="32"/>
        <w:jc w:val="center"/>
        <w:rPr>
          <w:rFonts w:ascii="Times New Roman" w:hAnsi="Times New Roman" w:eastAsia="仿宋" w:cs="Times New Roman"/>
          <w:b/>
          <w:bCs/>
          <w:color w:val="auto"/>
        </w:rPr>
      </w:pPr>
    </w:p>
    <w:p w14:paraId="170BF1E2">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2"/>
        <w:jc w:val="center"/>
        <w:rPr>
          <w:rFonts w:ascii="Times New Roman" w:hAnsi="Times New Roman" w:eastAsia="仿宋" w:cs="Times New Roman"/>
          <w:color w:val="auto"/>
        </w:rPr>
      </w:pPr>
    </w:p>
    <w:p w14:paraId="1D1D42B9">
      <w:pPr>
        <w:pStyle w:val="2"/>
        <w:snapToGrid w:val="0"/>
        <w:spacing w:after="0" w:line="500" w:lineRule="exact"/>
        <w:ind w:firstLine="480" w:firstLineChars="200"/>
        <w:rPr>
          <w:rFonts w:ascii="Times New Roman" w:hAnsi="Times New Roman" w:eastAsia="仿宋" w:cs="Times New Roman"/>
          <w:sz w:val="24"/>
        </w:rPr>
      </w:pPr>
    </w:p>
    <w:p w14:paraId="069582C9">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4"/>
        <w:ind w:firstLine="0"/>
        <w:rPr>
          <w:szCs w:val="32"/>
        </w:rPr>
      </w:pPr>
      <w:r>
        <w:rPr>
          <w:szCs w:val="32"/>
        </w:rPr>
        <w:br w:type="page"/>
      </w:r>
      <w:bookmarkStart w:id="73" w:name="_Toc26969"/>
      <w:bookmarkStart w:id="74" w:name="_Toc16435"/>
      <w:bookmarkStart w:id="75" w:name="_Toc1074"/>
      <w:bookmarkStart w:id="76" w:name="_Toc23967"/>
      <w:bookmarkStart w:id="77" w:name="_Toc2041"/>
      <w:bookmarkStart w:id="78" w:name="_Toc12967"/>
      <w:r>
        <w:rPr>
          <w:rStyle w:val="41"/>
          <w:b/>
        </w:rPr>
        <w:t>采购需求偏离表</w:t>
      </w:r>
      <w:bookmarkEnd w:id="73"/>
      <w:bookmarkEnd w:id="74"/>
      <w:bookmarkEnd w:id="75"/>
      <w:bookmarkEnd w:id="76"/>
      <w:bookmarkEnd w:id="77"/>
      <w:bookmarkEnd w:id="78"/>
    </w:p>
    <w:p w14:paraId="5B84959E">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2"/>
        <w:jc w:val="center"/>
        <w:rPr>
          <w:rFonts w:ascii="Times New Roman" w:hAnsi="Times New Roman" w:eastAsia="仿宋" w:cs="Times New Roman"/>
          <w:color w:val="auto"/>
          <w:sz w:val="32"/>
          <w:szCs w:val="32"/>
        </w:rPr>
      </w:pPr>
    </w:p>
    <w:p w14:paraId="65866D1F">
      <w:pPr>
        <w:pStyle w:val="4"/>
        <w:ind w:firstLine="0"/>
        <w:rPr>
          <w:bCs/>
          <w:szCs w:val="32"/>
        </w:rPr>
      </w:pPr>
      <w:r>
        <w:rPr>
          <w:szCs w:val="32"/>
        </w:rPr>
        <w:br w:type="page"/>
      </w:r>
      <w:bookmarkStart w:id="79" w:name="_Toc26839"/>
      <w:bookmarkStart w:id="80" w:name="_Toc24806"/>
      <w:bookmarkStart w:id="81" w:name="_Toc21082"/>
      <w:bookmarkStart w:id="82" w:name="_Toc31686"/>
      <w:bookmarkStart w:id="83" w:name="_Toc1369"/>
      <w:bookmarkStart w:id="84" w:name="_Toc28634"/>
      <w:r>
        <w:rPr>
          <w:rStyle w:val="41"/>
          <w:b/>
        </w:rPr>
        <w:t>评分需要提供的证明材料</w:t>
      </w:r>
      <w:bookmarkEnd w:id="79"/>
      <w:bookmarkEnd w:id="80"/>
      <w:bookmarkEnd w:id="81"/>
      <w:bookmarkEnd w:id="82"/>
      <w:bookmarkEnd w:id="83"/>
      <w:bookmarkEnd w:id="84"/>
    </w:p>
    <w:p w14:paraId="71151EFE">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2"/>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1483D64D">
      <w:pPr>
        <w:pStyle w:val="4"/>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2"/>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2"/>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2"/>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2"/>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1843"/>
        <w:gridCol w:w="1985"/>
        <w:gridCol w:w="1417"/>
        <w:gridCol w:w="1418"/>
        <w:gridCol w:w="850"/>
        <w:gridCol w:w="567"/>
        <w:gridCol w:w="995"/>
      </w:tblGrid>
      <w:tr w14:paraId="7BD84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72" w:type="dxa"/>
            <w:vAlign w:val="center"/>
          </w:tcPr>
          <w:p w14:paraId="2CF60CA8">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序号</w:t>
            </w:r>
          </w:p>
        </w:tc>
        <w:tc>
          <w:tcPr>
            <w:tcW w:w="1843" w:type="dxa"/>
            <w:vAlign w:val="center"/>
          </w:tcPr>
          <w:p w14:paraId="76504FC3">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采购标的名称</w:t>
            </w:r>
          </w:p>
        </w:tc>
        <w:tc>
          <w:tcPr>
            <w:tcW w:w="1985" w:type="dxa"/>
            <w:vAlign w:val="center"/>
          </w:tcPr>
          <w:p w14:paraId="0210D7AA">
            <w:pPr>
              <w:spacing w:line="360" w:lineRule="auto"/>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响应产品名称</w:t>
            </w:r>
          </w:p>
        </w:tc>
        <w:tc>
          <w:tcPr>
            <w:tcW w:w="1417" w:type="dxa"/>
            <w:vAlign w:val="center"/>
          </w:tcPr>
          <w:p w14:paraId="5B2E56EB">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生产厂家</w:t>
            </w:r>
          </w:p>
        </w:tc>
        <w:tc>
          <w:tcPr>
            <w:tcW w:w="1418" w:type="dxa"/>
            <w:vAlign w:val="center"/>
          </w:tcPr>
          <w:p w14:paraId="1BC95E20">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规格型号</w:t>
            </w:r>
          </w:p>
        </w:tc>
        <w:tc>
          <w:tcPr>
            <w:tcW w:w="850" w:type="dxa"/>
            <w:vAlign w:val="center"/>
          </w:tcPr>
          <w:p w14:paraId="172CB98F">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单价（元）</w:t>
            </w:r>
          </w:p>
        </w:tc>
        <w:tc>
          <w:tcPr>
            <w:tcW w:w="567" w:type="dxa"/>
            <w:vAlign w:val="center"/>
          </w:tcPr>
          <w:p w14:paraId="29D764D0">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数量</w:t>
            </w:r>
          </w:p>
        </w:tc>
        <w:tc>
          <w:tcPr>
            <w:tcW w:w="995" w:type="dxa"/>
            <w:vAlign w:val="center"/>
          </w:tcPr>
          <w:p w14:paraId="47434C70">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总价（元）</w:t>
            </w:r>
          </w:p>
        </w:tc>
      </w:tr>
      <w:tr w14:paraId="4438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33FA3AA9">
            <w:pPr>
              <w:pStyle w:val="2"/>
              <w:spacing w:line="360" w:lineRule="auto"/>
              <w:jc w:val="center"/>
              <w:rPr>
                <w:rFonts w:ascii="Times New Roman" w:hAnsi="Times New Roman" w:eastAsia="仿宋" w:cs="Times New Roman"/>
                <w:szCs w:val="21"/>
              </w:rPr>
            </w:pPr>
            <w:r>
              <w:rPr>
                <w:rFonts w:ascii="Times New Roman" w:hAnsi="Times New Roman" w:eastAsia="仿宋" w:cs="Times New Roman"/>
                <w:szCs w:val="21"/>
              </w:rPr>
              <w:t>1</w:t>
            </w:r>
          </w:p>
        </w:tc>
        <w:tc>
          <w:tcPr>
            <w:tcW w:w="1843" w:type="dxa"/>
            <w:vAlign w:val="center"/>
          </w:tcPr>
          <w:p w14:paraId="21A93F89">
            <w:pPr>
              <w:pStyle w:val="2"/>
              <w:spacing w:line="360" w:lineRule="auto"/>
              <w:jc w:val="center"/>
              <w:rPr>
                <w:rFonts w:ascii="Times New Roman" w:hAnsi="Times New Roman" w:eastAsia="仿宋" w:cs="Times New Roman"/>
                <w:szCs w:val="21"/>
              </w:rPr>
            </w:pPr>
            <w:r>
              <w:rPr>
                <w:rFonts w:hint="eastAsia" w:ascii="Times New Roman" w:hAnsi="Times New Roman" w:eastAsia="仿宋" w:cs="Times New Roman"/>
                <w:szCs w:val="21"/>
              </w:rPr>
              <w:t>行风智能管理系统</w:t>
            </w:r>
          </w:p>
        </w:tc>
        <w:tc>
          <w:tcPr>
            <w:tcW w:w="1985" w:type="dxa"/>
            <w:vAlign w:val="center"/>
          </w:tcPr>
          <w:p w14:paraId="74F731F3">
            <w:pPr>
              <w:pStyle w:val="2"/>
              <w:spacing w:line="360" w:lineRule="auto"/>
              <w:jc w:val="center"/>
              <w:rPr>
                <w:rFonts w:ascii="Times New Roman" w:hAnsi="Times New Roman" w:eastAsia="仿宋" w:cs="Times New Roman"/>
                <w:szCs w:val="21"/>
              </w:rPr>
            </w:pPr>
          </w:p>
        </w:tc>
        <w:tc>
          <w:tcPr>
            <w:tcW w:w="1417" w:type="dxa"/>
            <w:vAlign w:val="center"/>
          </w:tcPr>
          <w:p w14:paraId="4A44268C">
            <w:pPr>
              <w:pStyle w:val="2"/>
              <w:spacing w:line="360" w:lineRule="auto"/>
              <w:jc w:val="center"/>
              <w:rPr>
                <w:rFonts w:ascii="Times New Roman" w:hAnsi="Times New Roman" w:eastAsia="仿宋" w:cs="Times New Roman"/>
                <w:szCs w:val="21"/>
              </w:rPr>
            </w:pPr>
          </w:p>
        </w:tc>
        <w:tc>
          <w:tcPr>
            <w:tcW w:w="1418" w:type="dxa"/>
            <w:vAlign w:val="center"/>
          </w:tcPr>
          <w:p w14:paraId="338798A9">
            <w:pPr>
              <w:pStyle w:val="2"/>
              <w:spacing w:line="360" w:lineRule="auto"/>
              <w:jc w:val="center"/>
              <w:rPr>
                <w:rFonts w:ascii="Times New Roman" w:hAnsi="Times New Roman" w:eastAsia="仿宋" w:cs="Times New Roman"/>
                <w:szCs w:val="21"/>
              </w:rPr>
            </w:pPr>
          </w:p>
        </w:tc>
        <w:tc>
          <w:tcPr>
            <w:tcW w:w="850" w:type="dxa"/>
            <w:vAlign w:val="center"/>
          </w:tcPr>
          <w:p w14:paraId="73F85007">
            <w:pPr>
              <w:pStyle w:val="2"/>
              <w:spacing w:line="360" w:lineRule="auto"/>
              <w:jc w:val="center"/>
              <w:rPr>
                <w:rFonts w:ascii="Times New Roman" w:hAnsi="Times New Roman" w:eastAsia="仿宋" w:cs="Times New Roman"/>
                <w:szCs w:val="21"/>
              </w:rPr>
            </w:pPr>
          </w:p>
        </w:tc>
        <w:tc>
          <w:tcPr>
            <w:tcW w:w="567" w:type="dxa"/>
            <w:vAlign w:val="center"/>
          </w:tcPr>
          <w:p w14:paraId="18230512">
            <w:pPr>
              <w:pStyle w:val="2"/>
              <w:spacing w:line="360" w:lineRule="auto"/>
              <w:jc w:val="center"/>
              <w:rPr>
                <w:rFonts w:ascii="Times New Roman" w:hAnsi="Times New Roman" w:eastAsia="仿宋" w:cs="Times New Roman"/>
                <w:szCs w:val="21"/>
              </w:rPr>
            </w:pPr>
          </w:p>
        </w:tc>
        <w:tc>
          <w:tcPr>
            <w:tcW w:w="995" w:type="dxa"/>
            <w:vAlign w:val="center"/>
          </w:tcPr>
          <w:p w14:paraId="12864601">
            <w:pPr>
              <w:pStyle w:val="2"/>
              <w:spacing w:line="360" w:lineRule="auto"/>
              <w:jc w:val="center"/>
              <w:rPr>
                <w:rFonts w:ascii="Times New Roman" w:hAnsi="Times New Roman" w:eastAsia="仿宋" w:cs="Times New Roman"/>
                <w:szCs w:val="21"/>
              </w:rPr>
            </w:pPr>
          </w:p>
        </w:tc>
      </w:tr>
      <w:tr w14:paraId="35D0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2415" w:type="dxa"/>
            <w:gridSpan w:val="2"/>
            <w:vAlign w:val="center"/>
          </w:tcPr>
          <w:p w14:paraId="4E78903A">
            <w:pPr>
              <w:spacing w:line="360" w:lineRule="auto"/>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报价合计</w:t>
            </w:r>
          </w:p>
        </w:tc>
        <w:tc>
          <w:tcPr>
            <w:tcW w:w="7232" w:type="dxa"/>
            <w:gridSpan w:val="6"/>
            <w:vAlign w:val="center"/>
          </w:tcPr>
          <w:p w14:paraId="0241EA93">
            <w:pPr>
              <w:spacing w:line="360" w:lineRule="auto"/>
              <w:ind w:firstLine="105" w:firstLineChars="50"/>
              <w:jc w:val="left"/>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 xml:space="preserve">大写：       </w:t>
            </w:r>
            <w:r>
              <w:rPr>
                <w:rFonts w:hint="eastAsia" w:ascii="Times New Roman" w:hAnsi="Times New Roman" w:eastAsia="仿宋" w:cs="Times New Roman"/>
                <w:kern w:val="0"/>
                <w:szCs w:val="21"/>
                <w:lang w:val="zh-TW"/>
              </w:rPr>
              <w:t xml:space="preserve">    </w:t>
            </w:r>
            <w:r>
              <w:rPr>
                <w:rFonts w:ascii="Times New Roman" w:hAnsi="Times New Roman" w:eastAsia="仿宋" w:cs="Times New Roman"/>
                <w:kern w:val="0"/>
                <w:szCs w:val="21"/>
                <w:lang w:val="zh-TW" w:eastAsia="zh-TW"/>
              </w:rPr>
              <w:t>小写：</w:t>
            </w:r>
          </w:p>
        </w:tc>
      </w:tr>
      <w:tr w14:paraId="31A6F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9647" w:type="dxa"/>
            <w:gridSpan w:val="8"/>
            <w:vAlign w:val="center"/>
          </w:tcPr>
          <w:p w14:paraId="452C7A4D">
            <w:pPr>
              <w:spacing w:line="360" w:lineRule="auto"/>
              <w:ind w:firstLine="105" w:firstLineChars="50"/>
              <w:jc w:val="left"/>
              <w:rPr>
                <w:rFonts w:ascii="Times New Roman" w:hAnsi="Times New Roman" w:eastAsia="仿宋" w:cs="Times New Roman"/>
                <w:kern w:val="0"/>
                <w:szCs w:val="21"/>
                <w:lang w:val="zh-TW" w:eastAsia="zh-TW"/>
              </w:rPr>
            </w:pPr>
            <w:r>
              <w:rPr>
                <w:rFonts w:hint="eastAsia" w:ascii="仿宋" w:hAnsi="仿宋" w:eastAsia="仿宋" w:cs="仿宋"/>
                <w:color w:val="auto"/>
                <w:kern w:val="0"/>
                <w:szCs w:val="21"/>
                <w:lang w:val="en-US" w:eastAsia="zh-CN"/>
              </w:rPr>
              <w:t>服务期：</w:t>
            </w:r>
          </w:p>
        </w:tc>
      </w:tr>
    </w:tbl>
    <w:p w14:paraId="693EC29D">
      <w:pPr>
        <w:pStyle w:val="2"/>
        <w:rPr>
          <w:rFonts w:ascii="Times New Roman" w:hAnsi="Times New Roman" w:eastAsia="仿宋" w:cs="Times New Roman"/>
          <w:szCs w:val="21"/>
        </w:rPr>
      </w:pPr>
    </w:p>
    <w:p w14:paraId="5FD51B88">
      <w:pPr>
        <w:pStyle w:val="2"/>
        <w:rPr>
          <w:rFonts w:ascii="Times New Roman" w:hAnsi="Times New Roman" w:eastAsia="仿宋" w:cs="Times New Roman"/>
          <w:b/>
          <w:bCs/>
          <w:szCs w:val="21"/>
          <w:lang w:val="zh-TW" w:eastAsia="zh-TW"/>
        </w:rPr>
      </w:pPr>
      <w:r>
        <w:rPr>
          <w:rFonts w:ascii="Times New Roman" w:hAnsi="Times New Roman" w:eastAsia="仿宋" w:cs="Times New Roman"/>
          <w:b/>
          <w:bCs/>
          <w:szCs w:val="21"/>
        </w:rPr>
        <w:t>2.</w:t>
      </w:r>
      <w:r>
        <w:rPr>
          <w:rFonts w:ascii="Times New Roman" w:hAnsi="Times New Roman" w:eastAsia="仿宋" w:cs="Times New Roman"/>
          <w:b/>
          <w:bCs/>
          <w:szCs w:val="21"/>
          <w:lang w:val="zh-TW" w:eastAsia="zh-TW"/>
        </w:rPr>
        <w:t>分项报价</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074"/>
        <w:gridCol w:w="2234"/>
        <w:gridCol w:w="1595"/>
        <w:gridCol w:w="1596"/>
        <w:gridCol w:w="957"/>
        <w:gridCol w:w="638"/>
        <w:gridCol w:w="1120"/>
      </w:tblGrid>
      <w:tr w14:paraId="2CDD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1843" w:type="dxa"/>
            <w:vAlign w:val="center"/>
          </w:tcPr>
          <w:p w14:paraId="0D8E1257">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响应产品</w:t>
            </w:r>
            <w:r>
              <w:rPr>
                <w:rFonts w:ascii="Times New Roman" w:hAnsi="Times New Roman" w:eastAsia="仿宋" w:cs="Times New Roman"/>
                <w:kern w:val="0"/>
                <w:szCs w:val="21"/>
                <w:lang w:val="zh-TW" w:eastAsia="zh-TW"/>
              </w:rPr>
              <w:t>名称</w:t>
            </w:r>
          </w:p>
        </w:tc>
        <w:tc>
          <w:tcPr>
            <w:tcW w:w="1985" w:type="dxa"/>
            <w:vAlign w:val="center"/>
          </w:tcPr>
          <w:p w14:paraId="1E625698">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zh-TW" w:eastAsia="zh-TW"/>
              </w:rPr>
              <w:t>分项报价内容</w:t>
            </w:r>
          </w:p>
        </w:tc>
        <w:tc>
          <w:tcPr>
            <w:tcW w:w="1417" w:type="dxa"/>
            <w:vAlign w:val="center"/>
          </w:tcPr>
          <w:p w14:paraId="3DA0C788">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生产厂家</w:t>
            </w:r>
          </w:p>
        </w:tc>
        <w:tc>
          <w:tcPr>
            <w:tcW w:w="1418" w:type="dxa"/>
            <w:vAlign w:val="center"/>
          </w:tcPr>
          <w:p w14:paraId="5C137CBA">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规格型号</w:t>
            </w:r>
          </w:p>
        </w:tc>
        <w:tc>
          <w:tcPr>
            <w:tcW w:w="850" w:type="dxa"/>
            <w:vAlign w:val="center"/>
          </w:tcPr>
          <w:p w14:paraId="72A4E0FB">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单</w:t>
            </w:r>
            <w:r>
              <w:rPr>
                <w:rFonts w:hint="eastAsia" w:ascii="Times New Roman" w:hAnsi="Times New Roman" w:eastAsia="仿宋" w:cs="Times New Roman"/>
                <w:kern w:val="0"/>
                <w:szCs w:val="21"/>
                <w:lang w:val="zh-TW" w:eastAsia="zh-TW"/>
              </w:rPr>
              <w:t>价</w:t>
            </w:r>
            <w:r>
              <w:rPr>
                <w:rFonts w:ascii="Times New Roman" w:hAnsi="Times New Roman" w:eastAsia="仿宋" w:cs="Times New Roman"/>
                <w:kern w:val="0"/>
                <w:szCs w:val="21"/>
                <w:lang w:val="zh-TW" w:eastAsia="zh-TW"/>
              </w:rPr>
              <w:t>（元）</w:t>
            </w:r>
          </w:p>
        </w:tc>
        <w:tc>
          <w:tcPr>
            <w:tcW w:w="567" w:type="dxa"/>
            <w:vAlign w:val="center"/>
          </w:tcPr>
          <w:p w14:paraId="3A57EF3A">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数量</w:t>
            </w:r>
          </w:p>
        </w:tc>
        <w:tc>
          <w:tcPr>
            <w:tcW w:w="995" w:type="dxa"/>
            <w:vAlign w:val="center"/>
          </w:tcPr>
          <w:p w14:paraId="5A814914">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总价（元）</w:t>
            </w:r>
          </w:p>
        </w:tc>
      </w:tr>
      <w:tr w14:paraId="171E7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14:paraId="451C5036">
            <w:pPr>
              <w:pStyle w:val="2"/>
              <w:jc w:val="center"/>
              <w:rPr>
                <w:rFonts w:ascii="Times New Roman" w:hAnsi="Times New Roman" w:eastAsia="仿宋" w:cs="Times New Roman"/>
                <w:szCs w:val="21"/>
              </w:rPr>
            </w:pPr>
          </w:p>
        </w:tc>
        <w:tc>
          <w:tcPr>
            <w:tcW w:w="1985" w:type="dxa"/>
            <w:vAlign w:val="center"/>
          </w:tcPr>
          <w:p w14:paraId="6A3E00C8">
            <w:pPr>
              <w:pStyle w:val="2"/>
              <w:jc w:val="center"/>
              <w:rPr>
                <w:rFonts w:ascii="Times New Roman" w:hAnsi="Times New Roman" w:eastAsia="仿宋" w:cs="Times New Roman"/>
                <w:szCs w:val="21"/>
              </w:rPr>
            </w:pPr>
          </w:p>
        </w:tc>
        <w:tc>
          <w:tcPr>
            <w:tcW w:w="1417" w:type="dxa"/>
            <w:vAlign w:val="center"/>
          </w:tcPr>
          <w:p w14:paraId="67B0D856">
            <w:pPr>
              <w:pStyle w:val="2"/>
              <w:jc w:val="center"/>
              <w:rPr>
                <w:rFonts w:ascii="Times New Roman" w:hAnsi="Times New Roman" w:eastAsia="仿宋" w:cs="Times New Roman"/>
                <w:szCs w:val="21"/>
              </w:rPr>
            </w:pPr>
          </w:p>
        </w:tc>
        <w:tc>
          <w:tcPr>
            <w:tcW w:w="1418" w:type="dxa"/>
            <w:vAlign w:val="center"/>
          </w:tcPr>
          <w:p w14:paraId="066859BA">
            <w:pPr>
              <w:pStyle w:val="2"/>
              <w:jc w:val="center"/>
              <w:rPr>
                <w:rFonts w:ascii="Times New Roman" w:hAnsi="Times New Roman" w:eastAsia="仿宋" w:cs="Times New Roman"/>
                <w:szCs w:val="21"/>
              </w:rPr>
            </w:pPr>
          </w:p>
        </w:tc>
        <w:tc>
          <w:tcPr>
            <w:tcW w:w="850" w:type="dxa"/>
            <w:vAlign w:val="center"/>
          </w:tcPr>
          <w:p w14:paraId="6C46D90F">
            <w:pPr>
              <w:pStyle w:val="2"/>
              <w:jc w:val="center"/>
              <w:rPr>
                <w:rFonts w:ascii="Times New Roman" w:hAnsi="Times New Roman" w:eastAsia="仿宋" w:cs="Times New Roman"/>
                <w:szCs w:val="21"/>
              </w:rPr>
            </w:pPr>
          </w:p>
        </w:tc>
        <w:tc>
          <w:tcPr>
            <w:tcW w:w="567" w:type="dxa"/>
            <w:vAlign w:val="center"/>
          </w:tcPr>
          <w:p w14:paraId="7501FFE5">
            <w:pPr>
              <w:pStyle w:val="2"/>
              <w:jc w:val="center"/>
              <w:rPr>
                <w:rFonts w:ascii="Times New Roman" w:hAnsi="Times New Roman" w:eastAsia="仿宋" w:cs="Times New Roman"/>
                <w:szCs w:val="21"/>
              </w:rPr>
            </w:pPr>
          </w:p>
        </w:tc>
        <w:tc>
          <w:tcPr>
            <w:tcW w:w="995" w:type="dxa"/>
            <w:vAlign w:val="center"/>
          </w:tcPr>
          <w:p w14:paraId="68C2E029">
            <w:pPr>
              <w:pStyle w:val="2"/>
              <w:jc w:val="center"/>
              <w:rPr>
                <w:rFonts w:ascii="Times New Roman" w:hAnsi="Times New Roman" w:eastAsia="仿宋" w:cs="Times New Roman"/>
                <w:szCs w:val="21"/>
              </w:rPr>
            </w:pPr>
          </w:p>
        </w:tc>
      </w:tr>
      <w:tr w14:paraId="260D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14:paraId="076F3292">
            <w:pPr>
              <w:pStyle w:val="2"/>
              <w:jc w:val="center"/>
              <w:rPr>
                <w:rFonts w:ascii="Times New Roman" w:hAnsi="Times New Roman" w:eastAsia="仿宋" w:cs="Times New Roman"/>
                <w:szCs w:val="21"/>
              </w:rPr>
            </w:pPr>
          </w:p>
        </w:tc>
        <w:tc>
          <w:tcPr>
            <w:tcW w:w="1985" w:type="dxa"/>
            <w:vAlign w:val="center"/>
          </w:tcPr>
          <w:p w14:paraId="4FF3BCB7">
            <w:pPr>
              <w:pStyle w:val="2"/>
              <w:jc w:val="center"/>
              <w:rPr>
                <w:rFonts w:ascii="Times New Roman" w:hAnsi="Times New Roman" w:eastAsia="仿宋" w:cs="Times New Roman"/>
                <w:szCs w:val="21"/>
              </w:rPr>
            </w:pPr>
          </w:p>
        </w:tc>
        <w:tc>
          <w:tcPr>
            <w:tcW w:w="1417" w:type="dxa"/>
            <w:vAlign w:val="center"/>
          </w:tcPr>
          <w:p w14:paraId="549BA2BA">
            <w:pPr>
              <w:pStyle w:val="2"/>
              <w:jc w:val="center"/>
              <w:rPr>
                <w:rFonts w:ascii="Times New Roman" w:hAnsi="Times New Roman" w:eastAsia="仿宋" w:cs="Times New Roman"/>
                <w:szCs w:val="21"/>
              </w:rPr>
            </w:pPr>
          </w:p>
        </w:tc>
        <w:tc>
          <w:tcPr>
            <w:tcW w:w="1418" w:type="dxa"/>
            <w:vAlign w:val="center"/>
          </w:tcPr>
          <w:p w14:paraId="71BEA923">
            <w:pPr>
              <w:pStyle w:val="2"/>
              <w:jc w:val="center"/>
              <w:rPr>
                <w:rFonts w:ascii="Times New Roman" w:hAnsi="Times New Roman" w:eastAsia="仿宋" w:cs="Times New Roman"/>
                <w:szCs w:val="21"/>
              </w:rPr>
            </w:pPr>
          </w:p>
        </w:tc>
        <w:tc>
          <w:tcPr>
            <w:tcW w:w="850" w:type="dxa"/>
            <w:vAlign w:val="center"/>
          </w:tcPr>
          <w:p w14:paraId="3A6B8F50">
            <w:pPr>
              <w:pStyle w:val="2"/>
              <w:jc w:val="center"/>
              <w:rPr>
                <w:rFonts w:ascii="Times New Roman" w:hAnsi="Times New Roman" w:eastAsia="仿宋" w:cs="Times New Roman"/>
                <w:szCs w:val="21"/>
              </w:rPr>
            </w:pPr>
          </w:p>
        </w:tc>
        <w:tc>
          <w:tcPr>
            <w:tcW w:w="567" w:type="dxa"/>
            <w:vAlign w:val="center"/>
          </w:tcPr>
          <w:p w14:paraId="4B65C39B">
            <w:pPr>
              <w:pStyle w:val="2"/>
              <w:jc w:val="center"/>
              <w:rPr>
                <w:rFonts w:ascii="Times New Roman" w:hAnsi="Times New Roman" w:eastAsia="仿宋" w:cs="Times New Roman"/>
                <w:szCs w:val="21"/>
              </w:rPr>
            </w:pPr>
          </w:p>
        </w:tc>
        <w:tc>
          <w:tcPr>
            <w:tcW w:w="995" w:type="dxa"/>
            <w:vAlign w:val="center"/>
          </w:tcPr>
          <w:p w14:paraId="1A0DFF75">
            <w:pPr>
              <w:pStyle w:val="2"/>
              <w:jc w:val="center"/>
              <w:rPr>
                <w:rFonts w:ascii="Times New Roman" w:hAnsi="Times New Roman" w:eastAsia="仿宋" w:cs="Times New Roman"/>
                <w:szCs w:val="21"/>
              </w:rPr>
            </w:pPr>
          </w:p>
        </w:tc>
      </w:tr>
      <w:tr w14:paraId="55BE6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14:paraId="7D415413">
            <w:pPr>
              <w:pStyle w:val="2"/>
              <w:jc w:val="center"/>
              <w:rPr>
                <w:rFonts w:ascii="Times New Roman" w:hAnsi="Times New Roman" w:eastAsia="仿宋" w:cs="Times New Roman"/>
                <w:szCs w:val="21"/>
              </w:rPr>
            </w:pPr>
          </w:p>
        </w:tc>
        <w:tc>
          <w:tcPr>
            <w:tcW w:w="1985" w:type="dxa"/>
            <w:vAlign w:val="center"/>
          </w:tcPr>
          <w:p w14:paraId="4E436A4B">
            <w:pPr>
              <w:pStyle w:val="2"/>
              <w:jc w:val="center"/>
              <w:rPr>
                <w:rFonts w:ascii="Times New Roman" w:hAnsi="Times New Roman" w:eastAsia="仿宋" w:cs="Times New Roman"/>
                <w:szCs w:val="21"/>
              </w:rPr>
            </w:pPr>
          </w:p>
        </w:tc>
        <w:tc>
          <w:tcPr>
            <w:tcW w:w="1417" w:type="dxa"/>
            <w:vAlign w:val="center"/>
          </w:tcPr>
          <w:p w14:paraId="0B518FCC">
            <w:pPr>
              <w:pStyle w:val="2"/>
              <w:jc w:val="center"/>
              <w:rPr>
                <w:rFonts w:ascii="Times New Roman" w:hAnsi="Times New Roman" w:eastAsia="仿宋" w:cs="Times New Roman"/>
                <w:szCs w:val="21"/>
              </w:rPr>
            </w:pPr>
          </w:p>
        </w:tc>
        <w:tc>
          <w:tcPr>
            <w:tcW w:w="1418" w:type="dxa"/>
            <w:vAlign w:val="center"/>
          </w:tcPr>
          <w:p w14:paraId="530642B3">
            <w:pPr>
              <w:pStyle w:val="2"/>
              <w:jc w:val="center"/>
              <w:rPr>
                <w:rFonts w:ascii="Times New Roman" w:hAnsi="Times New Roman" w:eastAsia="仿宋" w:cs="Times New Roman"/>
                <w:szCs w:val="21"/>
              </w:rPr>
            </w:pPr>
          </w:p>
        </w:tc>
        <w:tc>
          <w:tcPr>
            <w:tcW w:w="850" w:type="dxa"/>
            <w:vAlign w:val="center"/>
          </w:tcPr>
          <w:p w14:paraId="3239B2B5">
            <w:pPr>
              <w:pStyle w:val="2"/>
              <w:jc w:val="center"/>
              <w:rPr>
                <w:rFonts w:ascii="Times New Roman" w:hAnsi="Times New Roman" w:eastAsia="仿宋" w:cs="Times New Roman"/>
                <w:szCs w:val="21"/>
              </w:rPr>
            </w:pPr>
          </w:p>
        </w:tc>
        <w:tc>
          <w:tcPr>
            <w:tcW w:w="567" w:type="dxa"/>
            <w:vAlign w:val="center"/>
          </w:tcPr>
          <w:p w14:paraId="6A898FE2">
            <w:pPr>
              <w:pStyle w:val="2"/>
              <w:jc w:val="center"/>
              <w:rPr>
                <w:rFonts w:ascii="Times New Roman" w:hAnsi="Times New Roman" w:eastAsia="仿宋" w:cs="Times New Roman"/>
                <w:szCs w:val="21"/>
              </w:rPr>
            </w:pPr>
          </w:p>
        </w:tc>
        <w:tc>
          <w:tcPr>
            <w:tcW w:w="995" w:type="dxa"/>
            <w:vAlign w:val="center"/>
          </w:tcPr>
          <w:p w14:paraId="3A61D1E7">
            <w:pPr>
              <w:pStyle w:val="2"/>
              <w:jc w:val="center"/>
              <w:rPr>
                <w:rFonts w:ascii="Times New Roman" w:hAnsi="Times New Roman" w:eastAsia="仿宋" w:cs="Times New Roman"/>
                <w:szCs w:val="21"/>
              </w:rPr>
            </w:pPr>
          </w:p>
        </w:tc>
      </w:tr>
      <w:tr w14:paraId="39E03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843" w:type="dxa"/>
            <w:vAlign w:val="center"/>
          </w:tcPr>
          <w:p w14:paraId="058DC83F">
            <w:pPr>
              <w:pStyle w:val="2"/>
              <w:jc w:val="center"/>
              <w:rPr>
                <w:rFonts w:ascii="Times New Roman" w:hAnsi="Times New Roman" w:eastAsia="仿宋" w:cs="Times New Roman"/>
                <w:szCs w:val="21"/>
              </w:rPr>
            </w:pPr>
          </w:p>
        </w:tc>
        <w:tc>
          <w:tcPr>
            <w:tcW w:w="1985" w:type="dxa"/>
            <w:vAlign w:val="center"/>
          </w:tcPr>
          <w:p w14:paraId="2B47C3BF">
            <w:pPr>
              <w:pStyle w:val="2"/>
              <w:jc w:val="center"/>
              <w:rPr>
                <w:rFonts w:ascii="Times New Roman" w:hAnsi="Times New Roman" w:eastAsia="仿宋" w:cs="Times New Roman"/>
                <w:szCs w:val="21"/>
              </w:rPr>
            </w:pPr>
          </w:p>
        </w:tc>
        <w:tc>
          <w:tcPr>
            <w:tcW w:w="1417" w:type="dxa"/>
            <w:vAlign w:val="center"/>
          </w:tcPr>
          <w:p w14:paraId="7B2D4C54">
            <w:pPr>
              <w:pStyle w:val="2"/>
              <w:jc w:val="center"/>
              <w:rPr>
                <w:rFonts w:ascii="Times New Roman" w:hAnsi="Times New Roman" w:eastAsia="仿宋" w:cs="Times New Roman"/>
                <w:szCs w:val="21"/>
              </w:rPr>
            </w:pPr>
          </w:p>
        </w:tc>
        <w:tc>
          <w:tcPr>
            <w:tcW w:w="1418" w:type="dxa"/>
            <w:vAlign w:val="center"/>
          </w:tcPr>
          <w:p w14:paraId="13D61978">
            <w:pPr>
              <w:pStyle w:val="2"/>
              <w:jc w:val="center"/>
              <w:rPr>
                <w:rFonts w:ascii="Times New Roman" w:hAnsi="Times New Roman" w:eastAsia="仿宋" w:cs="Times New Roman"/>
                <w:szCs w:val="21"/>
              </w:rPr>
            </w:pPr>
          </w:p>
        </w:tc>
        <w:tc>
          <w:tcPr>
            <w:tcW w:w="850" w:type="dxa"/>
            <w:vAlign w:val="center"/>
          </w:tcPr>
          <w:p w14:paraId="179BDA1A">
            <w:pPr>
              <w:pStyle w:val="2"/>
              <w:jc w:val="center"/>
              <w:rPr>
                <w:rFonts w:ascii="Times New Roman" w:hAnsi="Times New Roman" w:eastAsia="仿宋" w:cs="Times New Roman"/>
                <w:szCs w:val="21"/>
              </w:rPr>
            </w:pPr>
          </w:p>
        </w:tc>
        <w:tc>
          <w:tcPr>
            <w:tcW w:w="567" w:type="dxa"/>
            <w:vAlign w:val="center"/>
          </w:tcPr>
          <w:p w14:paraId="510AD230">
            <w:pPr>
              <w:pStyle w:val="2"/>
              <w:jc w:val="center"/>
              <w:rPr>
                <w:rFonts w:ascii="Times New Roman" w:hAnsi="Times New Roman" w:eastAsia="仿宋" w:cs="Times New Roman"/>
                <w:szCs w:val="21"/>
              </w:rPr>
            </w:pPr>
          </w:p>
        </w:tc>
        <w:tc>
          <w:tcPr>
            <w:tcW w:w="995" w:type="dxa"/>
            <w:vAlign w:val="center"/>
          </w:tcPr>
          <w:p w14:paraId="272E64DD">
            <w:pPr>
              <w:pStyle w:val="2"/>
              <w:jc w:val="center"/>
              <w:rPr>
                <w:rFonts w:ascii="Times New Roman" w:hAnsi="Times New Roman" w:eastAsia="仿宋" w:cs="Times New Roman"/>
                <w:szCs w:val="21"/>
              </w:rPr>
            </w:pPr>
          </w:p>
        </w:tc>
      </w:tr>
    </w:tbl>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2"/>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r>
        <w:rPr>
          <w:rFonts w:hint="eastAsia" w:ascii="Times New Roman" w:hAnsi="Times New Roman" w:eastAsia="仿宋" w:cs="Times New Roman"/>
          <w:b w:val="0"/>
          <w:bCs w:val="0"/>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4"/>
        <w:ind w:firstLine="0"/>
      </w:pPr>
      <w:r>
        <w:t>供应商认为需要提供的其他材料</w:t>
      </w:r>
      <w:bookmarkEnd w:id="85"/>
      <w:bookmarkEnd w:id="86"/>
      <w:bookmarkEnd w:id="87"/>
      <w:bookmarkEnd w:id="89"/>
      <w:bookmarkEnd w:id="90"/>
      <w:bookmarkEnd w:id="91"/>
    </w:p>
    <w:p w14:paraId="29C34B71">
      <w:pPr>
        <w:pStyle w:val="2"/>
        <w:jc w:val="center"/>
        <w:rPr>
          <w:rFonts w:ascii="Times New Roman" w:hAnsi="Times New Roman" w:eastAsia="仿宋" w:cs="Times New Roman"/>
        </w:rPr>
      </w:pPr>
    </w:p>
    <w:p w14:paraId="4431E4F9">
      <w:pPr>
        <w:pStyle w:val="2"/>
        <w:jc w:val="center"/>
        <w:rPr>
          <w:rFonts w:ascii="Times New Roman" w:hAnsi="Times New Roman" w:eastAsia="仿宋" w:cs="Times New Roman"/>
        </w:rPr>
      </w:pPr>
    </w:p>
    <w:p w14:paraId="492A03C4">
      <w:pPr>
        <w:pStyle w:val="2"/>
        <w:jc w:val="center"/>
        <w:rPr>
          <w:rFonts w:ascii="Times New Roman" w:hAnsi="Times New Roman" w:eastAsia="仿宋" w:cs="Times New Roman"/>
        </w:rPr>
      </w:pPr>
    </w:p>
    <w:p w14:paraId="6BDF51D7">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3"/>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8D02568">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4A0D0C8F">
      <w:pPr>
        <w:jc w:val="center"/>
        <w:rPr>
          <w:rFonts w:ascii="黑体" w:hAnsi="黑体" w:eastAsia="黑体"/>
          <w:b/>
          <w:bCs/>
          <w:sz w:val="48"/>
          <w:szCs w:val="48"/>
        </w:rPr>
      </w:pPr>
      <w:r>
        <w:rPr>
          <w:rFonts w:hint="eastAsia" w:ascii="黑体" w:hAnsi="黑体" w:eastAsia="黑体"/>
          <w:b/>
          <w:bCs/>
          <w:sz w:val="48"/>
          <w:szCs w:val="48"/>
        </w:rPr>
        <w:t>软 件</w:t>
      </w:r>
      <w:r>
        <w:rPr>
          <w:rFonts w:ascii="黑体" w:hAnsi="黑体" w:eastAsia="黑体"/>
          <w:b/>
          <w:bCs/>
          <w:sz w:val="48"/>
          <w:szCs w:val="48"/>
        </w:rPr>
        <w:t xml:space="preserve"> </w:t>
      </w:r>
      <w:r>
        <w:rPr>
          <w:rFonts w:hint="eastAsia" w:ascii="黑体" w:hAnsi="黑体" w:eastAsia="黑体"/>
          <w:b/>
          <w:bCs/>
          <w:sz w:val="48"/>
          <w:szCs w:val="48"/>
        </w:rPr>
        <w:t xml:space="preserve">开 发 </w:t>
      </w:r>
      <w:r>
        <w:rPr>
          <w:rFonts w:ascii="黑体" w:hAnsi="黑体" w:eastAsia="黑体"/>
          <w:b/>
          <w:bCs/>
          <w:sz w:val="48"/>
          <w:szCs w:val="48"/>
        </w:rPr>
        <w:t>合 同</w:t>
      </w:r>
    </w:p>
    <w:p w14:paraId="1BD19B4F">
      <w:pPr>
        <w:shd w:val="clear"/>
        <w:spacing w:line="360" w:lineRule="auto"/>
        <w:contextualSpacing/>
        <w:rPr>
          <w:rFonts w:hint="eastAsia" w:ascii="仿宋" w:hAnsi="仿宋" w:eastAsia="仿宋" w:cs="仿宋"/>
          <w:sz w:val="24"/>
          <w:szCs w:val="24"/>
          <w:highlight w:val="none"/>
        </w:rPr>
      </w:pPr>
      <w:permStart w:id="0" w:edGrp="everyone"/>
    </w:p>
    <w:tbl>
      <w:tblPr>
        <w:tblStyle w:val="18"/>
        <w:tblW w:w="5000" w:type="pct"/>
        <w:jc w:val="center"/>
        <w:tblLayout w:type="autofit"/>
        <w:tblCellMar>
          <w:top w:w="0" w:type="dxa"/>
          <w:left w:w="0" w:type="dxa"/>
          <w:bottom w:w="0" w:type="dxa"/>
          <w:right w:w="0" w:type="dxa"/>
        </w:tblCellMar>
      </w:tblPr>
      <w:tblGrid>
        <w:gridCol w:w="4962"/>
        <w:gridCol w:w="5242"/>
      </w:tblGrid>
      <w:tr w14:paraId="7408ED51">
        <w:tblPrEx>
          <w:tblCellMar>
            <w:top w:w="0" w:type="dxa"/>
            <w:left w:w="0" w:type="dxa"/>
            <w:bottom w:w="0" w:type="dxa"/>
            <w:right w:w="0" w:type="dxa"/>
          </w:tblCellMar>
        </w:tblPrEx>
        <w:trPr>
          <w:trHeight w:val="767" w:hRule="atLeast"/>
          <w:jc w:val="center"/>
        </w:trPr>
        <w:tc>
          <w:tcPr>
            <w:tcW w:w="10204" w:type="dxa"/>
            <w:gridSpan w:val="2"/>
            <w:noWrap w:val="0"/>
            <w:vAlign w:val="top"/>
          </w:tcPr>
          <w:p w14:paraId="2BB2FE8C">
            <w:pPr>
              <w:shd w:val="clear"/>
              <w:spacing w:line="360" w:lineRule="auto"/>
              <w:contextualSpacing/>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合同编号</w:t>
            </w:r>
            <w:r>
              <w:rPr>
                <w:rFonts w:hint="eastAsia" w:ascii="仿宋" w:hAnsi="仿宋" w:eastAsia="仿宋" w:cs="仿宋"/>
                <w:color w:val="000000"/>
                <w:sz w:val="24"/>
                <w:szCs w:val="24"/>
                <w:highlight w:val="none"/>
              </w:rPr>
              <w:t>：CGZX-***</w:t>
            </w:r>
          </w:p>
          <w:p w14:paraId="1436A6F4">
            <w:pPr>
              <w:shd w:val="clear"/>
              <w:spacing w:line="360" w:lineRule="auto"/>
              <w:contextualSpacing/>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签订地点</w:t>
            </w:r>
            <w:r>
              <w:rPr>
                <w:rFonts w:hint="eastAsia" w:ascii="仿宋" w:hAnsi="仿宋" w:eastAsia="仿宋" w:cs="仿宋"/>
                <w:color w:val="000000"/>
                <w:sz w:val="24"/>
                <w:szCs w:val="24"/>
                <w:highlight w:val="none"/>
              </w:rPr>
              <w:t>：四川省人民医院</w:t>
            </w:r>
          </w:p>
        </w:tc>
      </w:tr>
      <w:tr w14:paraId="66A54053">
        <w:tblPrEx>
          <w:tblCellMar>
            <w:top w:w="0" w:type="dxa"/>
            <w:left w:w="0" w:type="dxa"/>
            <w:bottom w:w="0" w:type="dxa"/>
            <w:right w:w="0" w:type="dxa"/>
          </w:tblCellMar>
        </w:tblPrEx>
        <w:trPr>
          <w:jc w:val="center"/>
        </w:trPr>
        <w:tc>
          <w:tcPr>
            <w:tcW w:w="4962" w:type="dxa"/>
            <w:noWrap w:val="0"/>
            <w:vAlign w:val="top"/>
          </w:tcPr>
          <w:p w14:paraId="0920F279">
            <w:pPr>
              <w:shd w:val="clea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采购人（以下简称甲方）</w:t>
            </w:r>
            <w:r>
              <w:rPr>
                <w:rFonts w:hint="eastAsia" w:ascii="仿宋" w:hAnsi="仿宋" w:eastAsia="仿宋" w:cs="仿宋"/>
                <w:sz w:val="24"/>
                <w:szCs w:val="24"/>
                <w:highlight w:val="none"/>
              </w:rPr>
              <w:t>：四川省人民医院</w:t>
            </w:r>
          </w:p>
          <w:p w14:paraId="6F98AB0F">
            <w:pPr>
              <w:shd w:val="clea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地址</w:t>
            </w:r>
            <w:r>
              <w:rPr>
                <w:rFonts w:hint="eastAsia" w:ascii="仿宋" w:hAnsi="仿宋" w:eastAsia="仿宋" w:cs="仿宋"/>
                <w:sz w:val="24"/>
                <w:szCs w:val="24"/>
                <w:highlight w:val="none"/>
              </w:rPr>
              <w:t>：四川省成都市一环路西二段32号</w:t>
            </w:r>
          </w:p>
          <w:p w14:paraId="03903181">
            <w:pPr>
              <w:shd w:val="clea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项目联系人</w:t>
            </w:r>
            <w:r>
              <w:rPr>
                <w:rFonts w:hint="eastAsia" w:ascii="仿宋" w:hAnsi="仿宋" w:eastAsia="仿宋" w:cs="仿宋"/>
                <w:sz w:val="24"/>
                <w:szCs w:val="24"/>
                <w:highlight w:val="none"/>
              </w:rPr>
              <w:t xml:space="preserve">：*** </w:t>
            </w:r>
            <w:r>
              <w:rPr>
                <w:rFonts w:hint="eastAsia" w:ascii="仿宋" w:hAnsi="仿宋" w:eastAsia="仿宋" w:cs="仿宋"/>
                <w:b/>
                <w:bCs/>
                <w:sz w:val="24"/>
                <w:szCs w:val="24"/>
                <w:highlight w:val="none"/>
              </w:rPr>
              <w:t>电话</w:t>
            </w:r>
            <w:r>
              <w:rPr>
                <w:rFonts w:hint="eastAsia" w:ascii="仿宋" w:hAnsi="仿宋" w:eastAsia="仿宋" w:cs="仿宋"/>
                <w:sz w:val="24"/>
                <w:szCs w:val="24"/>
                <w:highlight w:val="none"/>
              </w:rPr>
              <w:t>：***</w:t>
            </w:r>
          </w:p>
        </w:tc>
        <w:tc>
          <w:tcPr>
            <w:tcW w:w="5242" w:type="dxa"/>
            <w:noWrap w:val="0"/>
            <w:vAlign w:val="top"/>
          </w:tcPr>
          <w:p w14:paraId="1F486F81">
            <w:pPr>
              <w:shd w:val="clea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供应商（以下简称乙方）</w:t>
            </w:r>
            <w:r>
              <w:rPr>
                <w:rFonts w:hint="eastAsia" w:ascii="仿宋" w:hAnsi="仿宋" w:eastAsia="仿宋" w:cs="仿宋"/>
                <w:sz w:val="24"/>
                <w:szCs w:val="24"/>
                <w:highlight w:val="none"/>
              </w:rPr>
              <w:t>：***</w:t>
            </w:r>
          </w:p>
          <w:p w14:paraId="6FAAAC53">
            <w:pPr>
              <w:shd w:val="clea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地址</w:t>
            </w:r>
            <w:r>
              <w:rPr>
                <w:rFonts w:hint="eastAsia" w:ascii="仿宋" w:hAnsi="仿宋" w:eastAsia="仿宋" w:cs="仿宋"/>
                <w:sz w:val="24"/>
                <w:szCs w:val="24"/>
                <w:highlight w:val="none"/>
              </w:rPr>
              <w:t>：***</w:t>
            </w:r>
          </w:p>
          <w:p w14:paraId="2FD6DCFC">
            <w:pPr>
              <w:shd w:val="clea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移动电话</w:t>
            </w:r>
            <w:r>
              <w:rPr>
                <w:rFonts w:hint="eastAsia" w:ascii="仿宋" w:hAnsi="仿宋" w:eastAsia="仿宋" w:cs="仿宋"/>
                <w:sz w:val="24"/>
                <w:szCs w:val="24"/>
                <w:highlight w:val="none"/>
              </w:rPr>
              <w:t>：***</w:t>
            </w:r>
          </w:p>
          <w:p w14:paraId="5B1C6A15">
            <w:pPr>
              <w:shd w:val="clear"/>
              <w:spacing w:line="360" w:lineRule="auto"/>
              <w:contextualSpacing/>
              <w:rPr>
                <w:rFonts w:hint="eastAsia" w:ascii="仿宋" w:hAnsi="仿宋" w:eastAsia="仿宋" w:cs="仿宋"/>
                <w:sz w:val="24"/>
                <w:szCs w:val="24"/>
                <w:highlight w:val="none"/>
              </w:rPr>
            </w:pPr>
            <w:r>
              <w:rPr>
                <w:rFonts w:hint="eastAsia" w:ascii="仿宋" w:hAnsi="仿宋" w:eastAsia="仿宋" w:cs="仿宋"/>
                <w:b/>
                <w:bCs/>
                <w:sz w:val="24"/>
                <w:szCs w:val="24"/>
                <w:highlight w:val="none"/>
              </w:rPr>
              <w:t>联系人</w:t>
            </w:r>
            <w:r>
              <w:rPr>
                <w:rFonts w:hint="eastAsia" w:ascii="仿宋" w:hAnsi="仿宋" w:eastAsia="仿宋" w:cs="仿宋"/>
                <w:sz w:val="24"/>
                <w:szCs w:val="24"/>
                <w:highlight w:val="none"/>
              </w:rPr>
              <w:t>：***</w:t>
            </w:r>
          </w:p>
        </w:tc>
      </w:tr>
      <w:permEnd w:id="0"/>
    </w:tbl>
    <w:p w14:paraId="2F45C5B0">
      <w:pPr>
        <w:shd w:val="clear"/>
        <w:adjustRightInd w:val="0"/>
        <w:snapToGrid w:val="0"/>
        <w:spacing w:before="312" w:beforeLines="100" w:after="312" w:afterLines="100" w:line="360" w:lineRule="auto"/>
        <w:contextualSpacing/>
        <w:jc w:val="left"/>
        <w:rPr>
          <w:rFonts w:hint="eastAsia" w:ascii="仿宋" w:hAnsi="仿宋" w:eastAsia="仿宋" w:cs="仿宋"/>
          <w:color w:val="000000"/>
          <w:sz w:val="24"/>
          <w:szCs w:val="24"/>
          <w:highlight w:val="none"/>
        </w:rPr>
      </w:pPr>
      <w:bookmarkStart w:id="95" w:name="OLE_LINK6"/>
      <w:bookmarkStart w:id="96" w:name="OLE_LINK5"/>
    </w:p>
    <w:p w14:paraId="33256531">
      <w:pPr>
        <w:shd w:val="clear"/>
        <w:adjustRightInd w:val="0"/>
        <w:snapToGrid w:val="0"/>
        <w:spacing w:before="312" w:beforeLines="100" w:after="312" w:afterLines="100" w:line="360" w:lineRule="auto"/>
        <w:ind w:firstLine="480" w:firstLineChars="200"/>
        <w:contextualSpacing/>
        <w:jc w:val="left"/>
        <w:rPr>
          <w:rFonts w:hint="eastAsia" w:ascii="仿宋" w:hAnsi="仿宋" w:eastAsia="仿宋" w:cs="仿宋"/>
          <w:b/>
          <w:sz w:val="24"/>
          <w:szCs w:val="24"/>
          <w:highlight w:val="none"/>
        </w:rPr>
      </w:pPr>
      <w:r>
        <w:rPr>
          <w:rFonts w:hint="eastAsia" w:ascii="仿宋" w:hAnsi="仿宋" w:eastAsia="仿宋" w:cs="仿宋"/>
          <w:color w:val="000000"/>
          <w:sz w:val="24"/>
          <w:szCs w:val="24"/>
          <w:highlight w:val="none"/>
        </w:rPr>
        <w:t>根据《中华人民共和国民法典》及甲方发布的***项目（项目编号</w:t>
      </w:r>
      <w:permStart w:id="1" w:edGrp="everyone"/>
      <w:r>
        <w:rPr>
          <w:rFonts w:hint="eastAsia" w:ascii="仿宋" w:hAnsi="仿宋" w:eastAsia="仿宋" w:cs="仿宋"/>
          <w:color w:val="000000"/>
          <w:sz w:val="24"/>
          <w:szCs w:val="24"/>
          <w:highlight w:val="none"/>
        </w:rPr>
        <w:t>：</w:t>
      </w:r>
      <w:r>
        <w:rPr>
          <w:rFonts w:hint="eastAsia" w:ascii="仿宋" w:hAnsi="仿宋" w:eastAsia="仿宋" w:cs="仿宋"/>
          <w:sz w:val="24"/>
          <w:szCs w:val="24"/>
          <w:highlight w:val="none"/>
        </w:rPr>
        <w:t>***</w:t>
      </w:r>
      <w:permEnd w:id="1"/>
      <w:r>
        <w:rPr>
          <w:rFonts w:hint="eastAsia" w:ascii="仿宋" w:hAnsi="仿宋" w:eastAsia="仿宋" w:cs="仿宋"/>
          <w:color w:val="000000"/>
          <w:sz w:val="24"/>
          <w:szCs w:val="24"/>
          <w:highlight w:val="none"/>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bookmarkEnd w:id="95"/>
    <w:bookmarkEnd w:id="96"/>
    <w:p w14:paraId="21928EBE">
      <w:pPr>
        <w:shd w:val="clear"/>
        <w:spacing w:line="360" w:lineRule="auto"/>
        <w:ind w:firstLine="480" w:firstLineChars="200"/>
        <w:rPr>
          <w:rFonts w:hint="eastAsia" w:ascii="仿宋" w:hAnsi="仿宋" w:eastAsia="仿宋" w:cs="仿宋"/>
          <w:color w:val="000000"/>
          <w:sz w:val="24"/>
          <w:szCs w:val="24"/>
          <w:highlight w:val="none"/>
        </w:rPr>
      </w:pPr>
    </w:p>
    <w:p w14:paraId="248E4996">
      <w:pPr>
        <w:pStyle w:val="30"/>
        <w:numPr>
          <w:ilvl w:val="0"/>
          <w:numId w:val="12"/>
        </w:numPr>
        <w:shd w:val="clear"/>
        <w:snapToGrid w:val="0"/>
        <w:spacing w:line="360" w:lineRule="auto"/>
        <w:ind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开发项目信息</w:t>
      </w:r>
    </w:p>
    <w:p w14:paraId="5C80D4D8">
      <w:pPr>
        <w:pStyle w:val="30"/>
        <w:numPr>
          <w:ilvl w:val="0"/>
          <w:numId w:val="13"/>
        </w:numPr>
        <w:shd w:val="clear"/>
        <w:spacing w:line="360" w:lineRule="auto"/>
        <w:ind w:left="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软件名称：***。</w:t>
      </w:r>
    </w:p>
    <w:p w14:paraId="1812C1F9">
      <w:pPr>
        <w:pStyle w:val="30"/>
        <w:numPr>
          <w:ilvl w:val="0"/>
          <w:numId w:val="13"/>
        </w:numPr>
        <w:shd w:val="clear"/>
        <w:spacing w:line="360" w:lineRule="auto"/>
        <w:ind w:left="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软件的主要功能：</w:t>
      </w:r>
      <w:bookmarkStart w:id="97" w:name="OLE_LINK1"/>
      <w:r>
        <w:rPr>
          <w:rFonts w:hint="eastAsia" w:ascii="仿宋" w:hAnsi="仿宋" w:eastAsia="仿宋" w:cs="仿宋"/>
          <w:color w:val="000000"/>
          <w:sz w:val="24"/>
          <w:szCs w:val="24"/>
          <w:highlight w:val="none"/>
        </w:rPr>
        <w:t>***</w:t>
      </w:r>
      <w:r>
        <w:rPr>
          <w:rFonts w:hint="eastAsia" w:ascii="仿宋" w:hAnsi="仿宋" w:eastAsia="仿宋" w:cs="仿宋"/>
          <w:i/>
          <w:iCs/>
          <w:color w:val="000000"/>
          <w:sz w:val="24"/>
          <w:szCs w:val="24"/>
          <w:highlight w:val="none"/>
        </w:rPr>
        <w:t>&lt;根据项目实际情况可附附件说明</w:t>
      </w:r>
      <w:bookmarkEnd w:id="97"/>
      <w:r>
        <w:rPr>
          <w:rFonts w:hint="eastAsia" w:ascii="仿宋" w:hAnsi="仿宋" w:eastAsia="仿宋" w:cs="仿宋"/>
          <w:i/>
          <w:iCs/>
          <w:color w:val="000000"/>
          <w:sz w:val="24"/>
          <w:szCs w:val="24"/>
          <w:highlight w:val="none"/>
        </w:rPr>
        <w:t>&gt;</w:t>
      </w:r>
    </w:p>
    <w:p w14:paraId="139C1A2F">
      <w:pPr>
        <w:pStyle w:val="30"/>
        <w:numPr>
          <w:ilvl w:val="0"/>
          <w:numId w:val="13"/>
        </w:numPr>
        <w:shd w:val="clear"/>
        <w:spacing w:line="360" w:lineRule="auto"/>
        <w:ind w:left="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软件的设计要求：***</w:t>
      </w:r>
      <w:r>
        <w:rPr>
          <w:rFonts w:hint="eastAsia" w:ascii="仿宋" w:hAnsi="仿宋" w:eastAsia="仿宋" w:cs="仿宋"/>
          <w:i/>
          <w:iCs/>
          <w:color w:val="000000"/>
          <w:sz w:val="24"/>
          <w:szCs w:val="24"/>
          <w:highlight w:val="none"/>
        </w:rPr>
        <w:t>&lt;根据项目实际情况可附附件说明&gt;</w:t>
      </w:r>
    </w:p>
    <w:p w14:paraId="0CD64684">
      <w:pPr>
        <w:pStyle w:val="30"/>
        <w:numPr>
          <w:ilvl w:val="0"/>
          <w:numId w:val="13"/>
        </w:numPr>
        <w:shd w:val="clear"/>
        <w:spacing w:line="360" w:lineRule="auto"/>
        <w:ind w:left="0" w:firstLine="0" w:firstLineChars="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分项明细：</w:t>
      </w:r>
      <w:r>
        <w:rPr>
          <w:rFonts w:hint="eastAsia" w:ascii="仿宋" w:hAnsi="仿宋" w:eastAsia="仿宋" w:cs="仿宋"/>
          <w:i/>
          <w:iCs/>
          <w:color w:val="000000"/>
          <w:sz w:val="24"/>
          <w:szCs w:val="24"/>
          <w:highlight w:val="none"/>
        </w:rPr>
        <w:t>&lt;根据项目实际情况调整&gt;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2977"/>
        <w:gridCol w:w="3686"/>
        <w:gridCol w:w="963"/>
        <w:gridCol w:w="2016"/>
      </w:tblGrid>
      <w:tr w14:paraId="1B1E3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6538C65B">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序号</w:t>
            </w:r>
          </w:p>
        </w:tc>
        <w:tc>
          <w:tcPr>
            <w:tcW w:w="2977" w:type="dxa"/>
            <w:noWrap w:val="0"/>
            <w:vAlign w:val="center"/>
          </w:tcPr>
          <w:p w14:paraId="7B2DCDE8">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分项名称</w:t>
            </w:r>
          </w:p>
        </w:tc>
        <w:tc>
          <w:tcPr>
            <w:tcW w:w="3686" w:type="dxa"/>
            <w:noWrap w:val="0"/>
            <w:vAlign w:val="center"/>
          </w:tcPr>
          <w:p w14:paraId="6547AECB">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具体内容</w:t>
            </w:r>
          </w:p>
        </w:tc>
        <w:tc>
          <w:tcPr>
            <w:tcW w:w="963" w:type="dxa"/>
            <w:noWrap w:val="0"/>
            <w:vAlign w:val="center"/>
          </w:tcPr>
          <w:p w14:paraId="6CF3478A">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分项价格（万元）</w:t>
            </w:r>
          </w:p>
        </w:tc>
        <w:tc>
          <w:tcPr>
            <w:tcW w:w="2016" w:type="dxa"/>
            <w:noWrap w:val="0"/>
            <w:vAlign w:val="top"/>
          </w:tcPr>
          <w:p w14:paraId="5AADAA69">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tc>
      </w:tr>
      <w:tr w14:paraId="03377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95330A8">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2977" w:type="dxa"/>
            <w:noWrap w:val="0"/>
            <w:vAlign w:val="center"/>
          </w:tcPr>
          <w:p w14:paraId="608243B0">
            <w:pPr>
              <w:pStyle w:val="30"/>
              <w:shd w:val="clear"/>
              <w:spacing w:line="360" w:lineRule="auto"/>
              <w:ind w:firstLine="0" w:firstLineChars="0"/>
              <w:rPr>
                <w:rFonts w:hint="eastAsia" w:ascii="仿宋" w:hAnsi="仿宋" w:eastAsia="仿宋" w:cs="仿宋"/>
                <w:color w:val="000000"/>
                <w:sz w:val="24"/>
                <w:szCs w:val="24"/>
                <w:highlight w:val="none"/>
              </w:rPr>
            </w:pPr>
          </w:p>
        </w:tc>
        <w:tc>
          <w:tcPr>
            <w:tcW w:w="3686" w:type="dxa"/>
            <w:noWrap w:val="0"/>
            <w:vAlign w:val="center"/>
          </w:tcPr>
          <w:p w14:paraId="4C35D510">
            <w:pPr>
              <w:pStyle w:val="30"/>
              <w:shd w:val="clear"/>
              <w:spacing w:line="360" w:lineRule="auto"/>
              <w:ind w:firstLine="0" w:firstLineChars="0"/>
              <w:rPr>
                <w:rFonts w:hint="eastAsia" w:ascii="仿宋" w:hAnsi="仿宋" w:eastAsia="仿宋" w:cs="仿宋"/>
                <w:color w:val="000000"/>
                <w:sz w:val="24"/>
                <w:szCs w:val="24"/>
                <w:highlight w:val="none"/>
              </w:rPr>
            </w:pPr>
          </w:p>
        </w:tc>
        <w:tc>
          <w:tcPr>
            <w:tcW w:w="963" w:type="dxa"/>
            <w:noWrap w:val="0"/>
            <w:vAlign w:val="center"/>
          </w:tcPr>
          <w:p w14:paraId="607DF576">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2016" w:type="dxa"/>
            <w:noWrap w:val="0"/>
            <w:vAlign w:val="top"/>
          </w:tcPr>
          <w:p w14:paraId="512A5A0E">
            <w:pPr>
              <w:pStyle w:val="30"/>
              <w:shd w:val="clear"/>
              <w:spacing w:line="360" w:lineRule="auto"/>
              <w:ind w:firstLine="0" w:firstLineChars="0"/>
              <w:rPr>
                <w:rFonts w:hint="eastAsia" w:ascii="仿宋" w:hAnsi="仿宋" w:eastAsia="仿宋" w:cs="仿宋"/>
                <w:color w:val="000000"/>
                <w:sz w:val="24"/>
                <w:szCs w:val="24"/>
                <w:highlight w:val="none"/>
              </w:rPr>
            </w:pPr>
          </w:p>
        </w:tc>
      </w:tr>
      <w:tr w14:paraId="43C38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3E76B78F">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p>
        </w:tc>
        <w:tc>
          <w:tcPr>
            <w:tcW w:w="2977" w:type="dxa"/>
            <w:noWrap w:val="0"/>
            <w:vAlign w:val="center"/>
          </w:tcPr>
          <w:p w14:paraId="0F469009">
            <w:pPr>
              <w:pStyle w:val="30"/>
              <w:shd w:val="clear"/>
              <w:spacing w:line="360" w:lineRule="auto"/>
              <w:ind w:firstLine="0" w:firstLineChars="0"/>
              <w:rPr>
                <w:rFonts w:hint="eastAsia" w:ascii="仿宋" w:hAnsi="仿宋" w:eastAsia="仿宋" w:cs="仿宋"/>
                <w:color w:val="000000"/>
                <w:sz w:val="24"/>
                <w:szCs w:val="24"/>
                <w:highlight w:val="none"/>
              </w:rPr>
            </w:pPr>
          </w:p>
        </w:tc>
        <w:tc>
          <w:tcPr>
            <w:tcW w:w="3686" w:type="dxa"/>
            <w:noWrap w:val="0"/>
            <w:vAlign w:val="center"/>
          </w:tcPr>
          <w:p w14:paraId="2821FB47">
            <w:pPr>
              <w:pStyle w:val="30"/>
              <w:shd w:val="clear"/>
              <w:spacing w:line="360" w:lineRule="auto"/>
              <w:ind w:firstLine="0" w:firstLineChars="0"/>
              <w:rPr>
                <w:rFonts w:hint="eastAsia" w:ascii="仿宋" w:hAnsi="仿宋" w:eastAsia="仿宋" w:cs="仿宋"/>
                <w:color w:val="000000"/>
                <w:sz w:val="24"/>
                <w:szCs w:val="24"/>
                <w:highlight w:val="none"/>
              </w:rPr>
            </w:pPr>
          </w:p>
        </w:tc>
        <w:tc>
          <w:tcPr>
            <w:tcW w:w="963" w:type="dxa"/>
            <w:noWrap w:val="0"/>
            <w:vAlign w:val="center"/>
          </w:tcPr>
          <w:p w14:paraId="7DC61826">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2016" w:type="dxa"/>
            <w:noWrap w:val="0"/>
            <w:vAlign w:val="top"/>
          </w:tcPr>
          <w:p w14:paraId="72A87469">
            <w:pPr>
              <w:pStyle w:val="30"/>
              <w:shd w:val="clear"/>
              <w:spacing w:line="360" w:lineRule="auto"/>
              <w:ind w:firstLine="0" w:firstLineChars="0"/>
              <w:rPr>
                <w:rFonts w:hint="eastAsia" w:ascii="仿宋" w:hAnsi="仿宋" w:eastAsia="仿宋" w:cs="仿宋"/>
                <w:color w:val="000000"/>
                <w:sz w:val="24"/>
                <w:szCs w:val="24"/>
                <w:highlight w:val="none"/>
              </w:rPr>
            </w:pPr>
          </w:p>
        </w:tc>
      </w:tr>
      <w:tr w14:paraId="7B2DA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1A92D54C">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p>
        </w:tc>
        <w:tc>
          <w:tcPr>
            <w:tcW w:w="2977" w:type="dxa"/>
            <w:noWrap w:val="0"/>
            <w:vAlign w:val="center"/>
          </w:tcPr>
          <w:p w14:paraId="71AB4AF1">
            <w:pPr>
              <w:pStyle w:val="30"/>
              <w:shd w:val="clear"/>
              <w:spacing w:line="360" w:lineRule="auto"/>
              <w:ind w:firstLine="0" w:firstLineChars="0"/>
              <w:rPr>
                <w:rFonts w:hint="eastAsia" w:ascii="仿宋" w:hAnsi="仿宋" w:eastAsia="仿宋" w:cs="仿宋"/>
                <w:color w:val="000000"/>
                <w:sz w:val="24"/>
                <w:szCs w:val="24"/>
                <w:highlight w:val="none"/>
              </w:rPr>
            </w:pPr>
          </w:p>
        </w:tc>
        <w:tc>
          <w:tcPr>
            <w:tcW w:w="3686" w:type="dxa"/>
            <w:noWrap w:val="0"/>
            <w:vAlign w:val="center"/>
          </w:tcPr>
          <w:p w14:paraId="4D74C8D6">
            <w:pPr>
              <w:pStyle w:val="30"/>
              <w:shd w:val="clear"/>
              <w:spacing w:line="360" w:lineRule="auto"/>
              <w:ind w:firstLine="0" w:firstLineChars="0"/>
              <w:rPr>
                <w:rFonts w:hint="eastAsia" w:ascii="仿宋" w:hAnsi="仿宋" w:eastAsia="仿宋" w:cs="仿宋"/>
                <w:color w:val="000000"/>
                <w:sz w:val="24"/>
                <w:szCs w:val="24"/>
                <w:highlight w:val="none"/>
              </w:rPr>
            </w:pPr>
          </w:p>
        </w:tc>
        <w:tc>
          <w:tcPr>
            <w:tcW w:w="963" w:type="dxa"/>
            <w:noWrap w:val="0"/>
            <w:vAlign w:val="center"/>
          </w:tcPr>
          <w:p w14:paraId="0C6902C9">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2016" w:type="dxa"/>
            <w:noWrap w:val="0"/>
            <w:vAlign w:val="top"/>
          </w:tcPr>
          <w:p w14:paraId="0A7892F6">
            <w:pPr>
              <w:pStyle w:val="30"/>
              <w:shd w:val="clear"/>
              <w:spacing w:line="360" w:lineRule="auto"/>
              <w:ind w:firstLine="0" w:firstLineChars="0"/>
              <w:rPr>
                <w:rFonts w:hint="eastAsia" w:ascii="仿宋" w:hAnsi="仿宋" w:eastAsia="仿宋" w:cs="仿宋"/>
                <w:color w:val="000000"/>
                <w:sz w:val="24"/>
                <w:szCs w:val="24"/>
                <w:highlight w:val="none"/>
              </w:rPr>
            </w:pPr>
          </w:p>
        </w:tc>
      </w:tr>
      <w:tr w14:paraId="26FD4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69A5557">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p>
        </w:tc>
        <w:tc>
          <w:tcPr>
            <w:tcW w:w="2977" w:type="dxa"/>
            <w:noWrap w:val="0"/>
            <w:vAlign w:val="center"/>
          </w:tcPr>
          <w:p w14:paraId="5D7AB77D">
            <w:pPr>
              <w:pStyle w:val="30"/>
              <w:shd w:val="clear"/>
              <w:spacing w:line="360" w:lineRule="auto"/>
              <w:ind w:firstLine="0" w:firstLineChars="0"/>
              <w:rPr>
                <w:rFonts w:hint="eastAsia" w:ascii="仿宋" w:hAnsi="仿宋" w:eastAsia="仿宋" w:cs="仿宋"/>
                <w:color w:val="000000"/>
                <w:sz w:val="24"/>
                <w:szCs w:val="24"/>
                <w:highlight w:val="none"/>
              </w:rPr>
            </w:pPr>
          </w:p>
        </w:tc>
        <w:tc>
          <w:tcPr>
            <w:tcW w:w="3686" w:type="dxa"/>
            <w:noWrap w:val="0"/>
            <w:vAlign w:val="center"/>
          </w:tcPr>
          <w:p w14:paraId="7FAA86AA">
            <w:pPr>
              <w:pStyle w:val="30"/>
              <w:shd w:val="clear"/>
              <w:spacing w:line="360" w:lineRule="auto"/>
              <w:ind w:firstLine="0" w:firstLineChars="0"/>
              <w:rPr>
                <w:rFonts w:hint="eastAsia" w:ascii="仿宋" w:hAnsi="仿宋" w:eastAsia="仿宋" w:cs="仿宋"/>
                <w:color w:val="000000"/>
                <w:sz w:val="24"/>
                <w:szCs w:val="24"/>
                <w:highlight w:val="none"/>
              </w:rPr>
            </w:pPr>
          </w:p>
        </w:tc>
        <w:tc>
          <w:tcPr>
            <w:tcW w:w="963" w:type="dxa"/>
            <w:noWrap w:val="0"/>
            <w:vAlign w:val="center"/>
          </w:tcPr>
          <w:p w14:paraId="6B0EBE45">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2016" w:type="dxa"/>
            <w:noWrap w:val="0"/>
            <w:vAlign w:val="top"/>
          </w:tcPr>
          <w:p w14:paraId="00E7D453">
            <w:pPr>
              <w:pStyle w:val="30"/>
              <w:shd w:val="clear"/>
              <w:spacing w:line="360" w:lineRule="auto"/>
              <w:ind w:firstLine="0" w:firstLineChars="0"/>
              <w:rPr>
                <w:rFonts w:hint="eastAsia" w:ascii="仿宋" w:hAnsi="仿宋" w:eastAsia="仿宋" w:cs="仿宋"/>
                <w:color w:val="000000"/>
                <w:sz w:val="24"/>
                <w:szCs w:val="24"/>
                <w:highlight w:val="none"/>
              </w:rPr>
            </w:pPr>
          </w:p>
        </w:tc>
      </w:tr>
    </w:tbl>
    <w:p w14:paraId="6B8FF073">
      <w:pPr>
        <w:pStyle w:val="30"/>
        <w:numPr>
          <w:ilvl w:val="0"/>
          <w:numId w:val="12"/>
        </w:numPr>
        <w:shd w:val="clear"/>
        <w:snapToGrid w:val="0"/>
        <w:spacing w:line="360" w:lineRule="auto"/>
        <w:ind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合同总价</w:t>
      </w:r>
    </w:p>
    <w:p w14:paraId="6DE0E2B8">
      <w:pPr>
        <w:pStyle w:val="30"/>
        <w:numPr>
          <w:ilvl w:val="3"/>
          <w:numId w:val="12"/>
        </w:numPr>
        <w:shd w:val="clear"/>
        <w:spacing w:line="360" w:lineRule="auto"/>
        <w:ind w:left="0" w:firstLine="0" w:firstLineChars="0"/>
        <w:contextualSpacing/>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本合同总价（含税）为人民币大写：*** 圆整，即RMB *** 元，该合同总价已包括软件设计、开发、交付、培训等服务、与其它第三方软件的全部接口、技术支持以及乙方为全面履行本合同义务所完成的其它所有事项的含税费用。</w:t>
      </w:r>
    </w:p>
    <w:p w14:paraId="21DB6CFB">
      <w:pPr>
        <w:pStyle w:val="30"/>
        <w:shd w:val="clear"/>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2.本合同执行期间合同总价不变，甲方无须另向乙方支付本合同规定之外的其他任何费用。</w:t>
      </w:r>
    </w:p>
    <w:p w14:paraId="6B8B767C">
      <w:pPr>
        <w:pStyle w:val="30"/>
        <w:numPr>
          <w:ilvl w:val="0"/>
          <w:numId w:val="12"/>
        </w:numPr>
        <w:shd w:val="clear"/>
        <w:snapToGrid w:val="0"/>
        <w:spacing w:line="360" w:lineRule="auto"/>
        <w:ind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工期</w:t>
      </w:r>
    </w:p>
    <w:p w14:paraId="36A139BE">
      <w:pPr>
        <w:pStyle w:val="30"/>
        <w:numPr>
          <w:ilvl w:val="0"/>
          <w:numId w:val="14"/>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工期：</w:t>
      </w:r>
    </w:p>
    <w:p w14:paraId="154CAE53">
      <w:pPr>
        <w:pStyle w:val="30"/>
        <w:numPr>
          <w:ilvl w:val="0"/>
          <w:numId w:val="1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实施时间：从合同签订生效之日起，需在</w:t>
      </w:r>
      <w:r>
        <w:rPr>
          <w:rFonts w:hint="eastAsia" w:ascii="仿宋" w:hAnsi="仿宋" w:eastAsia="仿宋" w:cs="仿宋"/>
          <w:sz w:val="24"/>
          <w:szCs w:val="24"/>
          <w:highlight w:val="none"/>
          <w:u w:val="single"/>
        </w:rPr>
        <w:t xml:space="preserve">5 </w:t>
      </w:r>
      <w:r>
        <w:rPr>
          <w:rFonts w:hint="eastAsia" w:ascii="仿宋" w:hAnsi="仿宋" w:eastAsia="仿宋" w:cs="仿宋"/>
          <w:sz w:val="24"/>
          <w:szCs w:val="24"/>
          <w:highlight w:val="none"/>
        </w:rPr>
        <w:t>个工作日内开始实施。</w:t>
      </w:r>
    </w:p>
    <w:p w14:paraId="25B3A153">
      <w:pPr>
        <w:pStyle w:val="30"/>
        <w:numPr>
          <w:ilvl w:val="0"/>
          <w:numId w:val="1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实施周期：本项目开始实施之日起</w:t>
      </w:r>
      <w:r>
        <w:rPr>
          <w:rFonts w:hint="eastAsia" w:ascii="仿宋" w:hAnsi="仿宋" w:eastAsia="仿宋" w:cs="仿宋"/>
          <w:b/>
          <w:bCs/>
          <w:sz w:val="24"/>
          <w:szCs w:val="24"/>
          <w:highlight w:val="none"/>
          <w:u w:val="single"/>
        </w:rPr>
        <w:t xml:space="preserve">  60 </w:t>
      </w:r>
      <w:r>
        <w:rPr>
          <w:rFonts w:hint="eastAsia" w:ascii="仿宋" w:hAnsi="仿宋" w:eastAsia="仿宋" w:cs="仿宋"/>
          <w:sz w:val="24"/>
          <w:szCs w:val="24"/>
          <w:highlight w:val="none"/>
        </w:rPr>
        <w:t>日内，完成本项目包含的所有</w:t>
      </w:r>
      <w:r>
        <w:rPr>
          <w:rFonts w:hint="eastAsia" w:ascii="仿宋" w:hAnsi="仿宋" w:eastAsia="仿宋" w:cs="仿宋"/>
          <w:b/>
          <w:bCs/>
          <w:sz w:val="24"/>
          <w:szCs w:val="24"/>
          <w:highlight w:val="none"/>
          <w:u w:val="single"/>
        </w:rPr>
        <w:t>软件</w:t>
      </w:r>
      <w:r>
        <w:rPr>
          <w:rFonts w:hint="eastAsia" w:ascii="仿宋" w:hAnsi="仿宋" w:eastAsia="仿宋" w:cs="仿宋"/>
          <w:sz w:val="24"/>
          <w:szCs w:val="24"/>
          <w:highlight w:val="none"/>
        </w:rPr>
        <w:t>功能的上线运行，并通知甲方进行验收。未在实施周期内完成，视为乙方违约并自动放弃该项目，甲方有权终止合同，合同所有款项将不予支付</w:t>
      </w:r>
      <w:r>
        <w:rPr>
          <w:rFonts w:hint="eastAsia" w:ascii="仿宋" w:hAnsi="仿宋" w:eastAsia="仿宋" w:cs="仿宋"/>
          <w:bCs/>
          <w:color w:val="000000"/>
          <w:sz w:val="24"/>
          <w:szCs w:val="24"/>
          <w:highlight w:val="none"/>
        </w:rPr>
        <w:t>（如有履约保证金，</w:t>
      </w:r>
      <w:r>
        <w:rPr>
          <w:rFonts w:hint="eastAsia" w:ascii="仿宋" w:hAnsi="仿宋" w:eastAsia="仿宋" w:cs="仿宋"/>
          <w:sz w:val="24"/>
          <w:szCs w:val="24"/>
          <w:highlight w:val="none"/>
        </w:rPr>
        <w:t>将不予退还</w:t>
      </w:r>
      <w:r>
        <w:rPr>
          <w:rFonts w:hint="eastAsia" w:ascii="仿宋" w:hAnsi="仿宋" w:eastAsia="仿宋" w:cs="仿宋"/>
          <w:bCs/>
          <w:color w:val="000000"/>
          <w:sz w:val="24"/>
          <w:szCs w:val="24"/>
          <w:highlight w:val="none"/>
        </w:rPr>
        <w:t>），</w:t>
      </w:r>
      <w:r>
        <w:rPr>
          <w:rFonts w:hint="eastAsia" w:ascii="仿宋" w:hAnsi="仿宋" w:eastAsia="仿宋" w:cs="仿宋"/>
          <w:sz w:val="24"/>
          <w:szCs w:val="24"/>
          <w:highlight w:val="none"/>
        </w:rPr>
        <w:t>已支付款项，供乙方应于7个工作日内退还甲方。</w:t>
      </w:r>
    </w:p>
    <w:p w14:paraId="37B7171F">
      <w:pPr>
        <w:pStyle w:val="30"/>
        <w:numPr>
          <w:ilvl w:val="0"/>
          <w:numId w:val="1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开发完成时间：202*年***月***日。</w:t>
      </w:r>
    </w:p>
    <w:p w14:paraId="46443AFA">
      <w:pPr>
        <w:pStyle w:val="30"/>
        <w:numPr>
          <w:ilvl w:val="0"/>
          <w:numId w:val="15"/>
        </w:numPr>
        <w:shd w:val="clear"/>
        <w:snapToGrid w:val="0"/>
        <w:spacing w:line="360" w:lineRule="auto"/>
        <w:ind w:firstLineChars="0"/>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软件开发进度见附件：《开发进度表》</w:t>
      </w:r>
      <w:r>
        <w:rPr>
          <w:rFonts w:hint="eastAsia" w:ascii="仿宋" w:hAnsi="仿宋" w:eastAsia="仿宋" w:cs="仿宋"/>
          <w:i/>
          <w:iCs/>
          <w:sz w:val="24"/>
          <w:szCs w:val="24"/>
          <w:highlight w:val="none"/>
        </w:rPr>
        <w:t>&lt;根据项目实际情况编制&gt;</w:t>
      </w:r>
    </w:p>
    <w:p w14:paraId="3243B697">
      <w:pPr>
        <w:pStyle w:val="30"/>
        <w:numPr>
          <w:ilvl w:val="0"/>
          <w:numId w:val="14"/>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如甲方原因推迟开发，甲方应向乙方提供书面延期通知书，并在确定继续开发时提供开工通知书，同时计算工期时应扣除因甲方原因造成的延期时间。</w:t>
      </w:r>
    </w:p>
    <w:p w14:paraId="2F145122">
      <w:pPr>
        <w:pStyle w:val="30"/>
        <w:numPr>
          <w:ilvl w:val="0"/>
          <w:numId w:val="12"/>
        </w:numPr>
        <w:shd w:val="clear"/>
        <w:snapToGrid w:val="0"/>
        <w:spacing w:line="360" w:lineRule="auto"/>
        <w:ind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交付</w:t>
      </w:r>
    </w:p>
    <w:p w14:paraId="01DF012B">
      <w:pPr>
        <w:pStyle w:val="30"/>
        <w:numPr>
          <w:ilvl w:val="0"/>
          <w:numId w:val="16"/>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交付的内容、形式及数量：</w:t>
      </w:r>
      <w:r>
        <w:rPr>
          <w:rFonts w:hint="eastAsia" w:ascii="仿宋" w:hAnsi="仿宋" w:eastAsia="仿宋" w:cs="仿宋"/>
          <w:i/>
          <w:iCs/>
          <w:sz w:val="24"/>
          <w:szCs w:val="24"/>
          <w:highlight w:val="none"/>
        </w:rPr>
        <w:t>&lt;包括但不限于完成甲方功能要求的可执行软件、软件的设计文件、软件的测试报告、软件使用说明书及在开发过程中产生的其他文档，根据项目实际情况编制本条款具体内容，如内容较多可附附件&gt;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58"/>
        <w:gridCol w:w="1815"/>
        <w:gridCol w:w="2694"/>
        <w:gridCol w:w="2126"/>
        <w:gridCol w:w="567"/>
        <w:gridCol w:w="567"/>
        <w:gridCol w:w="1987"/>
      </w:tblGrid>
      <w:tr w14:paraId="257B5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5BAD499A">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序号</w:t>
            </w:r>
          </w:p>
        </w:tc>
        <w:tc>
          <w:tcPr>
            <w:tcW w:w="1815" w:type="dxa"/>
            <w:noWrap w:val="0"/>
            <w:vAlign w:val="center"/>
          </w:tcPr>
          <w:p w14:paraId="7AD56457">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交付事项</w:t>
            </w:r>
          </w:p>
        </w:tc>
        <w:tc>
          <w:tcPr>
            <w:tcW w:w="2694" w:type="dxa"/>
            <w:noWrap w:val="0"/>
            <w:vAlign w:val="center"/>
          </w:tcPr>
          <w:p w14:paraId="4D9301B1">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交付内容</w:t>
            </w:r>
          </w:p>
        </w:tc>
        <w:tc>
          <w:tcPr>
            <w:tcW w:w="2126" w:type="dxa"/>
            <w:noWrap w:val="0"/>
            <w:vAlign w:val="center"/>
          </w:tcPr>
          <w:p w14:paraId="1E85AE5F">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交付形式</w:t>
            </w:r>
          </w:p>
        </w:tc>
        <w:tc>
          <w:tcPr>
            <w:tcW w:w="567" w:type="dxa"/>
            <w:noWrap w:val="0"/>
            <w:vAlign w:val="top"/>
          </w:tcPr>
          <w:p w14:paraId="58A0531B">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w:t>
            </w:r>
          </w:p>
        </w:tc>
        <w:tc>
          <w:tcPr>
            <w:tcW w:w="567" w:type="dxa"/>
            <w:noWrap w:val="0"/>
            <w:vAlign w:val="top"/>
          </w:tcPr>
          <w:p w14:paraId="451AB856">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数量</w:t>
            </w:r>
          </w:p>
        </w:tc>
        <w:tc>
          <w:tcPr>
            <w:tcW w:w="1987" w:type="dxa"/>
            <w:noWrap w:val="0"/>
            <w:vAlign w:val="top"/>
          </w:tcPr>
          <w:p w14:paraId="7983E4F8">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备注</w:t>
            </w:r>
          </w:p>
        </w:tc>
      </w:tr>
      <w:tr w14:paraId="69086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7E5C2140">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p>
        </w:tc>
        <w:tc>
          <w:tcPr>
            <w:tcW w:w="1815" w:type="dxa"/>
            <w:noWrap w:val="0"/>
            <w:vAlign w:val="center"/>
          </w:tcPr>
          <w:p w14:paraId="19968644">
            <w:pPr>
              <w:pStyle w:val="30"/>
              <w:shd w:val="clear"/>
              <w:spacing w:line="360" w:lineRule="auto"/>
              <w:ind w:firstLine="0" w:firstLineChars="0"/>
              <w:rPr>
                <w:rFonts w:hint="eastAsia" w:ascii="仿宋" w:hAnsi="仿宋" w:eastAsia="仿宋" w:cs="仿宋"/>
                <w:color w:val="000000"/>
                <w:sz w:val="24"/>
                <w:szCs w:val="24"/>
                <w:highlight w:val="none"/>
              </w:rPr>
            </w:pPr>
          </w:p>
        </w:tc>
        <w:tc>
          <w:tcPr>
            <w:tcW w:w="2694" w:type="dxa"/>
            <w:noWrap w:val="0"/>
            <w:vAlign w:val="center"/>
          </w:tcPr>
          <w:p w14:paraId="60812964">
            <w:pPr>
              <w:pStyle w:val="30"/>
              <w:shd w:val="clear"/>
              <w:spacing w:line="360" w:lineRule="auto"/>
              <w:ind w:firstLine="0" w:firstLineChars="0"/>
              <w:rPr>
                <w:rFonts w:hint="eastAsia" w:ascii="仿宋" w:hAnsi="仿宋" w:eastAsia="仿宋" w:cs="仿宋"/>
                <w:color w:val="000000"/>
                <w:sz w:val="24"/>
                <w:szCs w:val="24"/>
                <w:highlight w:val="none"/>
              </w:rPr>
            </w:pPr>
          </w:p>
        </w:tc>
        <w:tc>
          <w:tcPr>
            <w:tcW w:w="2126" w:type="dxa"/>
            <w:noWrap w:val="0"/>
            <w:vAlign w:val="center"/>
          </w:tcPr>
          <w:p w14:paraId="0EA517AE">
            <w:pPr>
              <w:pStyle w:val="30"/>
              <w:shd w:val="clear"/>
              <w:spacing w:line="360" w:lineRule="auto"/>
              <w:ind w:firstLine="0" w:firstLineChars="0"/>
              <w:rPr>
                <w:rFonts w:hint="eastAsia" w:ascii="仿宋" w:hAnsi="仿宋" w:eastAsia="仿宋" w:cs="仿宋"/>
                <w:color w:val="000000"/>
                <w:sz w:val="24"/>
                <w:szCs w:val="24"/>
                <w:highlight w:val="none"/>
              </w:rPr>
            </w:pPr>
          </w:p>
        </w:tc>
        <w:tc>
          <w:tcPr>
            <w:tcW w:w="567" w:type="dxa"/>
            <w:noWrap w:val="0"/>
            <w:vAlign w:val="center"/>
          </w:tcPr>
          <w:p w14:paraId="02BEFEB6">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567" w:type="dxa"/>
            <w:noWrap w:val="0"/>
            <w:vAlign w:val="center"/>
          </w:tcPr>
          <w:p w14:paraId="4166375D">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1987" w:type="dxa"/>
            <w:noWrap w:val="0"/>
            <w:vAlign w:val="center"/>
          </w:tcPr>
          <w:p w14:paraId="56B4A138">
            <w:pPr>
              <w:pStyle w:val="30"/>
              <w:shd w:val="clear"/>
              <w:spacing w:line="360" w:lineRule="auto"/>
              <w:ind w:firstLine="0" w:firstLineChars="0"/>
              <w:rPr>
                <w:rFonts w:hint="eastAsia" w:ascii="仿宋" w:hAnsi="仿宋" w:eastAsia="仿宋" w:cs="仿宋"/>
                <w:color w:val="000000"/>
                <w:sz w:val="24"/>
                <w:szCs w:val="24"/>
                <w:highlight w:val="none"/>
              </w:rPr>
            </w:pPr>
          </w:p>
        </w:tc>
      </w:tr>
      <w:tr w14:paraId="24A1D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2B77521A">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p>
        </w:tc>
        <w:tc>
          <w:tcPr>
            <w:tcW w:w="1815" w:type="dxa"/>
            <w:noWrap w:val="0"/>
            <w:vAlign w:val="center"/>
          </w:tcPr>
          <w:p w14:paraId="0B62CF96">
            <w:pPr>
              <w:pStyle w:val="30"/>
              <w:shd w:val="clear"/>
              <w:spacing w:line="360" w:lineRule="auto"/>
              <w:ind w:firstLine="0" w:firstLineChars="0"/>
              <w:rPr>
                <w:rFonts w:hint="eastAsia" w:ascii="仿宋" w:hAnsi="仿宋" w:eastAsia="仿宋" w:cs="仿宋"/>
                <w:color w:val="000000"/>
                <w:sz w:val="24"/>
                <w:szCs w:val="24"/>
                <w:highlight w:val="none"/>
              </w:rPr>
            </w:pPr>
          </w:p>
        </w:tc>
        <w:tc>
          <w:tcPr>
            <w:tcW w:w="2694" w:type="dxa"/>
            <w:noWrap w:val="0"/>
            <w:vAlign w:val="center"/>
          </w:tcPr>
          <w:p w14:paraId="197D9F48">
            <w:pPr>
              <w:pStyle w:val="30"/>
              <w:shd w:val="clear"/>
              <w:spacing w:line="360" w:lineRule="auto"/>
              <w:ind w:firstLine="0" w:firstLineChars="0"/>
              <w:rPr>
                <w:rFonts w:hint="eastAsia" w:ascii="仿宋" w:hAnsi="仿宋" w:eastAsia="仿宋" w:cs="仿宋"/>
                <w:color w:val="000000"/>
                <w:sz w:val="24"/>
                <w:szCs w:val="24"/>
                <w:highlight w:val="none"/>
              </w:rPr>
            </w:pPr>
          </w:p>
        </w:tc>
        <w:tc>
          <w:tcPr>
            <w:tcW w:w="2126" w:type="dxa"/>
            <w:noWrap w:val="0"/>
            <w:vAlign w:val="center"/>
          </w:tcPr>
          <w:p w14:paraId="6EED20A3">
            <w:pPr>
              <w:pStyle w:val="30"/>
              <w:shd w:val="clear"/>
              <w:spacing w:line="360" w:lineRule="auto"/>
              <w:ind w:firstLine="0" w:firstLineChars="0"/>
              <w:rPr>
                <w:rFonts w:hint="eastAsia" w:ascii="仿宋" w:hAnsi="仿宋" w:eastAsia="仿宋" w:cs="仿宋"/>
                <w:color w:val="000000"/>
                <w:sz w:val="24"/>
                <w:szCs w:val="24"/>
                <w:highlight w:val="none"/>
              </w:rPr>
            </w:pPr>
          </w:p>
        </w:tc>
        <w:tc>
          <w:tcPr>
            <w:tcW w:w="567" w:type="dxa"/>
            <w:noWrap w:val="0"/>
            <w:vAlign w:val="center"/>
          </w:tcPr>
          <w:p w14:paraId="526B97CA">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567" w:type="dxa"/>
            <w:noWrap w:val="0"/>
            <w:vAlign w:val="center"/>
          </w:tcPr>
          <w:p w14:paraId="6EA98A8D">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1987" w:type="dxa"/>
            <w:noWrap w:val="0"/>
            <w:vAlign w:val="center"/>
          </w:tcPr>
          <w:p w14:paraId="72DA0B57">
            <w:pPr>
              <w:pStyle w:val="30"/>
              <w:shd w:val="clear"/>
              <w:spacing w:line="360" w:lineRule="auto"/>
              <w:ind w:firstLine="0" w:firstLineChars="0"/>
              <w:rPr>
                <w:rFonts w:hint="eastAsia" w:ascii="仿宋" w:hAnsi="仿宋" w:eastAsia="仿宋" w:cs="仿宋"/>
                <w:color w:val="000000"/>
                <w:sz w:val="24"/>
                <w:szCs w:val="24"/>
                <w:highlight w:val="none"/>
              </w:rPr>
            </w:pPr>
          </w:p>
        </w:tc>
      </w:tr>
      <w:tr w14:paraId="2AAC7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45B41587">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w:t>
            </w:r>
          </w:p>
        </w:tc>
        <w:tc>
          <w:tcPr>
            <w:tcW w:w="1815" w:type="dxa"/>
            <w:noWrap w:val="0"/>
            <w:vAlign w:val="center"/>
          </w:tcPr>
          <w:p w14:paraId="1CF4CE2A">
            <w:pPr>
              <w:pStyle w:val="30"/>
              <w:shd w:val="clear"/>
              <w:spacing w:line="360" w:lineRule="auto"/>
              <w:ind w:firstLine="0" w:firstLineChars="0"/>
              <w:rPr>
                <w:rFonts w:hint="eastAsia" w:ascii="仿宋" w:hAnsi="仿宋" w:eastAsia="仿宋" w:cs="仿宋"/>
                <w:color w:val="000000"/>
                <w:sz w:val="24"/>
                <w:szCs w:val="24"/>
                <w:highlight w:val="none"/>
              </w:rPr>
            </w:pPr>
          </w:p>
        </w:tc>
        <w:tc>
          <w:tcPr>
            <w:tcW w:w="2694" w:type="dxa"/>
            <w:noWrap w:val="0"/>
            <w:vAlign w:val="center"/>
          </w:tcPr>
          <w:p w14:paraId="6809FBE2">
            <w:pPr>
              <w:pStyle w:val="30"/>
              <w:shd w:val="clear"/>
              <w:spacing w:line="360" w:lineRule="auto"/>
              <w:ind w:firstLine="0" w:firstLineChars="0"/>
              <w:rPr>
                <w:rFonts w:hint="eastAsia" w:ascii="仿宋" w:hAnsi="仿宋" w:eastAsia="仿宋" w:cs="仿宋"/>
                <w:color w:val="000000"/>
                <w:sz w:val="24"/>
                <w:szCs w:val="24"/>
                <w:highlight w:val="none"/>
              </w:rPr>
            </w:pPr>
          </w:p>
        </w:tc>
        <w:tc>
          <w:tcPr>
            <w:tcW w:w="2126" w:type="dxa"/>
            <w:noWrap w:val="0"/>
            <w:vAlign w:val="center"/>
          </w:tcPr>
          <w:p w14:paraId="75B1979C">
            <w:pPr>
              <w:pStyle w:val="30"/>
              <w:shd w:val="clear"/>
              <w:spacing w:line="360" w:lineRule="auto"/>
              <w:ind w:firstLine="0" w:firstLineChars="0"/>
              <w:rPr>
                <w:rFonts w:hint="eastAsia" w:ascii="仿宋" w:hAnsi="仿宋" w:eastAsia="仿宋" w:cs="仿宋"/>
                <w:color w:val="000000"/>
                <w:sz w:val="24"/>
                <w:szCs w:val="24"/>
                <w:highlight w:val="none"/>
              </w:rPr>
            </w:pPr>
          </w:p>
        </w:tc>
        <w:tc>
          <w:tcPr>
            <w:tcW w:w="567" w:type="dxa"/>
            <w:noWrap w:val="0"/>
            <w:vAlign w:val="center"/>
          </w:tcPr>
          <w:p w14:paraId="6F00D340">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567" w:type="dxa"/>
            <w:noWrap w:val="0"/>
            <w:vAlign w:val="center"/>
          </w:tcPr>
          <w:p w14:paraId="67893A22">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1987" w:type="dxa"/>
            <w:noWrap w:val="0"/>
            <w:vAlign w:val="center"/>
          </w:tcPr>
          <w:p w14:paraId="33847952">
            <w:pPr>
              <w:pStyle w:val="30"/>
              <w:shd w:val="clear"/>
              <w:spacing w:line="360" w:lineRule="auto"/>
              <w:ind w:firstLine="0" w:firstLineChars="0"/>
              <w:rPr>
                <w:rFonts w:hint="eastAsia" w:ascii="仿宋" w:hAnsi="仿宋" w:eastAsia="仿宋" w:cs="仿宋"/>
                <w:color w:val="000000"/>
                <w:sz w:val="24"/>
                <w:szCs w:val="24"/>
                <w:highlight w:val="none"/>
              </w:rPr>
            </w:pPr>
          </w:p>
        </w:tc>
      </w:tr>
      <w:tr w14:paraId="2F970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13A627E4">
            <w:pPr>
              <w:pStyle w:val="30"/>
              <w:shd w:val="clear"/>
              <w:spacing w:line="360" w:lineRule="auto"/>
              <w:ind w:firstLine="0" w:firstLineChars="0"/>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p>
        </w:tc>
        <w:tc>
          <w:tcPr>
            <w:tcW w:w="1815" w:type="dxa"/>
            <w:noWrap w:val="0"/>
            <w:vAlign w:val="center"/>
          </w:tcPr>
          <w:p w14:paraId="71128F69">
            <w:pPr>
              <w:pStyle w:val="30"/>
              <w:shd w:val="clear"/>
              <w:spacing w:line="360" w:lineRule="auto"/>
              <w:ind w:firstLine="0" w:firstLineChars="0"/>
              <w:rPr>
                <w:rFonts w:hint="eastAsia" w:ascii="仿宋" w:hAnsi="仿宋" w:eastAsia="仿宋" w:cs="仿宋"/>
                <w:color w:val="000000"/>
                <w:sz w:val="24"/>
                <w:szCs w:val="24"/>
                <w:highlight w:val="none"/>
              </w:rPr>
            </w:pPr>
          </w:p>
        </w:tc>
        <w:tc>
          <w:tcPr>
            <w:tcW w:w="2694" w:type="dxa"/>
            <w:noWrap w:val="0"/>
            <w:vAlign w:val="center"/>
          </w:tcPr>
          <w:p w14:paraId="5CEDC15B">
            <w:pPr>
              <w:pStyle w:val="30"/>
              <w:shd w:val="clear"/>
              <w:spacing w:line="360" w:lineRule="auto"/>
              <w:ind w:firstLine="0" w:firstLineChars="0"/>
              <w:rPr>
                <w:rFonts w:hint="eastAsia" w:ascii="仿宋" w:hAnsi="仿宋" w:eastAsia="仿宋" w:cs="仿宋"/>
                <w:color w:val="000000"/>
                <w:sz w:val="24"/>
                <w:szCs w:val="24"/>
                <w:highlight w:val="none"/>
              </w:rPr>
            </w:pPr>
          </w:p>
        </w:tc>
        <w:tc>
          <w:tcPr>
            <w:tcW w:w="2126" w:type="dxa"/>
            <w:noWrap w:val="0"/>
            <w:vAlign w:val="center"/>
          </w:tcPr>
          <w:p w14:paraId="60CDDF98">
            <w:pPr>
              <w:pStyle w:val="30"/>
              <w:shd w:val="clear"/>
              <w:spacing w:line="360" w:lineRule="auto"/>
              <w:ind w:firstLine="0" w:firstLineChars="0"/>
              <w:rPr>
                <w:rFonts w:hint="eastAsia" w:ascii="仿宋" w:hAnsi="仿宋" w:eastAsia="仿宋" w:cs="仿宋"/>
                <w:color w:val="000000"/>
                <w:sz w:val="24"/>
                <w:szCs w:val="24"/>
                <w:highlight w:val="none"/>
              </w:rPr>
            </w:pPr>
          </w:p>
        </w:tc>
        <w:tc>
          <w:tcPr>
            <w:tcW w:w="567" w:type="dxa"/>
            <w:noWrap w:val="0"/>
            <w:vAlign w:val="center"/>
          </w:tcPr>
          <w:p w14:paraId="3D82286E">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567" w:type="dxa"/>
            <w:noWrap w:val="0"/>
            <w:vAlign w:val="center"/>
          </w:tcPr>
          <w:p w14:paraId="5B7357A1">
            <w:pPr>
              <w:pStyle w:val="30"/>
              <w:shd w:val="clear"/>
              <w:spacing w:line="360" w:lineRule="auto"/>
              <w:ind w:firstLine="0" w:firstLineChars="0"/>
              <w:jc w:val="center"/>
              <w:rPr>
                <w:rFonts w:hint="eastAsia" w:ascii="仿宋" w:hAnsi="仿宋" w:eastAsia="仿宋" w:cs="仿宋"/>
                <w:color w:val="000000"/>
                <w:sz w:val="24"/>
                <w:szCs w:val="24"/>
                <w:highlight w:val="none"/>
              </w:rPr>
            </w:pPr>
          </w:p>
        </w:tc>
        <w:tc>
          <w:tcPr>
            <w:tcW w:w="1987" w:type="dxa"/>
            <w:noWrap w:val="0"/>
            <w:vAlign w:val="center"/>
          </w:tcPr>
          <w:p w14:paraId="48699EB4">
            <w:pPr>
              <w:pStyle w:val="30"/>
              <w:shd w:val="clear"/>
              <w:spacing w:line="360" w:lineRule="auto"/>
              <w:ind w:firstLine="0" w:firstLineChars="0"/>
              <w:rPr>
                <w:rFonts w:hint="eastAsia" w:ascii="仿宋" w:hAnsi="仿宋" w:eastAsia="仿宋" w:cs="仿宋"/>
                <w:color w:val="000000"/>
                <w:sz w:val="24"/>
                <w:szCs w:val="24"/>
                <w:highlight w:val="none"/>
              </w:rPr>
            </w:pPr>
          </w:p>
        </w:tc>
      </w:tr>
    </w:tbl>
    <w:p w14:paraId="374E54E8">
      <w:pPr>
        <w:pStyle w:val="30"/>
        <w:numPr>
          <w:ilvl w:val="0"/>
          <w:numId w:val="16"/>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服务地点：本项目涉及的四川省人民医院所有院区。</w:t>
      </w:r>
    </w:p>
    <w:p w14:paraId="33ACEF6B">
      <w:pPr>
        <w:pStyle w:val="30"/>
        <w:numPr>
          <w:ilvl w:val="0"/>
          <w:numId w:val="12"/>
        </w:numPr>
        <w:shd w:val="clear"/>
        <w:snapToGrid w:val="0"/>
        <w:spacing w:line="360" w:lineRule="auto"/>
        <w:ind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验收</w:t>
      </w:r>
    </w:p>
    <w:p w14:paraId="0D9A89C5">
      <w:pPr>
        <w:pStyle w:val="30"/>
        <w:numPr>
          <w:ilvl w:val="0"/>
          <w:numId w:val="17"/>
        </w:numPr>
        <w:shd w:val="clear"/>
        <w:spacing w:line="360" w:lineRule="auto"/>
        <w:ind w:firstLineChars="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甲、乙双方确定，按照本合同约定的验收方案对乙方交付的开发成果进行验收。</w:t>
      </w:r>
    </w:p>
    <w:p w14:paraId="1012259D">
      <w:pPr>
        <w:pStyle w:val="30"/>
        <w:numPr>
          <w:ilvl w:val="0"/>
          <w:numId w:val="17"/>
        </w:numPr>
        <w:shd w:val="clear"/>
        <w:spacing w:line="360" w:lineRule="auto"/>
        <w:ind w:firstLineChars="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验收方案：</w:t>
      </w:r>
    </w:p>
    <w:p w14:paraId="7DBA2BC6">
      <w:pPr>
        <w:pStyle w:val="30"/>
        <w:numPr>
          <w:ilvl w:val="0"/>
          <w:numId w:val="18"/>
        </w:numPr>
        <w:shd w:val="clea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验收主体：甲方</w:t>
      </w:r>
    </w:p>
    <w:p w14:paraId="00A2D9A4">
      <w:pPr>
        <w:pStyle w:val="30"/>
        <w:numPr>
          <w:ilvl w:val="0"/>
          <w:numId w:val="18"/>
        </w:numPr>
        <w:shd w:val="clea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验收组织方式：自行验收</w:t>
      </w:r>
    </w:p>
    <w:p w14:paraId="69ECF521">
      <w:pPr>
        <w:pStyle w:val="30"/>
        <w:numPr>
          <w:ilvl w:val="0"/>
          <w:numId w:val="18"/>
        </w:numPr>
        <w:shd w:val="clea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验收程序：</w:t>
      </w:r>
      <w:r>
        <w:rPr>
          <w:rFonts w:hint="eastAsia" w:ascii="仿宋" w:hAnsi="仿宋" w:eastAsia="仿宋" w:cs="仿宋"/>
          <w:sz w:val="24"/>
          <w:szCs w:val="24"/>
          <w:highlight w:val="none"/>
        </w:rPr>
        <w:sym w:font="Wingdings 2" w:char="F052"/>
      </w:r>
      <w:r>
        <w:rPr>
          <w:rFonts w:hint="eastAsia" w:ascii="仿宋" w:hAnsi="仿宋" w:eastAsia="仿宋" w:cs="仿宋"/>
          <w:color w:val="000000"/>
          <w:sz w:val="24"/>
          <w:szCs w:val="24"/>
          <w:highlight w:val="none"/>
        </w:rPr>
        <w:t xml:space="preserve">一次性验收   </w:t>
      </w:r>
      <w:r>
        <w:rPr>
          <w:rFonts w:hint="eastAsia" w:ascii="仿宋" w:hAnsi="仿宋" w:eastAsia="仿宋" w:cs="仿宋"/>
          <w:sz w:val="24"/>
          <w:szCs w:val="24"/>
          <w:highlight w:val="none"/>
        </w:rPr>
        <w:sym w:font="Wingdings" w:char="F0A8"/>
      </w:r>
      <w:r>
        <w:rPr>
          <w:rFonts w:hint="eastAsia" w:ascii="仿宋" w:hAnsi="仿宋" w:eastAsia="仿宋" w:cs="仿宋"/>
          <w:color w:val="000000"/>
          <w:sz w:val="24"/>
          <w:szCs w:val="24"/>
          <w:highlight w:val="none"/>
        </w:rPr>
        <w:t>分段/分期验收</w:t>
      </w:r>
    </w:p>
    <w:p w14:paraId="1598F14A">
      <w:pPr>
        <w:pStyle w:val="30"/>
        <w:numPr>
          <w:ilvl w:val="0"/>
          <w:numId w:val="18"/>
        </w:numPr>
        <w:shd w:val="clea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验收方式：</w:t>
      </w: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现场整体验收</w:t>
      </w:r>
      <w:r>
        <w:rPr>
          <w:rFonts w:hint="eastAsia" w:ascii="仿宋" w:hAnsi="仿宋" w:eastAsia="仿宋" w:cs="仿宋"/>
          <w:color w:val="000000"/>
          <w:kern w:val="0"/>
          <w:sz w:val="24"/>
          <w:szCs w:val="24"/>
          <w:highlight w:val="none"/>
          <w:shd w:val="clear" w:color="auto" w:fill="FFFFFF"/>
        </w:rPr>
        <w:t xml:space="preserve">   </w:t>
      </w: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color w:val="000000"/>
          <w:sz w:val="24"/>
          <w:szCs w:val="24"/>
          <w:highlight w:val="none"/>
          <w:shd w:val="clear" w:color="auto" w:fill="FFFFFF"/>
        </w:rPr>
        <w:t>考核验收</w:t>
      </w:r>
      <w:r>
        <w:rPr>
          <w:rFonts w:hint="eastAsia" w:ascii="仿宋" w:hAnsi="仿宋" w:eastAsia="仿宋" w:cs="仿宋"/>
          <w:color w:val="000000"/>
          <w:kern w:val="0"/>
          <w:sz w:val="24"/>
          <w:szCs w:val="24"/>
          <w:highlight w:val="none"/>
          <w:shd w:val="clear" w:color="auto" w:fill="FFFFFF"/>
        </w:rPr>
        <w:t xml:space="preserve">   </w:t>
      </w:r>
      <w:r>
        <w:rPr>
          <w:rFonts w:hint="eastAsia" w:ascii="仿宋" w:hAnsi="仿宋" w:eastAsia="仿宋" w:cs="仿宋"/>
          <w:color w:val="000000"/>
          <w:sz w:val="24"/>
          <w:szCs w:val="24"/>
          <w:highlight w:val="none"/>
          <w:shd w:val="clear" w:color="auto" w:fill="FFFFFF"/>
        </w:rPr>
        <w:sym w:font="Wingdings" w:char="F0A8"/>
      </w:r>
      <w:r>
        <w:rPr>
          <w:rFonts w:hint="eastAsia" w:ascii="仿宋" w:hAnsi="仿宋" w:eastAsia="仿宋" w:cs="仿宋"/>
          <w:color w:val="000000"/>
          <w:sz w:val="24"/>
          <w:szCs w:val="24"/>
          <w:highlight w:val="none"/>
          <w:shd w:val="clear" w:color="auto" w:fill="FFFFFF"/>
        </w:rPr>
        <w:t>其它验收方式：</w:t>
      </w:r>
      <w:r>
        <w:rPr>
          <w:rFonts w:hint="eastAsia" w:ascii="仿宋" w:hAnsi="仿宋" w:eastAsia="仿宋" w:cs="仿宋"/>
          <w:color w:val="000000"/>
          <w:sz w:val="24"/>
          <w:szCs w:val="24"/>
          <w:highlight w:val="none"/>
          <w:u w:val="single"/>
          <w:shd w:val="clear" w:color="auto" w:fill="FFFFFF"/>
        </w:rPr>
        <w:t>***</w:t>
      </w:r>
    </w:p>
    <w:p w14:paraId="47A3D380">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履约验收内容：按照甲方的采购文件要求及乙方响应文件响应情况，由乙方向甲方交付的</w:t>
      </w:r>
      <w:r>
        <w:rPr>
          <w:rFonts w:hint="eastAsia" w:ascii="仿宋" w:hAnsi="仿宋" w:eastAsia="仿宋" w:cs="仿宋"/>
          <w:sz w:val="24"/>
          <w:szCs w:val="24"/>
          <w:highlight w:val="none"/>
          <w:u w:val="single"/>
        </w:rPr>
        <w:t>全部内容</w:t>
      </w:r>
      <w:r>
        <w:rPr>
          <w:rFonts w:hint="eastAsia" w:ascii="仿宋" w:hAnsi="仿宋" w:eastAsia="仿宋" w:cs="仿宋"/>
          <w:sz w:val="24"/>
          <w:szCs w:val="24"/>
          <w:highlight w:val="none"/>
        </w:rPr>
        <w:t>。</w:t>
      </w:r>
    </w:p>
    <w:p w14:paraId="631D49BF">
      <w:pPr>
        <w:pStyle w:val="30"/>
        <w:numPr>
          <w:ilvl w:val="0"/>
          <w:numId w:val="18"/>
        </w:numPr>
        <w:shd w:val="clear"/>
        <w:spacing w:line="360" w:lineRule="auto"/>
        <w:ind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履约验收时间：</w:t>
      </w:r>
    </w:p>
    <w:p w14:paraId="10AE7AFB">
      <w:pPr>
        <w:pStyle w:val="30"/>
        <w:shd w:val="clear"/>
        <w:spacing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sym w:font="Wingdings 2" w:char="F052"/>
      </w:r>
      <w:r>
        <w:rPr>
          <w:rFonts w:hint="eastAsia" w:ascii="仿宋" w:hAnsi="仿宋" w:eastAsia="仿宋" w:cs="仿宋"/>
          <w:color w:val="000000"/>
          <w:sz w:val="24"/>
          <w:szCs w:val="24"/>
          <w:highlight w:val="none"/>
        </w:rPr>
        <w:t>乙方完成全部交付内容后X日内通知甲方验收，甲方接乙方通知后X日内组织验收</w:t>
      </w:r>
    </w:p>
    <w:p w14:paraId="3D08B8CA">
      <w:pPr>
        <w:pStyle w:val="16"/>
        <w:shd w:val="clear"/>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2" w:char="00A3"/>
      </w:r>
      <w:r>
        <w:rPr>
          <w:rFonts w:hint="eastAsia" w:ascii="仿宋" w:hAnsi="仿宋" w:eastAsia="仿宋" w:cs="仿宋"/>
          <w:color w:val="000000"/>
          <w:sz w:val="24"/>
          <w:szCs w:val="24"/>
          <w:highlight w:val="none"/>
        </w:rPr>
        <w:t>服务期满且乙方完成所有服务内容后X日内通知甲方验收，甲方接乙方通知后X日内组织验收</w:t>
      </w:r>
    </w:p>
    <w:p w14:paraId="74C87317">
      <w:pPr>
        <w:pStyle w:val="16"/>
        <w:shd w:val="clear"/>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乙方完成每一阶段或轮次服务内容后X日内通知甲方验收，甲方接乙方通知后X日内组织验收</w:t>
      </w:r>
    </w:p>
    <w:p w14:paraId="17F71B93">
      <w:pPr>
        <w:pStyle w:val="16"/>
        <w:shd w:val="clear"/>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甲方完成考核后X日内组织验收</w:t>
      </w:r>
    </w:p>
    <w:p w14:paraId="73AF3923">
      <w:pPr>
        <w:pStyle w:val="16"/>
        <w:shd w:val="clear"/>
        <w:spacing w:after="0" w:line="360" w:lineRule="auto"/>
        <w:ind w:left="420" w:leftChars="200" w:firstLine="0" w:firstLineChars="0"/>
        <w:contextualSpacing/>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 xml:space="preserve">其它验收时间：            </w:t>
      </w:r>
    </w:p>
    <w:p w14:paraId="4ABEF5EA">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是否邀请本项目的其他供应商： </w:t>
      </w:r>
      <w:r>
        <w:rPr>
          <w:rFonts w:hint="eastAsia" w:ascii="仿宋" w:hAnsi="仿宋" w:eastAsia="仿宋" w:cs="仿宋"/>
          <w:kern w:val="0"/>
          <w:sz w:val="24"/>
          <w:szCs w:val="24"/>
          <w:highlight w:val="none"/>
          <w:shd w:val="clear" w:color="auto" w:fill="FFFFFF"/>
        </w:rPr>
        <w:sym w:font="Wingdings" w:char="F0A8"/>
      </w:r>
      <w:r>
        <w:rPr>
          <w:rFonts w:hint="eastAsia" w:ascii="仿宋" w:hAnsi="仿宋" w:eastAsia="仿宋" w:cs="仿宋"/>
          <w:sz w:val="24"/>
          <w:szCs w:val="24"/>
          <w:highlight w:val="none"/>
          <w:shd w:val="clear" w:color="auto" w:fill="FFFFFF"/>
        </w:rPr>
        <w:t xml:space="preserve">是   </w:t>
      </w:r>
      <w:r>
        <w:rPr>
          <w:rFonts w:hint="eastAsia" w:ascii="仿宋" w:hAnsi="仿宋" w:eastAsia="仿宋" w:cs="仿宋"/>
          <w:kern w:val="0"/>
          <w:sz w:val="24"/>
          <w:szCs w:val="24"/>
          <w:highlight w:val="none"/>
        </w:rPr>
        <w:sym w:font="Wingdings 2" w:char="F052"/>
      </w:r>
      <w:r>
        <w:rPr>
          <w:rFonts w:hint="eastAsia" w:ascii="仿宋" w:hAnsi="仿宋" w:eastAsia="仿宋" w:cs="仿宋"/>
          <w:sz w:val="24"/>
          <w:szCs w:val="24"/>
          <w:highlight w:val="none"/>
          <w:shd w:val="clear" w:color="auto" w:fill="FFFFFF"/>
        </w:rPr>
        <w:t>否</w:t>
      </w:r>
    </w:p>
    <w:p w14:paraId="25E1E6DB">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是否邀请专家： </w:t>
      </w:r>
      <w:r>
        <w:rPr>
          <w:rFonts w:hint="eastAsia" w:ascii="仿宋" w:hAnsi="仿宋" w:eastAsia="仿宋" w:cs="仿宋"/>
          <w:kern w:val="0"/>
          <w:sz w:val="24"/>
          <w:szCs w:val="24"/>
          <w:highlight w:val="none"/>
          <w:shd w:val="clear" w:color="auto" w:fill="FFFFFF"/>
        </w:rPr>
        <w:sym w:font="Wingdings" w:char="F0A8"/>
      </w:r>
      <w:r>
        <w:rPr>
          <w:rFonts w:hint="eastAsia" w:ascii="仿宋" w:hAnsi="仿宋" w:eastAsia="仿宋" w:cs="仿宋"/>
          <w:sz w:val="24"/>
          <w:szCs w:val="24"/>
          <w:highlight w:val="none"/>
          <w:shd w:val="clear" w:color="auto" w:fill="FFFFFF"/>
        </w:rPr>
        <w:t xml:space="preserve">是   </w:t>
      </w:r>
      <w:r>
        <w:rPr>
          <w:rFonts w:hint="eastAsia" w:ascii="仿宋" w:hAnsi="仿宋" w:eastAsia="仿宋" w:cs="仿宋"/>
          <w:kern w:val="0"/>
          <w:sz w:val="24"/>
          <w:szCs w:val="24"/>
          <w:highlight w:val="none"/>
        </w:rPr>
        <w:sym w:font="Wingdings 2" w:char="F052"/>
      </w:r>
      <w:r>
        <w:rPr>
          <w:rFonts w:hint="eastAsia" w:ascii="仿宋" w:hAnsi="仿宋" w:eastAsia="仿宋" w:cs="仿宋"/>
          <w:sz w:val="24"/>
          <w:szCs w:val="24"/>
          <w:highlight w:val="none"/>
          <w:shd w:val="clear" w:color="auto" w:fill="FFFFFF"/>
        </w:rPr>
        <w:t>否</w:t>
      </w:r>
    </w:p>
    <w:p w14:paraId="1D356AC7">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是否邀请服务对象： </w:t>
      </w:r>
      <w:r>
        <w:rPr>
          <w:rFonts w:hint="eastAsia" w:ascii="仿宋" w:hAnsi="仿宋" w:eastAsia="仿宋" w:cs="仿宋"/>
          <w:kern w:val="0"/>
          <w:sz w:val="24"/>
          <w:szCs w:val="24"/>
          <w:highlight w:val="none"/>
          <w:shd w:val="clear" w:color="auto" w:fill="FFFFFF"/>
        </w:rPr>
        <w:sym w:font="Wingdings" w:char="F0A8"/>
      </w:r>
      <w:r>
        <w:rPr>
          <w:rFonts w:hint="eastAsia" w:ascii="仿宋" w:hAnsi="仿宋" w:eastAsia="仿宋" w:cs="仿宋"/>
          <w:sz w:val="24"/>
          <w:szCs w:val="24"/>
          <w:highlight w:val="none"/>
          <w:shd w:val="clear" w:color="auto" w:fill="FFFFFF"/>
        </w:rPr>
        <w:t xml:space="preserve">是   </w:t>
      </w:r>
      <w:r>
        <w:rPr>
          <w:rFonts w:hint="eastAsia" w:ascii="仿宋" w:hAnsi="仿宋" w:eastAsia="仿宋" w:cs="仿宋"/>
          <w:kern w:val="0"/>
          <w:sz w:val="24"/>
          <w:szCs w:val="24"/>
          <w:highlight w:val="none"/>
        </w:rPr>
        <w:sym w:font="Wingdings 2" w:char="F052"/>
      </w:r>
      <w:r>
        <w:rPr>
          <w:rFonts w:hint="eastAsia" w:ascii="仿宋" w:hAnsi="仿宋" w:eastAsia="仿宋" w:cs="仿宋"/>
          <w:sz w:val="24"/>
          <w:szCs w:val="24"/>
          <w:highlight w:val="none"/>
          <w:shd w:val="clear" w:color="auto" w:fill="FFFFFF"/>
        </w:rPr>
        <w:t>否</w:t>
      </w:r>
    </w:p>
    <w:p w14:paraId="7D6C0F5B">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是否邀请第三方检测机构：</w:t>
      </w:r>
      <w:r>
        <w:rPr>
          <w:rFonts w:hint="eastAsia" w:ascii="仿宋" w:hAnsi="仿宋" w:eastAsia="仿宋" w:cs="仿宋"/>
          <w:kern w:val="0"/>
          <w:sz w:val="24"/>
          <w:szCs w:val="24"/>
          <w:highlight w:val="none"/>
          <w:shd w:val="clear" w:color="auto" w:fill="FFFFFF"/>
        </w:rPr>
        <w:t xml:space="preserve"> </w:t>
      </w:r>
      <w:r>
        <w:rPr>
          <w:rFonts w:hint="eastAsia" w:ascii="仿宋" w:hAnsi="仿宋" w:eastAsia="仿宋" w:cs="仿宋"/>
          <w:kern w:val="0"/>
          <w:sz w:val="24"/>
          <w:szCs w:val="24"/>
          <w:highlight w:val="none"/>
          <w:shd w:val="clear" w:color="auto" w:fill="FFFFFF"/>
        </w:rPr>
        <w:sym w:font="Wingdings" w:char="F0A8"/>
      </w:r>
      <w:r>
        <w:rPr>
          <w:rFonts w:hint="eastAsia" w:ascii="仿宋" w:hAnsi="仿宋" w:eastAsia="仿宋" w:cs="仿宋"/>
          <w:sz w:val="24"/>
          <w:szCs w:val="24"/>
          <w:highlight w:val="none"/>
          <w:shd w:val="clear" w:color="auto" w:fill="FFFFFF"/>
        </w:rPr>
        <w:t xml:space="preserve">是   </w:t>
      </w:r>
      <w:r>
        <w:rPr>
          <w:rFonts w:hint="eastAsia" w:ascii="仿宋" w:hAnsi="仿宋" w:eastAsia="仿宋" w:cs="仿宋"/>
          <w:kern w:val="0"/>
          <w:sz w:val="24"/>
          <w:szCs w:val="24"/>
          <w:highlight w:val="none"/>
        </w:rPr>
        <w:sym w:font="Wingdings 2" w:char="F052"/>
      </w:r>
      <w:r>
        <w:rPr>
          <w:rFonts w:hint="eastAsia" w:ascii="仿宋" w:hAnsi="仿宋" w:eastAsia="仿宋" w:cs="仿宋"/>
          <w:sz w:val="24"/>
          <w:szCs w:val="24"/>
          <w:highlight w:val="none"/>
          <w:shd w:val="clear" w:color="auto" w:fill="FFFFFF"/>
        </w:rPr>
        <w:t>否</w:t>
      </w:r>
    </w:p>
    <w:p w14:paraId="333D65F0">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验收标准：</w:t>
      </w:r>
    </w:p>
    <w:p w14:paraId="4A40C589">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shd w:val="clear" w:color="auto" w:fill="auto"/>
        </w:rPr>
      </w:pPr>
      <w:r>
        <w:rPr>
          <w:rFonts w:hint="eastAsia" w:ascii="仿宋" w:hAnsi="仿宋" w:eastAsia="仿宋" w:cs="仿宋"/>
          <w:sz w:val="24"/>
          <w:szCs w:val="24"/>
          <w:highlight w:val="none"/>
          <w:shd w:val="clear" w:color="auto" w:fill="FFFFFF"/>
        </w:rPr>
        <w:t>国家相关法律法规、行业标准、技术规范。</w:t>
      </w:r>
    </w:p>
    <w:p w14:paraId="1D9FE33C">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甲方采购文件相关技术、服务要求、乙方响应文件相关响应内容。</w:t>
      </w:r>
    </w:p>
    <w:p w14:paraId="7FFEC5BA">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产品生产厂家出具的产品说明书、技术白皮书等官方技术资料（如涉及）。</w:t>
      </w:r>
    </w:p>
    <w:p w14:paraId="0D58263F">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如验收时，甲方与乙方认为本项目验收标准中的技术指标、质量要求等内容存在相互抵触或对其理解存在异议，应按照其中更严格的要求、标准等进行验收。</w:t>
      </w:r>
    </w:p>
    <w:p w14:paraId="7FC007E4">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参照《财政部关于进一步加强政府采购需求和履约验收管理的指导意见》（财库〔2016〕205号）的要求进行验收。</w:t>
      </w:r>
    </w:p>
    <w:p w14:paraId="2ACFD8AE">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如本项目验收方式为考核验收，则考核结果须为合格。</w:t>
      </w:r>
    </w:p>
    <w:p w14:paraId="7CA063D1">
      <w:pPr>
        <w:pStyle w:val="16"/>
        <w:numPr>
          <w:ilvl w:val="0"/>
          <w:numId w:val="19"/>
        </w:numPr>
        <w:shd w:val="clear"/>
        <w:spacing w:after="0"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其它标准：</w:t>
      </w:r>
      <w:r>
        <w:rPr>
          <w:rFonts w:hint="eastAsia" w:ascii="仿宋" w:hAnsi="仿宋" w:eastAsia="仿宋" w:cs="仿宋"/>
          <w:sz w:val="24"/>
          <w:szCs w:val="24"/>
          <w:highlight w:val="none"/>
          <w:u w:val="single"/>
        </w:rPr>
        <w:t>无。</w:t>
      </w:r>
    </w:p>
    <w:p w14:paraId="64880F48">
      <w:pPr>
        <w:pStyle w:val="30"/>
        <w:numPr>
          <w:ilvl w:val="0"/>
          <w:numId w:val="18"/>
        </w:numPr>
        <w:shd w:val="clear"/>
        <w:spacing w:line="360" w:lineRule="auto"/>
        <w:ind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其它验收要求：</w:t>
      </w:r>
      <w:r>
        <w:rPr>
          <w:rFonts w:hint="eastAsia" w:ascii="仿宋" w:hAnsi="仿宋" w:eastAsia="仿宋" w:cs="仿宋"/>
          <w:color w:val="000000"/>
          <w:kern w:val="0"/>
          <w:sz w:val="24"/>
          <w:szCs w:val="24"/>
          <w:highlight w:val="none"/>
          <w:u w:val="single"/>
        </w:rPr>
        <w:t>无</w:t>
      </w:r>
      <w:r>
        <w:rPr>
          <w:rFonts w:hint="eastAsia" w:ascii="仿宋" w:hAnsi="仿宋" w:eastAsia="仿宋" w:cs="仿宋"/>
          <w:i/>
          <w:iCs/>
          <w:color w:val="000000"/>
          <w:kern w:val="0"/>
          <w:sz w:val="24"/>
          <w:szCs w:val="24"/>
          <w:highlight w:val="none"/>
        </w:rPr>
        <w:t>&lt;如有请填写&gt;</w:t>
      </w:r>
    </w:p>
    <w:p w14:paraId="7A20B1E8">
      <w:pPr>
        <w:pStyle w:val="30"/>
        <w:numPr>
          <w:ilvl w:val="0"/>
          <w:numId w:val="17"/>
        </w:numPr>
        <w:shd w:val="clear"/>
        <w:spacing w:line="360" w:lineRule="auto"/>
        <w:ind w:left="0" w:firstLine="0" w:firstLineChars="0"/>
        <w:contextualSpacing/>
        <w:rPr>
          <w:rFonts w:hint="eastAsia" w:ascii="仿宋" w:hAnsi="仿宋" w:eastAsia="仿宋" w:cs="仿宋"/>
          <w:sz w:val="24"/>
          <w:szCs w:val="24"/>
          <w:highlight w:val="none"/>
        </w:rPr>
      </w:pPr>
      <w:r>
        <w:rPr>
          <w:rFonts w:hint="eastAsia" w:ascii="仿宋" w:hAnsi="仿宋" w:eastAsia="仿宋" w:cs="仿宋"/>
          <w:sz w:val="24"/>
          <w:szCs w:val="24"/>
          <w:highlight w:val="none"/>
        </w:rPr>
        <w:t>乙方按照本合同向甲方交付的软件：</w:t>
      </w:r>
      <w:bookmarkStart w:id="98" w:name="OLE_LINK3"/>
      <w:r>
        <w:rPr>
          <w:rFonts w:hint="eastAsia" w:ascii="仿宋" w:hAnsi="仿宋" w:eastAsia="仿宋" w:cs="仿宋"/>
          <w:i/>
          <w:iCs/>
          <w:color w:val="000000"/>
          <w:sz w:val="24"/>
          <w:szCs w:val="24"/>
          <w:highlight w:val="none"/>
        </w:rPr>
        <w:t>&lt;根据项目实际情况选择</w:t>
      </w:r>
      <w:bookmarkEnd w:id="98"/>
      <w:r>
        <w:rPr>
          <w:rFonts w:hint="eastAsia" w:ascii="仿宋" w:hAnsi="仿宋" w:eastAsia="仿宋" w:cs="仿宋"/>
          <w:i/>
          <w:iCs/>
          <w:color w:val="000000"/>
          <w:sz w:val="24"/>
          <w:szCs w:val="24"/>
          <w:highlight w:val="none"/>
        </w:rPr>
        <w:t>&gt;</w:t>
      </w:r>
    </w:p>
    <w:p w14:paraId="3E061CF7">
      <w:pPr>
        <w:pStyle w:val="30"/>
        <w:shd w:val="clear"/>
        <w:spacing w:line="360" w:lineRule="auto"/>
        <w:ind w:left="315" w:leftChars="150" w:firstLine="0" w:firstLineChars="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sym w:font="Wingdings 2" w:char="00A3"/>
      </w:r>
      <w:r>
        <w:rPr>
          <w:rFonts w:hint="eastAsia" w:ascii="仿宋" w:hAnsi="仿宋" w:eastAsia="仿宋" w:cs="仿宋"/>
          <w:sz w:val="24"/>
          <w:szCs w:val="24"/>
          <w:highlight w:val="none"/>
          <w:u w:val="single"/>
        </w:rPr>
        <w:t>有试运行期</w:t>
      </w:r>
      <w:r>
        <w:rPr>
          <w:rFonts w:hint="eastAsia" w:ascii="仿宋" w:hAnsi="仿宋" w:eastAsia="仿宋" w:cs="仿宋"/>
          <w:sz w:val="24"/>
          <w:szCs w:val="24"/>
          <w:highlight w:val="none"/>
        </w:rPr>
        <w:t>，试运行期为***，试运行期间，如发现软件有缺陷，或性能和质量不符合本项目要求时，乙方须对相关问题进行修改和更正，同时试运行期时限按照上述修改、更正期进行相应顺延。</w:t>
      </w:r>
    </w:p>
    <w:p w14:paraId="5A3314ED">
      <w:pPr>
        <w:pStyle w:val="30"/>
        <w:shd w:val="clear"/>
        <w:spacing w:line="360" w:lineRule="auto"/>
        <w:ind w:left="315" w:leftChars="15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sym w:font="Wingdings 2" w:char="0052"/>
      </w:r>
      <w:r>
        <w:rPr>
          <w:rFonts w:hint="eastAsia" w:ascii="仿宋" w:hAnsi="仿宋" w:eastAsia="仿宋" w:cs="仿宋"/>
          <w:sz w:val="24"/>
          <w:szCs w:val="24"/>
          <w:highlight w:val="none"/>
          <w:u w:val="single"/>
        </w:rPr>
        <w:t>无试运行期</w:t>
      </w:r>
    </w:p>
    <w:p w14:paraId="738C50D0">
      <w:pPr>
        <w:pStyle w:val="30"/>
        <w:numPr>
          <w:ilvl w:val="0"/>
          <w:numId w:val="17"/>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若验收交付内容涉及试运行的，经试运行达到设计使用要求、技术质量标准并经甲方认可后视为验收通过。</w:t>
      </w:r>
    </w:p>
    <w:p w14:paraId="4CED6684">
      <w:pPr>
        <w:pStyle w:val="30"/>
        <w:numPr>
          <w:ilvl w:val="0"/>
          <w:numId w:val="17"/>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不能交付而须支付合同总价</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%的违约金给甲方，违约金不能弥补甲方损失的，乙方应全额赔偿。</w:t>
      </w:r>
    </w:p>
    <w:p w14:paraId="50FEE053">
      <w:pPr>
        <w:pStyle w:val="30"/>
        <w:numPr>
          <w:ilvl w:val="0"/>
          <w:numId w:val="12"/>
        </w:numPr>
        <w:shd w:val="clear"/>
        <w:snapToGrid w:val="0"/>
        <w:spacing w:line="360" w:lineRule="auto"/>
        <w:ind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知识产权及保密</w:t>
      </w:r>
    </w:p>
    <w:p w14:paraId="090E11CC">
      <w:pPr>
        <w:pStyle w:val="30"/>
        <w:numPr>
          <w:ilvl w:val="0"/>
          <w:numId w:val="20"/>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甲、乙双方确定，因履行本合同所产生的开发成果及其相关知识产权归属</w:t>
      </w:r>
      <w:r>
        <w:rPr>
          <w:rFonts w:hint="eastAsia" w:ascii="仿宋" w:hAnsi="仿宋" w:eastAsia="仿宋" w:cs="仿宋"/>
          <w:sz w:val="24"/>
          <w:szCs w:val="24"/>
          <w:highlight w:val="none"/>
          <w:u w:val="single"/>
        </w:rPr>
        <w:t>甲方所有</w:t>
      </w:r>
      <w:r>
        <w:rPr>
          <w:rFonts w:hint="eastAsia" w:ascii="仿宋" w:hAnsi="仿宋" w:eastAsia="仿宋" w:cs="仿宋"/>
          <w:sz w:val="24"/>
          <w:szCs w:val="24"/>
          <w:highlight w:val="none"/>
        </w:rPr>
        <w:t>。</w:t>
      </w:r>
    </w:p>
    <w:p w14:paraId="4958CFAD">
      <w:pPr>
        <w:pStyle w:val="30"/>
        <w:numPr>
          <w:ilvl w:val="0"/>
          <w:numId w:val="20"/>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乙方不得在向甲方交付开发成果之前，自行将开发成果转让给第三方。</w:t>
      </w:r>
    </w:p>
    <w:p w14:paraId="25E35413">
      <w:pPr>
        <w:pStyle w:val="30"/>
        <w:numPr>
          <w:ilvl w:val="0"/>
          <w:numId w:val="20"/>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须保证，对于其提供的软件系统拥有知识产权或已获得权利人的授权，甲方无需另行支付任何费用。本项目使用乙方提供的软件不会侵犯第三方的合法权益，否则乙方应当负责处理索赔或涉诉等各项事宜，造成甲方损失的，乙方还应当承担赔偿责任。</w:t>
      </w:r>
    </w:p>
    <w:p w14:paraId="55A1C69E">
      <w:pPr>
        <w:pStyle w:val="30"/>
        <w:numPr>
          <w:ilvl w:val="0"/>
          <w:numId w:val="20"/>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甲、乙双方确定，甲方有权利用乙方按照本合同约定提供的产品，进行后续改进，由此产生的具有实质性或创造性技术进步特征的新的技术成果及其权利归属，由甲方享有。</w:t>
      </w:r>
    </w:p>
    <w:p w14:paraId="7FFB5D19">
      <w:pPr>
        <w:pStyle w:val="30"/>
        <w:numPr>
          <w:ilvl w:val="0"/>
          <w:numId w:val="20"/>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甲、乙双方确定，本合同价格已包含向本合同涉及的相关所有权人支付的专利权、商标权或其他知识产权的有关费用及税费。</w:t>
      </w:r>
    </w:p>
    <w:p w14:paraId="70DECE62">
      <w:pPr>
        <w:pStyle w:val="30"/>
        <w:numPr>
          <w:ilvl w:val="0"/>
          <w:numId w:val="20"/>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甲乙双方均应对本合同内容，包括但不限于项目关键技术、实施方案等予以保密，非经双方一致同意，任何一方不得将协议内容泄露、提供给第三方或用作其他不正当用途。</w:t>
      </w:r>
    </w:p>
    <w:p w14:paraId="6DB5179B">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付款方式</w:t>
      </w:r>
    </w:p>
    <w:p w14:paraId="0FAADDA0">
      <w:pPr>
        <w:pStyle w:val="30"/>
        <w:numPr>
          <w:ilvl w:val="0"/>
          <w:numId w:val="21"/>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p w14:paraId="06B649BE">
      <w:pPr>
        <w:pStyle w:val="16"/>
        <w:shd w:val="clear"/>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乙方在合同签订生效之日起的***个工作日内，按合同总价***%支付履约保证金；项目验收合格且服务期结束之后，</w:t>
      </w:r>
      <w:r>
        <w:rPr>
          <w:rFonts w:hint="eastAsia" w:ascii="仿宋" w:hAnsi="仿宋" w:eastAsia="仿宋" w:cs="仿宋"/>
          <w:sz w:val="24"/>
          <w:szCs w:val="24"/>
          <w:highlight w:val="none"/>
        </w:rPr>
        <w:t>乙方向甲方提供合法有效票据及其他相关请款资料，甲方在</w:t>
      </w:r>
      <w:r>
        <w:rPr>
          <w:rFonts w:hint="eastAsia" w:ascii="仿宋" w:hAnsi="仿宋" w:eastAsia="仿宋" w:cs="仿宋"/>
          <w:sz w:val="24"/>
          <w:szCs w:val="24"/>
          <w:highlight w:val="none"/>
          <w:u w:val="single"/>
        </w:rPr>
        <w:t xml:space="preserve"> 50 </w:t>
      </w:r>
      <w:r>
        <w:rPr>
          <w:rFonts w:hint="eastAsia" w:ascii="仿宋" w:hAnsi="仿宋" w:eastAsia="仿宋" w:cs="仿宋"/>
          <w:sz w:val="24"/>
          <w:szCs w:val="24"/>
          <w:highlight w:val="none"/>
        </w:rPr>
        <w:t>工作日内将履约保证金扣减考核金额（如涉及考核）后一次性无息退还</w:t>
      </w:r>
      <w:r>
        <w:rPr>
          <w:rFonts w:hint="eastAsia" w:ascii="仿宋" w:hAnsi="仿宋" w:eastAsia="仿宋" w:cs="仿宋"/>
          <w:color w:val="000000"/>
          <w:sz w:val="24"/>
          <w:szCs w:val="24"/>
          <w:highlight w:val="none"/>
        </w:rPr>
        <w:t>；经验收后乙方履约不合格的，履约保证金不予退还。</w:t>
      </w:r>
    </w:p>
    <w:p w14:paraId="5D7C440C">
      <w:pPr>
        <w:pStyle w:val="16"/>
        <w:shd w:val="clear"/>
        <w:spacing w:after="0" w:line="360" w:lineRule="auto"/>
        <w:ind w:left="420" w:leftChars="20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本合同不涉及履约保证金。</w:t>
      </w:r>
    </w:p>
    <w:p w14:paraId="23EE6CAF">
      <w:pPr>
        <w:pStyle w:val="30"/>
        <w:numPr>
          <w:ilvl w:val="0"/>
          <w:numId w:val="21"/>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本项目价款采用以下方式支付，以人民币结算：</w:t>
      </w:r>
    </w:p>
    <w:p w14:paraId="6D978A3C">
      <w:pPr>
        <w:pStyle w:val="16"/>
        <w:shd w:val="clear"/>
        <w:spacing w:after="0" w:line="360" w:lineRule="auto"/>
        <w:ind w:left="0" w:leftChars="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2" w:char="F052"/>
      </w:r>
      <w:r>
        <w:rPr>
          <w:rFonts w:hint="eastAsia" w:ascii="仿宋" w:hAnsi="仿宋" w:eastAsia="仿宋" w:cs="仿宋"/>
          <w:color w:val="000000"/>
          <w:sz w:val="24"/>
          <w:szCs w:val="24"/>
          <w:highlight w:val="none"/>
        </w:rPr>
        <w:t>一次性支付：甲方</w:t>
      </w:r>
      <w:r>
        <w:rPr>
          <w:rFonts w:hint="eastAsia" w:ascii="仿宋" w:hAnsi="仿宋" w:eastAsia="仿宋" w:cs="仿宋"/>
          <w:sz w:val="24"/>
          <w:szCs w:val="24"/>
          <w:highlight w:val="none"/>
        </w:rPr>
        <w:t>甲方提供合法有效票据及其他相关请款资料，甲方接到乙方请款资料以后的55日内，向乙方支付合同总价100%的金额</w:t>
      </w:r>
      <w:r>
        <w:rPr>
          <w:rFonts w:hint="eastAsia" w:ascii="仿宋" w:hAnsi="仿宋" w:eastAsia="仿宋" w:cs="仿宋"/>
          <w:color w:val="000000"/>
          <w:sz w:val="24"/>
          <w:szCs w:val="24"/>
          <w:highlight w:val="none"/>
        </w:rPr>
        <w:t>。</w:t>
      </w:r>
    </w:p>
    <w:p w14:paraId="60091B43">
      <w:pPr>
        <w:pStyle w:val="16"/>
        <w:shd w:val="clear"/>
        <w:spacing w:after="0" w:line="360" w:lineRule="auto"/>
        <w:ind w:left="0" w:leftChars="0" w:firstLine="0" w:firstLineChars="0"/>
        <w:contextualSpacing/>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F0A8"/>
      </w:r>
      <w:r>
        <w:rPr>
          <w:rFonts w:hint="eastAsia" w:ascii="仿宋" w:hAnsi="仿宋" w:eastAsia="仿宋" w:cs="仿宋"/>
          <w:color w:val="000000"/>
          <w:sz w:val="24"/>
          <w:szCs w:val="24"/>
          <w:highlight w:val="none"/>
        </w:rPr>
        <w:t>分阶段支付：</w:t>
      </w:r>
    </w:p>
    <w:p w14:paraId="7206E7EC">
      <w:pPr>
        <w:pStyle w:val="16"/>
        <w:shd w:val="clear"/>
        <w:spacing w:after="0" w:line="360" w:lineRule="auto"/>
        <w:ind w:left="840" w:leftChars="400" w:firstLine="0" w:firstLineChars="0"/>
        <w:contextualSpacing/>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sz w:val="24"/>
          <w:szCs w:val="24"/>
          <w:highlight w:val="none"/>
        </w:rPr>
        <w:t>第一次付款：合同签订生效且项目验收通过后，乙方 5 日内向甲方提供合法有效票据及其他相关请款资料，甲方接到乙方请款资料以后的55日内，向乙方支付本次合同金额的 80%</w:t>
      </w:r>
      <w:r>
        <w:rPr>
          <w:rFonts w:hint="eastAsia" w:ascii="仿宋" w:hAnsi="仿宋" w:eastAsia="仿宋" w:cs="仿宋"/>
          <w:color w:val="000000"/>
          <w:sz w:val="24"/>
          <w:szCs w:val="24"/>
          <w:highlight w:val="none"/>
        </w:rPr>
        <w:t>。</w:t>
      </w:r>
    </w:p>
    <w:p w14:paraId="6AE64FC6">
      <w:pPr>
        <w:pStyle w:val="16"/>
        <w:shd w:val="clear"/>
        <w:spacing w:after="0" w:line="360" w:lineRule="auto"/>
        <w:ind w:left="840" w:leftChars="400" w:firstLine="0" w:firstLineChars="0"/>
        <w:contextualSpacing/>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sz w:val="24"/>
          <w:szCs w:val="24"/>
          <w:highlight w:val="none"/>
        </w:rPr>
        <w:t>第二次付款：服务期满后，乙方 5 日内向甲方提供合法有效票据及其他相关请款资料，甲方接到乙方请款资料以后的90日内，向乙方支付合同总价20%减去考核扣除金额（若有考核）</w:t>
      </w:r>
      <w:r>
        <w:rPr>
          <w:rFonts w:hint="eastAsia" w:ascii="仿宋" w:hAnsi="仿宋" w:eastAsia="仿宋" w:cs="仿宋"/>
          <w:color w:val="000000"/>
          <w:sz w:val="24"/>
          <w:szCs w:val="24"/>
          <w:highlight w:val="none"/>
        </w:rPr>
        <w:t>。</w:t>
      </w:r>
    </w:p>
    <w:p w14:paraId="5F66A85F">
      <w:pPr>
        <w:pStyle w:val="16"/>
        <w:shd w:val="clear"/>
        <w:spacing w:after="0" w:line="360" w:lineRule="auto"/>
        <w:ind w:left="0" w:leftChars="0" w:firstLine="0" w:firstLineChars="0"/>
        <w:contextualSpacing/>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sym w:font="Wingdings" w:char="00A8"/>
      </w:r>
      <w:r>
        <w:rPr>
          <w:rFonts w:hint="eastAsia" w:ascii="仿宋" w:hAnsi="仿宋" w:eastAsia="仿宋" w:cs="仿宋"/>
          <w:color w:val="000000"/>
          <w:sz w:val="24"/>
          <w:szCs w:val="24"/>
          <w:highlight w:val="none"/>
        </w:rPr>
        <w:t>实结算方式：</w:t>
      </w:r>
      <w:r>
        <w:rPr>
          <w:rFonts w:hint="eastAsia" w:ascii="仿宋" w:hAnsi="仿宋" w:eastAsia="仿宋" w:cs="仿宋"/>
          <w:sz w:val="24"/>
          <w:szCs w:val="24"/>
          <w:highlight w:val="none"/>
        </w:rPr>
        <w:t>本项目</w:t>
      </w:r>
      <w:r>
        <w:rPr>
          <w:rFonts w:hint="eastAsia" w:ascii="仿宋" w:hAnsi="仿宋" w:eastAsia="仿宋" w:cs="仿宋"/>
          <w:sz w:val="24"/>
          <w:szCs w:val="24"/>
          <w:highlight w:val="none"/>
          <w:u w:val="single"/>
        </w:rPr>
        <w:t>每月/每季度</w:t>
      </w:r>
      <w:r>
        <w:rPr>
          <w:rFonts w:hint="eastAsia" w:ascii="仿宋" w:hAnsi="仿宋" w:eastAsia="仿宋" w:cs="仿宋"/>
          <w:sz w:val="24"/>
          <w:szCs w:val="24"/>
          <w:highlight w:val="none"/>
        </w:rPr>
        <w:t>结算一次 ，根据本项目成交单价及实际验收数量，乙方需 5 日内向甲方提供合法有效票据及其他相关请款资料，甲方接到乙方请款资料以后的55日内支付相应价款，最终结算总价不得超过</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元</w:t>
      </w:r>
      <w:r>
        <w:rPr>
          <w:rFonts w:hint="eastAsia" w:ascii="仿宋" w:hAnsi="仿宋" w:eastAsia="仿宋" w:cs="仿宋"/>
          <w:color w:val="000000"/>
          <w:sz w:val="24"/>
          <w:szCs w:val="24"/>
          <w:highlight w:val="none"/>
        </w:rPr>
        <w:t>。</w:t>
      </w:r>
    </w:p>
    <w:p w14:paraId="6F2B0E98">
      <w:pPr>
        <w:pStyle w:val="30"/>
        <w:numPr>
          <w:ilvl w:val="0"/>
          <w:numId w:val="21"/>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甲方付款前，乙方需提供合法有效票据及其他相关请款资料，否则甲方有权拒绝支付且不承担任何违约责任，且乙方不得因此停止工作。</w:t>
      </w:r>
    </w:p>
    <w:p w14:paraId="10929BD6">
      <w:pPr>
        <w:pStyle w:val="30"/>
        <w:numPr>
          <w:ilvl w:val="0"/>
          <w:numId w:val="21"/>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乙方开票信息中的软件名称与合同中软件名称应一致。</w:t>
      </w:r>
    </w:p>
    <w:p w14:paraId="315AEF5D">
      <w:pPr>
        <w:pStyle w:val="30"/>
        <w:numPr>
          <w:ilvl w:val="0"/>
          <w:numId w:val="21"/>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乙方开票信息应与合同预留账户信息一致，如有变更，乙方应当在变更后3日内通知甲方，否则，由此造成的损失由乙方自行承担。</w:t>
      </w:r>
    </w:p>
    <w:p w14:paraId="016CD5DA">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售后服务</w:t>
      </w:r>
    </w:p>
    <w:p w14:paraId="58E5354C">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软件完成安装后，乙方应对甲方工作人员进行培训：***。</w:t>
      </w:r>
      <w:r>
        <w:rPr>
          <w:rFonts w:hint="eastAsia" w:ascii="仿宋" w:hAnsi="仿宋" w:eastAsia="仿宋" w:cs="仿宋"/>
          <w:i/>
          <w:iCs/>
          <w:sz w:val="24"/>
          <w:szCs w:val="24"/>
          <w:highlight w:val="none"/>
        </w:rPr>
        <w:t>&lt;具体培训内容可根据项目具体情况编制&gt;</w:t>
      </w:r>
      <w:r>
        <w:rPr>
          <w:rFonts w:hint="eastAsia" w:ascii="仿宋" w:hAnsi="仿宋" w:eastAsia="仿宋" w:cs="仿宋"/>
          <w:sz w:val="24"/>
          <w:szCs w:val="24"/>
          <w:highlight w:val="none"/>
        </w:rPr>
        <w:t>并保证甲方受训技术人员熟练掌握软件的使用方法，直至甲方受训技术人员能保证软件日常运行并能排除一般性故障。</w:t>
      </w:r>
    </w:p>
    <w:p w14:paraId="379E670E">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质保期为验收合格后</w:t>
      </w:r>
      <w:permStart w:id="2" w:edGrp="everyone"/>
      <w:r>
        <w:rPr>
          <w:rFonts w:hint="eastAsia" w:ascii="仿宋" w:hAnsi="仿宋" w:eastAsia="仿宋" w:cs="仿宋"/>
          <w:sz w:val="24"/>
          <w:szCs w:val="24"/>
          <w:highlight w:val="none"/>
        </w:rPr>
        <w:t>***</w:t>
      </w:r>
      <w:permEnd w:id="2"/>
      <w:r>
        <w:rPr>
          <w:rFonts w:hint="eastAsia" w:ascii="仿宋" w:hAnsi="仿宋" w:eastAsia="仿宋" w:cs="仿宋"/>
          <w:sz w:val="24"/>
          <w:szCs w:val="24"/>
          <w:highlight w:val="none"/>
        </w:rPr>
        <w:t>年（合同签订后甲方验收合格且甲乙双方签署验收报告之日起）。</w:t>
      </w:r>
    </w:p>
    <w:p w14:paraId="2D855B00">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质保范围：质保期内发现软件不符合本合同约定的功能要求和技术指标，乙方在接到通知后***小时内响应到场，***小时内完成调试或维修，并承担相关费用；如经乙方3次调试或维修仍不能达到本合同约定的功能要求和技术指标，甲方有权退货并追究乙方的违约责任。</w:t>
      </w:r>
    </w:p>
    <w:p w14:paraId="6851A8B3">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在质保期内乙方应保证甲方对软件的使用因故障停用时间小于***个工作日。</w:t>
      </w:r>
    </w:p>
    <w:p w14:paraId="78C15910">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售后服务涉及费用均已包含在本合同总价中。</w:t>
      </w:r>
    </w:p>
    <w:p w14:paraId="6C808DA3">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无论是质保期内还是在质保期外，若出现故障，乙方应在***小时内提供技术支持并作出答复。质保期满后甲方委托乙方继续提供维护服务的，因此产生的维护费用由甲乙双方另行商议，每年费用最高不超过</w:t>
      </w:r>
      <w:r>
        <w:rPr>
          <w:rFonts w:hint="eastAsia" w:ascii="仿宋" w:hAnsi="仿宋" w:eastAsia="仿宋" w:cs="仿宋"/>
          <w:sz w:val="24"/>
          <w:szCs w:val="24"/>
          <w:highlight w:val="none"/>
          <w:u w:val="single"/>
        </w:rPr>
        <w:t>本合同总价</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w:t>
      </w:r>
    </w:p>
    <w:p w14:paraId="2A9367F8">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ab/>
      </w:r>
      <w:r>
        <w:rPr>
          <w:rFonts w:hint="eastAsia" w:ascii="仿宋" w:hAnsi="仿宋" w:eastAsia="仿宋" w:cs="仿宋"/>
          <w:sz w:val="24"/>
          <w:szCs w:val="24"/>
          <w:highlight w:val="none"/>
        </w:rPr>
        <w:t>因乙方原因致使软件不能达到本合同约定的功能要求和技术指标，按甲方实际停用天数自动延长其质保期,甲方有权延后履约保证金和维保费用的支付时间，并追究因此引发的乙方相应法律责任。</w:t>
      </w:r>
    </w:p>
    <w:p w14:paraId="738B44E6">
      <w:pPr>
        <w:pStyle w:val="30"/>
        <w:numPr>
          <w:ilvl w:val="0"/>
          <w:numId w:val="22"/>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质保期内，如遇系统升级或技术迭代，乙方应保证交付标的及时相应更新，同时并就更新后信息系统进行培训，保证甲方受训技术人员熟练掌握信息系统的使用方法并能独立操作，保证正常运行并能排除一般性故障。相关更新和培训费用已包含在本合同总价内，甲方无需另行支付。</w:t>
      </w:r>
    </w:p>
    <w:p w14:paraId="3AE0B313">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双方的权利和义务</w:t>
      </w:r>
    </w:p>
    <w:p w14:paraId="4252212E">
      <w:pPr>
        <w:pStyle w:val="30"/>
        <w:numPr>
          <w:ilvl w:val="0"/>
          <w:numId w:val="23"/>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甲方的权利和义务：</w:t>
      </w:r>
    </w:p>
    <w:p w14:paraId="09DAE3A3">
      <w:pPr>
        <w:pStyle w:val="30"/>
        <w:numPr>
          <w:ilvl w:val="0"/>
          <w:numId w:val="24"/>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甲方有权获得乙方所提交的软件交付成果、服务及相关知识产权。</w:t>
      </w:r>
    </w:p>
    <w:p w14:paraId="415065A5">
      <w:pPr>
        <w:pStyle w:val="30"/>
        <w:numPr>
          <w:ilvl w:val="0"/>
          <w:numId w:val="24"/>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甲方有权及时了解和监督软件开发的进展情况。</w:t>
      </w:r>
    </w:p>
    <w:p w14:paraId="2EB3E192">
      <w:pPr>
        <w:pStyle w:val="30"/>
        <w:numPr>
          <w:ilvl w:val="0"/>
          <w:numId w:val="24"/>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甲方应向乙方提供完成软件开发所必需的资料和工作条件。</w:t>
      </w:r>
    </w:p>
    <w:p w14:paraId="65F80466">
      <w:pPr>
        <w:pStyle w:val="30"/>
        <w:numPr>
          <w:ilvl w:val="0"/>
          <w:numId w:val="24"/>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甲方应按照合同约定向乙方支付合同价款。</w:t>
      </w:r>
    </w:p>
    <w:p w14:paraId="58BD7FD0">
      <w:pPr>
        <w:pStyle w:val="30"/>
        <w:numPr>
          <w:ilvl w:val="0"/>
          <w:numId w:val="23"/>
        </w:numPr>
        <w:shd w:val="clear"/>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乙方的权利和义务：</w:t>
      </w:r>
    </w:p>
    <w:p w14:paraId="76A5AFD8">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乙方有权按照本合同约定收取合同价款。</w:t>
      </w:r>
    </w:p>
    <w:p w14:paraId="648CA55A">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乙方有权要求甲方提供软件开发所必需的资料和支持。</w:t>
      </w:r>
    </w:p>
    <w:p w14:paraId="38D4B4A4">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应保证所交付的软件产品是完整、全新的，并在性能、质量和设计方面满足安全、可靠和高效运行与方便维护的全部要求，能够满足甲方的个性化需求与接口的相关开发工作需求；若软件产品开发需要与甲方主要业务相关系统对接，原则上对接费用由乙方支付；乙方所提供的技术文件和相关资料应是完整的、清晰易读取和准确无误的，能够满足软件交付成果的检验、安装、调试、测试、验收、运行、维护和培训的需要。</w:t>
      </w:r>
    </w:p>
    <w:p w14:paraId="1418D449">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乙方应派遣身体健康、有相关工作经验和相应技能的技术人员到甲方现场并提供开发、安装、调试、测试、试运行、维护及培训等技术服务，该技术服务费用包括在本合同总价内。</w:t>
      </w:r>
    </w:p>
    <w:p w14:paraId="6F405E56">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如果甲方发现乙方交付的软件产品有缺陷，或性能和质量不符甲方要求时，乙方应负责无偿地修复缺陷、替换或更换所交付的软件产品。因乙方交付的软件产品存在缺陷，或性能和质量不符合本合同约定而给甲方造成损失或者工作障碍的，乙方应承当相应的责任。</w:t>
      </w:r>
    </w:p>
    <w:p w14:paraId="3DC0E5B9">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在售后服务期内，乙方应负责向甲方提供与软件有关新的或改进的运行经验、技术开发和安全方面的所有资料及信息，且负责对本合同以下的软件进行更新、升级，并提供相应的培训、维护服务，相关费用包含在本合同总价中。</w:t>
      </w:r>
    </w:p>
    <w:p w14:paraId="5E66CB1F">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乙方保证其所交付软件产品及服务不存在任何权利瑕疵，如任何第三方就乙方交付的软件产品及服务向甲方提起侵权索赔，乙方应负责与第三方交涉，并承担由此引起的一切法律责任，相关费用由乙方承担。</w:t>
      </w:r>
    </w:p>
    <w:p w14:paraId="552A222A">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乙方承诺所提供的软件产品不含有任何安全隐患，并在软件使用期内 承担全部责任(包括但不限于消除安全隐患、退款、赔偿损失等)。发生任何由于软件产品安全引起的事故时，乙方应赔偿甲方及相关用户因此所发生的损失。</w:t>
      </w:r>
    </w:p>
    <w:p w14:paraId="162E1974">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乙方对本合同软件的开发及在开发过程中所获得的所有数据负有保密的义务，本合同履行过程中乙方获知的甲方商业秘密或其它技术及经营信息均负有保密义务，不得向任何第三方透露或泄露。</w:t>
      </w:r>
    </w:p>
    <w:p w14:paraId="14EB87B8">
      <w:pPr>
        <w:pStyle w:val="30"/>
        <w:numPr>
          <w:ilvl w:val="0"/>
          <w:numId w:val="25"/>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基于本合同向甲方提供服务过程中所产出的各项医疗数据（包括但不限于就诊信息、检查检验结果、用药记录、手术记录、病历病案等）及其它技术服务成果均归属于甲方所有，乙方应当严格保密，未经甲方书面许可，乙方不得对外泄露或私自转让予第三方。合作结束，乙方应配合向甲方交付所有上述数据后再行删除，无法删除的数据，乙方承诺妥善保管不得外泄。</w:t>
      </w:r>
    </w:p>
    <w:p w14:paraId="1EB84A60">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违约责任</w:t>
      </w:r>
      <w:r>
        <w:rPr>
          <w:rFonts w:hint="eastAsia" w:ascii="仿宋" w:hAnsi="仿宋" w:eastAsia="仿宋" w:cs="仿宋"/>
          <w:i/>
          <w:iCs/>
          <w:sz w:val="24"/>
          <w:szCs w:val="24"/>
          <w:highlight w:val="none"/>
        </w:rPr>
        <w:t>&lt;本条款中违约金比例可根据项目实际情况确定&gt;</w:t>
      </w:r>
    </w:p>
    <w:p w14:paraId="49EB33C5">
      <w:pPr>
        <w:pStyle w:val="30"/>
        <w:shd w:val="clear"/>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1.甲方违约责任：甲方无正当理由拒绝交付及验收的，甲方应偿付合同总金额的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作为违约金。</w:t>
      </w:r>
    </w:p>
    <w:p w14:paraId="214B69B9">
      <w:pPr>
        <w:pStyle w:val="30"/>
        <w:shd w:val="clear"/>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2.乙方违约责任：</w:t>
      </w:r>
    </w:p>
    <w:p w14:paraId="7F017D3C">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乙方拒绝交付软件，或交付的软件经两次验收仍不符合本合同约定的验收标准，甲方有权解除合同，乙方须向甲方支付合同总金额的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%作为违约金，并承担其它相应的经济损失。</w:t>
      </w:r>
    </w:p>
    <w:p w14:paraId="777266BB">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质保期内出现质量问题，因同一故障经乙方经</w:t>
      </w:r>
      <w:r>
        <w:rPr>
          <w:rFonts w:hint="eastAsia" w:ascii="仿宋" w:hAnsi="仿宋" w:eastAsia="仿宋" w:cs="仿宋"/>
          <w:sz w:val="24"/>
          <w:szCs w:val="24"/>
          <w:highlight w:val="none"/>
          <w:u w:val="single"/>
        </w:rPr>
        <w:t>2</w:t>
      </w:r>
      <w:r>
        <w:rPr>
          <w:rFonts w:hint="eastAsia" w:ascii="仿宋" w:hAnsi="仿宋" w:eastAsia="仿宋" w:cs="仿宋"/>
          <w:sz w:val="24"/>
          <w:szCs w:val="24"/>
          <w:highlight w:val="none"/>
        </w:rPr>
        <w:t>次调试或维修仍不能达到合同约定的功能要求和技术指标，甲方有权解除合同并要求退货，乙方按照合同总额的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%向甲方支付违约金。</w:t>
      </w:r>
    </w:p>
    <w:p w14:paraId="3013841F">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因乙方原因逾期交付，每逾期一天，须向甲方支付合同总金额的</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none"/>
        </w:rPr>
        <w:t>%</w:t>
      </w:r>
      <w:r>
        <w:rPr>
          <w:rFonts w:hint="eastAsia" w:ascii="仿宋" w:hAnsi="仿宋" w:eastAsia="仿宋" w:cs="仿宋"/>
          <w:sz w:val="24"/>
          <w:szCs w:val="24"/>
          <w:highlight w:val="none"/>
        </w:rPr>
        <w:t>作为违约金。因乙方原因逾期交货超过</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天，甲方有权终止合同，乙方须按合同总金额的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u w:val="none"/>
        </w:rPr>
        <w:t>%</w:t>
      </w:r>
      <w:r>
        <w:rPr>
          <w:rFonts w:hint="eastAsia" w:ascii="仿宋" w:hAnsi="仿宋" w:eastAsia="仿宋" w:cs="仿宋"/>
          <w:sz w:val="24"/>
          <w:szCs w:val="24"/>
          <w:highlight w:val="none"/>
        </w:rPr>
        <w:t>向甲方支付违约金，如本项目要求乙方缴纳履约保证金，则乙方除向甲方支付相应违约金外，已缴纳的履约保证金不予退还；履约保证金未缴纳或已退还的，乙方应按照履约保证金的相同金额向甲方另行支付。</w:t>
      </w:r>
    </w:p>
    <w:p w14:paraId="258A326B">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乙方未按合同约定及时履行培训及维护义务时，每发生一次，乙方应按合同总金额的</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rPr>
        <w:t>‰向甲方支付违约金，乙方支付违约金的同时，仍有义务对甲方进行培训及对软件维护。</w:t>
      </w:r>
    </w:p>
    <w:p w14:paraId="21519E29">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乙方在开发软件过程侵犯他人知识产权，甲方有权单方解除合同，并要求乙方赔偿所造成的损失，同时甲方有权要求对方按照合同总金额的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%支付违约金。</w:t>
      </w:r>
    </w:p>
    <w:p w14:paraId="3CFAE767">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乙方违反保密义务，甲方有权单方解除合同，乙方应按甲方实际损失向甲方进行赔偿并向甲方支付合同总金额的</w:t>
      </w:r>
      <w:r>
        <w:rPr>
          <w:rFonts w:hint="eastAsia" w:ascii="仿宋" w:hAnsi="仿宋" w:eastAsia="仿宋" w:cs="仿宋"/>
          <w:sz w:val="24"/>
          <w:szCs w:val="24"/>
          <w:highlight w:val="none"/>
          <w:u w:val="single"/>
        </w:rPr>
        <w:t>10</w:t>
      </w:r>
      <w:r>
        <w:rPr>
          <w:rFonts w:hint="eastAsia" w:ascii="仿宋" w:hAnsi="仿宋" w:eastAsia="仿宋" w:cs="仿宋"/>
          <w:sz w:val="24"/>
          <w:szCs w:val="24"/>
          <w:highlight w:val="none"/>
        </w:rPr>
        <w:t>%作为违约金。</w:t>
      </w:r>
    </w:p>
    <w:p w14:paraId="2026903A">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乙方偿付的违约金不足以弥补甲方损失的，还应按甲方损失尚未弥补的部分，支付赔偿金给甲方。</w:t>
      </w:r>
    </w:p>
    <w:p w14:paraId="16F36AD1">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乙方交付软件因质量问题导致甲方及第三方人身、财产损失的，乙方承担由此造成的全部法律责任。</w:t>
      </w:r>
    </w:p>
    <w:p w14:paraId="48564BDA">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乙方未按照本合同约定的时限提供合法发票或提供发票瑕疵（包括但不限于发票种类有误、发票金额有误等），甲方付款时限相应顺延并不承担任何延期支付的违约责任。</w:t>
      </w:r>
    </w:p>
    <w:p w14:paraId="56E686C7">
      <w:pPr>
        <w:pStyle w:val="30"/>
        <w:numPr>
          <w:ilvl w:val="0"/>
          <w:numId w:val="26"/>
        </w:numPr>
        <w:shd w:val="clear"/>
        <w:snapToGrid w:val="0"/>
        <w:spacing w:line="360" w:lineRule="auto"/>
        <w:ind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乙方在安装、调试及售后服务过程中，因未按规程操作、未采取必要的安全防范措施等原因直接或间接造成甲方及第三方人身、财产损失的，由乙方承担由此造成的全部法律责任。</w:t>
      </w:r>
    </w:p>
    <w:p w14:paraId="68DD5AE0">
      <w:pPr>
        <w:pStyle w:val="30"/>
        <w:numPr>
          <w:ilvl w:val="0"/>
          <w:numId w:val="26"/>
        </w:numPr>
        <w:shd w:val="clear"/>
        <w:snapToGrid w:val="0"/>
        <w:spacing w:line="360" w:lineRule="auto"/>
        <w:ind w:left="525" w:hanging="600" w:hangingChars="250"/>
        <w:rPr>
          <w:rFonts w:hint="eastAsia" w:ascii="仿宋" w:hAnsi="仿宋" w:eastAsia="仿宋" w:cs="仿宋"/>
          <w:sz w:val="24"/>
          <w:szCs w:val="24"/>
          <w:highlight w:val="none"/>
        </w:rPr>
      </w:pPr>
      <w:r>
        <w:rPr>
          <w:rFonts w:hint="eastAsia" w:ascii="仿宋" w:hAnsi="仿宋" w:eastAsia="仿宋" w:cs="仿宋"/>
          <w:sz w:val="24"/>
          <w:szCs w:val="24"/>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5F11EDB">
      <w:pPr>
        <w:pStyle w:val="30"/>
        <w:shd w:val="clear"/>
        <w:snapToGrid w:val="0"/>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3.本合同履行中如有任何一方违约，那么守约方为保障自己合法权益而产生的律师费、诉讼费、差旅费、公告费等，均由违约方承担。</w:t>
      </w:r>
    </w:p>
    <w:p w14:paraId="17D01C4E">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不可抗力</w:t>
      </w:r>
    </w:p>
    <w:p w14:paraId="7CA94A34">
      <w:pPr>
        <w:pStyle w:val="30"/>
        <w:shd w:val="clear"/>
        <w:snapToGrid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如果遇到自然灾害和灾难及其他不可抗力事件而影响合同履行时，乙方应在三个工作日内以书面形式通知甲方。若不可抗力原因影响本合同执行时间超过</w:t>
      </w:r>
      <w:r>
        <w:rPr>
          <w:rFonts w:hint="eastAsia" w:ascii="仿宋" w:hAnsi="仿宋" w:eastAsia="仿宋" w:cs="仿宋"/>
          <w:bCs/>
          <w:sz w:val="24"/>
          <w:szCs w:val="24"/>
          <w:highlight w:val="none"/>
          <w:u w:val="single"/>
        </w:rPr>
        <w:t>***</w:t>
      </w:r>
      <w:r>
        <w:rPr>
          <w:rFonts w:hint="eastAsia" w:ascii="仿宋" w:hAnsi="仿宋" w:eastAsia="仿宋" w:cs="仿宋"/>
          <w:bCs/>
          <w:sz w:val="24"/>
          <w:szCs w:val="24"/>
          <w:highlight w:val="none"/>
          <w:u w:val="single"/>
          <w:lang w:val="en-US" w:eastAsia="zh-CN"/>
        </w:rPr>
        <w:t>日</w:t>
      </w:r>
      <w:r>
        <w:rPr>
          <w:rFonts w:hint="eastAsia" w:ascii="仿宋" w:hAnsi="仿宋" w:eastAsia="仿宋" w:cs="仿宋"/>
          <w:bCs/>
          <w:sz w:val="24"/>
          <w:szCs w:val="24"/>
          <w:highlight w:val="none"/>
        </w:rPr>
        <w:t>，甲方有权解除合同，双方互不承担违约责任。</w:t>
      </w:r>
    </w:p>
    <w:p w14:paraId="3696EC29">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争议解决办法</w:t>
      </w:r>
    </w:p>
    <w:p w14:paraId="5D21A9BD">
      <w:pPr>
        <w:pStyle w:val="30"/>
        <w:numPr>
          <w:ilvl w:val="0"/>
          <w:numId w:val="27"/>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因软件的质量问题发生争议，由质量技术监督部门或其指定的质量鉴定机构进行质量鉴定。货物符合标准的，鉴定费由甲方承担；货物不符合质量标准的，鉴定费由乙方承担。</w:t>
      </w:r>
    </w:p>
    <w:p w14:paraId="3D6878BF">
      <w:pPr>
        <w:pStyle w:val="30"/>
        <w:numPr>
          <w:ilvl w:val="0"/>
          <w:numId w:val="27"/>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合同履行期间,若双方发生争议，可协商或由有关部门调解解决，协商或调解不成的，任何一方均有权向甲方所在地具有管辖权的人民法院起诉。</w:t>
      </w:r>
    </w:p>
    <w:p w14:paraId="1113E9CE">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送达（送达地址是司法机关、执法机关和仲裁机关将法律文书送达给当事人的收件地址）</w:t>
      </w:r>
    </w:p>
    <w:p w14:paraId="0E0C7C72">
      <w:pPr>
        <w:pStyle w:val="35"/>
        <w:numPr>
          <w:ilvl w:val="0"/>
          <w:numId w:val="28"/>
        </w:numPr>
        <w:shd w:val="clear"/>
        <w:spacing w:line="36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甲方送达地址：四川省成都市青羊区一环路西二段32号。</w:t>
      </w:r>
    </w:p>
    <w:p w14:paraId="0ED80F40">
      <w:pPr>
        <w:pStyle w:val="35"/>
        <w:numPr>
          <w:ilvl w:val="0"/>
          <w:numId w:val="28"/>
        </w:numPr>
        <w:shd w:val="clear"/>
        <w:spacing w:line="36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乙方送达地址：***</w:t>
      </w:r>
    </w:p>
    <w:p w14:paraId="289A2ADA">
      <w:pPr>
        <w:pStyle w:val="35"/>
        <w:numPr>
          <w:ilvl w:val="0"/>
          <w:numId w:val="28"/>
        </w:numPr>
        <w:shd w:val="clear"/>
        <w:spacing w:line="36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61283D09">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其他</w:t>
      </w:r>
    </w:p>
    <w:p w14:paraId="6CA5DBED">
      <w:pPr>
        <w:pStyle w:val="30"/>
        <w:numPr>
          <w:ilvl w:val="0"/>
          <w:numId w:val="29"/>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如有未尽事宜，由双方依法订立补充合同。补充合同及本合同附件均为本合同的组成部分，与本合同具有同等法律效力。</w:t>
      </w:r>
    </w:p>
    <w:p w14:paraId="6AFA278D">
      <w:pPr>
        <w:pStyle w:val="30"/>
        <w:numPr>
          <w:ilvl w:val="0"/>
          <w:numId w:val="29"/>
        </w:numPr>
        <w:shd w:val="clear"/>
        <w:spacing w:line="360" w:lineRule="auto"/>
        <w:ind w:left="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本合同一式四份，自双方</w:t>
      </w:r>
      <w:r>
        <w:rPr>
          <w:rFonts w:hint="eastAsia" w:ascii="仿宋" w:hAnsi="仿宋" w:eastAsia="仿宋" w:cs="仿宋"/>
          <w:sz w:val="24"/>
          <w:szCs w:val="24"/>
          <w:highlight w:val="none"/>
          <w:lang w:val="en-US" w:eastAsia="zh-CN"/>
        </w:rPr>
        <w:t>签字且盖章</w:t>
      </w:r>
      <w:r>
        <w:rPr>
          <w:rFonts w:hint="eastAsia" w:ascii="仿宋" w:hAnsi="仿宋" w:eastAsia="仿宋" w:cs="仿宋"/>
          <w:sz w:val="24"/>
          <w:szCs w:val="24"/>
          <w:highlight w:val="none"/>
        </w:rPr>
        <w:t>之日起生效。甲方三份，乙方一份。</w:t>
      </w:r>
    </w:p>
    <w:p w14:paraId="3046B44D">
      <w:pPr>
        <w:pStyle w:val="30"/>
        <w:numPr>
          <w:ilvl w:val="0"/>
          <w:numId w:val="12"/>
        </w:numPr>
        <w:shd w:val="clear"/>
        <w:snapToGrid w:val="0"/>
        <w:spacing w:line="360" w:lineRule="auto"/>
        <w:ind w:left="0" w:firstLine="0" w:firstLineChars="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合同附件</w:t>
      </w:r>
    </w:p>
    <w:p w14:paraId="192AE278">
      <w:pPr>
        <w:shd w:val="clear"/>
        <w:spacing w:line="360" w:lineRule="auto"/>
        <w:rPr>
          <w:rFonts w:hint="eastAsia" w:ascii="仿宋" w:hAnsi="仿宋" w:eastAsia="仿宋" w:cs="仿宋"/>
          <w:i/>
          <w:iCs/>
          <w:sz w:val="24"/>
          <w:szCs w:val="24"/>
          <w:highlight w:val="none"/>
        </w:rPr>
      </w:pPr>
      <w:r>
        <w:rPr>
          <w:rFonts w:hint="eastAsia" w:ascii="仿宋" w:hAnsi="仿宋" w:eastAsia="仿宋" w:cs="仿宋"/>
          <w:sz w:val="24"/>
          <w:szCs w:val="24"/>
          <w:highlight w:val="none"/>
        </w:rPr>
        <w:t>本合同为</w:t>
      </w:r>
      <w:r>
        <w:rPr>
          <w:rFonts w:hint="eastAsia" w:ascii="仿宋" w:hAnsi="仿宋" w:eastAsia="仿宋" w:cs="仿宋"/>
          <w:sz w:val="24"/>
          <w:szCs w:val="24"/>
          <w:highlight w:val="none"/>
          <w:u w:val="single"/>
        </w:rPr>
        <w:t>有</w:t>
      </w:r>
      <w:r>
        <w:rPr>
          <w:rFonts w:hint="eastAsia" w:ascii="仿宋" w:hAnsi="仿宋" w:eastAsia="仿宋" w:cs="仿宋"/>
          <w:sz w:val="24"/>
          <w:szCs w:val="24"/>
          <w:highlight w:val="none"/>
        </w:rPr>
        <w:t>附件合同。</w:t>
      </w:r>
      <w:r>
        <w:rPr>
          <w:rFonts w:hint="eastAsia" w:ascii="仿宋" w:hAnsi="仿宋" w:eastAsia="仿宋" w:cs="仿宋"/>
          <w:i/>
          <w:iCs/>
          <w:sz w:val="24"/>
          <w:szCs w:val="24"/>
          <w:highlight w:val="none"/>
        </w:rPr>
        <w:t>&lt;根据项目实际情况编制&gt;</w:t>
      </w:r>
    </w:p>
    <w:p w14:paraId="1691E752">
      <w:pPr>
        <w:pStyle w:val="2"/>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附件：《开发进度表》</w:t>
      </w:r>
    </w:p>
    <w:p w14:paraId="3FD2029B">
      <w:pPr>
        <w:shd w:val="clea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——以下无正文——</w:t>
      </w:r>
    </w:p>
    <w:tbl>
      <w:tblPr>
        <w:tblStyle w:val="18"/>
        <w:tblW w:w="5000" w:type="pct"/>
        <w:jc w:val="center"/>
        <w:tblLayout w:type="autofit"/>
        <w:tblCellMar>
          <w:top w:w="0" w:type="dxa"/>
          <w:left w:w="0" w:type="dxa"/>
          <w:bottom w:w="0" w:type="dxa"/>
          <w:right w:w="0" w:type="dxa"/>
        </w:tblCellMar>
      </w:tblPr>
      <w:tblGrid>
        <w:gridCol w:w="4962"/>
        <w:gridCol w:w="5242"/>
      </w:tblGrid>
      <w:tr w14:paraId="00136CF4">
        <w:tblPrEx>
          <w:tblCellMar>
            <w:top w:w="0" w:type="dxa"/>
            <w:left w:w="0" w:type="dxa"/>
            <w:bottom w:w="0" w:type="dxa"/>
            <w:right w:w="0" w:type="dxa"/>
          </w:tblCellMar>
        </w:tblPrEx>
        <w:trPr>
          <w:trHeight w:val="519" w:hRule="atLeast"/>
          <w:jc w:val="center"/>
        </w:trPr>
        <w:tc>
          <w:tcPr>
            <w:tcW w:w="10214" w:type="dxa"/>
            <w:gridSpan w:val="2"/>
            <w:noWrap w:val="0"/>
            <w:vAlign w:val="top"/>
          </w:tcPr>
          <w:p w14:paraId="12A81445">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签订时间：202*年***月***日</w:t>
            </w:r>
          </w:p>
        </w:tc>
      </w:tr>
      <w:tr w14:paraId="5C09ED76">
        <w:tblPrEx>
          <w:tblCellMar>
            <w:top w:w="0" w:type="dxa"/>
            <w:left w:w="0" w:type="dxa"/>
            <w:bottom w:w="0" w:type="dxa"/>
            <w:right w:w="0" w:type="dxa"/>
          </w:tblCellMar>
        </w:tblPrEx>
        <w:trPr>
          <w:jc w:val="center"/>
        </w:trPr>
        <w:tc>
          <w:tcPr>
            <w:tcW w:w="4967" w:type="dxa"/>
            <w:noWrap w:val="0"/>
            <w:vAlign w:val="top"/>
          </w:tcPr>
          <w:p w14:paraId="621F5084">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甲方：四川省人民医院（盖章）</w:t>
            </w:r>
          </w:p>
          <w:p w14:paraId="08B095B8">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法定代表人（授权代表签字）：</w:t>
            </w:r>
          </w:p>
          <w:p w14:paraId="216285F7">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地    址：四川省成都市一环路西二段32号</w:t>
            </w:r>
          </w:p>
          <w:p w14:paraId="1DA82DD6">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开户银行：建设银行成都青羊支行</w:t>
            </w:r>
          </w:p>
          <w:p w14:paraId="2486C2E4">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账号：5100 1446 4360 5037 4282</w:t>
            </w:r>
          </w:p>
        </w:tc>
        <w:tc>
          <w:tcPr>
            <w:tcW w:w="5247" w:type="dxa"/>
            <w:noWrap w:val="0"/>
            <w:vAlign w:val="top"/>
          </w:tcPr>
          <w:p w14:paraId="352F138E">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乙方：</w:t>
            </w:r>
            <w:permStart w:id="3" w:edGrp="everyone"/>
            <w:r>
              <w:rPr>
                <w:rFonts w:hint="eastAsia" w:ascii="仿宋" w:hAnsi="仿宋" w:eastAsia="仿宋" w:cs="仿宋"/>
                <w:sz w:val="24"/>
                <w:szCs w:val="24"/>
                <w:highlight w:val="none"/>
              </w:rPr>
              <w:t>***</w:t>
            </w:r>
            <w:permEnd w:id="3"/>
            <w:r>
              <w:rPr>
                <w:rFonts w:hint="eastAsia" w:ascii="仿宋" w:hAnsi="仿宋" w:eastAsia="仿宋" w:cs="仿宋"/>
                <w:sz w:val="24"/>
                <w:szCs w:val="24"/>
                <w:highlight w:val="none"/>
              </w:rPr>
              <w:t>（盖章）</w:t>
            </w:r>
          </w:p>
          <w:p w14:paraId="2699E629">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法定代表人（授权代表签字）：</w:t>
            </w:r>
          </w:p>
          <w:p w14:paraId="6CFDA93C">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ermStart w:id="4" w:edGrp="everyone"/>
            <w:r>
              <w:rPr>
                <w:rFonts w:hint="eastAsia" w:ascii="仿宋" w:hAnsi="仿宋" w:eastAsia="仿宋" w:cs="仿宋"/>
                <w:sz w:val="24"/>
                <w:szCs w:val="24"/>
                <w:highlight w:val="none"/>
              </w:rPr>
              <w:t>***</w:t>
            </w:r>
            <w:permEnd w:id="4"/>
          </w:p>
          <w:p w14:paraId="40CE4391">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开户银行：</w:t>
            </w:r>
            <w:permStart w:id="5" w:edGrp="everyone"/>
            <w:r>
              <w:rPr>
                <w:rFonts w:hint="eastAsia" w:ascii="仿宋" w:hAnsi="仿宋" w:eastAsia="仿宋" w:cs="仿宋"/>
                <w:sz w:val="24"/>
                <w:szCs w:val="24"/>
                <w:highlight w:val="none"/>
              </w:rPr>
              <w:t>***</w:t>
            </w:r>
          </w:p>
          <w:permEnd w:id="5"/>
          <w:p w14:paraId="724EF371">
            <w:pPr>
              <w:shd w:val="clea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账号：</w:t>
            </w:r>
            <w:permStart w:id="6" w:edGrp="everyone"/>
            <w:r>
              <w:rPr>
                <w:rFonts w:hint="eastAsia" w:ascii="仿宋" w:hAnsi="仿宋" w:eastAsia="仿宋" w:cs="仿宋"/>
                <w:sz w:val="24"/>
                <w:szCs w:val="24"/>
                <w:highlight w:val="none"/>
              </w:rPr>
              <w:t>***</w:t>
            </w:r>
            <w:permEnd w:id="6"/>
          </w:p>
        </w:tc>
      </w:tr>
    </w:tbl>
    <w:p w14:paraId="6A254055">
      <w:pPr>
        <w:shd w:val="clear"/>
        <w:spacing w:line="360" w:lineRule="auto"/>
        <w:rPr>
          <w:rFonts w:hint="eastAsia" w:ascii="仿宋" w:hAnsi="仿宋" w:eastAsia="仿宋" w:cs="仿宋"/>
          <w:sz w:val="24"/>
          <w:szCs w:val="24"/>
          <w:highlight w:val="none"/>
        </w:rPr>
        <w:sectPr>
          <w:headerReference r:id="rId6" w:type="default"/>
          <w:footerReference r:id="rId7" w:type="default"/>
          <w:pgSz w:w="11906" w:h="16838"/>
          <w:pgMar w:top="1134" w:right="851" w:bottom="1134" w:left="851" w:header="851" w:footer="567" w:gutter="0"/>
          <w:pgNumType w:fmt="decimal" w:start="1"/>
          <w:cols w:space="720" w:num="1"/>
          <w:docGrid w:type="lines" w:linePitch="312" w:charSpace="0"/>
        </w:sectPr>
      </w:pPr>
    </w:p>
    <w:p w14:paraId="5E144B56">
      <w:pPr>
        <w:shd w:val="clea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附件：开发进度表</w:t>
      </w:r>
    </w:p>
    <w:p w14:paraId="1BE6D4ED">
      <w:pPr>
        <w:pStyle w:val="16"/>
        <w:shd w:val="clear"/>
        <w:spacing w:line="360" w:lineRule="auto"/>
        <w:ind w:firstLine="0" w:firstLineChars="0"/>
        <w:contextualSpacing/>
        <w:rPr>
          <w:rFonts w:hint="eastAsia" w:ascii="仿宋" w:hAnsi="仿宋" w:eastAsia="仿宋" w:cs="仿宋"/>
          <w:sz w:val="24"/>
          <w:szCs w:val="24"/>
          <w:highlight w:val="none"/>
        </w:rPr>
      </w:pPr>
    </w:p>
    <w:p w14:paraId="70242E39">
      <w:pPr>
        <w:pStyle w:val="16"/>
        <w:shd w:val="clear"/>
        <w:spacing w:line="360" w:lineRule="auto"/>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7133A078">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27852A60">
      <w:pPr>
        <w:pStyle w:val="27"/>
        <w:rPr>
          <w:rFonts w:ascii="Times New Roman" w:hAnsi="Times New Roman"/>
        </w:rPr>
      </w:pPr>
    </w:p>
    <w:sectPr>
      <w:headerReference r:id="rId8" w:type="default"/>
      <w:footerReference r:id="rId9"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365D67E-6CD5-4798-A887-A510CE7CAE7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EE83380-ED2B-45E4-9D41-7100FCAF259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A2DD0C3-AE20-4940-85AA-9014810E875D}"/>
  </w:font>
  <w:font w:name="FangSong_GB2312">
    <w:altName w:val="仿宋_GB2312"/>
    <w:panose1 w:val="020B0604020202020204"/>
    <w:charset w:val="86"/>
    <w:family w:val="modern"/>
    <w:pitch w:val="default"/>
    <w:sig w:usb0="00000000" w:usb1="00000000" w:usb2="00000010" w:usb3="00000000" w:csb0="00040001" w:csb1="00000000"/>
  </w:font>
  <w:font w:name="仿宋_GB2312">
    <w:panose1 w:val="02010609030101010101"/>
    <w:charset w:val="86"/>
    <w:family w:val="auto"/>
    <w:pitch w:val="default"/>
    <w:sig w:usb0="00000001" w:usb1="080E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6E10EAE-3FD4-4789-9E31-0F50301E77FD}"/>
  </w:font>
  <w:font w:name="Segoe UI Symbol">
    <w:panose1 w:val="020B0502040204020203"/>
    <w:charset w:val="00"/>
    <w:family w:val="swiss"/>
    <w:pitch w:val="default"/>
    <w:sig w:usb0="800001E3" w:usb1="1200FFEF" w:usb2="00040000" w:usb3="04000000" w:csb0="00000001" w:csb1="40000000"/>
    <w:embedRegular r:id="rId5" w:fontKey="{C7A96355-587E-48F5-ABE6-09C45746701D}"/>
  </w:font>
  <w:font w:name="Wingdings 2">
    <w:altName w:val="Wingdings"/>
    <w:panose1 w:val="05020102010507070707"/>
    <w:charset w:val="4D"/>
    <w:family w:val="decorative"/>
    <w:pitch w:val="default"/>
    <w:sig w:usb0="00000000" w:usb1="00000000" w:usb2="00000000" w:usb3="00000000" w:csb0="80000001" w:csb1="00000000"/>
    <w:embedRegular r:id="rId6" w:fontKey="{5E18104E-D2DD-4E1F-998D-A663C8B930F5}"/>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CCCA4">
    <w:pPr>
      <w:pStyle w:val="11"/>
      <w:rPr>
        <w:rFonts w:ascii="Times New Roman" w:hAns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10595">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0510595">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27AD7">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F712D09"/>
    <w:multiLevelType w:val="singleLevel"/>
    <w:tmpl w:val="1F712D09"/>
    <w:lvl w:ilvl="0" w:tentative="0">
      <w:start w:val="1"/>
      <w:numFmt w:val="decimal"/>
      <w:lvlText w:val="(%1)"/>
      <w:lvlJc w:val="left"/>
      <w:pPr>
        <w:ind w:left="218" w:hanging="425"/>
      </w:pPr>
      <w:rPr>
        <w:rFonts w:hint="default"/>
      </w:rPr>
    </w:lvl>
  </w:abstractNum>
  <w:abstractNum w:abstractNumId="11">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3AF7D37"/>
    <w:multiLevelType w:val="multilevel"/>
    <w:tmpl w:val="33AF7D3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497435B"/>
    <w:multiLevelType w:val="multilevel"/>
    <w:tmpl w:val="3497435B"/>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70125C6"/>
    <w:multiLevelType w:val="multilevel"/>
    <w:tmpl w:val="470125C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3"/>
  </w:num>
  <w:num w:numId="3">
    <w:abstractNumId w:val="18"/>
  </w:num>
  <w:num w:numId="4">
    <w:abstractNumId w:val="28"/>
  </w:num>
  <w:num w:numId="5">
    <w:abstractNumId w:val="10"/>
  </w:num>
  <w:num w:numId="6">
    <w:abstractNumId w:val="23"/>
  </w:num>
  <w:num w:numId="7">
    <w:abstractNumId w:val="17"/>
  </w:num>
  <w:num w:numId="8">
    <w:abstractNumId w:val="2"/>
  </w:num>
  <w:num w:numId="9">
    <w:abstractNumId w:val="1"/>
  </w:num>
  <w:num w:numId="10">
    <w:abstractNumId w:val="0"/>
  </w:num>
  <w:num w:numId="11">
    <w:abstractNumId w:val="4"/>
  </w:num>
  <w:num w:numId="12">
    <w:abstractNumId w:val="6"/>
  </w:num>
  <w:num w:numId="13">
    <w:abstractNumId w:val="25"/>
  </w:num>
  <w:num w:numId="14">
    <w:abstractNumId w:val="5"/>
  </w:num>
  <w:num w:numId="15">
    <w:abstractNumId w:val="16"/>
  </w:num>
  <w:num w:numId="16">
    <w:abstractNumId w:val="15"/>
  </w:num>
  <w:num w:numId="17">
    <w:abstractNumId w:val="27"/>
  </w:num>
  <w:num w:numId="18">
    <w:abstractNumId w:val="21"/>
  </w:num>
  <w:num w:numId="19">
    <w:abstractNumId w:val="7"/>
  </w:num>
  <w:num w:numId="20">
    <w:abstractNumId w:val="11"/>
  </w:num>
  <w:num w:numId="21">
    <w:abstractNumId w:val="14"/>
  </w:num>
  <w:num w:numId="22">
    <w:abstractNumId w:val="26"/>
  </w:num>
  <w:num w:numId="23">
    <w:abstractNumId w:val="24"/>
  </w:num>
  <w:num w:numId="24">
    <w:abstractNumId w:val="19"/>
  </w:num>
  <w:num w:numId="25">
    <w:abstractNumId w:val="13"/>
  </w:num>
  <w:num w:numId="26">
    <w:abstractNumId w:val="8"/>
  </w:num>
  <w:num w:numId="27">
    <w:abstractNumId w:val="20"/>
  </w:num>
  <w:num w:numId="28">
    <w:abstractNumId w:val="9"/>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8A573C"/>
    <w:rsid w:val="093A3733"/>
    <w:rsid w:val="0B4508AE"/>
    <w:rsid w:val="0CF161C9"/>
    <w:rsid w:val="0E0B7FF0"/>
    <w:rsid w:val="0F904004"/>
    <w:rsid w:val="10E47154"/>
    <w:rsid w:val="117A5014"/>
    <w:rsid w:val="127F05A0"/>
    <w:rsid w:val="135F136E"/>
    <w:rsid w:val="136D78F8"/>
    <w:rsid w:val="15CC4977"/>
    <w:rsid w:val="162A4F7D"/>
    <w:rsid w:val="16A82A66"/>
    <w:rsid w:val="1994787E"/>
    <w:rsid w:val="1BCC54CD"/>
    <w:rsid w:val="1DD000AF"/>
    <w:rsid w:val="1E09745A"/>
    <w:rsid w:val="1E176351"/>
    <w:rsid w:val="203F5011"/>
    <w:rsid w:val="22935D1D"/>
    <w:rsid w:val="23D4489F"/>
    <w:rsid w:val="252537AD"/>
    <w:rsid w:val="262001B9"/>
    <w:rsid w:val="27B87AF9"/>
    <w:rsid w:val="27E80EA9"/>
    <w:rsid w:val="280414A1"/>
    <w:rsid w:val="28570368"/>
    <w:rsid w:val="29C5318E"/>
    <w:rsid w:val="2B502F98"/>
    <w:rsid w:val="2C9A0A9E"/>
    <w:rsid w:val="2DA70D65"/>
    <w:rsid w:val="3427766B"/>
    <w:rsid w:val="343706EB"/>
    <w:rsid w:val="351A08D0"/>
    <w:rsid w:val="351E18B5"/>
    <w:rsid w:val="36334CE5"/>
    <w:rsid w:val="3A551407"/>
    <w:rsid w:val="3B033C36"/>
    <w:rsid w:val="3E5D4E8E"/>
    <w:rsid w:val="3FE25336"/>
    <w:rsid w:val="41076015"/>
    <w:rsid w:val="42075FF8"/>
    <w:rsid w:val="42842020"/>
    <w:rsid w:val="431E5069"/>
    <w:rsid w:val="43E90708"/>
    <w:rsid w:val="468567BB"/>
    <w:rsid w:val="4782487D"/>
    <w:rsid w:val="4B31068E"/>
    <w:rsid w:val="4BA55220"/>
    <w:rsid w:val="4BAD0151"/>
    <w:rsid w:val="4BB037AB"/>
    <w:rsid w:val="4C184E09"/>
    <w:rsid w:val="4C8F75A2"/>
    <w:rsid w:val="4DAD4403"/>
    <w:rsid w:val="4E8C008E"/>
    <w:rsid w:val="4FEF758C"/>
    <w:rsid w:val="50771A9C"/>
    <w:rsid w:val="51C47F6D"/>
    <w:rsid w:val="5455382C"/>
    <w:rsid w:val="58DB4E75"/>
    <w:rsid w:val="5D0A3490"/>
    <w:rsid w:val="5D7E0D39"/>
    <w:rsid w:val="5E9D3F29"/>
    <w:rsid w:val="60384CD1"/>
    <w:rsid w:val="60655808"/>
    <w:rsid w:val="60F86CEE"/>
    <w:rsid w:val="63A9427A"/>
    <w:rsid w:val="63D462B1"/>
    <w:rsid w:val="641A3596"/>
    <w:rsid w:val="64D96647"/>
    <w:rsid w:val="655B51E5"/>
    <w:rsid w:val="65E40ADA"/>
    <w:rsid w:val="66330B86"/>
    <w:rsid w:val="66E22203"/>
    <w:rsid w:val="68AA6162"/>
    <w:rsid w:val="68B812C9"/>
    <w:rsid w:val="68D4417F"/>
    <w:rsid w:val="69D50CF4"/>
    <w:rsid w:val="6C487AFD"/>
    <w:rsid w:val="6CB24363"/>
    <w:rsid w:val="6EA93466"/>
    <w:rsid w:val="6FCF0795"/>
    <w:rsid w:val="71381023"/>
    <w:rsid w:val="71696852"/>
    <w:rsid w:val="73714961"/>
    <w:rsid w:val="754D1D92"/>
    <w:rsid w:val="758350A9"/>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8"/>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3"/>
    <w:qFormat/>
    <w:uiPriority w:val="0"/>
    <w:pPr>
      <w:spacing w:after="120" w:line="480" w:lineRule="auto"/>
      <w:ind w:left="420" w:leftChars="200"/>
    </w:pPr>
    <w:rPr>
      <w:szCs w:val="20"/>
    </w:rPr>
  </w:style>
  <w:style w:type="paragraph" w:styleId="10">
    <w:name w:val="Balloon Text"/>
    <w:basedOn w:val="1"/>
    <w:link w:val="40"/>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7"/>
    <w:next w:val="7"/>
    <w:link w:val="39"/>
    <w:qFormat/>
    <w:uiPriority w:val="0"/>
    <w:rPr>
      <w:b/>
      <w:bCs/>
    </w:rPr>
  </w:style>
  <w:style w:type="paragraph" w:styleId="16">
    <w:name w:val="Body Text First Indent"/>
    <w:basedOn w:val="2"/>
    <w:link w:val="34"/>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FollowedHyperlink"/>
    <w:basedOn w:val="20"/>
    <w:qFormat/>
    <w:uiPriority w:val="0"/>
    <w:rPr>
      <w:color w:val="800080"/>
      <w:u w:val="none"/>
    </w:rPr>
  </w:style>
  <w:style w:type="character" w:styleId="23">
    <w:name w:val="Hyperlink"/>
    <w:basedOn w:val="20"/>
    <w:qFormat/>
    <w:uiPriority w:val="0"/>
    <w:rPr>
      <w:color w:val="0000FF"/>
      <w:u w:val="none"/>
    </w:rPr>
  </w:style>
  <w:style w:type="character" w:styleId="24">
    <w:name w:val="annotation reference"/>
    <w:basedOn w:val="20"/>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9"/>
    <w:qFormat/>
    <w:uiPriority w:val="0"/>
    <w:rPr>
      <w:szCs w:val="20"/>
    </w:rPr>
  </w:style>
  <w:style w:type="character" w:customStyle="1" w:styleId="34">
    <w:name w:val="Body Text First Indent Char"/>
    <w:link w:val="16"/>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7"/>
    <w:qFormat/>
    <w:uiPriority w:val="99"/>
    <w:rPr>
      <w:rFonts w:ascii="宋体" w:hAnsi="Times New Roman"/>
      <w:kern w:val="0"/>
      <w:sz w:val="21"/>
      <w:szCs w:val="24"/>
    </w:rPr>
  </w:style>
  <w:style w:type="character" w:customStyle="1" w:styleId="38">
    <w:name w:val="Comment Text Char"/>
    <w:basedOn w:val="20"/>
    <w:link w:val="7"/>
    <w:qFormat/>
    <w:uiPriority w:val="0"/>
    <w:rPr>
      <w:kern w:val="2"/>
      <w:sz w:val="21"/>
      <w:szCs w:val="22"/>
    </w:rPr>
  </w:style>
  <w:style w:type="character" w:customStyle="1" w:styleId="39">
    <w:name w:val="Comment Subject Char"/>
    <w:basedOn w:val="38"/>
    <w:link w:val="15"/>
    <w:qFormat/>
    <w:uiPriority w:val="0"/>
    <w:rPr>
      <w:b/>
      <w:bCs/>
      <w:kern w:val="2"/>
      <w:sz w:val="21"/>
      <w:szCs w:val="22"/>
    </w:rPr>
  </w:style>
  <w:style w:type="character" w:customStyle="1" w:styleId="40">
    <w:name w:val="Balloon Text Char"/>
    <w:basedOn w:val="20"/>
    <w:link w:val="10"/>
    <w:qFormat/>
    <w:uiPriority w:val="0"/>
    <w:rPr>
      <w:kern w:val="2"/>
      <w:sz w:val="18"/>
      <w:szCs w:val="18"/>
    </w:rPr>
  </w:style>
  <w:style w:type="character" w:customStyle="1" w:styleId="41">
    <w:name w:val="Heading 2 Char"/>
    <w:link w:val="4"/>
    <w:qFormat/>
    <w:uiPriority w:val="0"/>
    <w:rPr>
      <w:rFonts w:ascii="Times New Roman" w:hAnsi="Times New Roman" w:eastAsia="仿宋" w:cs="Times New Roman"/>
      <w:b/>
      <w:sz w:val="32"/>
    </w:rPr>
  </w:style>
  <w:style w:type="character" w:customStyle="1" w:styleId="42">
    <w:name w:val="hover"/>
    <w:basedOn w:val="20"/>
    <w:qFormat/>
    <w:uiPriority w:val="0"/>
    <w:rPr>
      <w:shd w:val="clear" w:fill="EEEEEE"/>
    </w:rPr>
  </w:style>
  <w:style w:type="character" w:customStyle="1" w:styleId="43">
    <w:name w:val="hover1"/>
    <w:basedOn w:val="20"/>
    <w:qFormat/>
    <w:uiPriority w:val="0"/>
    <w:rPr>
      <w:shd w:val="clear" w:fill="EEEEEE"/>
    </w:rPr>
  </w:style>
  <w:style w:type="character" w:customStyle="1" w:styleId="44">
    <w:name w:val="hover2"/>
    <w:basedOn w:val="20"/>
    <w:qFormat/>
    <w:uiPriority w:val="0"/>
    <w:rPr>
      <w:shd w:val="clear" w:fill="EEEEEE"/>
    </w:rPr>
  </w:style>
  <w:style w:type="character" w:customStyle="1" w:styleId="45">
    <w:name w:val="button"/>
    <w:basedOn w:val="20"/>
    <w:qFormat/>
    <w:uiPriority w:val="0"/>
  </w:style>
  <w:style w:type="character" w:customStyle="1" w:styleId="46">
    <w:name w:val="tmpztreemove_arrow"/>
    <w:basedOn w:val="20"/>
    <w:qFormat/>
    <w:uiPriority w:val="0"/>
  </w:style>
  <w:style w:type="character" w:customStyle="1" w:styleId="47">
    <w:name w:val="tips[data-v-39386422]"/>
    <w:basedOn w:val="20"/>
    <w:qFormat/>
    <w:uiPriority w:val="0"/>
  </w:style>
  <w:style w:type="character" w:customStyle="1" w:styleId="48">
    <w:name w:val="tips[data-v-2a725926]"/>
    <w:basedOn w:val="20"/>
    <w:qFormat/>
    <w:uiPriority w:val="0"/>
  </w:style>
  <w:style w:type="character" w:customStyle="1" w:styleId="49">
    <w:name w:val="hover3"/>
    <w:basedOn w:val="20"/>
    <w:qFormat/>
    <w:uiPriority w:val="0"/>
    <w:rPr>
      <w:shd w:val="clear" w:fill="EEEEE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50</Pages>
  <Words>42</Words>
  <Characters>45</Characters>
  <Lines>72</Lines>
  <Paragraphs>20</Paragraphs>
  <TotalTime>11</TotalTime>
  <ScaleCrop>false</ScaleCrop>
  <LinksUpToDate>false</LinksUpToDate>
  <CharactersWithSpaces>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2026-09-29T09:17:01Z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2AEF012C46F2436B83C79D7930517C78_13</vt:lpwstr>
  </property>
  <property fmtid="{D5CDD505-2E9C-101B-9397-08002B2CF9AE}" pid="4" name="KSOTemplateDocerSaveRecord">
    <vt:lpwstr>eyJoZGlkIjoiYWMxYTg4OTgwZDQyMjAwZDhlMDcxNjAzNmY0ZDAzZTAiLCJ1c2VySWQiOiIyODQ3NTE0MTMifQ==</vt:lpwstr>
  </property>
</Properties>
</file>