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青羊院区液氧站拆除改造</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471310326"/>
      <w:bookmarkStart w:id="2" w:name="_Toc21919"/>
      <w:bookmarkStart w:id="3" w:name="_Toc62832406"/>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2"/>
        <w:gridCol w:w="1989"/>
        <w:gridCol w:w="7661"/>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rPr>
              <w:t>青羊院区液氧站拆除改造采购</w:t>
            </w:r>
            <w:r>
              <w:rPr>
                <w:rFonts w:ascii="Times New Roman" w:hAnsi="Times New Roman" w:eastAsia="仿宋" w:cs="Times New Roman"/>
                <w:sz w:val="22"/>
              </w:rPr>
              <w:t>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CGZX-HQB20260709</w:t>
            </w:r>
            <w:r>
              <w:rPr>
                <w:rFonts w:ascii="Times New Roman" w:hAnsi="Times New Roman" w:eastAsia="仿宋" w:cs="Times New Roman"/>
                <w:sz w:val="22"/>
              </w:rPr>
              <w:t xml:space="preserve"> </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278785.81</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其中：暂列金22712.3元，安全文明施工费7819.51元，规费5199.16元</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8"/>
              <w:ind w:firstLine="220" w:firstLineChars="100"/>
              <w:rPr>
                <w:rFonts w:hint="default" w:ascii="Times New Roman" w:hAnsi="Times New Roman" w:eastAsia="仿宋" w:cs="Times New Roman"/>
                <w:sz w:val="22"/>
                <w:lang w:val="en-US" w:eastAsia="zh-CN"/>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u w:color="000000"/>
                <w:lang w:val="en-US" w:eastAsia="zh-CN"/>
              </w:rPr>
              <w:t>/</w:t>
            </w:r>
          </w:p>
          <w:p w14:paraId="72677446">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成都市一环路西二段32号</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本项目采购人不统一组织现场踏勘，潜在供应商可自行至踏勘地点进行现场踏勘</w:t>
            </w:r>
          </w:p>
          <w:p w14:paraId="2B285ABD">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lang w:val="en-US" w:eastAsia="zh-CN"/>
              </w:rPr>
              <w:t>秦老师</w:t>
            </w:r>
          </w:p>
          <w:p w14:paraId="462DCA6B">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lang w:val="en-US" w:eastAsia="zh-CN"/>
              </w:rPr>
              <w:t>87393342</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val="en-US"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成交价（扣除暂定部分）的 10%（根据实际情况需明确暂定部分为暂列金额和暂估价）</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本项目验收合格</w:t>
            </w:r>
            <w:r>
              <w:rPr>
                <w:rFonts w:ascii="Times New Roman" w:hAnsi="Times New Roman" w:eastAsia="仿宋" w:cs="Times New Roman"/>
                <w:sz w:val="22"/>
                <w:szCs w:val="22"/>
                <w:u w:val="non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2"/>
        <w:gridCol w:w="748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w:t>
            </w:r>
            <w:r>
              <w:rPr>
                <w:rFonts w:hint="eastAsia" w:ascii="Times New Roman" w:hAnsi="Times New Roman" w:eastAsia="仿宋" w:cs="Times New Roman"/>
                <w:sz w:val="22"/>
                <w:lang w:val="en-US" w:eastAsia="zh-CN"/>
              </w:rPr>
              <w:t>采购人</w:t>
            </w:r>
            <w:r>
              <w:rPr>
                <w:rFonts w:ascii="Times New Roman" w:hAnsi="Times New Roman" w:eastAsia="仿宋" w:cs="Times New Roman"/>
                <w:sz w:val="22"/>
              </w:rPr>
              <w:t>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p w14:paraId="078D2489">
            <w:pPr>
              <w:pStyle w:val="28"/>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en-US" w:eastAsia="zh-CN"/>
              </w:rPr>
              <w:t>5</w:t>
            </w:r>
            <w:r>
              <w:rPr>
                <w:rFonts w:hint="eastAsia" w:ascii="Times New Roman" w:hAnsi="Times New Roman" w:eastAsia="仿宋" w:cs="Times New Roman"/>
                <w:sz w:val="22"/>
                <w:szCs w:val="22"/>
                <w:lang w:val="zh-CN"/>
              </w:rPr>
              <w:t>）按医院相关管理制度需要签订的承诺或协议将作为承包合同的附件，是承包项目须遵守的内容之一。</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w:t>
      </w:r>
      <w:r>
        <w:rPr>
          <w:rFonts w:hint="eastAsia" w:ascii="Times New Roman" w:hAnsi="Times New Roman" w:cs="Times New Roman"/>
          <w:lang w:val="en-US" w:eastAsia="zh-CN"/>
        </w:rPr>
        <w:t xml:space="preserve">  </w:t>
      </w:r>
      <w:r>
        <w:rPr>
          <w:rFonts w:ascii="Times New Roman" w:hAnsi="Times New Roman" w:cs="Times New Roman"/>
        </w:rPr>
        <w:t>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6"/>
        <w:gridCol w:w="5939"/>
      </w:tblGrid>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3616B0D3">
            <w:pPr>
              <w:rPr>
                <w:rFonts w:ascii="Times New Roman" w:hAnsi="Times New Roman" w:cs="Times New Roman"/>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367E65FB">
            <w:pPr>
              <w:pStyle w:val="7"/>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229076F3">
            <w:pPr>
              <w:pStyle w:val="7"/>
              <w:numPr>
                <w:ilvl w:val="0"/>
                <w:numId w:val="12"/>
              </w:numPr>
              <w:rPr>
                <w:rFonts w:hint="default" w:ascii="Times New Roman" w:hAnsi="Times New Roman" w:eastAsia="仿宋" w:cs="Times New Roman"/>
                <w:b/>
                <w:bCs w:val="0"/>
                <w:color w:val="FF0000"/>
                <w:kern w:val="2"/>
                <w:sz w:val="22"/>
                <w:szCs w:val="22"/>
                <w:lang w:val="en-US" w:eastAsia="zh-CN" w:bidi="ar-SA"/>
              </w:rPr>
            </w:pPr>
            <w:r>
              <w:rPr>
                <w:rFonts w:hint="eastAsia" w:ascii="Times New Roman" w:hAnsi="Times New Roman" w:eastAsia="仿宋" w:cs="Times New Roman"/>
                <w:b/>
                <w:bCs w:val="0"/>
                <w:color w:val="FF0000"/>
                <w:kern w:val="2"/>
                <w:sz w:val="22"/>
                <w:szCs w:val="22"/>
                <w:lang w:val="en-US" w:eastAsia="zh-CN" w:bidi="ar-SA"/>
              </w:rPr>
              <w:t>供应商</w:t>
            </w:r>
            <w:r>
              <w:rPr>
                <w:rFonts w:hint="default" w:ascii="Times New Roman" w:hAnsi="Times New Roman" w:eastAsia="仿宋" w:cs="Times New Roman"/>
                <w:b/>
                <w:bCs w:val="0"/>
                <w:color w:val="FF0000"/>
                <w:kern w:val="2"/>
                <w:sz w:val="22"/>
                <w:szCs w:val="22"/>
                <w:lang w:val="en-US" w:eastAsia="zh-CN" w:bidi="ar-SA"/>
              </w:rPr>
              <w:t>须具备机电工程施工总承包三级及以上资质或建筑机电安装工程专业承包三级及以上资质</w:t>
            </w:r>
          </w:p>
          <w:p w14:paraId="1FE7C61A">
            <w:pPr>
              <w:pStyle w:val="7"/>
              <w:numPr>
                <w:ilvl w:val="0"/>
                <w:numId w:val="12"/>
              </w:numPr>
              <w:rPr>
                <w:rFonts w:hint="default" w:ascii="Times New Roman" w:hAnsi="Times New Roman" w:eastAsia="仿宋" w:cs="Times New Roman"/>
                <w:b/>
                <w:bCs w:val="0"/>
                <w:color w:val="FF0000"/>
                <w:kern w:val="2"/>
                <w:sz w:val="22"/>
                <w:szCs w:val="22"/>
                <w:lang w:val="en-US" w:eastAsia="zh-CN" w:bidi="ar-SA"/>
              </w:rPr>
            </w:pPr>
            <w:r>
              <w:rPr>
                <w:rFonts w:hint="eastAsia" w:ascii="Times New Roman" w:hAnsi="Times New Roman" w:eastAsia="仿宋" w:cs="Times New Roman"/>
                <w:b/>
                <w:bCs w:val="0"/>
                <w:color w:val="FF0000"/>
                <w:kern w:val="2"/>
                <w:sz w:val="22"/>
                <w:szCs w:val="22"/>
                <w:lang w:val="en-US" w:eastAsia="zh-CN" w:bidi="ar-SA"/>
              </w:rPr>
              <w:t>供应商</w:t>
            </w:r>
            <w:r>
              <w:rPr>
                <w:rFonts w:hint="default" w:ascii="Times New Roman" w:hAnsi="Times New Roman" w:eastAsia="仿宋" w:cs="Times New Roman"/>
                <w:b/>
                <w:bCs w:val="0"/>
                <w:color w:val="FF0000"/>
                <w:kern w:val="2"/>
                <w:sz w:val="22"/>
                <w:szCs w:val="22"/>
                <w:lang w:val="en-US" w:eastAsia="zh-CN" w:bidi="ar-SA"/>
              </w:rPr>
              <w:t>具备有效的</w:t>
            </w:r>
            <w:r>
              <w:rPr>
                <w:rFonts w:ascii="Times New Roman" w:hAnsi="Times New Roman" w:eastAsia="仿宋" w:cs="Times New Roman"/>
                <w:b/>
                <w:color w:val="FF0000"/>
                <w:sz w:val="22"/>
                <w:szCs w:val="22"/>
              </w:rPr>
              <w:t>建筑施工安全生产许可证</w:t>
            </w:r>
          </w:p>
          <w:p w14:paraId="7D7F23F8">
            <w:pPr>
              <w:widowControl/>
              <w:jc w:val="left"/>
              <w:rPr>
                <w:rFonts w:ascii="Times New Roman" w:hAnsi="Times New Roman" w:eastAsia="仿宋" w:cs="Times New Roman"/>
                <w:b/>
                <w:bCs/>
                <w:sz w:val="22"/>
              </w:rPr>
            </w:pPr>
            <w:r>
              <w:rPr>
                <w:rFonts w:hint="eastAsia" w:ascii="Times New Roman" w:hAnsi="Times New Roman" w:eastAsia="仿宋" w:cs="Times New Roman"/>
                <w:b/>
                <w:bCs w:val="0"/>
                <w:color w:val="FF0000"/>
                <w:kern w:val="2"/>
                <w:sz w:val="22"/>
                <w:szCs w:val="22"/>
                <w:lang w:val="en-US" w:eastAsia="zh-CN" w:bidi="ar-SA"/>
              </w:rPr>
              <w:t>3</w:t>
            </w:r>
            <w:r>
              <w:rPr>
                <w:rFonts w:hint="default" w:ascii="Times New Roman" w:hAnsi="Times New Roman" w:eastAsia="仿宋" w:cs="Times New Roman"/>
                <w:b/>
                <w:bCs w:val="0"/>
                <w:color w:val="FF0000"/>
                <w:kern w:val="2"/>
                <w:sz w:val="22"/>
                <w:szCs w:val="22"/>
                <w:lang w:val="en-US" w:eastAsia="zh-CN" w:bidi="ar-SA"/>
              </w:rPr>
              <w:t>.</w:t>
            </w:r>
            <w:r>
              <w:rPr>
                <w:rFonts w:hint="eastAsia" w:ascii="Times New Roman" w:hAnsi="Times New Roman" w:eastAsia="仿宋" w:cs="Times New Roman"/>
                <w:b/>
                <w:bCs w:val="0"/>
                <w:color w:val="FF0000"/>
                <w:kern w:val="2"/>
                <w:sz w:val="22"/>
                <w:szCs w:val="22"/>
                <w:lang w:val="en-US" w:eastAsia="zh-CN" w:bidi="ar-SA"/>
              </w:rPr>
              <w:t>供应商</w:t>
            </w:r>
            <w:r>
              <w:rPr>
                <w:rFonts w:hint="default" w:ascii="Times New Roman" w:hAnsi="Times New Roman" w:eastAsia="仿宋" w:cs="Times New Roman"/>
                <w:b/>
                <w:bCs w:val="0"/>
                <w:color w:val="FF0000"/>
                <w:kern w:val="2"/>
                <w:sz w:val="22"/>
                <w:szCs w:val="22"/>
                <w:lang w:val="en-US" w:eastAsia="zh-CN" w:bidi="ar-SA"/>
              </w:rPr>
              <w:t>须具备有效的《特种设备生产许可证》（或原《特种设备安装改造维修许可证》），许可范围包含工业管道安装（GC2级及以上），证书状态正常且在有效期内。</w:t>
            </w:r>
          </w:p>
        </w:tc>
        <w:tc>
          <w:tcPr>
            <w:tcW w:w="2849" w:type="pct"/>
            <w:vAlign w:val="center"/>
          </w:tcPr>
          <w:p w14:paraId="7D3D2FEC">
            <w:pPr>
              <w:rPr>
                <w:rFonts w:hint="eastAsia" w:ascii="Times New Roman" w:hAnsi="Times New Roman" w:eastAsia="仿宋" w:cs="Times New Roman"/>
                <w:sz w:val="22"/>
              </w:rPr>
            </w:pPr>
            <w:r>
              <w:rPr>
                <w:rFonts w:hint="eastAsia" w:ascii="Times New Roman" w:hAnsi="Times New Roman" w:eastAsia="仿宋" w:cs="Times New Roman"/>
                <w:sz w:val="22"/>
              </w:rPr>
              <w:t>提供有效的证明材料并加盖供应商公章。</w:t>
            </w:r>
          </w:p>
          <w:p w14:paraId="42580255">
            <w:pPr>
              <w:rPr>
                <w:rFonts w:hint="eastAsia"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73"/>
      </w:tblGrid>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3"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3"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3"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3"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3"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3"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shd w:val="clear"/>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184A71">
      <w:pPr>
        <w:pStyle w:val="5"/>
        <w:keepNext w:val="0"/>
        <w:keepLines w:val="0"/>
        <w:pageBreakBefore w:val="0"/>
        <w:widowControl/>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Autospacing="0" w:line="360" w:lineRule="auto"/>
        <w:ind w:right="450"/>
        <w:textAlignment w:val="center"/>
        <w:rPr>
          <w:rFonts w:hint="eastAsia" w:ascii="仿宋" w:hAnsi="仿宋" w:eastAsia="仿宋" w:cs="仿宋"/>
          <w:b/>
          <w:bCs/>
          <w:sz w:val="24"/>
          <w:szCs w:val="24"/>
          <w:lang w:val="en-US" w:eastAsia="zh-CN"/>
        </w:rPr>
      </w:pPr>
      <w:r>
        <w:rPr>
          <w:rFonts w:hint="eastAsia" w:ascii="Times New Roman" w:hAnsi="Times New Roman" w:eastAsia="仿宋" w:cs="Times New Roman"/>
          <w:b/>
          <w:bCs/>
          <w:sz w:val="24"/>
          <w:szCs w:val="24"/>
          <w:lang w:val="en-US" w:eastAsia="zh-CN"/>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b w:val="0"/>
          <w:bCs w:val="0"/>
          <w:kern w:val="2"/>
          <w:sz w:val="24"/>
          <w:szCs w:val="24"/>
          <w:lang w:val="en-US" w:eastAsia="zh-CN" w:bidi="ar-SA"/>
        </w:rPr>
        <w:t xml:space="preserve">  本项目拟确定一家供应商承接采购人液氧站拆除与土建改造工程项目中的拆除部分工程。</w:t>
      </w:r>
      <w:r>
        <w:rPr>
          <w:rFonts w:hint="eastAsia" w:ascii="仿宋" w:hAnsi="仿宋" w:eastAsia="仿宋" w:cs="仿宋"/>
          <w:b w:val="0"/>
          <w:bCs w:val="0"/>
          <w:kern w:val="2"/>
          <w:sz w:val="24"/>
          <w:szCs w:val="24"/>
          <w:lang w:val="en-US" w:eastAsia="zh-CN" w:bidi="ar-SA"/>
        </w:rPr>
        <w:cr/>
      </w:r>
      <w:r>
        <w:rPr>
          <w:rFonts w:ascii="Times New Roman" w:hAnsi="Times New Roman" w:eastAsia="仿宋" w:cs="Times New Roman"/>
          <w:b/>
          <w:bCs/>
          <w:sz w:val="24"/>
          <w:szCs w:val="24"/>
        </w:rPr>
        <w:t>二、</w:t>
      </w:r>
      <w:r>
        <w:rPr>
          <w:rFonts w:hint="default" w:ascii="方正仿宋_GB2312" w:hAnsi="方正仿宋_GB2312" w:eastAsia="方正仿宋_GB2312" w:cs="方正仿宋_GB2312"/>
          <w:color w:val="0D0D0D"/>
          <w:kern w:val="2"/>
          <w:sz w:val="31"/>
          <w:szCs w:val="31"/>
        </w:rPr>
        <w:t>★</w:t>
      </w:r>
      <w:r>
        <w:rPr>
          <w:rFonts w:ascii="Times New Roman" w:hAnsi="Times New Roman" w:eastAsia="仿宋" w:cs="Times New Roman"/>
          <w:b/>
          <w:bCs/>
          <w:sz w:val="24"/>
          <w:szCs w:val="24"/>
        </w:rPr>
        <w:t>采购内容</w:t>
      </w:r>
      <w:r>
        <w:rPr>
          <w:rFonts w:ascii="Times New Roman" w:hAnsi="Times New Roman" w:eastAsia="仿宋" w:cs="Times New Roman"/>
          <w:sz w:val="24"/>
          <w:szCs w:val="24"/>
        </w:rPr>
        <w:cr/>
      </w:r>
      <w:r>
        <w:rPr>
          <w:rFonts w:hint="eastAsia" w:ascii="仿宋" w:hAnsi="仿宋" w:eastAsia="仿宋" w:cs="仿宋"/>
          <w:b/>
          <w:bCs/>
          <w:sz w:val="24"/>
          <w:szCs w:val="24"/>
          <w:lang w:val="en-US" w:eastAsia="zh-CN"/>
        </w:rPr>
        <w:t>（一）原有1#液氧站（6m³）全套设施拆除</w:t>
      </w:r>
    </w:p>
    <w:p w14:paraId="7919A0E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1#液氧站，包括但不限于液氧储罐、防泄漏围堰、气化器、连接管道、阀门组件、控制系统、基础构筑物及附属安全设施，拆除后旧设备放置采购人指定位置。</w:t>
      </w:r>
    </w:p>
    <w:p w14:paraId="751785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（二）洗消中心拆除与改造</w:t>
      </w:r>
    </w:p>
    <w:p w14:paraId="37E878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color w:val="auto"/>
          <w:sz w:val="24"/>
          <w:szCs w:val="24"/>
          <w:lang w:val="en-US" w:eastAsia="zh-CN"/>
        </w:rPr>
        <w:t>洗消中心房</w:t>
      </w:r>
      <w:r>
        <w:rPr>
          <w:rFonts w:hint="eastAsia" w:ascii="仿宋" w:hAnsi="仿宋" w:eastAsia="仿宋" w:cs="仿宋"/>
          <w:b w:val="0"/>
          <w:bCs w:val="0"/>
          <w:sz w:val="24"/>
          <w:szCs w:val="24"/>
          <w:lang w:val="en-US" w:eastAsia="zh-CN"/>
        </w:rPr>
        <w:t>屋顶面进行整体拆除作业并对内墙面加固，拆除包括但不限于：屋面彩钢板、龙骨、灯具、空调、 热水器、室内门套、淋浴配套设施、洗手池、室内电话分线箱、防水构造及附属构件等，拆除至原结构梁/屋顶面标高位置。</w:t>
      </w:r>
    </w:p>
    <w:p w14:paraId="4EF270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氧站主体房间与内部小房间之间的现有墙体（隔墙、门、梁柱、基础及房间内其他设备）整体拆除，使两区域形成联通、贯通空间，满足液氧站设备安装、检修。所有墙面铲除空鼓、起皮、旧腻子至基层，墙面找平、顺直、阴阳角方正，无波浪、无坑洼、无裂缝。</w:t>
      </w:r>
    </w:p>
    <w:p w14:paraId="54BACB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3、将原有站内窗户、防护栏全部拆除，更换为不锈钢管护栏，将原有站内前后门，更换为钢质门，门上加锁（外开并接地）。</w:t>
      </w:r>
    </w:p>
    <w:p w14:paraId="47B89A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4、防雷防静电：所有氧气站设备及相关设施需按规范要求进行防雷接地，检测数据需符合氧气站建设规范要求。</w:t>
      </w:r>
    </w:p>
    <w:p w14:paraId="05C21A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color w:val="auto"/>
          <w:sz w:val="24"/>
          <w:szCs w:val="24"/>
          <w:lang w:val="en-US" w:eastAsia="zh-CN"/>
        </w:rPr>
        <w:t>洗消中心站</w:t>
      </w:r>
      <w:r>
        <w:rPr>
          <w:rFonts w:hint="eastAsia" w:ascii="仿宋" w:hAnsi="仿宋" w:eastAsia="仿宋" w:cs="仿宋"/>
          <w:b w:val="0"/>
          <w:bCs w:val="0"/>
          <w:sz w:val="24"/>
          <w:szCs w:val="24"/>
          <w:lang w:val="en-US" w:eastAsia="zh-CN"/>
        </w:rPr>
        <w:t>内以及新建室外汽化器安装区域应设置环形或条形引水沟，沟体采用钢筋混凝土浇筑，内侧做防渗、耐低温防腐处理，确保不渗漏、不开裂。引水沟沿气化器周边布置，与地面0.3%坡度顺接，有效汇集雨水、化霜水及少量泄漏低温液体。 引水沟末端安装引水管将汇集水体排至站区室外雨水系统。引水管采用耐腐蚀金属管材，接口密封严密，不得出现堵塞、倒灌。引水沟及引水管布置应避开设备基础，沟内不得积存杂物、冰雪，保证排水畅通。</w:t>
      </w:r>
    </w:p>
    <w:p w14:paraId="186C3D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6、在洗消中心内，增加防爆、防水LED照明灯一盏，防爆等级Ex d IIB T4 Gb，防护等级IP66，防腐等级WF2，LED光源30W–50W，色温4000K–5000K，Ra≥80，寿命≥50000h，AC220V，外壳高压铸铝，不锈钢紧固件，符合GB 3836、GB 50030、GB 50058规范。照明灯无火花、阻燃。</w:t>
      </w:r>
    </w:p>
    <w:p w14:paraId="67D3A1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7、拆除洗消中心原有插座及开关，安装新防爆、防水插座及开关及开关， 防爆标志：ExeII T4 Gb（增安型，适配21区火灾危险环境，无火花、防高温引燃）； 温度组别：T4，设备表面最高温度≤135℃，杜绝高温引发富氧环境可燃物燃烧； 防护等级：IP66，防尘、防水溅、耐低温，适配液氧站潮湿、低温、多粉尘环境； 防腐等级：WF2，具备良好的耐氧化、耐腐蚀性能，适应氧气环境长期使用；额定参数：额定电压AC220V，额定电流16A/32A，阻燃等级V-0级，内部绝缘材料为耐高温阻燃材质。防爆插座及开关必须具备国家防爆产品合格证书、产品检测报告、出厂合格证，证书信息与产品铭牌完全一致，严禁使用无资质、假冒伪劣、过期证书的产品。</w:t>
      </w:r>
    </w:p>
    <w:p w14:paraId="6FE068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8、站外出口处搭建防泄漏围堰，围堰外墙贴砖，上下围堰步梯 ，围堰高度：≥0.9m（医用液氧站强制标准），有效容积：≥站内最大单台液氧储罐的全容积， 结构材质：钢筋混凝土/耐火砖砌筑，不燃、防渗、耐低温，地面要求：围堰内整体防渗硬化，坡向集液坑/泄液口，安全间距：围堰内壁距储罐外壁≥1.0m，设人行通道，围堰外墙铺设瓷砖与液氧站整体一致。</w:t>
      </w:r>
    </w:p>
    <w:p w14:paraId="4CA527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在液氧站墙面围护结构上预留液氧充装管道穿越洞口，充装口安装常闭防护门，门体尺寸按洞口尺寸配套制作，外开式，门扇与门框贴合严密，关闭后可有效防止无关人员进入、防止杂物进入及防止液氧泄漏扩散。门体及门框采用 304不锈钢 制作，板材厚度不小于1.5mm，整体坚固、耐腐蚀、不燃、撞击无火花，满足液氧站防爆安全要求。 防护门配置不锈钢防盗锁或不锈钢挂锁。</w:t>
      </w:r>
    </w:p>
    <w:p w14:paraId="46033C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根据拆除图纸在洗消中心内铺设液氧罐基础，在站外铺设汽化器基础，并在汽化器周围安装汽化器围栏防护（高度≥1.4m），采用防爆防撞防腐不锈钢材质制作，防腐防锈，通透式结构，设置检修门，满足检修、巡检及安全距离要求,将原有1#液氧站人体及车辆静电释放器，挪到新1#液氧站门口与接地网相连，接地电阻≤4Ω。。</w:t>
      </w:r>
    </w:p>
    <w:p w14:paraId="220FE9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（三）原有2#液氧站拆除改造（10m³）</w:t>
      </w:r>
    </w:p>
    <w:p w14:paraId="67AE9B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1、拆除原有2#液氧站（10m³）全套设施，包括但不限于液氧储罐、气化器、连接管道、阀门组件、控制系统、基础构筑物及附属安全设施，拆除后旧设备放置采购人指定位置。</w:t>
      </w:r>
    </w:p>
    <w:p w14:paraId="3654D5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2、在原有2#液氧站内，增加防爆、防水LED照明灯一盏，防爆等级ExdIIB T4 Gb，防护等级IP66，防腐等级WF2，LED光源30W–50W，色温4000K–5000K，Ra≥80，寿命≥50000h，AC220V，外壳高压铸铝，不锈钢紧固件，符合GB 3836、GB 50030、GB 50058规范。门外设置防护型/封闭式（IP65）、无火花、阻燃。</w:t>
      </w:r>
    </w:p>
    <w:p w14:paraId="38CCD8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3、根据</w:t>
      </w:r>
      <w:r>
        <w:rPr>
          <w:rFonts w:hint="eastAsia" w:ascii="仿宋" w:hAnsi="仿宋" w:eastAsia="仿宋" w:cs="仿宋"/>
          <w:i w:val="0"/>
          <w:iCs w:val="0"/>
          <w:caps w:val="0"/>
          <w:color w:val="auto"/>
          <w:spacing w:val="0"/>
          <w:kern w:val="2"/>
          <w:sz w:val="24"/>
          <w:szCs w:val="24"/>
          <w:lang w:val="en-US" w:eastAsia="zh-CN" w:bidi="ar"/>
        </w:rPr>
        <w:t>拆除</w:t>
      </w:r>
      <w:r>
        <w:rPr>
          <w:rFonts w:hint="eastAsia" w:ascii="仿宋" w:hAnsi="仿宋" w:eastAsia="仿宋" w:cs="仿宋"/>
          <w:b w:val="0"/>
          <w:bCs w:val="0"/>
          <w:sz w:val="24"/>
          <w:szCs w:val="24"/>
          <w:lang w:val="en-US" w:eastAsia="zh-CN"/>
        </w:rPr>
        <w:t>图纸，拆除2号液氧站内旧基础，在2号液氧站内铺设新基础。拆除2、3号液氧站之间墙体、围堰，拆除完成后，对地面进行打磨、找平，清理断面杂物及粉尘，保证断地面平整、无松动砖块，并铺设新基础（同3#汽化器一致）。</w:t>
      </w:r>
    </w:p>
    <w:p w14:paraId="2BD1AE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4、在新汽化器周围安装汽化器围栏防护（高度≥1.4m，采用防爆防撞防腐不锈钢材质制作，表面静电喷塑处理，防腐防锈，通透式结构，设置检修门，满足检修、巡检及安全距离要求。</w:t>
      </w:r>
    </w:p>
    <w:p w14:paraId="5CDCE2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5、拆除原有插座及开关，安装新防爆插座及开关， 防爆标志：ExeII T4 Gb（增安型，适配21区火灾危险环境，无火花、防高温引燃）； 温度组别：T4，设备表面最高温度≤135℃，杜绝高温引发富氧环境可燃物燃烧； 防护等级：IP66，防尘、防水溅、耐低温，适配液氧站潮湿、低温、多粉尘环境； 防腐等级：WF2，具备良好的耐氧化、耐腐蚀性能，适应氧气环境长期使用；额定参数：额定电压AC220V，额定电流16A/32A，阻燃等级V-0级，内部绝缘材料为耐高温阻燃材质。防爆插座及开关必须具备国家防爆产品合格证书、产品检测报告、出厂合格证，证书信息与产品铭牌完全一致，严禁使用无资质、假冒伪劣、过期证书的产品。</w:t>
      </w:r>
    </w:p>
    <w:p w14:paraId="6D2FEA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6、拆除原有2#液氧站灌装口防护门，更换为门体及门框采用304不锈钢 制作，板材厚度不小于1.5mm，整体坚固、耐腐蚀、不燃、撞击无火花，满足液氧站防爆安全要求。 防护门配置不锈钢防盗锁或不锈钢挂锁。</w:t>
      </w:r>
    </w:p>
    <w:p w14:paraId="7E330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（四）原有3#液氧站的改造（15m³）</w:t>
      </w:r>
    </w:p>
    <w:p w14:paraId="56D3CB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1、根据拆除图纸，在原有3号站内铺设汽化器基础。</w:t>
      </w:r>
    </w:p>
    <w:p w14:paraId="7C4270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2、拆除原有插座及开关，安装新防爆插座及开关， 防爆标志：ExeII T4 Gb（增安型，适配21区火灾危险环境，无火花、防高温引燃）； 温度组别：T4，设备表面最高温度≤135℃，杜绝高温引发富氧环境可燃物燃烧； 防护等级：IP66，防尘、防水溅、耐低温，适配液氧站潮湿、低温、多粉尘环境； 防腐等级：WF2，具备良好的耐氧化、耐腐蚀性能，适应氧气环境长期使用；额定参数：额定电压AC220V，额定电流16A/32A，阻燃等级V-0级，内部绝缘材料为耐高温阻燃材质。防爆插座及开关必须具备国家防爆产品合格证书、产品检测报告、出厂合格证，证书信息与产品铭牌完全一致，严禁使用无资质、假冒伪劣、过期证书的产品。</w:t>
      </w:r>
    </w:p>
    <w:p w14:paraId="4EFE93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3、在原有3#液氧站内，增加防爆、防水LED照明灯一盏，防爆等级ExdIIB T4 Gb，防护等级IP66，防腐等级WF2，LED光源30W–50W，色温4000K–5000K，Ra≥80，寿命≥50000h，AC220V，外壳高压铸铝，不锈钢紧固件，符合GB 3836、GB 50030、GB 50058规范。门外设置防护型/封闭式（IP65）、无火花、阻燃。</w:t>
      </w:r>
    </w:p>
    <w:p w14:paraId="7E1F0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按拆除图纸、工程量清单及现场实际情况，拆除液氧站原有门体及相关附件，对原门洞部位进行封堵恢复处理；并在新指定位置按拆除图纸要求新开门洞，安装新不锈钢门及不锈钢配套五金件、门锁，外开并接地，含门洞开凿、修复、门体安装、密封、收口等全部工作内容，确保施工安全及使用功能满足规范要求。</w:t>
      </w:r>
    </w:p>
    <w:p w14:paraId="791319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5、站外新建出口处搭建防泄漏围堰，围堰外墙贴砖，铺设上下围堰步梯， 围堰高度：≥0.9m（医用液氧站强制标准），有效容积：≥站内最大单台液氧储罐的全容积， 结构材质：钢筋混凝土/耐火砖砌筑，不燃、防渗、耐低温，地面要求：围堰内整体防渗硬化，坡向集液坑/泄液口，安全间距：围堰内壁距储罐外壁≥1.0m，设人行通道，围堰外墙铺设瓷砖与液氧站整体一致。</w:t>
      </w:r>
    </w:p>
    <w:p w14:paraId="2E2436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6、根据施工拆除图纸，在3号液氧站内铺设汽化器新基础。</w:t>
      </w:r>
    </w:p>
    <w:p w14:paraId="31C510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拆除3号站原有防护门上方雨棚，规整2、3号液氧站间外露电线套管，拆除原悬空管线，沿墙体贴墙固定并重新套管、电线管线与新汽化器设备水平净距≥1.5m,确保线管无悬空、无外露、排列整齐，满足液氧站防火防爆安全要求。</w:t>
      </w:r>
    </w:p>
    <w:p w14:paraId="4DEA0D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（五）其他配套设备</w:t>
      </w:r>
    </w:p>
    <w:p w14:paraId="48F997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1、改造后的1#、2#、3#每个液氧站监测点位预留RS485通讯接口（工业标配、长距离，标准：RS485&lt;Modbus RTU 协议&gt;）含防干扰连接线及管沟至后勤中心，接入采购人设备网（所有接口具备工业级防护、抗干扰能力，通讯稳定可靠），如设备使用采购人院内网络，负责协助采购人接入一站式信息化服务平台。</w:t>
      </w:r>
    </w:p>
    <w:p w14:paraId="22EA42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2、根据拆除图纸，对1#、2#、3#液氧站延伸到各栋大楼气体管道接驳点间管线敷设区域实施土方开挖及管道铺设完毕后的回填工作。</w:t>
      </w:r>
    </w:p>
    <w:p w14:paraId="25FA93FA">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仿宋" w:cs="Times New Roman"/>
          <w:b/>
          <w:bCs/>
          <w:sz w:val="24"/>
          <w:szCs w:val="24"/>
        </w:rPr>
      </w:pPr>
      <w:r>
        <w:rPr>
          <w:rFonts w:hint="eastAsia" w:ascii="仿宋" w:hAnsi="仿宋" w:eastAsia="仿宋" w:cs="仿宋"/>
          <w:b w:val="0"/>
          <w:bCs w:val="0"/>
          <w:sz w:val="24"/>
          <w:szCs w:val="24"/>
          <w:lang w:val="en-US" w:eastAsia="zh-CN"/>
        </w:rPr>
        <w:t>3、待管道设备铺设完毕后，拆除2#、3#液氧站蒸汽管道及原有氧气管道、拆除管道及管道附件配套链接螺栓、支架、保温层、保温辅料等附属附件，并回收清运至场外。</w:t>
      </w:r>
      <w:r>
        <w:rPr>
          <w:rFonts w:hint="eastAsia" w:ascii="仿宋" w:hAnsi="仿宋" w:eastAsia="仿宋" w:cs="仿宋"/>
          <w:sz w:val="24"/>
          <w:szCs w:val="24"/>
        </w:rPr>
        <w:cr/>
      </w:r>
      <w:r>
        <w:rPr>
          <w:rFonts w:ascii="Times New Roman" w:hAnsi="Times New Roman" w:eastAsia="仿宋" w:cs="Times New Roman"/>
          <w:b/>
          <w:bCs/>
          <w:sz w:val="24"/>
          <w:szCs w:val="24"/>
        </w:rPr>
        <w:t>三、</w:t>
      </w:r>
      <w:r>
        <w:rPr>
          <w:rFonts w:hint="default" w:ascii="方正仿宋_GB2312" w:hAnsi="方正仿宋_GB2312" w:eastAsia="方正仿宋_GB2312" w:cs="方正仿宋_GB2312"/>
          <w:color w:val="0D0D0D"/>
          <w:kern w:val="2"/>
          <w:sz w:val="31"/>
          <w:szCs w:val="31"/>
        </w:rPr>
        <w:t>★</w:t>
      </w:r>
      <w:r>
        <w:rPr>
          <w:rFonts w:ascii="Times New Roman" w:hAnsi="Times New Roman" w:eastAsia="仿宋" w:cs="Times New Roman"/>
          <w:b/>
          <w:bCs/>
          <w:sz w:val="24"/>
          <w:szCs w:val="24"/>
        </w:rPr>
        <w:t>技术、服务要求:</w:t>
      </w:r>
    </w:p>
    <w:p w14:paraId="10C513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（一）拆除要求：</w:t>
      </w:r>
    </w:p>
    <w:p w14:paraId="5F194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1、严格遵循危化品设备拆除安全规范，制定专项拆除方案及应急预案，全程配备专业安全监护人员，确保拆除过程无安全事故。</w:t>
      </w:r>
    </w:p>
    <w:p w14:paraId="47E305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拆除作业前需对站内残留液氧进行合规处置，避免泄漏、冻伤等风险；拆除过程中采取有效防护措施，防止对周边环境、建筑物及人员造成损害，拆除前需对原有氧设备进行惰性气体置换，氧气浓度需低于23.5%。</w:t>
      </w:r>
    </w:p>
    <w:p w14:paraId="580DF1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3、拆除后的废旧设备（含危化品相关组件）需按环保及危化品处置标准合规处置，做不可逆处理，不得随意丢弃；拆除现场需彻底清理、平整，经环保检测确认无残留污染后移交。</w:t>
      </w:r>
    </w:p>
    <w:p w14:paraId="772805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依据设计文件的要求，本招标工程项目的材料、设备、施工须达到中华人民共和国以及省、自治区、直辖市或行业的工程建设标准、规范的要求。如遇工程建设标准、规范修订或作废，一律以新颁布的工程建设标准、规范为准。</w:t>
      </w:r>
    </w:p>
    <w:p w14:paraId="3FADF7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GB50751-2012《医用气体工程技术规范》</w:t>
      </w:r>
    </w:p>
    <w:p w14:paraId="0C7123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w:t>
      </w:r>
      <w:r>
        <w:rPr>
          <w:rFonts w:hint="eastAsia" w:ascii="仿宋" w:hAnsi="仿宋" w:eastAsia="仿宋" w:cs="仿宋"/>
          <w:sz w:val="24"/>
          <w:szCs w:val="24"/>
          <w:lang w:val="en-US" w:eastAsia="zh-CN"/>
        </w:rPr>
        <w:t>GB50030-2013《氧气站设计规范》</w:t>
      </w:r>
    </w:p>
    <w:p w14:paraId="3EBA74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 9706.1-2020《医用电气设备 第1部分：基本安全和基本性能的通用要求》</w:t>
      </w:r>
    </w:p>
    <w:p w14:paraId="1B7160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YY 9706.102-2021《医用电气设备 第1-2部分 基本安全和基本性能的通用要求 并列标准：电磁兼容要求和试验》</w:t>
      </w:r>
    </w:p>
    <w:p w14:paraId="156D3D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GB50016-2014《建筑设计防火规范》</w:t>
      </w:r>
    </w:p>
    <w:p w14:paraId="78AC70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GB50316-2000《工业金属管道设计规范》（2008 版）</w:t>
      </w:r>
    </w:p>
    <w:p w14:paraId="2B8FA6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GB50235-2010《工业金属管道工程施工规范》</w:t>
      </w:r>
    </w:p>
    <w:p w14:paraId="529626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GB50236—2011《现场设备、工业管道焊接工程施工规范》</w:t>
      </w:r>
    </w:p>
    <w:p w14:paraId="69DC0A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GB50184-2011《工业金属管道工程施工质量验收规范》</w:t>
      </w:r>
    </w:p>
    <w:p w14:paraId="3F4431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GB/T 14976-2025《输送流体用不锈钢无缝钢管》</w:t>
      </w:r>
    </w:p>
    <w:p w14:paraId="070EA4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GB/T 150.1~4-2024《压力容器》</w:t>
      </w:r>
    </w:p>
    <w:p w14:paraId="259F788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Ø  GB/T 8982-2025《医用及航空呼吸用氧》  </w:t>
      </w:r>
    </w:p>
    <w:p w14:paraId="3306B3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GB50254-2014《电气装置安装工程施工及验收规范》</w:t>
      </w:r>
    </w:p>
    <w:p w14:paraId="625879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Ø GB/T 12241-2021《安全阀一般要求》</w:t>
      </w:r>
    </w:p>
    <w:p w14:paraId="7A74BF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建设单位设计要求及国家、地方颁布的其它相关法律法规。</w:t>
      </w:r>
    </w:p>
    <w:p w14:paraId="7022B9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其中供应商若使用拆除图纸及不同的标准和规范，应加以详细说明。供应商应提供用于替代的标准和规范以及差异点对照表。当供应商推荐的标准和规范等同于或优于被替代的标准和规范时，才可被采购人接受。</w:t>
      </w:r>
    </w:p>
    <w:p w14:paraId="5F4622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5、工程实施的技术标准和规范一般规定</w:t>
      </w:r>
    </w:p>
    <w:p w14:paraId="0E8CFCE2">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color w:val="auto"/>
          <w:sz w:val="24"/>
          <w:szCs w:val="24"/>
          <w:lang w:val="en-US" w:eastAsia="zh-CN"/>
        </w:rPr>
        <w:t>工程范围内施工工艺、设备及材料选用均应具备先进性并满足项目使用要求，除本技术条款另有规定外，供应商施工所用材料、设备、施工工艺以及工程质量检验验收，含设备、材料、包装、运输、安装、调试、维修等全部技术参数，均应符合采购文件及国家和行业现行技术标准、规程规范的相关规定。</w:t>
      </w:r>
    </w:p>
    <w:p w14:paraId="25BE8BC4">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在合同履行期间，本工程所采用的标准或规范有修改或新颁，采购人和设计单位认为有必要采用时，向供应商发出变更指令。由此产生的费用及工期调整按合同变更条款执行。</w:t>
      </w:r>
    </w:p>
    <w:p w14:paraId="61F4A04C">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对本工程所采用的标准或规范的任何部分，当供应商认为改用其他标准或规范，同样能够保证工程达到相同质量或更高的质量时，供应商可提出申请报经采购人审批后采用，但这种批准不免除供应商根据合同规定应承担的任何责任。申请报告中应对原采用的标准或规范与所建议改用的其他标准或规范之间的差异进行详细说明。获批之前供应商仍应执行原采用的标准或规范。</w:t>
      </w:r>
    </w:p>
    <w:p w14:paraId="1A6A7ED9">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按施工图设计要求的技术标准和规范进行施工、验收。</w:t>
      </w:r>
    </w:p>
    <w:p w14:paraId="38AE9121">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rPr>
        <w:t>当本技术条款内容与现行国家、行业</w:t>
      </w:r>
      <w:r>
        <w:rPr>
          <w:rFonts w:hint="eastAsia" w:ascii="仿宋" w:hAnsi="仿宋" w:eastAsia="仿宋" w:cs="仿宋"/>
          <w:b w:val="0"/>
          <w:bCs w:val="0"/>
          <w:sz w:val="24"/>
          <w:szCs w:val="24"/>
          <w:highlight w:val="none"/>
        </w:rPr>
        <w:t>强制性标准、规范</w:t>
      </w:r>
      <w:r>
        <w:rPr>
          <w:rFonts w:hint="eastAsia" w:ascii="仿宋" w:hAnsi="仿宋" w:eastAsia="仿宋" w:cs="仿宋"/>
          <w:sz w:val="24"/>
          <w:szCs w:val="24"/>
          <w:highlight w:val="none"/>
        </w:rPr>
        <w:t>不一致时，</w:t>
      </w:r>
      <w:r>
        <w:rPr>
          <w:rFonts w:hint="eastAsia" w:ascii="仿宋" w:hAnsi="仿宋" w:eastAsia="仿宋" w:cs="仿宋"/>
          <w:b w:val="0"/>
          <w:bCs w:val="0"/>
          <w:sz w:val="24"/>
          <w:szCs w:val="24"/>
          <w:highlight w:val="none"/>
        </w:rPr>
        <w:t>以国家及行业强制性标准、规范为准</w:t>
      </w:r>
      <w:r>
        <w:rPr>
          <w:rFonts w:hint="eastAsia" w:ascii="仿宋" w:hAnsi="仿宋" w:eastAsia="仿宋" w:cs="仿宋"/>
          <w:sz w:val="24"/>
          <w:szCs w:val="24"/>
          <w:highlight w:val="none"/>
        </w:rPr>
        <w:t>；非强制性内容有矛盾时，以采购人及设计单位书面指示为准</w:t>
      </w:r>
      <w:r>
        <w:rPr>
          <w:rFonts w:hint="eastAsia" w:ascii="仿宋" w:hAnsi="仿宋" w:eastAsia="仿宋" w:cs="仿宋"/>
          <w:b w:val="0"/>
          <w:bCs w:val="0"/>
          <w:sz w:val="24"/>
          <w:szCs w:val="24"/>
          <w:highlight w:val="none"/>
          <w:lang w:val="en-US" w:eastAsia="zh-CN"/>
        </w:rPr>
        <w:t>。</w:t>
      </w:r>
    </w:p>
    <w:p w14:paraId="291DC275">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技术条款中有关</w:t>
      </w:r>
      <w:r>
        <w:rPr>
          <w:rFonts w:hint="eastAsia" w:ascii="仿宋" w:hAnsi="仿宋" w:eastAsia="仿宋" w:cs="仿宋"/>
          <w:sz w:val="24"/>
          <w:szCs w:val="24"/>
          <w:highlight w:val="none"/>
        </w:rPr>
        <w:t>涉及工程安全的所有内容均须严格执行国家及行业强制性标准，不得降低标准执行；若存在条款冲突，直接按现行强制标准执行，同时报采购人及设计单位确认</w:t>
      </w:r>
      <w:r>
        <w:rPr>
          <w:rFonts w:hint="eastAsia" w:ascii="仿宋" w:hAnsi="仿宋" w:eastAsia="仿宋" w:cs="仿宋"/>
          <w:b w:val="0"/>
          <w:bCs w:val="0"/>
          <w:sz w:val="24"/>
          <w:szCs w:val="24"/>
          <w:highlight w:val="none"/>
          <w:lang w:val="en-US" w:eastAsia="zh-CN"/>
        </w:rPr>
        <w:t>。</w:t>
      </w:r>
    </w:p>
    <w:p w14:paraId="0B57DAEF">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在施工过程中，采购人为保证工程质量和施工进度的要求，有权指示供应商或批准供应商采用新技术和新工艺，并增补和修改技术条款的内容。其增补和修改的内容涉及变更时，应按合同条款的规定办理。</w:t>
      </w:r>
    </w:p>
    <w:p w14:paraId="2C28A1DF">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在响应文件中相应列明其选用的产品及各项工作遵循的标准、规范的详细情况，供应商所提供的产品和服务，其采用的标准只有等效或优于以上标准，采购人才能接受，供应商应明确说明该标准与以上标准的主要差别，并提交该标准。</w:t>
      </w:r>
    </w:p>
    <w:p w14:paraId="262D6EAB">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供应商应全面考虑本工程的各种风险因素，在响应文件中针对本工程的安全风险点和控制点，须有针对性的措施方案阐述。</w:t>
      </w:r>
    </w:p>
    <w:p w14:paraId="1612A9F2">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成交后，供应商应按照《危险性较大的分部分项工程安全管理规定》建设部【2018】37号令和住房城乡建设部办公厅关于实施《危险性较大的分部分项工程安全管理规定》有关问题的通知建办质〔2018〕31号要求的规定实施。</w:t>
      </w:r>
    </w:p>
    <w:p w14:paraId="305DB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（二）一住、二住、三住、五住的管沟开挖及恢复（按采购人要求及相关规范要开挖及恢复）</w:t>
      </w:r>
    </w:p>
    <w:p w14:paraId="034D72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1、所有拆除物料分类清运，做到工完场清，不得遗留杂物、尖锐构件，避免损伤设备及地面。</w:t>
      </w:r>
    </w:p>
    <w:p w14:paraId="7E6FFF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2、管沟开挖时，应避开雨季，及时开挖，及时回填。</w:t>
      </w:r>
    </w:p>
    <w:p w14:paraId="71930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3、地基应为无尖硬土石和无盐类的原土层，若遇到废弃的构筑物、硬石、木头、垃圾等杂物时必须清除，应先按换土做法处理，并应铺一层厚度不小于0.2m的中粗砂或素土，整平压实至设计标高。</w:t>
      </w:r>
    </w:p>
    <w:p w14:paraId="751822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sz w:val="24"/>
          <w:szCs w:val="24"/>
          <w:lang w:val="en-US" w:eastAsia="zh-CN"/>
        </w:rPr>
        <w:t>4、管沟开挖宽度及坡率应按照《城镇燃气输配工程施工及验收标准》GB/T51455-2023中4.1章节有关规定执行，管顶覆土厚度不小于0.7m,穿越道路、</w:t>
      </w:r>
      <w:r>
        <w:rPr>
          <w:rFonts w:hint="eastAsia" w:ascii="仿宋" w:hAnsi="仿宋" w:eastAsia="仿宋" w:cs="仿宋"/>
          <w:b w:val="0"/>
          <w:bCs w:val="0"/>
          <w:color w:val="auto"/>
          <w:sz w:val="24"/>
          <w:szCs w:val="24"/>
          <w:lang w:val="en-US" w:eastAsia="zh-CN"/>
        </w:rPr>
        <w:t>车辆通行区域不小于1.0m。</w:t>
      </w:r>
    </w:p>
    <w:p w14:paraId="4BE761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管沟开挖中应在槽底预留0.03~0.06m厚的土层进行夯实处理，沟底表层土容重一般不小于1600kg/m3。夯实后，应在沟底表层土以上回填细土垫层，对于管道顺坡敷设区域细土垫层厚度应不小于0.05m；对于管道竖向弹性敷设区域，经建设、设计、监理及供应商现场确认后可适当将细土垫层厚度增加至0.15m，以避免沟底石块对管道表面造成机械损伤。</w:t>
      </w:r>
    </w:p>
    <w:p w14:paraId="755BB7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6、供应商需对管沟进行分层回填、夯实，回填材料管顶200mm内：纯细沙/无石素土，严禁石块、冻土、有机物、带油土。分层夯实，每层≤200-300mm，压实指数≥0.96，每层确保回填密实度满足相关规范及使用要求。</w:t>
      </w:r>
    </w:p>
    <w:p w14:paraId="0EBD8D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7、管沟回填完成后，对施工区域地面、路面及周边设施进行原样恢复。</w:t>
      </w:r>
    </w:p>
    <w:p w14:paraId="578E44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8、管沟距离电力电缆≥1.0m，与燃气管≥1.5m，与建筑基础≥1.5-3.0m</w:t>
      </w:r>
    </w:p>
    <w:p w14:paraId="7C3343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9、供应商按照拆除图纸完成管沟开挖，垫层铺设、管道、土方回填、地面恢复等全部工作，确保施工尺寸、标高、坡度、深度及外观恢复均与拆除图纸一致。</w:t>
      </w:r>
    </w:p>
    <w:p w14:paraId="15D3FB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10、液氧站拆除与液氧罐设备安装施工需交叉穿插进行。施工顺序为：先由</w:t>
      </w:r>
      <w:r>
        <w:rPr>
          <w:rFonts w:hint="eastAsia" w:ascii="仿宋" w:hAnsi="仿宋" w:eastAsia="仿宋" w:cs="仿宋"/>
          <w:b w:val="0"/>
          <w:bCs w:val="0"/>
          <w:sz w:val="24"/>
          <w:szCs w:val="24"/>
          <w:highlight w:val="none"/>
          <w:lang w:val="en-US" w:eastAsia="zh-CN"/>
        </w:rPr>
        <w:t>供应商</w:t>
      </w:r>
      <w:r>
        <w:rPr>
          <w:rFonts w:hint="eastAsia" w:ascii="仿宋" w:hAnsi="仿宋" w:eastAsia="仿宋" w:cs="仿宋"/>
          <w:b w:val="0"/>
          <w:bCs w:val="0"/>
          <w:sz w:val="24"/>
          <w:szCs w:val="24"/>
          <w:lang w:val="en-US" w:eastAsia="zh-CN"/>
        </w:rPr>
        <w:t>完成管沟开挖等前期工作，待专用设备及管道敷设、安装到位并验收合格后，供应商方可再进行土方回填。严禁供应商以等待安装工期为由推诿、拖延或擅自回填，确保工序衔接紧密、责任清晰。</w:t>
      </w:r>
    </w:p>
    <w:p w14:paraId="6A0ADA5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三</w:t>
      </w:r>
      <w:r>
        <w:rPr>
          <w:rFonts w:hint="eastAsia" w:ascii="仿宋" w:hAnsi="仿宋" w:eastAsia="仿宋" w:cs="仿宋"/>
          <w:b/>
          <w:bCs/>
          <w:sz w:val="24"/>
          <w:szCs w:val="24"/>
          <w:lang w:eastAsia="zh-CN"/>
        </w:rPr>
        <w:t>）人员资质要求</w:t>
      </w:r>
    </w:p>
    <w:p w14:paraId="1401A2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特种作业人员：</w:t>
      </w:r>
    </w:p>
    <w:p w14:paraId="7284A9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本项目拟派特种作业人员焊工1名，需持有市场监督管理局颁布的《特种设备安全管理和作业人员证（金属焊接操作），电工1名，需要持有应急管理部门核发的《中华人民共和国特种作业操作证（低压电工作业）》。</w:t>
      </w:r>
    </w:p>
    <w:p w14:paraId="5E9B77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专职安全员：</w:t>
      </w:r>
    </w:p>
    <w:p w14:paraId="1ACF9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1.本项目拟派专职安全员1名，具备安全生产考核合格证书（C 证）；常驻现场，不可兼职</w:t>
      </w:r>
    </w:p>
    <w:p w14:paraId="12F094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项目负责人：</w:t>
      </w:r>
    </w:p>
    <w:p w14:paraId="4F8F77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拟派项目负责人须具备：</w:t>
      </w:r>
    </w:p>
    <w:p w14:paraId="5FAF9D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（1）机电工程专业二级及以上注册建造师（注册于本单位）；</w:t>
      </w:r>
    </w:p>
    <w:p w14:paraId="17E32D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 有效的安全生产考核合格证书（B 证）； </w:t>
      </w:r>
    </w:p>
    <w:p w14:paraId="16FB4C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（3）工程系列中级及以上职称（机械 / 电气 / 机电一体化等相关专业）；</w:t>
      </w:r>
    </w:p>
    <w:p w14:paraId="3BCC99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（4） 近 3 年至少 1 项医院液氧站 / 医用气体项目项目经理业绩； </w:t>
      </w:r>
    </w:p>
    <w:p w14:paraId="5067B9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（5）未担任其他在建工程项目经理，为本单位正式员工。</w:t>
      </w:r>
    </w:p>
    <w:p w14:paraId="24CF78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以上所有人员证书在有效期内且为本单位正式员工。</w:t>
      </w:r>
    </w:p>
    <w:p w14:paraId="655C39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w:t>
      </w:r>
      <w:r>
        <w:rPr>
          <w:rFonts w:ascii="宋体" w:hAnsi="宋体" w:eastAsia="宋体" w:cs="宋体"/>
          <w:b/>
          <w:bCs/>
          <w:sz w:val="24"/>
          <w:szCs w:val="24"/>
        </w:rPr>
        <w:t>报价包含范围及风险包干</w:t>
      </w:r>
    </w:p>
    <w:p w14:paraId="51F4F335">
      <w:pPr>
        <w:widowControl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本工程为</w:t>
      </w:r>
      <w:r>
        <w:rPr>
          <w:rFonts w:hint="eastAsia" w:ascii="仿宋" w:hAnsi="仿宋" w:eastAsia="仿宋" w:cs="仿宋"/>
          <w:kern w:val="2"/>
          <w:sz w:val="24"/>
          <w:szCs w:val="24"/>
          <w:lang w:val="en-US" w:eastAsia="zh-CN" w:bidi="ar"/>
        </w:rPr>
        <w:t>本项目采用包干价模式，供应商填报的综合单价及总报价，须包含本项目实施过程中所有可能产生的全部费用、各类潜在风险及隐性费用，具体包括但不限于</w:t>
      </w:r>
      <w:r>
        <w:rPr>
          <w:rFonts w:hint="eastAsia" w:ascii="仿宋" w:hAnsi="仿宋" w:eastAsia="仿宋" w:cs="仿宋"/>
          <w:sz w:val="24"/>
          <w:szCs w:val="24"/>
        </w:rPr>
        <w:t>所有现场踏勘、施工不利条件、医院管理要求、夜间施工、垃圾外运、食宿、各类潜在风险及隐性费用，</w:t>
      </w:r>
      <w:r>
        <w:rPr>
          <w:rFonts w:hint="eastAsia" w:ascii="仿宋" w:hAnsi="仿宋" w:eastAsia="仿宋" w:cs="仿宋"/>
          <w:b w:val="0"/>
          <w:bCs w:val="0"/>
          <w:sz w:val="24"/>
          <w:szCs w:val="24"/>
        </w:rPr>
        <w:t>全部包含在响应报价中，后期不再另行增费、不顺延工期</w:t>
      </w:r>
      <w:r>
        <w:rPr>
          <w:rFonts w:hint="eastAsia" w:ascii="仿宋" w:hAnsi="仿宋" w:eastAsia="仿宋" w:cs="仿宋"/>
          <w:sz w:val="24"/>
          <w:szCs w:val="24"/>
        </w:rPr>
        <w:t>。</w:t>
      </w:r>
    </w:p>
    <w:p w14:paraId="1FE34587">
      <w:pPr>
        <w:widowControl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总报价包含从项目实施到竣工验收、质量保期满需要的全部费用。供应商应根据国家、四川省、成都市的有关规定并结合企业的实际情况进行响应报价。响应报价是完成本采购文件规定的所有采购内容和要求的总费用。</w:t>
      </w:r>
    </w:p>
    <w:p w14:paraId="4D2866C8">
      <w:pPr>
        <w:widowControl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供应商的技术文件中或采购文件及所附采购拆除图纸、技术规范要求中有关的施工要求所产生的费用应包括在响应报价中，上述要求凡采购人提供的工程量清单特征描述中未列入的，由供应商在相应的分部分项工程量清单项目的综合单价中考虑，否则视同响应优惠，采购人不单独列项支付。综合单价在合同实施时间保持不变，不得以任何理由予以变更，并不因设计方案优化、劳务、材料、设备、机械等成本的价格变动而作任何调整。</w:t>
      </w:r>
    </w:p>
    <w:p w14:paraId="69FAC5AC">
      <w:pPr>
        <w:widowControl w:val="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4、公共费用（如交通、市容、环保、噪音、治安等费用）由供应商自行调研作为单项费用计入措施项目费中，否则视作优惠。</w:t>
      </w:r>
    </w:p>
    <w:p w14:paraId="71FBE858">
      <w:pPr>
        <w:keepNext w:val="0"/>
        <w:keepLines w:val="0"/>
        <w:widowControl w:val="0"/>
        <w:suppressLineNumbers w:val="0"/>
        <w:spacing w:line="360" w:lineRule="auto"/>
        <w:jc w:val="left"/>
        <w:rPr>
          <w:rFonts w:hint="eastAsia" w:ascii="仿宋" w:hAnsi="仿宋" w:eastAsia="仿宋" w:cs="仿宋"/>
          <w:sz w:val="24"/>
          <w:szCs w:val="24"/>
        </w:rPr>
      </w:pPr>
      <w:r>
        <w:rPr>
          <w:rFonts w:hint="eastAsia" w:ascii="仿宋" w:hAnsi="仿宋" w:eastAsia="仿宋" w:cs="仿宋"/>
          <w:b w:val="0"/>
          <w:bCs w:val="0"/>
          <w:sz w:val="24"/>
          <w:szCs w:val="24"/>
          <w:lang w:val="en-US" w:eastAsia="zh-CN"/>
        </w:rPr>
        <w:t>5、根据相关规范要求，部分材料设备须通过第三方检测，涉及到的检测、监测、质检费用由供应商在响应报价中综合考虑。</w:t>
      </w:r>
    </w:p>
    <w:p w14:paraId="5D8F38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w:t>
      </w:r>
      <w:r>
        <w:rPr>
          <w:rFonts w:hint="eastAsia" w:ascii="仿宋" w:hAnsi="仿宋" w:eastAsia="仿宋" w:cs="仿宋"/>
          <w:sz w:val="24"/>
          <w:szCs w:val="24"/>
          <w:lang w:val="en-US" w:eastAsia="zh-CN"/>
        </w:rPr>
        <w:t>、</w:t>
      </w:r>
      <w:r>
        <w:rPr>
          <w:rFonts w:hint="eastAsia" w:ascii="仿宋" w:hAnsi="仿宋" w:eastAsia="仿宋" w:cs="仿宋"/>
          <w:sz w:val="24"/>
          <w:szCs w:val="24"/>
        </w:rPr>
        <w:t>供应商应与采购人液氧站整体改造工程涉及的其他施工单位积极配合，保证液氧站整体改造工程顺利实施，如因本项目供应商原因导致液氧站整体改造进度</w:t>
      </w:r>
      <w:r>
        <w:rPr>
          <w:rFonts w:hint="eastAsia" w:ascii="仿宋" w:hAnsi="仿宋" w:eastAsia="仿宋" w:cs="仿宋"/>
          <w:sz w:val="24"/>
          <w:szCs w:val="24"/>
          <w:lang w:eastAsia="zh-CN"/>
        </w:rPr>
        <w:t>逾期</w:t>
      </w:r>
      <w:r>
        <w:rPr>
          <w:rFonts w:hint="eastAsia" w:ascii="仿宋" w:hAnsi="仿宋" w:eastAsia="仿宋" w:cs="仿宋"/>
          <w:sz w:val="24"/>
          <w:szCs w:val="24"/>
        </w:rPr>
        <w:t>，则每</w:t>
      </w:r>
      <w:r>
        <w:rPr>
          <w:rFonts w:hint="eastAsia" w:ascii="仿宋" w:hAnsi="仿宋" w:eastAsia="仿宋" w:cs="仿宋"/>
          <w:sz w:val="24"/>
          <w:szCs w:val="24"/>
          <w:lang w:eastAsia="zh-CN"/>
        </w:rPr>
        <w:t>逾期</w:t>
      </w:r>
      <w:r>
        <w:rPr>
          <w:rFonts w:hint="eastAsia" w:ascii="仿宋" w:hAnsi="仿宋" w:eastAsia="仿宋" w:cs="仿宋"/>
          <w:sz w:val="24"/>
          <w:szCs w:val="24"/>
        </w:rPr>
        <w:t>一天，供应商应支付本项目合同总金额的</w:t>
      </w:r>
      <w:r>
        <w:rPr>
          <w:rFonts w:hint="eastAsia" w:ascii="仿宋" w:hAnsi="仿宋" w:eastAsia="仿宋" w:cs="仿宋"/>
          <w:sz w:val="24"/>
          <w:szCs w:val="24"/>
          <w:lang w:eastAsia="zh-CN"/>
        </w:rPr>
        <w:t>3‰</w:t>
      </w:r>
      <w:r>
        <w:rPr>
          <w:rFonts w:hint="eastAsia" w:ascii="仿宋" w:hAnsi="仿宋" w:eastAsia="仿宋" w:cs="仿宋"/>
          <w:sz w:val="24"/>
          <w:szCs w:val="24"/>
        </w:rPr>
        <w:t>作为违约金。</w:t>
      </w:r>
    </w:p>
    <w:p w14:paraId="59C1CE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（五）安全和合规要求</w:t>
      </w:r>
    </w:p>
    <w:p w14:paraId="588D50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1、施工期间供应商须按照采购人安全管理规定，必须办理动火证，并配备专职安全员</w:t>
      </w:r>
    </w:p>
    <w:p w14:paraId="497A1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2、近3年无重大安全事故、无行政处罚、无失信记录。</w:t>
      </w:r>
    </w:p>
    <w:p w14:paraId="1A29BF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3、具备建筑垃圾清运及处置能力与合规路径。</w:t>
      </w:r>
    </w:p>
    <w:p w14:paraId="20E882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4、须购买工程一切险、第三者责任险、施工人员意外险。保险凭证交采购人备案，未投保不得开工。</w:t>
      </w:r>
    </w:p>
    <w:p w14:paraId="0EDB6D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5、因供应商违章作业、措施不到位、管理失职造成的人身伤亡、财产损失、第三方损害、行政处罚、工期延误，全部由中标人承担全部责任和经济赔偿，采购人不承担任何责任。</w:t>
      </w:r>
    </w:p>
    <w:p w14:paraId="0375E5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6、发生安全事故立即停止作业、启动预案、抢救伤员、保护现场，并第一时间报告采购人，不得瞒报、迟报、漏报。</w:t>
      </w:r>
    </w:p>
    <w:p w14:paraId="59C918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7、供应商是本拆除工程安全生产第一责任主体，对施工全过程安全、人员安全、设备安全、周边环境安全负全责。</w:t>
      </w:r>
    </w:p>
    <w:p w14:paraId="5366CB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8、采购人仅承担安全监督与交底责任，因供应商未执行方案、违章操作、无证上岗、防护缺失导致的一切后果，均由供应商独立承担。</w:t>
      </w:r>
    </w:p>
    <w:p w14:paraId="601976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9、施工期间供应商严格遵守采购人现场安全管理制度，服从统一管理，违规采购人有权责令停工、清场，费用与损失由供应商承担。</w:t>
      </w:r>
    </w:p>
    <w:p w14:paraId="73ADA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10、本工程供应商须制定充分、完整、详细的施工组织方案和计划，报监理、相关职能部门审核后开工，并编制应急预案一套。</w:t>
      </w:r>
    </w:p>
    <w:p w14:paraId="6432D0EE">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（六）工程量清单</w:t>
      </w:r>
      <w:r>
        <w:rPr>
          <w:rFonts w:hint="eastAsia" w:ascii="仿宋" w:hAnsi="仿宋" w:eastAsia="仿宋" w:cs="仿宋"/>
          <w:b/>
          <w:bCs/>
          <w:kern w:val="2"/>
          <w:sz w:val="24"/>
          <w:szCs w:val="24"/>
          <w:lang w:val="en-US" w:eastAsia="zh-CN" w:bidi="ar"/>
        </w:rPr>
        <w:t>编制及报价总体说明</w:t>
      </w:r>
    </w:p>
    <w:p w14:paraId="606CB1C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（1）工程量清单、造价清单、拆除图纸详见附件。</w:t>
      </w:r>
    </w:p>
    <w:p w14:paraId="7E69E41C">
      <w:pPr>
        <w:keepNext w:val="0"/>
        <w:keepLines w:val="0"/>
        <w:pageBreakBefore w:val="0"/>
        <w:widowControl w:val="0"/>
        <w:numPr>
          <w:ilvl w:val="-1"/>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（2）本项目按《建设工程工程量清单计价规范》（GB50500-2013）、《通用安装工程工程量计算规范》（GB50856—2013）、《房屋建筑与装饰工程工程量计算规范》（GB 50854-2013）方式报价，工程量按实结算。由供应商在文件提供的工程量清单和施工图基础上，结合现场特殊情况、图纸无法表达或未表明的局部细节等进行报价。编制和报价过程须考虑为达到拆除图纸表达的效果及需要的各项施工工艺、设备、材料、辅材辅料等，并填报综合单价和合价、按规定计取各项费用等。</w:t>
      </w:r>
    </w:p>
    <w:p w14:paraId="757B738D">
      <w:pPr>
        <w:spacing w:line="360" w:lineRule="auto"/>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
        </w:rPr>
        <w:t>（七）现场踏勘与风险提示</w:t>
      </w:r>
    </w:p>
    <w:p w14:paraId="3B5987C1">
      <w:pP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（1）供应商应先到工地踏勘以充分了解工地位置、情况、道路、储存空间、装卸限制及任何其它足以影响承包价的情况，任何因忽视或误解工地情况而导致的索赔或工期延长申请将不获批准。</w:t>
      </w:r>
    </w:p>
    <w:p w14:paraId="351F17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（2）供应商应充分考虑停电、停水、二次搬运、施工场地不足、成品保护、重大活动引起的中断施工等情况可能引起的费用和工期。</w:t>
      </w:r>
    </w:p>
    <w:p w14:paraId="2435085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八</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供应商</w:t>
      </w:r>
      <w:r>
        <w:rPr>
          <w:rFonts w:hint="eastAsia" w:ascii="仿宋" w:hAnsi="仿宋" w:eastAsia="仿宋" w:cs="仿宋"/>
          <w:b/>
          <w:bCs/>
          <w:kern w:val="2"/>
          <w:sz w:val="24"/>
          <w:szCs w:val="24"/>
          <w:lang w:val="en-US" w:eastAsia="zh-CN" w:bidi="ar"/>
        </w:rPr>
        <w:t>责任</w:t>
      </w:r>
    </w:p>
    <w:p w14:paraId="78DBA4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（1）本项目涉及各管理部门规定办理的各项许可、批准或备案，由供应商负责办理。</w:t>
      </w:r>
    </w:p>
    <w:p w14:paraId="7BD94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（2）供应商应完成施工范围内拆除后的现场建筑垃圾清除，结合现场实际情况，并对建筑垃圾进行清理和外运。医院内无暂时堆放垃圾地方，拆除后的垃圾应及时清运。</w:t>
      </w:r>
    </w:p>
    <w:p w14:paraId="729982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（3）现场部分设备需要保护性拆除，由采购人指定放置位置，费用包含在报价中。</w:t>
      </w:r>
    </w:p>
    <w:p w14:paraId="00595E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（4）如需要按采购人管理需要临时调整施工时间等，供应商必须配合，相关费用包含在报价中。</w:t>
      </w:r>
    </w:p>
    <w:p w14:paraId="41F3B1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（5）供应商在施工过程及搬运途中须做好现场的保护工作，如造成现有场地或设备的破坏，供应商无条件修复或赔偿，相关保护措施费用包含在报价中。</w:t>
      </w:r>
    </w:p>
    <w:p w14:paraId="6888AE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（6）接受采购人保卫部门的安全管理规定，材料的进出方案、交通组织方案不得影响采购人的正常工作。</w:t>
      </w:r>
    </w:p>
    <w:p w14:paraId="673FDC6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
        </w:rPr>
        <w:t>（九）施工现场管理要求</w:t>
      </w:r>
    </w:p>
    <w:p w14:paraId="11847B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（1）供应商需满足《建设工程施工现场消防安全技术规范》（GB50720-2011）及采购人现场管理的要求，费用包含在报价中。</w:t>
      </w:r>
    </w:p>
    <w:p w14:paraId="352326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（2）施工时需要符合院感要求，验收环节符合院感要求，相关措施费考虑在报价中。</w:t>
      </w:r>
    </w:p>
    <w:p w14:paraId="698B0B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（3）做好安全巡查、施工动火及落实“六必须”。</w:t>
      </w:r>
    </w:p>
    <w:p w14:paraId="00D942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（4）每日施工完毕后做好施工现场的卫生，要求垃圾日清。</w:t>
      </w:r>
    </w:p>
    <w:p w14:paraId="5810D94A">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仿宋" w:cs="Times New Roman"/>
          <w:sz w:val="24"/>
          <w:szCs w:val="24"/>
        </w:rPr>
      </w:pPr>
      <w:r>
        <w:rPr>
          <w:rFonts w:hint="eastAsia" w:ascii="仿宋" w:hAnsi="仿宋" w:eastAsia="仿宋" w:cs="仿宋"/>
          <w:b w:val="0"/>
          <w:bCs w:val="0"/>
          <w:sz w:val="24"/>
          <w:szCs w:val="24"/>
          <w:lang w:val="en-US" w:eastAsia="zh-CN"/>
        </w:rPr>
        <w:t>（5）拟派安全员要求到位率100%。</w:t>
      </w:r>
      <w:r>
        <w:rPr>
          <w:rFonts w:hint="eastAsia" w:ascii="仿宋" w:hAnsi="仿宋" w:eastAsia="仿宋" w:cs="仿宋"/>
          <w:b w:val="0"/>
          <w:bCs w:val="0"/>
          <w:sz w:val="24"/>
          <w:szCs w:val="24"/>
          <w:lang w:val="en-US" w:eastAsia="zh-CN"/>
        </w:rPr>
        <w:cr/>
      </w:r>
      <w:r>
        <w:rPr>
          <w:rFonts w:ascii="Times New Roman" w:hAnsi="Times New Roman" w:eastAsia="仿宋" w:cs="Times New Roman"/>
          <w:b/>
          <w:bCs/>
          <w:sz w:val="24"/>
          <w:szCs w:val="24"/>
        </w:rPr>
        <w:t>四、</w:t>
      </w:r>
      <w:r>
        <w:rPr>
          <w:rFonts w:hint="default" w:ascii="方正仿宋_GB2312" w:hAnsi="方正仿宋_GB2312" w:eastAsia="方正仿宋_GB2312" w:cs="方正仿宋_GB2312"/>
          <w:color w:val="0D0D0D"/>
          <w:kern w:val="2"/>
          <w:sz w:val="31"/>
          <w:szCs w:val="31"/>
        </w:rPr>
        <w:t>★</w:t>
      </w:r>
      <w:r>
        <w:rPr>
          <w:rFonts w:ascii="Times New Roman" w:hAnsi="Times New Roman" w:eastAsia="仿宋" w:cs="Times New Roman"/>
          <w:b/>
          <w:bCs/>
          <w:sz w:val="24"/>
          <w:szCs w:val="24"/>
        </w:rPr>
        <w:t>商务要求：</w:t>
      </w:r>
    </w:p>
    <w:p w14:paraId="58938C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1、工程款结算方式：</w:t>
      </w:r>
    </w:p>
    <w:p w14:paraId="7F22FE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工程款结算方式：项目完工并完成初步验收合格后，采购人向供应商支付至合同总价的 90%。供应商须在验收合格后 5 日内开具对应金额合规发票，并提交全套验收资料、竣工结算资料。采购人收到完整资料后开展竣工结算审计，最终结算金额以审计审定结果为准；若审计审定金额超出合同总价，按合同总价作为支付上限。审计工作完成后，采购人在 22 个工作日内支付剩余款项，累计支付总额不超过合同签约总价。</w:t>
      </w:r>
    </w:p>
    <w:p w14:paraId="50104D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2、计划开工时间：合同签订生效后，供应商5日内提交施工方案，采购人审核同意后开工。</w:t>
      </w:r>
    </w:p>
    <w:p w14:paraId="2EA52B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3、计划工期：自开工令载明的开工之日起 60 日历天内。</w:t>
      </w:r>
    </w:p>
    <w:p w14:paraId="124504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4、质量保证金要求：</w:t>
      </w:r>
    </w:p>
    <w:p w14:paraId="4E7824DC">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提交金额：工程总价金额的3%； </w:t>
      </w:r>
    </w:p>
    <w:p w14:paraId="29F84B6A">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提交时间：验收合格后5个工作日内 </w:t>
      </w:r>
    </w:p>
    <w:p w14:paraId="03D5C779">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缴纳方式：以网银转账、支票、汇票、本票，金融机构或担保机构出具的保函、保险等非现金方式缴纳</w:t>
      </w:r>
    </w:p>
    <w:p w14:paraId="37E18D8D">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退还时间及方式：</w:t>
      </w:r>
      <w:r>
        <w:rPr>
          <w:rFonts w:hint="eastAsia" w:ascii="仿宋" w:hAnsi="仿宋" w:eastAsia="仿宋" w:cs="仿宋"/>
          <w:b w:val="0"/>
          <w:bCs w:val="0"/>
          <w:sz w:val="24"/>
          <w:szCs w:val="24"/>
          <w:highlight w:val="none"/>
          <w:lang w:val="en-US" w:eastAsia="zh-CN"/>
        </w:rPr>
        <w:t>缺陷责任期满，</w:t>
      </w:r>
      <w:r>
        <w:rPr>
          <w:rFonts w:hint="eastAsia" w:ascii="仿宋" w:hAnsi="仿宋" w:eastAsia="仿宋" w:cs="仿宋"/>
          <w:b w:val="0"/>
          <w:bCs w:val="0"/>
          <w:sz w:val="24"/>
          <w:szCs w:val="24"/>
          <w:lang w:val="en-US" w:eastAsia="zh-CN"/>
        </w:rPr>
        <w:t>经采购人确认无</w:t>
      </w:r>
      <w:bookmarkStart w:id="339" w:name="_GoBack"/>
      <w:bookmarkEnd w:id="339"/>
      <w:r>
        <w:rPr>
          <w:rFonts w:hint="eastAsia" w:ascii="仿宋" w:hAnsi="仿宋" w:eastAsia="仿宋" w:cs="仿宋"/>
          <w:b w:val="0"/>
          <w:bCs w:val="0"/>
          <w:sz w:val="24"/>
          <w:szCs w:val="24"/>
          <w:lang w:val="en-US" w:eastAsia="zh-CN"/>
        </w:rPr>
        <w:t>质量问题，采购人接到供应商退款申请后30个工作日内一次性无息退还质量保证金。</w:t>
      </w:r>
    </w:p>
    <w:p w14:paraId="3400374B">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工程保修</w:t>
      </w:r>
      <w:r>
        <w:rPr>
          <w:rFonts w:hint="eastAsia" w:ascii="仿宋" w:hAnsi="仿宋" w:eastAsia="仿宋" w:cs="仿宋"/>
          <w:b w:val="0"/>
          <w:bCs w:val="0"/>
          <w:sz w:val="24"/>
          <w:szCs w:val="24"/>
          <w:highlight w:val="none"/>
          <w:lang w:val="en-US" w:eastAsia="zh-CN"/>
        </w:rPr>
        <w:t>期：</w:t>
      </w:r>
      <w:r>
        <w:rPr>
          <w:rFonts w:hint="eastAsia" w:ascii="仿宋" w:hAnsi="仿宋" w:eastAsia="仿宋" w:cs="仿宋"/>
          <w:sz w:val="24"/>
          <w:szCs w:val="24"/>
          <w:highlight w:val="none"/>
        </w:rPr>
        <w:t>本工程保修期</w:t>
      </w:r>
      <w:r>
        <w:rPr>
          <w:rFonts w:hint="eastAsia" w:ascii="仿宋" w:hAnsi="仿宋" w:eastAsia="仿宋" w:cs="仿宋"/>
          <w:b w:val="0"/>
          <w:bCs w:val="0"/>
          <w:sz w:val="24"/>
          <w:szCs w:val="24"/>
          <w:highlight w:val="none"/>
        </w:rPr>
        <w:t>不低于 2 年</w:t>
      </w:r>
      <w:r>
        <w:rPr>
          <w:rFonts w:hint="eastAsia" w:ascii="仿宋" w:hAnsi="仿宋" w:eastAsia="仿宋" w:cs="仿宋"/>
          <w:sz w:val="24"/>
          <w:szCs w:val="24"/>
          <w:highlight w:val="none"/>
        </w:rPr>
        <w:t>，工程质量保修范围、期限及责任具体详见附件《工程质量保修书》。</w:t>
      </w:r>
    </w:p>
    <w:p w14:paraId="3D9D459E">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工程地点：四川省人民医院青羊院区</w:t>
      </w:r>
    </w:p>
    <w:p w14:paraId="30945A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7、验收方案：</w:t>
      </w:r>
    </w:p>
    <w:p w14:paraId="64CA4B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(1)验收时间：</w:t>
      </w:r>
      <w:r>
        <w:rPr>
          <w:rFonts w:hint="eastAsia" w:ascii="仿宋" w:hAnsi="仿宋" w:eastAsia="仿宋" w:cs="仿宋"/>
          <w:b w:val="0"/>
          <w:bCs w:val="0"/>
          <w:sz w:val="24"/>
          <w:szCs w:val="24"/>
          <w:lang w:val="en-US" w:eastAsia="zh-CN"/>
        </w:rPr>
        <w:t>本项目完工后7日内供应商向采购人提交书面验收申请及完整的竣工资料，经监理单位审核确认具备验收条件后，采购人在收到审核意见后5个工作日内组织监理单位、供应商共同进行验收，验收合格的，签署《工程竣工验收报告》；</w:t>
      </w:r>
    </w:p>
    <w:p w14:paraId="23D55B8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(2)验收主体：采购人；</w:t>
      </w:r>
    </w:p>
    <w:p w14:paraId="64EB06E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(3)验收方式：现场整体验收；</w:t>
      </w:r>
    </w:p>
    <w:p w14:paraId="60D9DFC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(4)验收程序：一次性验收；</w:t>
      </w:r>
    </w:p>
    <w:p w14:paraId="6D1EF9C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(5)验收内容</w:t>
      </w:r>
      <w:r>
        <w:rPr>
          <w:rFonts w:hint="eastAsia" w:ascii="仿宋" w:hAnsi="仿宋" w:eastAsia="仿宋" w:cs="仿宋"/>
          <w:b w:val="0"/>
          <w:bCs w:val="0"/>
          <w:sz w:val="24"/>
          <w:szCs w:val="24"/>
          <w:lang w:val="en-US" w:eastAsia="zh-CN"/>
        </w:rPr>
        <w:t>：按照基于本项目采购需求编制的采购文件要求及供应商响应文件情况，由供应商向采购人交付全部工程的履约情况</w:t>
      </w:r>
      <w:r>
        <w:rPr>
          <w:rFonts w:hint="default" w:ascii="仿宋" w:hAnsi="仿宋" w:eastAsia="仿宋" w:cs="仿宋"/>
          <w:b w:val="0"/>
          <w:bCs w:val="0"/>
          <w:sz w:val="24"/>
          <w:szCs w:val="24"/>
          <w:lang w:val="en-US" w:eastAsia="zh-CN"/>
        </w:rPr>
        <w:t>；</w:t>
      </w:r>
    </w:p>
    <w:p w14:paraId="4BC1A22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(6)验收组织方式：自行验收；</w:t>
      </w:r>
    </w:p>
    <w:p w14:paraId="2EBF2DD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(7)是否邀请本项目的其它供应商:否;</w:t>
      </w:r>
    </w:p>
    <w:p w14:paraId="143FCA2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(8)是否邀请专家：否；</w:t>
      </w:r>
    </w:p>
    <w:p w14:paraId="414829D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(9)是否邀请服务对象：否；</w:t>
      </w:r>
    </w:p>
    <w:p w14:paraId="4579CB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(10)是否邀请第三方检测机构:否</w:t>
      </w:r>
    </w:p>
    <w:p w14:paraId="383818C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(11)验收标准：</w:t>
      </w:r>
    </w:p>
    <w:p w14:paraId="3BC0449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1)国家相关法律法规、行业标准、技术规范。</w:t>
      </w:r>
    </w:p>
    <w:p w14:paraId="0FD9D2F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2)基于本项目采购需求编制的采购文件相关技术、服务要求、供应商响应文件相关响应内容。</w:t>
      </w:r>
    </w:p>
    <w:p w14:paraId="6CCE253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3)产品生产厂家出具的产品说明书、技术白皮书、医疗器械注册证或备案凭证等官方技术资料（如涉及）。</w:t>
      </w:r>
    </w:p>
    <w:p w14:paraId="302DC5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2DE468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5).按照《财政部关于进一步加强政府采购需求和履约验收管理的指导意见》（财库〔2016〕205号）的要求进行验收。（如本项目不涉及政府采购，将参照此条款）。</w:t>
      </w:r>
    </w:p>
    <w:p w14:paraId="519A199F">
      <w:pPr>
        <w:keepNext w:val="0"/>
        <w:keepLines w:val="0"/>
        <w:pageBreakBefore w:val="0"/>
        <w:widowControl w:val="0"/>
        <w:numPr>
          <w:ilvl w:val="-1"/>
          <w:numId w:val="0"/>
        </w:numPr>
        <w:kinsoku/>
        <w:wordWrap/>
        <w:overflowPunct/>
        <w:topLinePunct w:val="0"/>
        <w:autoSpaceDE/>
        <w:autoSpaceDN/>
        <w:bidi w:val="0"/>
        <w:adjustRightInd/>
        <w:snapToGrid/>
        <w:spacing w:line="360" w:lineRule="auto"/>
        <w:ind w:left="0" w:firstLine="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6）其他要求：无。</w:t>
      </w:r>
    </w:p>
    <w:p w14:paraId="132024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（12）履约验收其它事项：无。</w:t>
      </w:r>
    </w:p>
    <w:p w14:paraId="1127309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8、缺陷责任期：</w:t>
      </w:r>
      <w:r>
        <w:rPr>
          <w:rFonts w:hint="eastAsia" w:ascii="仿宋" w:hAnsi="仿宋" w:eastAsia="仿宋" w:cs="仿宋"/>
          <w:sz w:val="24"/>
          <w:szCs w:val="24"/>
          <w:lang w:val="en-US" w:eastAsia="zh-CN"/>
        </w:rPr>
        <w:t>1年</w:t>
      </w:r>
    </w:p>
    <w:p w14:paraId="15A42D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五、其他要求</w:t>
      </w:r>
    </w:p>
    <w:p w14:paraId="308757F0">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1.供应商需针对本项目提供施工组织方案，包括但不限于施工组织部署与技术措施、质量管理体系及保证措施、环境保护管理体系与措施、工期保障等。</w:t>
      </w:r>
    </w:p>
    <w:p w14:paraId="5C0D59BF">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2.供应商需针对本项目提供文明施工与安全管理体系与措施方案，包括但不限于①安全风险点识别、②安全控制点管控、③防控措施及文明施工。</w:t>
      </w:r>
    </w:p>
    <w:p w14:paraId="77C77EAC">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3.业绩要求：供应商提供自2023年1月1日以来须独立完成过1项及以上类似项目业绩（类似项目业绩是指：液氧站/医用液氧站/低温气体站</w:t>
      </w:r>
      <w:r>
        <w:rPr>
          <w:rFonts w:hint="default" w:ascii="仿宋" w:hAnsi="仿宋" w:eastAsia="仿宋" w:cs="仿宋"/>
          <w:sz w:val="24"/>
          <w:szCs w:val="24"/>
          <w:lang w:val="en-US" w:eastAsia="zh-CN"/>
        </w:rPr>
        <w:t>新建、拆除或改造工程</w:t>
      </w:r>
      <w:r>
        <w:rPr>
          <w:rFonts w:hint="default" w:ascii="仿宋" w:hAnsi="仿宋" w:eastAsia="仿宋" w:cs="仿宋"/>
          <w:b w:val="0"/>
          <w:bCs w:val="0"/>
          <w:sz w:val="24"/>
          <w:szCs w:val="24"/>
          <w:lang w:val="en-US" w:eastAsia="zh-CN"/>
        </w:rPr>
        <w:t>），提供业绩证明材料包含合同。</w:t>
      </w:r>
    </w:p>
    <w:p w14:paraId="1AC08046">
      <w:pPr>
        <w:spacing w:line="360" w:lineRule="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4.技术负责人：1名，具备中级及以上工程师职称（化工机械、机电工程相关专业），提供职称证明材料。</w:t>
      </w:r>
    </w:p>
    <w:p w14:paraId="0EABE8B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5.专职安全员：特种设备安全管理证（A）</w:t>
      </w:r>
      <w:r>
        <w:rPr>
          <w:rFonts w:hint="eastAsia" w:ascii="仿宋" w:hAnsi="仿宋" w:eastAsia="仿宋" w:cs="仿宋"/>
          <w:b w:val="0"/>
          <w:bCs w:val="0"/>
          <w:sz w:val="24"/>
          <w:szCs w:val="24"/>
          <w:lang w:val="en-US" w:eastAsia="zh-CN"/>
        </w:rPr>
        <w:t>。</w:t>
      </w:r>
    </w:p>
    <w:p w14:paraId="2E8134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6.拟派现场技术人员：特种设备作业人员证（R1）。</w:t>
      </w:r>
    </w:p>
    <w:p w14:paraId="728B569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color w:val="auto"/>
          <w:sz w:val="24"/>
          <w:szCs w:val="24"/>
          <w:highlight w:val="none"/>
          <w:lang w:val="en-US" w:eastAsia="zh-CN"/>
        </w:rPr>
        <w:t>以上所有人员为本单位正式员工。</w:t>
      </w:r>
    </w:p>
    <w:p w14:paraId="2BA602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注</w:t>
      </w:r>
      <w:r>
        <w:rPr>
          <w:rFonts w:ascii="Times New Roman" w:hAnsi="Times New Roman" w:eastAsia="仿宋" w:cs="Times New Roman"/>
          <w:sz w:val="24"/>
          <w:szCs w:val="24"/>
        </w:rPr>
        <w:t>：本章中带“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7D6B5D73">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29DFF5B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0FE2E259">
      <w:pPr>
        <w:rPr>
          <w:lang w:val="zh-CN"/>
        </w:rPr>
      </w:pPr>
    </w:p>
    <w:tbl>
      <w:tblPr>
        <w:tblStyle w:val="19"/>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084"/>
        <w:gridCol w:w="5201"/>
        <w:gridCol w:w="1570"/>
      </w:tblGrid>
      <w:tr w14:paraId="56C5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70DF78BA">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tc>
        <w:tc>
          <w:tcPr>
            <w:tcW w:w="1084" w:type="dxa"/>
            <w:tcBorders>
              <w:top w:val="single" w:color="auto" w:sz="4" w:space="0"/>
              <w:left w:val="single" w:color="auto" w:sz="4" w:space="0"/>
              <w:bottom w:val="single" w:color="auto" w:sz="4" w:space="0"/>
              <w:right w:val="single" w:color="auto" w:sz="4" w:space="0"/>
            </w:tcBorders>
            <w:noWrap/>
            <w:vAlign w:val="center"/>
          </w:tcPr>
          <w:p w14:paraId="3FB0B783">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30</w:t>
            </w:r>
          </w:p>
        </w:tc>
        <w:tc>
          <w:tcPr>
            <w:tcW w:w="5201" w:type="dxa"/>
            <w:tcBorders>
              <w:top w:val="single" w:color="auto" w:sz="4" w:space="0"/>
              <w:left w:val="single" w:color="auto" w:sz="4" w:space="0"/>
              <w:bottom w:val="single" w:color="auto" w:sz="4" w:space="0"/>
              <w:right w:val="single" w:color="auto" w:sz="4" w:space="0"/>
            </w:tcBorders>
            <w:noWrap/>
            <w:vAlign w:val="center"/>
          </w:tcPr>
          <w:p w14:paraId="0D576C2A">
            <w:pPr>
              <w:pStyle w:val="8"/>
              <w:keepNext w:val="0"/>
              <w:keepLines w:val="0"/>
              <w:pageBreakBefore w:val="0"/>
              <w:kinsoku/>
              <w:wordWrap/>
              <w:overflowPunct/>
              <w:topLinePunct w:val="0"/>
              <w:autoSpaceDE/>
              <w:autoSpaceDN/>
              <w:bidi w:val="0"/>
              <w:adjustRightInd/>
              <w:snapToGrid/>
              <w:spacing w:after="0" w:line="360" w:lineRule="auto"/>
              <w:textAlignment w:val="auto"/>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rPr>
              <w:t>满足谈判文件要求且响应价格最低的响应报价为评审基准价，其价格分为满分，响应报价得分=(评审基准价/响应报价)x</w:t>
            </w:r>
            <w:r>
              <w:rPr>
                <w:rFonts w:hint="eastAsia" w:ascii="仿宋" w:hAnsi="仿宋" w:eastAsia="仿宋" w:cs="仿宋"/>
                <w:bCs/>
                <w:kern w:val="2"/>
                <w:sz w:val="24"/>
                <w:szCs w:val="24"/>
                <w:highlight w:val="none"/>
                <w:lang w:val="en-US" w:eastAsia="zh-CN"/>
              </w:rPr>
              <w:t>30</w:t>
            </w:r>
            <w:r>
              <w:rPr>
                <w:rFonts w:hint="eastAsia" w:ascii="仿宋" w:hAnsi="仿宋" w:eastAsia="仿宋" w:cs="仿宋"/>
                <w:bCs/>
                <w:kern w:val="2"/>
                <w:sz w:val="24"/>
                <w:szCs w:val="24"/>
                <w:highlight w:val="none"/>
              </w:rPr>
              <w:t>。</w:t>
            </w:r>
          </w:p>
          <w:p w14:paraId="4494F705">
            <w:pPr>
              <w:pStyle w:val="8"/>
              <w:rPr>
                <w:rFonts w:hint="eastAsia" w:ascii="仿宋" w:hAnsi="仿宋" w:eastAsia="仿宋" w:cs="仿宋"/>
                <w:sz w:val="24"/>
                <w:szCs w:val="24"/>
                <w:highlight w:val="none"/>
                <w:lang w:eastAsia="zh-CN"/>
              </w:rPr>
            </w:pPr>
            <w:r>
              <w:rPr>
                <w:rFonts w:hint="eastAsia" w:ascii="仿宋" w:hAnsi="仿宋" w:eastAsia="仿宋" w:cs="仿宋"/>
                <w:bCs/>
                <w:kern w:val="2"/>
                <w:sz w:val="24"/>
                <w:szCs w:val="24"/>
                <w:highlight w:val="none"/>
              </w:rPr>
              <w:t>注:得分保留小数点后两位小数，四舍五入。</w:t>
            </w:r>
          </w:p>
        </w:tc>
        <w:tc>
          <w:tcPr>
            <w:tcW w:w="1570" w:type="dxa"/>
            <w:tcBorders>
              <w:top w:val="single" w:color="auto" w:sz="4" w:space="0"/>
              <w:left w:val="single" w:color="auto" w:sz="4" w:space="0"/>
              <w:bottom w:val="single" w:color="auto" w:sz="4" w:space="0"/>
              <w:right w:val="single" w:color="auto" w:sz="4" w:space="0"/>
            </w:tcBorders>
            <w:noWrap/>
            <w:vAlign w:val="center"/>
          </w:tcPr>
          <w:p w14:paraId="2F202940">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报价单</w:t>
            </w:r>
          </w:p>
        </w:tc>
      </w:tr>
      <w:tr w14:paraId="5A10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0ECBA476">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文明施工与安全管理体系与措施方案</w:t>
            </w:r>
          </w:p>
        </w:tc>
        <w:tc>
          <w:tcPr>
            <w:tcW w:w="1084" w:type="dxa"/>
            <w:tcBorders>
              <w:top w:val="single" w:color="auto" w:sz="4" w:space="0"/>
              <w:left w:val="single" w:color="auto" w:sz="4" w:space="0"/>
              <w:bottom w:val="single" w:color="auto" w:sz="4" w:space="0"/>
              <w:right w:val="single" w:color="auto" w:sz="4" w:space="0"/>
            </w:tcBorders>
            <w:noWrap/>
            <w:vAlign w:val="center"/>
          </w:tcPr>
          <w:p w14:paraId="7C44F7A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5201" w:type="dxa"/>
            <w:tcBorders>
              <w:top w:val="single" w:color="auto" w:sz="4" w:space="0"/>
              <w:left w:val="single" w:color="auto" w:sz="4" w:space="0"/>
              <w:bottom w:val="single" w:color="auto" w:sz="4" w:space="0"/>
              <w:right w:val="single" w:color="auto" w:sz="4" w:space="0"/>
            </w:tcBorders>
            <w:noWrap/>
            <w:vAlign w:val="center"/>
          </w:tcPr>
          <w:p w14:paraId="7C5CEC40">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0"/>
              <w:jc w:val="left"/>
              <w:textAlignment w:val="auto"/>
              <w:rPr>
                <w:rFonts w:hint="default" w:ascii="仿宋" w:hAnsi="仿宋" w:eastAsia="仿宋" w:cs="仿宋"/>
                <w:b w:val="0"/>
                <w:bCs/>
                <w:sz w:val="24"/>
                <w:szCs w:val="24"/>
                <w:highlight w:val="none"/>
                <w:lang w:val="en-US" w:eastAsia="zh-CN"/>
              </w:rPr>
            </w:pPr>
            <w:r>
              <w:rPr>
                <w:rFonts w:hint="eastAsia" w:ascii="仿宋" w:hAnsi="仿宋" w:eastAsia="仿宋" w:cs="仿宋"/>
                <w:bCs/>
                <w:i w:val="0"/>
                <w:iCs w:val="0"/>
                <w:caps w:val="0"/>
                <w:spacing w:val="0"/>
                <w:kern w:val="2"/>
                <w:sz w:val="24"/>
                <w:szCs w:val="24"/>
                <w:highlight w:val="none"/>
                <w:lang w:val="en-US" w:eastAsia="zh-CN" w:bidi="ar-SA"/>
              </w:rPr>
              <w:t>供应商需针对本项目提供</w:t>
            </w:r>
            <w:r>
              <w:rPr>
                <w:rFonts w:hint="eastAsia" w:ascii="仿宋" w:hAnsi="仿宋" w:eastAsia="仿宋" w:cs="仿宋"/>
                <w:bCs/>
                <w:sz w:val="24"/>
                <w:szCs w:val="24"/>
                <w:highlight w:val="none"/>
                <w:lang w:val="en-US" w:eastAsia="zh-CN"/>
              </w:rPr>
              <w:t>文明施</w:t>
            </w:r>
            <w:r>
              <w:rPr>
                <w:rFonts w:hint="eastAsia" w:ascii="仿宋" w:hAnsi="仿宋" w:eastAsia="仿宋" w:cs="仿宋"/>
                <w:sz w:val="24"/>
                <w:szCs w:val="24"/>
                <w:highlight w:val="none"/>
                <w:lang w:val="en-US" w:eastAsia="zh-CN"/>
              </w:rPr>
              <w:t>工与安全管理体系与措施方案，</w:t>
            </w:r>
            <w:r>
              <w:rPr>
                <w:rFonts w:hint="eastAsia" w:ascii="仿宋" w:hAnsi="仿宋" w:eastAsia="仿宋" w:cs="仿宋"/>
                <w:b w:val="0"/>
                <w:bCs/>
                <w:sz w:val="24"/>
                <w:szCs w:val="24"/>
                <w:highlight w:val="none"/>
                <w:lang w:val="en-US" w:eastAsia="zh-CN"/>
              </w:rPr>
              <w:t>包括但不限于①安全风险点识别、</w:t>
            </w:r>
            <w:r>
              <w:rPr>
                <w:rFonts w:hint="eastAsia" w:ascii="仿宋" w:hAnsi="仿宋" w:eastAsia="仿宋" w:cs="仿宋"/>
                <w:b w:val="0"/>
                <w:bCs w:val="0"/>
                <w:sz w:val="24"/>
                <w:szCs w:val="24"/>
                <w:lang w:val="en-US" w:eastAsia="zh-CN"/>
              </w:rPr>
              <w:t>②安全控制点管控、③防控措施及文明施工。保障内</w:t>
            </w:r>
            <w:r>
              <w:rPr>
                <w:rFonts w:hint="eastAsia" w:ascii="仿宋" w:hAnsi="仿宋" w:eastAsia="仿宋" w:cs="仿宋"/>
                <w:b w:val="0"/>
                <w:bCs/>
                <w:sz w:val="24"/>
                <w:szCs w:val="24"/>
                <w:highlight w:val="none"/>
                <w:lang w:val="en-US" w:eastAsia="zh-CN"/>
              </w:rPr>
              <w:t>容完整，符合本项目实际需求得3分；每缺少一项扣1分；每有一处错误的扣0.5分，以上扣分累计扣完为止。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1DF19B5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7A6B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5B95D362">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施工组织方案</w:t>
            </w:r>
          </w:p>
        </w:tc>
        <w:tc>
          <w:tcPr>
            <w:tcW w:w="1084" w:type="dxa"/>
            <w:tcBorders>
              <w:top w:val="single" w:color="auto" w:sz="4" w:space="0"/>
              <w:left w:val="single" w:color="auto" w:sz="4" w:space="0"/>
              <w:bottom w:val="single" w:color="auto" w:sz="4" w:space="0"/>
              <w:right w:val="single" w:color="auto" w:sz="4" w:space="0"/>
            </w:tcBorders>
            <w:noWrap/>
            <w:vAlign w:val="center"/>
          </w:tcPr>
          <w:p w14:paraId="3DC5C1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5201" w:type="dxa"/>
            <w:tcBorders>
              <w:top w:val="single" w:color="auto" w:sz="4" w:space="0"/>
              <w:left w:val="single" w:color="auto" w:sz="4" w:space="0"/>
              <w:bottom w:val="single" w:color="auto" w:sz="4" w:space="0"/>
              <w:right w:val="single" w:color="auto" w:sz="4" w:space="0"/>
            </w:tcBorders>
            <w:noWrap/>
            <w:vAlign w:val="center"/>
          </w:tcPr>
          <w:p w14:paraId="279DCEAF">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0"/>
              <w:jc w:val="left"/>
              <w:textAlignment w:val="auto"/>
              <w:rPr>
                <w:rFonts w:hint="eastAsia" w:ascii="仿宋" w:hAnsi="仿宋" w:eastAsia="仿宋" w:cs="仿宋"/>
                <w:sz w:val="24"/>
                <w:szCs w:val="24"/>
                <w:highlight w:val="none"/>
                <w:lang w:eastAsia="zh-CN"/>
              </w:rPr>
            </w:pPr>
            <w:r>
              <w:rPr>
                <w:rFonts w:hint="eastAsia" w:ascii="仿宋" w:hAnsi="仿宋" w:eastAsia="仿宋" w:cs="仿宋"/>
                <w:b w:val="0"/>
                <w:bCs w:val="0"/>
                <w:sz w:val="24"/>
                <w:szCs w:val="24"/>
                <w:highlight w:val="none"/>
                <w:lang w:val="en-US" w:eastAsia="zh-CN"/>
              </w:rPr>
              <w:t>供应商需针对本项目提供施工组织方案，包括但不限于①</w:t>
            </w:r>
            <w:r>
              <w:rPr>
                <w:rFonts w:hint="eastAsia" w:ascii="仿宋" w:hAnsi="仿宋" w:eastAsia="仿宋" w:cs="仿宋"/>
                <w:sz w:val="24"/>
                <w:szCs w:val="24"/>
                <w:highlight w:val="none"/>
                <w:lang w:val="en-US" w:eastAsia="zh-CN"/>
              </w:rPr>
              <w:t>施工组织部署与技术措施、</w:t>
            </w:r>
            <w:r>
              <w:rPr>
                <w:rFonts w:hint="eastAsia" w:ascii="仿宋" w:hAnsi="仿宋" w:eastAsia="仿宋" w:cs="仿宋"/>
                <w:b w:val="0"/>
                <w:bCs w:val="0"/>
                <w:sz w:val="24"/>
                <w:szCs w:val="24"/>
                <w:highlight w:val="none"/>
                <w:lang w:val="en-US" w:eastAsia="zh-CN"/>
              </w:rPr>
              <w:t>②</w:t>
            </w:r>
            <w:r>
              <w:rPr>
                <w:rFonts w:hint="eastAsia" w:ascii="仿宋" w:hAnsi="仿宋" w:eastAsia="仿宋" w:cs="仿宋"/>
                <w:sz w:val="24"/>
                <w:szCs w:val="24"/>
                <w:highlight w:val="none"/>
                <w:lang w:val="en-US" w:eastAsia="zh-CN"/>
              </w:rPr>
              <w:t>质量管理体系及保证措施、</w:t>
            </w:r>
            <w:r>
              <w:rPr>
                <w:rFonts w:hint="eastAsia" w:ascii="仿宋" w:hAnsi="仿宋" w:eastAsia="仿宋" w:cs="仿宋"/>
                <w:b w:val="0"/>
                <w:bCs w:val="0"/>
                <w:sz w:val="24"/>
                <w:szCs w:val="24"/>
                <w:highlight w:val="none"/>
                <w:lang w:val="en-US" w:eastAsia="zh-CN"/>
              </w:rPr>
              <w:t>③</w:t>
            </w:r>
            <w:r>
              <w:rPr>
                <w:rFonts w:hint="eastAsia" w:ascii="仿宋" w:hAnsi="仿宋" w:eastAsia="仿宋" w:cs="仿宋"/>
                <w:sz w:val="24"/>
                <w:szCs w:val="24"/>
                <w:highlight w:val="none"/>
                <w:lang w:val="en-US" w:eastAsia="zh-CN"/>
              </w:rPr>
              <w:t>环境保护管理体系与措施、</w:t>
            </w:r>
            <w:r>
              <w:rPr>
                <w:rFonts w:hint="eastAsia" w:ascii="仿宋" w:hAnsi="仿宋" w:eastAsia="仿宋" w:cs="仿宋"/>
                <w:b w:val="0"/>
                <w:bCs w:val="0"/>
                <w:sz w:val="24"/>
                <w:szCs w:val="24"/>
                <w:highlight w:val="none"/>
                <w:lang w:val="en-US" w:eastAsia="zh-CN"/>
              </w:rPr>
              <w:t>④</w:t>
            </w:r>
            <w:r>
              <w:rPr>
                <w:rFonts w:hint="eastAsia" w:ascii="仿宋" w:hAnsi="仿宋" w:eastAsia="仿宋" w:cs="仿宋"/>
                <w:sz w:val="24"/>
                <w:szCs w:val="24"/>
                <w:highlight w:val="none"/>
                <w:lang w:val="en-US" w:eastAsia="zh-CN"/>
              </w:rPr>
              <w:t>工期保障。</w:t>
            </w:r>
            <w:r>
              <w:rPr>
                <w:rFonts w:hint="eastAsia" w:ascii="仿宋" w:hAnsi="仿宋" w:eastAsia="仿宋" w:cs="仿宋"/>
                <w:b w:val="0"/>
                <w:bCs w:val="0"/>
                <w:sz w:val="24"/>
                <w:szCs w:val="24"/>
                <w:highlight w:val="none"/>
                <w:lang w:val="en-US" w:eastAsia="zh-CN"/>
              </w:rPr>
              <w:t>内容完整，符合本项目实际需求得12分；每缺少一项扣3分；每有一处错误的扣1.5分，</w:t>
            </w:r>
            <w:r>
              <w:rPr>
                <w:rFonts w:hint="eastAsia" w:ascii="仿宋" w:hAnsi="仿宋" w:eastAsia="仿宋" w:cs="仿宋"/>
                <w:sz w:val="24"/>
                <w:szCs w:val="24"/>
                <w:highlight w:val="none"/>
              </w:rPr>
              <w:t>以上扣分累计</w:t>
            </w:r>
            <w:r>
              <w:rPr>
                <w:rFonts w:hint="eastAsia" w:ascii="仿宋" w:hAnsi="仿宋" w:eastAsia="仿宋" w:cs="仿宋"/>
                <w:b w:val="0"/>
                <w:bCs w:val="0"/>
                <w:sz w:val="24"/>
                <w:szCs w:val="24"/>
                <w:highlight w:val="none"/>
                <w:lang w:val="en-US" w:eastAsia="zh-CN"/>
              </w:rPr>
              <w:t>扣完为止。</w:t>
            </w:r>
          </w:p>
        </w:tc>
        <w:tc>
          <w:tcPr>
            <w:tcW w:w="1570" w:type="dxa"/>
            <w:tcBorders>
              <w:top w:val="single" w:color="auto" w:sz="4" w:space="0"/>
              <w:left w:val="single" w:color="auto" w:sz="4" w:space="0"/>
              <w:bottom w:val="single" w:color="auto" w:sz="4" w:space="0"/>
              <w:right w:val="single" w:color="auto" w:sz="4" w:space="0"/>
            </w:tcBorders>
            <w:noWrap/>
            <w:vAlign w:val="center"/>
          </w:tcPr>
          <w:p w14:paraId="2571FCFE">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注：</w:t>
            </w:r>
            <w:r>
              <w:rPr>
                <w:rFonts w:hint="eastAsia" w:ascii="仿宋" w:hAnsi="仿宋" w:eastAsia="仿宋" w:cs="仿宋"/>
                <w:sz w:val="24"/>
                <w:szCs w:val="24"/>
                <w:highlight w:val="none"/>
              </w:rPr>
              <w:t>内容错误指：</w:t>
            </w:r>
            <w:r>
              <w:rPr>
                <w:rFonts w:hint="eastAsia" w:ascii="仿宋" w:hAnsi="仿宋" w:eastAsia="仿宋" w:cs="仿宋"/>
                <w:sz w:val="24"/>
                <w:szCs w:val="24"/>
                <w:highlight w:val="none"/>
                <w:lang w:val="en-US" w:eastAsia="zh-CN"/>
              </w:rPr>
              <w:t>①</w:t>
            </w: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val="en-US" w:eastAsia="zh-CN"/>
              </w:rPr>
              <w:t>②</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③</w:t>
            </w:r>
            <w:r>
              <w:rPr>
                <w:rFonts w:hint="eastAsia" w:ascii="仿宋" w:hAnsi="仿宋" w:eastAsia="仿宋" w:cs="仿宋"/>
                <w:sz w:val="24"/>
                <w:szCs w:val="24"/>
                <w:highlight w:val="none"/>
              </w:rPr>
              <w:t>涉及的规范、</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标准与本项目要求不一致；</w:t>
            </w:r>
            <w:r>
              <w:rPr>
                <w:rFonts w:hint="eastAsia" w:ascii="仿宋" w:hAnsi="仿宋" w:eastAsia="仿宋" w:cs="仿宋"/>
                <w:sz w:val="24"/>
                <w:szCs w:val="24"/>
                <w:highlight w:val="none"/>
                <w:lang w:val="en-US" w:eastAsia="zh-CN"/>
              </w:rPr>
              <w:t>⑤</w:t>
            </w:r>
            <w:r>
              <w:rPr>
                <w:rFonts w:hint="eastAsia" w:ascii="仿宋" w:hAnsi="仿宋" w:eastAsia="仿宋" w:cs="仿宋"/>
                <w:sz w:val="24"/>
                <w:szCs w:val="24"/>
                <w:highlight w:val="none"/>
              </w:rPr>
              <w:t>进度计划超期</w:t>
            </w:r>
            <w:r>
              <w:rPr>
                <w:rFonts w:hint="eastAsia" w:ascii="仿宋" w:hAnsi="仿宋" w:eastAsia="仿宋" w:cs="仿宋"/>
                <w:sz w:val="24"/>
                <w:szCs w:val="24"/>
                <w:highlight w:val="none"/>
                <w:lang w:eastAsia="zh-CN"/>
              </w:rPr>
              <w:t>。</w:t>
            </w:r>
          </w:p>
        </w:tc>
      </w:tr>
      <w:tr w14:paraId="38196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6"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7B24296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项目人员配备</w:t>
            </w:r>
          </w:p>
        </w:tc>
        <w:tc>
          <w:tcPr>
            <w:tcW w:w="1084" w:type="dxa"/>
            <w:tcBorders>
              <w:top w:val="single" w:color="auto" w:sz="4" w:space="0"/>
              <w:left w:val="single" w:color="auto" w:sz="4" w:space="0"/>
              <w:bottom w:val="single" w:color="auto" w:sz="4" w:space="0"/>
              <w:right w:val="single" w:color="auto" w:sz="4" w:space="0"/>
            </w:tcBorders>
            <w:noWrap/>
            <w:vAlign w:val="center"/>
          </w:tcPr>
          <w:p w14:paraId="60390047">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25</w:t>
            </w:r>
          </w:p>
        </w:tc>
        <w:tc>
          <w:tcPr>
            <w:tcW w:w="5201" w:type="dxa"/>
            <w:tcBorders>
              <w:top w:val="single" w:color="auto" w:sz="4" w:space="0"/>
              <w:left w:val="single" w:color="auto" w:sz="4" w:space="0"/>
              <w:bottom w:val="single" w:color="auto" w:sz="4" w:space="0"/>
              <w:right w:val="single" w:color="auto" w:sz="4" w:space="0"/>
            </w:tcBorders>
            <w:noWrap/>
            <w:vAlign w:val="center"/>
          </w:tcPr>
          <w:p w14:paraId="65F387D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焊工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分）：在标配</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名基础上，每额外配置1名持有效特种作业操作证（</w:t>
            </w:r>
            <w:r>
              <w:rPr>
                <w:rFonts w:hint="eastAsia" w:ascii="仿宋" w:hAnsi="仿宋" w:eastAsia="仿宋" w:cs="仿宋"/>
                <w:b w:val="0"/>
                <w:bCs w:val="0"/>
                <w:color w:val="auto"/>
                <w:kern w:val="2"/>
                <w:sz w:val="24"/>
                <w:szCs w:val="24"/>
                <w:highlight w:val="none"/>
                <w:lang w:val="en-US" w:eastAsia="zh-CN" w:bidi="ar-SA"/>
              </w:rPr>
              <w:t>金属焊接操作</w:t>
            </w:r>
            <w:r>
              <w:rPr>
                <w:rFonts w:hint="eastAsia" w:ascii="仿宋" w:hAnsi="仿宋" w:eastAsia="仿宋" w:cs="仿宋"/>
                <w:sz w:val="24"/>
                <w:szCs w:val="24"/>
                <w:highlight w:val="none"/>
              </w:rPr>
              <w:t>）人员得1分，最多额外配置</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人，最高得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3517265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电工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分）：在标配</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名基础上，额外配置1名持有效特种作业操作证（低压电工作业）人员得1分，最多额外配置</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最高得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32172D4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b w:val="0"/>
                <w:bCs w:val="0"/>
                <w:sz w:val="24"/>
                <w:szCs w:val="24"/>
                <w:lang w:val="en-US" w:eastAsia="zh-CN"/>
              </w:rPr>
              <w:t>现场技术人员（最高2分）拟派现场技术人员：特种设备作业人员证（R1）得2分。</w:t>
            </w:r>
          </w:p>
          <w:p w14:paraId="6B5279A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b w:val="0"/>
                <w:bCs w:val="0"/>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4.项目负责人（最高8分）：</w:t>
            </w:r>
          </w:p>
          <w:p w14:paraId="5FCE09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近 3 年内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除人员资质要求中的基础业绩以外</w:t>
            </w:r>
            <w:r>
              <w:rPr>
                <w:rFonts w:hint="eastAsia" w:ascii="仿宋" w:hAnsi="仿宋" w:eastAsia="仿宋" w:cs="仿宋"/>
                <w:sz w:val="24"/>
                <w:szCs w:val="24"/>
                <w:highlight w:val="none"/>
              </w:rPr>
              <w:t>每提供 1 项</w:t>
            </w:r>
            <w:r>
              <w:rPr>
                <w:rFonts w:hint="eastAsia" w:ascii="仿宋" w:hAnsi="仿宋" w:eastAsia="仿宋" w:cs="仿宋"/>
                <w:b w:val="0"/>
                <w:bCs w:val="0"/>
                <w:color w:val="auto"/>
                <w:kern w:val="2"/>
                <w:sz w:val="24"/>
                <w:szCs w:val="24"/>
                <w:highlight w:val="none"/>
                <w:lang w:val="en-US" w:eastAsia="zh-CN" w:bidi="ar-SA"/>
              </w:rPr>
              <w:t>医院液氧站 / 医用气体项目</w:t>
            </w:r>
            <w:r>
              <w:rPr>
                <w:rFonts w:hint="eastAsia" w:ascii="仿宋" w:hAnsi="仿宋" w:eastAsia="仿宋" w:cs="仿宋"/>
                <w:sz w:val="24"/>
                <w:szCs w:val="24"/>
                <w:highlight w:val="none"/>
              </w:rPr>
              <w:t>业绩（需提供合</w:t>
            </w:r>
            <w:r>
              <w:rPr>
                <w:rFonts w:hint="eastAsia" w:ascii="仿宋" w:hAnsi="仿宋" w:eastAsia="仿宋" w:cs="仿宋"/>
                <w:color w:val="auto"/>
                <w:sz w:val="24"/>
                <w:szCs w:val="24"/>
                <w:highlight w:val="none"/>
              </w:rPr>
              <w:t>同），得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分，最高得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分；业绩材料不全的不得分。</w:t>
            </w:r>
          </w:p>
          <w:p w14:paraId="0BB7D26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b w:val="0"/>
                <w:bCs w:val="0"/>
                <w:color w:val="auto"/>
                <w:kern w:val="2"/>
                <w:sz w:val="24"/>
                <w:szCs w:val="24"/>
                <w:highlight w:val="none"/>
                <w:lang w:val="en-US" w:eastAsia="zh-CN" w:bidi="ar"/>
              </w:rPr>
            </w:pPr>
            <w:r>
              <w:rPr>
                <w:rFonts w:hint="eastAsia" w:ascii="仿宋" w:hAnsi="仿宋" w:eastAsia="仿宋" w:cs="仿宋"/>
                <w:b w:val="0"/>
                <w:bCs w:val="0"/>
                <w:color w:val="auto"/>
                <w:kern w:val="2"/>
                <w:sz w:val="24"/>
                <w:szCs w:val="24"/>
                <w:highlight w:val="none"/>
                <w:lang w:val="en-US" w:eastAsia="zh-CN" w:bidi="ar"/>
              </w:rPr>
              <w:t>5.技术负责人（最高4分）：</w:t>
            </w:r>
          </w:p>
          <w:p w14:paraId="4414777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拟派技术负责人具备化工机械、机电工程相关专业中级及以上工程师职称并提供有效职称证明材料，得4分；不满足不得分。</w:t>
            </w:r>
          </w:p>
          <w:p w14:paraId="75F5A55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jc w:val="left"/>
              <w:rPr>
                <w:rFonts w:hint="eastAsia" w:ascii="仿宋" w:hAnsi="仿宋" w:eastAsia="仿宋" w:cs="仿宋"/>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6.专职安全员（最高2分）</w:t>
            </w:r>
          </w:p>
          <w:p w14:paraId="419F9DFB">
            <w:pPr>
              <w:keepNext w:val="0"/>
              <w:keepLines w:val="0"/>
              <w:widowControl w:val="0"/>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firstLineChars="0"/>
              <w:jc w:val="left"/>
              <w:rPr>
                <w:rFonts w:hint="default"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（1）同时另持有有效的特种设备安全管理证（A ）的，得2 分；</w:t>
            </w:r>
          </w:p>
          <w:p w14:paraId="2303C8DD">
            <w:pPr>
              <w:widowControl/>
              <w:numPr>
                <w:ilvl w:val="0"/>
                <w:numId w:val="0"/>
              </w:numPr>
              <w:pBdr>
                <w:top w:val="none" w:color="auto" w:sz="0" w:space="0"/>
                <w:left w:val="none" w:color="auto" w:sz="0" w:space="0"/>
                <w:bottom w:val="none" w:color="auto" w:sz="0" w:space="0"/>
                <w:right w:val="none" w:color="auto" w:sz="0" w:space="0"/>
              </w:pBdr>
              <w:spacing w:line="360" w:lineRule="auto"/>
              <w:jc w:val="left"/>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注：以上所有人员均为本单位正式员工，所有人员证书均须在有效期内，未提供有效证书佐证材料的，对应人员不予计分。</w:t>
            </w:r>
          </w:p>
        </w:tc>
        <w:tc>
          <w:tcPr>
            <w:tcW w:w="1570" w:type="dxa"/>
            <w:tcBorders>
              <w:top w:val="single" w:color="auto" w:sz="4" w:space="0"/>
              <w:left w:val="single" w:color="auto" w:sz="4" w:space="0"/>
              <w:bottom w:val="single" w:color="auto" w:sz="4" w:space="0"/>
              <w:right w:val="single" w:color="auto" w:sz="4" w:space="0"/>
            </w:tcBorders>
            <w:noWrap/>
            <w:vAlign w:val="center"/>
          </w:tcPr>
          <w:p w14:paraId="3C8683F8">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以上人员资格提供证书复印件（加盖公章）为准。</w:t>
            </w:r>
          </w:p>
        </w:tc>
      </w:tr>
      <w:tr w14:paraId="5AD4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98" w:type="dxa"/>
            <w:tcBorders>
              <w:top w:val="single" w:color="auto" w:sz="4" w:space="0"/>
              <w:left w:val="single" w:color="auto" w:sz="4" w:space="0"/>
              <w:bottom w:val="single" w:color="auto" w:sz="4" w:space="0"/>
              <w:right w:val="single" w:color="auto" w:sz="4" w:space="0"/>
            </w:tcBorders>
            <w:noWrap/>
            <w:vAlign w:val="center"/>
          </w:tcPr>
          <w:p w14:paraId="1AE1C299">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业绩要求</w:t>
            </w:r>
          </w:p>
        </w:tc>
        <w:tc>
          <w:tcPr>
            <w:tcW w:w="1084" w:type="dxa"/>
            <w:tcBorders>
              <w:top w:val="single" w:color="auto" w:sz="4" w:space="0"/>
              <w:left w:val="single" w:color="auto" w:sz="4" w:space="0"/>
              <w:bottom w:val="single" w:color="auto" w:sz="4" w:space="0"/>
              <w:right w:val="single" w:color="auto" w:sz="4" w:space="0"/>
            </w:tcBorders>
            <w:noWrap/>
            <w:vAlign w:val="center"/>
          </w:tcPr>
          <w:p w14:paraId="3708AE44">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5201" w:type="dxa"/>
            <w:tcBorders>
              <w:top w:val="single" w:color="auto" w:sz="4" w:space="0"/>
              <w:left w:val="single" w:color="auto" w:sz="4" w:space="0"/>
              <w:bottom w:val="single" w:color="auto" w:sz="4" w:space="0"/>
              <w:right w:val="single" w:color="auto" w:sz="4" w:space="0"/>
            </w:tcBorders>
            <w:noWrap/>
            <w:vAlign w:val="center"/>
          </w:tcPr>
          <w:p w14:paraId="1C1A5E0F">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供应商提供自2023年1月1日以来须独立完成过1项及以上类似项目业绩（类似项目业绩是指：液氧站/医用液氧站/低温气体站新建、拆除或改造工程），提供业绩证明材料须包含合同，每有一个得5分</w:t>
            </w:r>
            <w:r>
              <w:rPr>
                <w:rFonts w:hint="eastAsia" w:ascii="仿宋" w:hAnsi="仿宋" w:eastAsia="仿宋" w:cs="仿宋"/>
                <w:color w:val="auto"/>
                <w:sz w:val="24"/>
                <w:szCs w:val="24"/>
                <w:highlight w:val="none"/>
              </w:rPr>
              <w:t>，最多得</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1570" w:type="dxa"/>
            <w:tcBorders>
              <w:top w:val="single" w:color="auto" w:sz="4" w:space="0"/>
              <w:left w:val="single" w:color="auto" w:sz="4" w:space="0"/>
              <w:bottom w:val="single" w:color="auto" w:sz="4" w:space="0"/>
              <w:right w:val="single" w:color="auto" w:sz="4" w:space="0"/>
            </w:tcBorders>
            <w:noWrap/>
            <w:vAlign w:val="center"/>
          </w:tcPr>
          <w:p w14:paraId="02A72E60">
            <w:pPr>
              <w:keepNext w:val="0"/>
              <w:keepLines w:val="0"/>
              <w:pageBreakBefore w:val="0"/>
              <w:widowControl w:val="0"/>
              <w:kinsoku/>
              <w:wordWrap/>
              <w:overflowPunct/>
              <w:topLinePunct w:val="0"/>
              <w:autoSpaceDE/>
              <w:autoSpaceDN/>
              <w:bidi w:val="0"/>
              <w:adjustRightInd/>
              <w:snapToGrid/>
              <w:spacing w:line="420" w:lineRule="exact"/>
              <w:ind w:firstLine="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提供的合同需要加盖公章</w:t>
            </w: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7163"/>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135"/>
      <w:bookmarkStart w:id="42" w:name="_Toc5996"/>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2031"/>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11352"/>
      <w:bookmarkStart w:id="50" w:name="_Toc3023"/>
      <w:bookmarkStart w:id="51" w:name="_Toc16029"/>
      <w:bookmarkStart w:id="52" w:name="_Toc21519"/>
      <w:bookmarkStart w:id="53"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22676"/>
      <w:bookmarkStart w:id="56" w:name="_Toc31838"/>
      <w:bookmarkStart w:id="57" w:name="_Toc17857"/>
      <w:bookmarkStart w:id="58" w:name="_Toc4305"/>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25638"/>
      <w:bookmarkStart w:id="69" w:name="_Toc11351"/>
      <w:bookmarkStart w:id="70" w:name="_Toc20589"/>
      <w:bookmarkStart w:id="71" w:name="_Toc12015"/>
      <w:bookmarkStart w:id="72" w:name="_Toc2766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2967"/>
      <w:bookmarkStart w:id="75" w:name="_Toc2041"/>
      <w:bookmarkStart w:id="76" w:name="_Toc23967"/>
      <w:bookmarkStart w:id="77" w:name="_Toc1074"/>
      <w:bookmarkStart w:id="78" w:name="_Toc16435"/>
      <w:r>
        <w:rPr>
          <w:rStyle w:val="40"/>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6839"/>
      <w:bookmarkStart w:id="80" w:name="_Toc1369"/>
      <w:bookmarkStart w:id="81" w:name="_Toc21082"/>
      <w:bookmarkStart w:id="82" w:name="_Toc24806"/>
      <w:bookmarkStart w:id="83" w:name="_Toc28634"/>
      <w:bookmarkStart w:id="84" w:name="_Toc3168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74472532">
      <w:pPr>
        <w:keepNext w:val="0"/>
        <w:keepLines w:val="0"/>
        <w:widowControl/>
        <w:suppressLineNumbers w:val="0"/>
        <w:jc w:val="left"/>
      </w:pPr>
      <w:r>
        <w:rPr>
          <w:rFonts w:ascii="宋体" w:hAnsi="宋体" w:eastAsia="宋体" w:cs="宋体"/>
          <w:kern w:val="0"/>
          <w:sz w:val="24"/>
          <w:szCs w:val="24"/>
          <w:lang w:val="en-US" w:eastAsia="zh-CN" w:bidi="ar"/>
        </w:rPr>
        <w:t>1. 本报价表按《建设工程工程量清单计价规范》（GB50500-2013）等相关规范编制，所有报价均以人民币表示；2. 综合单价、合价及总报价已包含运输、安装、调试、检验、培训、调换、税金、保险，以及采购文件规定的与施工相关的管理要求（含医院院感、安全管理、垃圾清运等）所需的全部费用；3. 本项目采用</w:t>
      </w:r>
      <w:r>
        <w:rPr>
          <w:rFonts w:hint="eastAsia" w:ascii="宋体" w:hAnsi="宋体" w:eastAsia="宋体" w:cs="宋体"/>
          <w:kern w:val="0"/>
          <w:sz w:val="24"/>
          <w:szCs w:val="24"/>
          <w:highlight w:val="yellow"/>
          <w:lang w:val="en-US" w:eastAsia="zh-CN" w:bidi="ar"/>
        </w:rPr>
        <w:t>包干</w:t>
      </w:r>
      <w:r>
        <w:rPr>
          <w:rFonts w:ascii="宋体" w:hAnsi="宋体" w:eastAsia="宋体" w:cs="宋体"/>
          <w:kern w:val="0"/>
          <w:sz w:val="24"/>
          <w:szCs w:val="24"/>
          <w:highlight w:val="yellow"/>
          <w:lang w:val="en-US" w:eastAsia="zh-CN" w:bidi="ar"/>
        </w:rPr>
        <w:t>价</w:t>
      </w:r>
      <w:r>
        <w:rPr>
          <w:rFonts w:ascii="宋体" w:hAnsi="宋体" w:eastAsia="宋体" w:cs="宋体"/>
          <w:kern w:val="0"/>
          <w:sz w:val="24"/>
          <w:szCs w:val="24"/>
          <w:lang w:val="en-US" w:eastAsia="zh-CN" w:bidi="ar"/>
        </w:rPr>
        <w:t>模式，综合单价固定不变，工程量按实结算，合价=综合单价×清单工程量，总报价=各项目合价合计+措施项目费+其他项目费+税金。</w:t>
      </w:r>
    </w:p>
    <w:p w14:paraId="661984F4">
      <w:pPr>
        <w:pStyle w:val="8"/>
        <w:rPr>
          <w:rFonts w:ascii="宋体" w:hAnsi="宋体" w:eastAsia="宋体" w:cs="Times New Roman"/>
          <w:b/>
          <w:bCs/>
          <w:szCs w:val="21"/>
          <w:lang w:val="zh-TW"/>
        </w:rPr>
      </w:pPr>
    </w:p>
    <w:p w14:paraId="7C0E8357">
      <w:pPr>
        <w:rPr>
          <w:lang w:val="zh-TW"/>
        </w:rPr>
      </w:pPr>
    </w:p>
    <w:p w14:paraId="53D1A6BA">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39"/>
        <w:gridCol w:w="3037"/>
        <w:gridCol w:w="3398"/>
        <w:gridCol w:w="2652"/>
      </w:tblGrid>
      <w:tr w14:paraId="703E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3" w:type="pct"/>
            <w:vAlign w:val="center"/>
          </w:tcPr>
          <w:p w14:paraId="2CF60CA8">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499" w:type="pct"/>
            <w:vAlign w:val="center"/>
          </w:tcPr>
          <w:p w14:paraId="76504FC3">
            <w:pPr>
              <w:spacing w:line="200" w:lineRule="exact"/>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采购项目</w:t>
            </w:r>
          </w:p>
        </w:tc>
        <w:tc>
          <w:tcPr>
            <w:tcW w:w="1677" w:type="pct"/>
            <w:vAlign w:val="center"/>
          </w:tcPr>
          <w:p w14:paraId="2CC3F71E">
            <w:pPr>
              <w:keepNext w:val="0"/>
              <w:keepLines w:val="0"/>
              <w:widowControl/>
              <w:suppressLineNumbers w:val="0"/>
              <w:jc w:val="left"/>
            </w:pPr>
            <w:r>
              <w:rPr>
                <w:rStyle w:val="22"/>
                <w:rFonts w:ascii="宋体" w:hAnsi="宋体" w:eastAsia="宋体" w:cs="宋体"/>
                <w:kern w:val="0"/>
                <w:sz w:val="24"/>
                <w:szCs w:val="24"/>
                <w:lang w:val="en-US" w:eastAsia="zh-CN" w:bidi="ar"/>
              </w:rPr>
              <w:t>响应总报价（含税</w:t>
            </w:r>
          </w:p>
          <w:p w14:paraId="0210D7AA">
            <w:pPr>
              <w:spacing w:line="200" w:lineRule="exact"/>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（元）</w:t>
            </w:r>
          </w:p>
        </w:tc>
        <w:tc>
          <w:tcPr>
            <w:tcW w:w="1309" w:type="pct"/>
            <w:vAlign w:val="center"/>
          </w:tcPr>
          <w:p w14:paraId="47434C70">
            <w:pPr>
              <w:spacing w:line="200" w:lineRule="exact"/>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7E34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01" w:hRule="atLeast"/>
          <w:jc w:val="center"/>
        </w:trPr>
        <w:tc>
          <w:tcPr>
            <w:tcW w:w="513" w:type="pct"/>
            <w:vAlign w:val="center"/>
          </w:tcPr>
          <w:p w14:paraId="33FA3AA9">
            <w:pPr>
              <w:pStyle w:val="8"/>
              <w:jc w:val="center"/>
              <w:rPr>
                <w:rFonts w:ascii="Times New Roman" w:hAnsi="Times New Roman" w:eastAsia="仿宋" w:cs="Times New Roman"/>
                <w:szCs w:val="21"/>
              </w:rPr>
            </w:pPr>
            <w:r>
              <w:rPr>
                <w:rFonts w:ascii="Times New Roman" w:hAnsi="Times New Roman" w:eastAsia="仿宋" w:cs="Times New Roman"/>
                <w:szCs w:val="21"/>
              </w:rPr>
              <w:t>1</w:t>
            </w:r>
          </w:p>
        </w:tc>
        <w:tc>
          <w:tcPr>
            <w:tcW w:w="1499" w:type="pct"/>
            <w:vAlign w:val="center"/>
          </w:tcPr>
          <w:p w14:paraId="21A93F89">
            <w:pPr>
              <w:pStyle w:val="8"/>
              <w:jc w:val="center"/>
              <w:rPr>
                <w:rFonts w:ascii="Times New Roman" w:hAnsi="Times New Roman" w:eastAsia="仿宋" w:cs="Times New Roman"/>
                <w:szCs w:val="21"/>
              </w:rPr>
            </w:pPr>
            <w:r>
              <w:rPr>
                <w:rFonts w:ascii="Times New Roman" w:hAnsi="Times New Roman" w:eastAsia="仿宋" w:cs="Times New Roman"/>
                <w:sz w:val="22"/>
              </w:rPr>
              <w:t>四川省人民医院</w:t>
            </w:r>
            <w:r>
              <w:rPr>
                <w:rFonts w:hint="eastAsia" w:ascii="Times New Roman" w:hAnsi="Times New Roman" w:eastAsia="仿宋" w:cs="Times New Roman"/>
                <w:sz w:val="22"/>
              </w:rPr>
              <w:t>青羊院区液氧站拆除改造采购</w:t>
            </w:r>
            <w:r>
              <w:rPr>
                <w:rFonts w:ascii="Times New Roman" w:hAnsi="Times New Roman" w:eastAsia="仿宋" w:cs="Times New Roman"/>
                <w:sz w:val="22"/>
              </w:rPr>
              <w:t>项目</w:t>
            </w:r>
          </w:p>
        </w:tc>
        <w:tc>
          <w:tcPr>
            <w:tcW w:w="1677" w:type="pct"/>
            <w:vAlign w:val="center"/>
          </w:tcPr>
          <w:p w14:paraId="74F731F3">
            <w:pPr>
              <w:pStyle w:val="8"/>
              <w:jc w:val="left"/>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 xml:space="preserve">小写：                 </w:t>
            </w:r>
          </w:p>
          <w:p w14:paraId="106E47FE">
            <w:pPr>
              <w:jc w:val="left"/>
              <w:rPr>
                <w:rFonts w:hint="default"/>
                <w:u w:val="single"/>
                <w:lang w:val="en-US" w:eastAsia="zh-CN"/>
              </w:rPr>
            </w:pPr>
            <w:r>
              <w:rPr>
                <w:rFonts w:hint="eastAsia" w:ascii="Times New Roman" w:hAnsi="Times New Roman" w:eastAsia="仿宋" w:cs="Times New Roman"/>
                <w:szCs w:val="21"/>
                <w:lang w:val="en-US" w:eastAsia="zh-CN"/>
              </w:rPr>
              <w:t>大写：</w:t>
            </w:r>
            <w:r>
              <w:rPr>
                <w:rFonts w:hint="eastAsia" w:ascii="Times New Roman" w:hAnsi="Times New Roman" w:eastAsia="仿宋" w:cs="Times New Roman"/>
                <w:szCs w:val="21"/>
                <w:u w:val="single"/>
                <w:lang w:val="en-US" w:eastAsia="zh-CN"/>
              </w:rPr>
              <w:t xml:space="preserve">                 </w:t>
            </w:r>
          </w:p>
        </w:tc>
        <w:tc>
          <w:tcPr>
            <w:tcW w:w="1309" w:type="pct"/>
            <w:vAlign w:val="center"/>
          </w:tcPr>
          <w:p w14:paraId="12864601">
            <w:pPr>
              <w:pStyle w:val="8"/>
              <w:jc w:val="center"/>
              <w:rPr>
                <w:rFonts w:hint="default" w:ascii="Times New Roman" w:hAnsi="Times New Roman" w:eastAsia="仿宋" w:cs="Times New Roman"/>
                <w:szCs w:val="21"/>
                <w:lang w:val="en-US" w:eastAsia="zh-CN"/>
              </w:rPr>
            </w:pPr>
            <w:r>
              <w:rPr>
                <w:rFonts w:hint="eastAsia" w:ascii="Times New Roman" w:hAnsi="Times New Roman" w:eastAsia="仿宋" w:cs="Times New Roman"/>
                <w:szCs w:val="21"/>
                <w:lang w:val="en-US" w:eastAsia="zh-CN"/>
              </w:rPr>
              <w:t>供应商在响应时一并提供报单价的工程量清单</w:t>
            </w:r>
          </w:p>
        </w:tc>
      </w:tr>
      <w:tr w14:paraId="329C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3" w:type="pct"/>
            <w:vAlign w:val="center"/>
          </w:tcPr>
          <w:p w14:paraId="24342B42">
            <w:pPr>
              <w:pStyle w:val="8"/>
              <w:jc w:val="center"/>
              <w:rPr>
                <w:rFonts w:ascii="Times New Roman" w:hAnsi="Times New Roman" w:eastAsia="仿宋" w:cs="Times New Roman"/>
                <w:szCs w:val="21"/>
              </w:rPr>
            </w:pPr>
            <w:r>
              <w:rPr>
                <w:rFonts w:ascii="Times New Roman" w:hAnsi="Times New Roman" w:eastAsia="仿宋" w:cs="Times New Roman"/>
                <w:szCs w:val="21"/>
              </w:rPr>
              <w:t>....</w:t>
            </w:r>
          </w:p>
        </w:tc>
        <w:tc>
          <w:tcPr>
            <w:tcW w:w="1499" w:type="pct"/>
            <w:vAlign w:val="center"/>
          </w:tcPr>
          <w:p w14:paraId="006C3AE1">
            <w:pPr>
              <w:pStyle w:val="8"/>
              <w:jc w:val="center"/>
              <w:rPr>
                <w:rFonts w:ascii="Times New Roman" w:hAnsi="Times New Roman" w:eastAsia="仿宋" w:cs="Times New Roman"/>
                <w:szCs w:val="21"/>
              </w:rPr>
            </w:pPr>
          </w:p>
        </w:tc>
        <w:tc>
          <w:tcPr>
            <w:tcW w:w="1677" w:type="pct"/>
            <w:vAlign w:val="center"/>
          </w:tcPr>
          <w:p w14:paraId="531B6A2E">
            <w:pPr>
              <w:pStyle w:val="8"/>
              <w:jc w:val="center"/>
              <w:rPr>
                <w:rFonts w:ascii="Times New Roman" w:hAnsi="Times New Roman" w:eastAsia="仿宋" w:cs="Times New Roman"/>
                <w:szCs w:val="21"/>
              </w:rPr>
            </w:pPr>
          </w:p>
        </w:tc>
        <w:tc>
          <w:tcPr>
            <w:tcW w:w="1309" w:type="pct"/>
            <w:vAlign w:val="center"/>
          </w:tcPr>
          <w:p w14:paraId="334DB1A8">
            <w:pPr>
              <w:pStyle w:val="8"/>
              <w:jc w:val="center"/>
              <w:rPr>
                <w:rFonts w:ascii="Times New Roman" w:hAnsi="Times New Roman" w:eastAsia="仿宋" w:cs="Times New Roman"/>
                <w:szCs w:val="21"/>
              </w:rPr>
            </w:pPr>
          </w:p>
        </w:tc>
      </w:tr>
      <w:tr w14:paraId="6CD8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3" w:type="pct"/>
            <w:vAlign w:val="center"/>
          </w:tcPr>
          <w:p w14:paraId="34B860B3">
            <w:pPr>
              <w:pStyle w:val="8"/>
              <w:jc w:val="center"/>
              <w:rPr>
                <w:rFonts w:ascii="Times New Roman" w:hAnsi="Times New Roman" w:eastAsia="仿宋" w:cs="Times New Roman"/>
                <w:szCs w:val="21"/>
              </w:rPr>
            </w:pPr>
          </w:p>
        </w:tc>
        <w:tc>
          <w:tcPr>
            <w:tcW w:w="1499" w:type="pct"/>
            <w:vAlign w:val="center"/>
          </w:tcPr>
          <w:p w14:paraId="165CF58D">
            <w:pPr>
              <w:pStyle w:val="8"/>
              <w:jc w:val="center"/>
              <w:rPr>
                <w:rFonts w:ascii="Times New Roman" w:hAnsi="Times New Roman" w:eastAsia="仿宋" w:cs="Times New Roman"/>
                <w:szCs w:val="21"/>
              </w:rPr>
            </w:pPr>
          </w:p>
        </w:tc>
        <w:tc>
          <w:tcPr>
            <w:tcW w:w="1677" w:type="pct"/>
            <w:vAlign w:val="center"/>
          </w:tcPr>
          <w:p w14:paraId="11FF0A2C">
            <w:pPr>
              <w:pStyle w:val="8"/>
              <w:jc w:val="center"/>
              <w:rPr>
                <w:rFonts w:ascii="Times New Roman" w:hAnsi="Times New Roman" w:eastAsia="仿宋" w:cs="Times New Roman"/>
                <w:szCs w:val="21"/>
              </w:rPr>
            </w:pPr>
          </w:p>
        </w:tc>
        <w:tc>
          <w:tcPr>
            <w:tcW w:w="1309" w:type="pct"/>
            <w:vAlign w:val="center"/>
          </w:tcPr>
          <w:p w14:paraId="7EA7F936">
            <w:pPr>
              <w:pStyle w:val="8"/>
              <w:jc w:val="center"/>
              <w:rPr>
                <w:rFonts w:ascii="Times New Roman" w:hAnsi="Times New Roman" w:eastAsia="仿宋" w:cs="Times New Roman"/>
                <w:szCs w:val="21"/>
              </w:rPr>
            </w:pPr>
          </w:p>
        </w:tc>
      </w:tr>
    </w:tbl>
    <w:p w14:paraId="5423AABB">
      <w:pPr>
        <w:pStyle w:val="8"/>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26D6F8C5">
      <w:pPr>
        <w:rPr>
          <w:rFonts w:ascii="Times New Roman" w:hAnsi="Times New Roman" w:eastAsia="仿宋" w:cs="Times New Roman"/>
          <w:sz w:val="24"/>
          <w:szCs w:val="24"/>
          <w:u w:val="single"/>
        </w:rPr>
      </w:pP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0C9A879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仿宋" w:hAnsi="仿宋" w:eastAsia="仿宋" w:cs="仿宋"/>
          <w:sz w:val="84"/>
          <w:szCs w:val="84"/>
        </w:rPr>
      </w:pPr>
      <w:r>
        <w:rPr>
          <w:rFonts w:hint="eastAsia" w:ascii="黑体" w:hAnsi="黑体" w:eastAsia="黑体" w:cs="黑体"/>
          <w:b/>
          <w:color w:val="auto"/>
          <w:spacing w:val="24"/>
          <w:sz w:val="56"/>
          <w:szCs w:val="56"/>
          <w:highlight w:val="none"/>
          <w:lang w:eastAsia="zh-CN"/>
        </w:rPr>
        <w:t>四川省人民医院</w:t>
      </w:r>
      <w:r>
        <w:rPr>
          <w:rFonts w:hint="eastAsia" w:ascii="黑体" w:hAnsi="黑体" w:eastAsia="黑体" w:cs="黑体"/>
          <w:b/>
          <w:color w:val="auto"/>
          <w:spacing w:val="24"/>
          <w:sz w:val="56"/>
          <w:szCs w:val="56"/>
          <w:highlight w:val="none"/>
          <w:lang w:val="en-US" w:eastAsia="zh-CN"/>
        </w:rPr>
        <w:t>XXX</w:t>
      </w:r>
      <w:r>
        <w:rPr>
          <w:rFonts w:hint="eastAsia" w:ascii="黑体" w:hAnsi="黑体" w:eastAsia="黑体" w:cs="黑体"/>
          <w:b/>
          <w:color w:val="auto"/>
          <w:spacing w:val="24"/>
          <w:sz w:val="56"/>
          <w:szCs w:val="56"/>
          <w:highlight w:val="none"/>
          <w:lang w:eastAsia="zh-CN"/>
        </w:rPr>
        <w:t>项目</w:t>
      </w:r>
    </w:p>
    <w:p w14:paraId="21CECE40">
      <w:pPr>
        <w:jc w:val="center"/>
        <w:rPr>
          <w:rFonts w:hint="eastAsia" w:ascii="仿宋" w:hAnsi="仿宋" w:eastAsia="仿宋" w:cs="仿宋"/>
          <w:sz w:val="84"/>
          <w:szCs w:val="84"/>
        </w:rPr>
      </w:pP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0947B26">
      <w:pPr>
        <w:pStyle w:val="8"/>
        <w:rPr>
          <w:rFonts w:hint="eastAsia" w:ascii="仿宋" w:hAnsi="仿宋" w:eastAsia="仿宋" w:cs="仿宋"/>
          <w:b/>
          <w:sz w:val="32"/>
          <w:szCs w:val="32"/>
        </w:rPr>
      </w:pPr>
    </w:p>
    <w:p w14:paraId="73D2907E">
      <w:pPr>
        <w:pStyle w:val="8"/>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5DA2E655">
      <w:pPr>
        <w:jc w:val="left"/>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jc w:val="left"/>
        <w:rPr>
          <w:rFonts w:hint="default" w:ascii="仿宋" w:hAnsi="仿宋" w:eastAsia="仿宋" w:cs="仿宋"/>
          <w:b/>
          <w:sz w:val="32"/>
          <w:szCs w:val="32"/>
          <w:u w:val="single"/>
          <w:lang w:val="en-US" w:eastAsia="zh-CN"/>
        </w:rPr>
      </w:pPr>
      <w:r>
        <w:rPr>
          <w:rFonts w:hint="eastAsia" w:ascii="仿宋" w:hAnsi="仿宋" w:eastAsia="仿宋" w:cs="仿宋"/>
          <w:b/>
          <w:sz w:val="32"/>
          <w:szCs w:val="32"/>
        </w:rPr>
        <w:t>承包人：</w:t>
      </w:r>
      <w:r>
        <w:rPr>
          <w:rFonts w:hint="eastAsia" w:ascii="仿宋" w:hAnsi="仿宋" w:eastAsia="仿宋" w:cs="仿宋"/>
          <w:b/>
          <w:sz w:val="32"/>
          <w:szCs w:val="32"/>
          <w:u w:val="single"/>
          <w:lang w:val="en-US" w:eastAsia="zh-CN"/>
        </w:rPr>
        <w:t xml:space="preserve">             </w:t>
      </w:r>
    </w:p>
    <w:p w14:paraId="57A79DEB">
      <w:pPr>
        <w:rPr>
          <w:rFonts w:hint="eastAsia" w:ascii="仿宋" w:hAnsi="仿宋" w:eastAsia="仿宋" w:cs="仿宋"/>
        </w:rPr>
      </w:pPr>
    </w:p>
    <w:p w14:paraId="3CCAA685">
      <w:pPr>
        <w:pStyle w:val="8"/>
        <w:rPr>
          <w:rFonts w:hint="eastAsia" w:ascii="仿宋" w:hAnsi="仿宋" w:eastAsia="仿宋" w:cs="仿宋"/>
        </w:rPr>
      </w:pPr>
    </w:p>
    <w:p w14:paraId="22E89002">
      <w:pPr>
        <w:pStyle w:val="8"/>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default" w:ascii="仿宋" w:hAnsi="仿宋" w:eastAsia="仿宋" w:cs="仿宋"/>
          <w:b/>
          <w:sz w:val="28"/>
          <w:szCs w:val="28"/>
          <w:u w:val="single"/>
          <w:lang w:val="en-US" w:eastAsia="zh-CN"/>
        </w:rPr>
      </w:pPr>
      <w:r>
        <w:rPr>
          <w:rFonts w:hint="eastAsia" w:ascii="仿宋" w:hAnsi="仿宋" w:eastAsia="仿宋" w:cs="仿宋"/>
          <w:b/>
          <w:sz w:val="28"/>
          <w:szCs w:val="28"/>
        </w:rPr>
        <w:t>承包人（全称）：</w:t>
      </w:r>
      <w:r>
        <w:rPr>
          <w:rFonts w:hint="eastAsia" w:ascii="仿宋" w:hAnsi="仿宋" w:eastAsia="仿宋" w:cs="仿宋"/>
          <w:b/>
          <w:sz w:val="28"/>
          <w:szCs w:val="28"/>
          <w:u w:val="single"/>
          <w:lang w:val="en-US" w:eastAsia="zh-CN"/>
        </w:rPr>
        <w:t xml:space="preserve">           </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lang w:eastAsia="zh-CN"/>
        </w:rPr>
        <w:t>四川省人民医院</w:t>
      </w:r>
      <w:r>
        <w:rPr>
          <w:rFonts w:hint="eastAsia" w:ascii="仿宋" w:hAnsi="仿宋" w:eastAsia="仿宋" w:cs="仿宋"/>
          <w:b/>
          <w:sz w:val="28"/>
          <w:szCs w:val="28"/>
          <w:u w:val="single"/>
          <w:lang w:val="en-US" w:eastAsia="zh-CN"/>
        </w:rPr>
        <w:t>XXX</w:t>
      </w:r>
      <w:r>
        <w:rPr>
          <w:rFonts w:hint="eastAsia" w:ascii="仿宋" w:hAnsi="仿宋" w:eastAsia="仿宋" w:cs="仿宋"/>
          <w:b/>
          <w:sz w:val="28"/>
          <w:szCs w:val="28"/>
          <w:u w:val="single"/>
          <w:lang w:eastAsia="zh-CN"/>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r>
        <w:rPr>
          <w:rFonts w:hint="eastAsia" w:ascii="仿宋" w:hAnsi="仿宋" w:eastAsia="仿宋" w:cs="仿宋"/>
          <w:sz w:val="28"/>
          <w:szCs w:val="28"/>
          <w:lang w:eastAsia="zh-CN"/>
        </w:rPr>
        <w:t>四川省人民医院</w:t>
      </w:r>
      <w:r>
        <w:rPr>
          <w:rFonts w:hint="eastAsia" w:ascii="仿宋" w:hAnsi="仿宋" w:eastAsia="仿宋" w:cs="仿宋"/>
          <w:sz w:val="28"/>
          <w:szCs w:val="28"/>
          <w:lang w:val="en-US" w:eastAsia="zh-CN"/>
        </w:rPr>
        <w:t>XXX</w:t>
      </w:r>
      <w:r>
        <w:rPr>
          <w:rFonts w:hint="eastAsia" w:ascii="仿宋" w:hAnsi="仿宋" w:eastAsia="仿宋" w:cs="仿宋"/>
          <w:sz w:val="28"/>
          <w:szCs w:val="28"/>
          <w:lang w:eastAsia="zh-CN"/>
        </w:rPr>
        <w:t>项目</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r>
        <w:rPr>
          <w:rFonts w:hint="eastAsia" w:ascii="仿宋" w:hAnsi="仿宋" w:eastAsia="仿宋" w:cs="仿宋"/>
          <w:bCs/>
          <w:sz w:val="28"/>
          <w:szCs w:val="28"/>
          <w:lang w:val="en-US" w:eastAsia="zh-CN"/>
        </w:rPr>
        <w:t xml:space="preserve">  </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按甲方提供的项目施工图纸及招标工程量清单所示范围内的全部施工内容。</w:t>
      </w:r>
    </w:p>
    <w:p w14:paraId="10EAF20A">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kern w:val="2"/>
          <w:sz w:val="28"/>
          <w:szCs w:val="28"/>
          <w:lang w:val="en-US" w:eastAsia="zh-CN" w:bidi="ar-SA"/>
        </w:rPr>
        <w:t>5</w:t>
      </w:r>
      <w:r>
        <w:rPr>
          <w:rFonts w:hint="eastAsia" w:ascii="仿宋" w:hAnsi="仿宋" w:eastAsia="仿宋" w:cs="仿宋"/>
          <w:bCs/>
          <w:sz w:val="28"/>
          <w:szCs w:val="28"/>
          <w:lang w:val="en-US" w:eastAsia="zh-CN"/>
        </w:rPr>
        <w:t>.施工要求：</w:t>
      </w:r>
    </w:p>
    <w:p w14:paraId="3FE7437F">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（1）用于本项目的货物（含零部件、配件等），表面无划伤、无碰撞痕迹，且权属清楚，不得侵害他人的知识产权。</w:t>
      </w:r>
    </w:p>
    <w:p w14:paraId="5C8562F6">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（2）用于本项目的货物保证质量优异，性能稳定可靠，符合或优于国家（行业标准）。</w:t>
      </w:r>
    </w:p>
    <w:p w14:paraId="45241A87">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（3）在施工期间，根据发包人要求进行安装，并严格遵守《建筑安装工程安全技术操作规程》、《中华人民共和国消防条例》国家现行《电气装置安装工程高压电气施工及验收规范》进行施工。</w:t>
      </w:r>
    </w:p>
    <w:p w14:paraId="11649912">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（4）遵守发包人制定的施工现场各项管理制度，确保工期和质量符合合同约定。</w:t>
      </w:r>
    </w:p>
    <w:p w14:paraId="5C6DA7DC">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（5）严格执行操作规程，做到清洁文明施工，施工完成后，清洁施工场地。施工过程中造成财产损失，人员伤害、伤亡事件，承担全部责任和因此发生的全部费用。</w:t>
      </w:r>
    </w:p>
    <w:p w14:paraId="0463C5B3">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（6）安装人员须持有特种作业操作证(作业类别:XXX，操作项目:XXX）。</w:t>
      </w:r>
    </w:p>
    <w:p w14:paraId="4B470FC9">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（7）施工过程中必须对此次项目不涉及部分进行保护，施工完成后进行原样恢复，如因承包人施工过程中损坏，应按照原样进行更换。</w:t>
      </w:r>
      <w:r>
        <w:rPr>
          <w:rFonts w:hint="eastAsia" w:ascii="仿宋" w:hAnsi="仿宋" w:eastAsia="仿宋" w:cs="仿宋"/>
          <w:bCs/>
          <w:sz w:val="28"/>
          <w:szCs w:val="28"/>
          <w:lang w:val="en-US" w:eastAsia="zh-CN"/>
        </w:rPr>
        <w:br w:type="textWrapping"/>
      </w:r>
      <w:r>
        <w:rPr>
          <w:rFonts w:hint="eastAsia" w:ascii="仿宋" w:hAnsi="仿宋" w:eastAsia="仿宋" w:cs="仿宋"/>
          <w:bCs/>
          <w:sz w:val="28"/>
          <w:szCs w:val="28"/>
          <w:lang w:val="en-US" w:eastAsia="zh-CN"/>
        </w:rPr>
        <w:t xml:space="preserve">    （8）在工程保修期间，如果出现质量问题，应在接到发包人通知后XX小时内响应到场，XXX小时内完成维修或更换有缺陷的货物或部件，工程保修期顺延，由此带来的所有费用由承包人承担。</w:t>
      </w:r>
    </w:p>
    <w:p w14:paraId="63F1D112">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（9）承包人应保质保量按期完成所承包范围内的一切工程内容，如若未完成视为擅自解除或变更合同，视同违约，承包人应承担所有违约责任。</w:t>
      </w:r>
    </w:p>
    <w:p w14:paraId="0E7636F0">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（10）施工过程中不影响医院各科室的正常工作，服从医院调度安排，合理安排作业时间。如有不文明施工的情况，发包人可立即解除合同。</w:t>
      </w:r>
    </w:p>
    <w:p w14:paraId="2C9B393A">
      <w:pPr>
        <w:spacing w:line="46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（11）施工安全责任以及工程保修期内的保修相关安全责任均由承包人负责。</w:t>
      </w:r>
    </w:p>
    <w:p w14:paraId="6A9BBD82">
      <w:pPr>
        <w:spacing w:line="460" w:lineRule="exact"/>
        <w:ind w:firstLine="560" w:firstLineChars="200"/>
        <w:rPr>
          <w:rFonts w:hint="default"/>
          <w:lang w:val="en-US" w:eastAsia="zh-CN"/>
        </w:rPr>
      </w:pPr>
      <w:r>
        <w:rPr>
          <w:rFonts w:hint="eastAsia" w:ascii="仿宋" w:hAnsi="仿宋" w:eastAsia="仿宋" w:cs="仿宋"/>
          <w:bCs/>
          <w:sz w:val="28"/>
          <w:szCs w:val="28"/>
          <w:lang w:val="en-US" w:eastAsia="zh-CN"/>
        </w:rPr>
        <w:t>（12）施工需满足设计要求并出具调试报告。</w:t>
      </w:r>
    </w:p>
    <w:p w14:paraId="44F59142">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2568C2C6">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1.计划开工日期：合同签订生效后XXX日内开工（具体时间以监理下发的开工令或发包人书面通知为准）</w:t>
      </w:r>
    </w:p>
    <w:p w14:paraId="29E2AE2A">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2.工期：自开工起XXX日完成。</w:t>
      </w:r>
      <w:bookmarkStart w:id="97" w:name="_Toc351203483"/>
    </w:p>
    <w:p w14:paraId="57725E48">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r>
        <w:rPr>
          <w:rFonts w:hint="eastAsia" w:ascii="仿宋" w:hAnsi="仿宋" w:eastAsia="仿宋" w:cs="仿宋"/>
          <w:bCs w:val="0"/>
        </w:rPr>
        <w:t>三、质量标准</w:t>
      </w:r>
      <w:bookmarkEnd w:id="97"/>
    </w:p>
    <w:p w14:paraId="5FAA54B7">
      <w:pPr>
        <w:spacing w:line="460" w:lineRule="exact"/>
        <w:ind w:firstLine="560" w:firstLineChars="200"/>
        <w:rPr>
          <w:rFonts w:hint="eastAsia" w:ascii="仿宋" w:hAnsi="仿宋" w:eastAsia="仿宋" w:cs="仿宋"/>
          <w:sz w:val="28"/>
          <w:szCs w:val="28"/>
        </w:rPr>
      </w:pPr>
      <w:bookmarkStart w:id="98" w:name="_Toc351203484"/>
      <w:r>
        <w:rPr>
          <w:rFonts w:hint="eastAsia" w:ascii="仿宋" w:hAnsi="仿宋" w:eastAsia="仿宋" w:cs="仿宋"/>
          <w:sz w:val="28"/>
          <w:szCs w:val="28"/>
          <w:lang w:val="en-US" w:eastAsia="zh-CN"/>
        </w:rPr>
        <w:t>1.工程质量符合国家、四川省现行技术规范、施工规范、质量标准</w:t>
      </w:r>
      <w:r>
        <w:rPr>
          <w:rFonts w:hint="eastAsia" w:ascii="仿宋" w:hAnsi="仿宋" w:eastAsia="仿宋" w:cs="仿宋"/>
          <w:sz w:val="28"/>
          <w:szCs w:val="28"/>
        </w:rPr>
        <w:t>。</w:t>
      </w:r>
    </w:p>
    <w:p w14:paraId="7A0326C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2.验收：</w:t>
      </w:r>
    </w:p>
    <w:p w14:paraId="61D7CFD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 验收时间：承包人完成本项目涉及的所有工程项目的建设及相关内容并具备验收条件后，于XXX日内通知发包人验收，发包人接承包人通知后XX日内组织验收。双方验收后，如验收内容符合本项目验收标准，发包人应于XXX个工作日内向承包人出具验收报告，并视为验收合格，验收合格的时间以出具报告的时间为准。</w:t>
      </w:r>
    </w:p>
    <w:p w14:paraId="14A3D016">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2.2 验收方式：XXX</w:t>
      </w:r>
    </w:p>
    <w:p w14:paraId="4BCBBB7E">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2.3 验收组织方式：XXX</w:t>
      </w:r>
    </w:p>
    <w:p w14:paraId="23DC2EF4">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2.4 验收程序：XXX</w:t>
      </w:r>
    </w:p>
    <w:p w14:paraId="7A98D29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2.5 验收主体：发包人</w:t>
      </w:r>
    </w:p>
    <w:p w14:paraId="1A98ECB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2.6 验收内容：按照基于本项目采购需求编制的采购文件要求及承包人响应文件情况，由承包人向发包人交付全部工程的履约情况。</w:t>
      </w:r>
    </w:p>
    <w:p w14:paraId="71598A0C">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2.7验收标准：</w:t>
      </w:r>
    </w:p>
    <w:p w14:paraId="1AB99E8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①国家相关法律法规、行业标准、技术规范。</w:t>
      </w:r>
    </w:p>
    <w:p w14:paraId="77698DD4">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②基于本项目采购需求编制的谈判文件相关技术、服务要求、承包人响应文件相关响应内容。</w:t>
      </w:r>
    </w:p>
    <w:p w14:paraId="77F8A0B5">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③成交产品生产厂家出具的产品说明书、技术白皮书、医疗器械注册证或备案凭证等技术资料（如涉及）。</w:t>
      </w:r>
    </w:p>
    <w:p w14:paraId="0FC8868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④如验收时双方对技术指标、质量要求等约定标准有相互抵触或异议的事项，双方须按照国家相关规定及基于本项目采购需求编制的谈判文件相关技术、服务要求、承包人响应文件相关响应内容中质量要求和技术指标较严格的原则确定该事项的标准并进行验收。</w:t>
      </w:r>
    </w:p>
    <w:p w14:paraId="6ABBC4A9">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⑤参照《财政部关于进一步加强政府采购需求和履约验收管理的指导意见》（财库〔2016〕205号）的要求进行验收（如涉及）。</w:t>
      </w:r>
    </w:p>
    <w:p w14:paraId="3D4C3E9F">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⑥其它标准：无</w:t>
      </w:r>
    </w:p>
    <w:p w14:paraId="1A9703A1">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2.8是否邀请本项目的其它潜在供应商：否</w:t>
      </w:r>
    </w:p>
    <w:p w14:paraId="02CC5772">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2.9是否邀请专家：否</w:t>
      </w:r>
    </w:p>
    <w:p w14:paraId="5CDE2C6D">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2.10是否邀请第三方检测机构：否</w:t>
      </w:r>
    </w:p>
    <w:p w14:paraId="350D4E07">
      <w:pPr>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2.11其它验收要求：无</w:t>
      </w:r>
    </w:p>
    <w:p w14:paraId="1ED1BE60">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r>
        <w:rPr>
          <w:rFonts w:hint="eastAsia" w:ascii="仿宋" w:hAnsi="仿宋" w:eastAsia="仿宋" w:cs="仿宋"/>
          <w:sz w:val="28"/>
          <w:szCs w:val="28"/>
          <w:lang w:eastAsia="zh-CN"/>
        </w:rPr>
        <w:t>）</w:t>
      </w:r>
      <w:r>
        <w:rPr>
          <w:rFonts w:hint="eastAsia" w:ascii="仿宋" w:hAnsi="仿宋" w:eastAsia="仿宋" w:cs="仿宋"/>
          <w:sz w:val="28"/>
          <w:szCs w:val="28"/>
        </w:rPr>
        <w:t>为：</w:t>
      </w:r>
    </w:p>
    <w:p w14:paraId="20A024C8">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人民币（小写）￥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元(大写</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rPr>
        <w:t>最终价款以甲方结算审核金额为准，若最终审核金额超出</w:t>
      </w:r>
      <w:r>
        <w:rPr>
          <w:rFonts w:hint="eastAsia" w:ascii="仿宋" w:hAnsi="仿宋" w:eastAsia="仿宋" w:cs="仿宋"/>
          <w:sz w:val="28"/>
          <w:szCs w:val="28"/>
          <w:lang w:val="en-US" w:eastAsia="zh-CN"/>
        </w:rPr>
        <w:t>XX</w:t>
      </w:r>
      <w:r>
        <w:rPr>
          <w:rFonts w:hint="eastAsia" w:ascii="仿宋" w:hAnsi="仿宋" w:eastAsia="仿宋" w:cs="仿宋"/>
          <w:sz w:val="28"/>
          <w:szCs w:val="28"/>
        </w:rPr>
        <w:t>元，需另行协商签订结算协议</w:t>
      </w:r>
      <w:r>
        <w:rPr>
          <w:rFonts w:hint="eastAsia" w:ascii="仿宋" w:hAnsi="仿宋" w:eastAsia="仿宋" w:cs="仿宋"/>
          <w:sz w:val="28"/>
          <w:szCs w:val="28"/>
          <w:lang w:eastAsia="zh-CN"/>
        </w:rPr>
        <w:t>。若国家税率调整，含税总价</w:t>
      </w:r>
      <w:r>
        <w:rPr>
          <w:rFonts w:hint="eastAsia" w:ascii="仿宋" w:hAnsi="仿宋" w:eastAsia="仿宋" w:cs="仿宋"/>
          <w:sz w:val="28"/>
          <w:szCs w:val="28"/>
          <w:lang w:val="en-US" w:eastAsia="zh-CN"/>
        </w:rPr>
        <w:t>不变。</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w:t>
      </w:r>
      <w:r>
        <w:rPr>
          <w:rFonts w:hint="eastAsia" w:ascii="仿宋" w:hAnsi="仿宋" w:eastAsia="仿宋" w:cs="仿宋"/>
          <w:sz w:val="28"/>
          <w:szCs w:val="28"/>
          <w:u w:val="single"/>
          <w:lang w:val="en-US" w:eastAsia="zh-CN"/>
        </w:rPr>
        <w:t>XXXX</w:t>
      </w:r>
      <w:r>
        <w:rPr>
          <w:rFonts w:hint="eastAsia" w:ascii="仿宋" w:hAnsi="仿宋" w:eastAsia="仿宋" w:cs="仿宋"/>
          <w:sz w:val="28"/>
          <w:szCs w:val="28"/>
        </w:rPr>
        <w:t>。</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7D16A06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39BA0E7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w:t>
      </w:r>
      <w:r>
        <w:rPr>
          <w:rFonts w:hint="eastAsia" w:ascii="仿宋" w:hAnsi="仿宋" w:eastAsia="仿宋" w:cs="仿宋"/>
          <w:sz w:val="28"/>
          <w:szCs w:val="28"/>
          <w:lang w:val="en-US" w:eastAsia="zh-CN"/>
        </w:rPr>
        <w:t>成交</w:t>
      </w:r>
      <w:r>
        <w:rPr>
          <w:rFonts w:hint="eastAsia" w:ascii="仿宋" w:hAnsi="仿宋" w:eastAsia="仿宋" w:cs="仿宋"/>
          <w:sz w:val="28"/>
          <w:szCs w:val="28"/>
        </w:rPr>
        <w:t>通知书；（3）</w:t>
      </w:r>
      <w:r>
        <w:rPr>
          <w:rFonts w:hint="eastAsia" w:ascii="仿宋" w:hAnsi="仿宋" w:eastAsia="仿宋" w:cs="仿宋"/>
          <w:sz w:val="28"/>
          <w:szCs w:val="28"/>
          <w:lang w:val="en-US" w:eastAsia="zh-CN"/>
        </w:rPr>
        <w:t>响应</w:t>
      </w:r>
      <w:r>
        <w:rPr>
          <w:rFonts w:hint="eastAsia" w:ascii="仿宋" w:hAnsi="仿宋" w:eastAsia="仿宋" w:cs="仿宋"/>
          <w:sz w:val="28"/>
          <w:szCs w:val="28"/>
        </w:rPr>
        <w:t>函及</w:t>
      </w:r>
      <w:r>
        <w:rPr>
          <w:rFonts w:hint="eastAsia" w:ascii="仿宋" w:hAnsi="仿宋" w:eastAsia="仿宋" w:cs="仿宋"/>
          <w:sz w:val="28"/>
          <w:szCs w:val="28"/>
          <w:lang w:val="en-US" w:eastAsia="zh-CN"/>
        </w:rPr>
        <w:t>响应</w:t>
      </w:r>
      <w:r>
        <w:rPr>
          <w:rFonts w:hint="eastAsia" w:ascii="仿宋" w:hAnsi="仿宋" w:eastAsia="仿宋" w:cs="仿宋"/>
          <w:sz w:val="28"/>
          <w:szCs w:val="28"/>
        </w:rPr>
        <w:t>函附录；（4）合同条款及附件；（5）技术标准和要求；（6）图纸；（7）已标价工程量清单；（8）</w:t>
      </w:r>
      <w:r>
        <w:rPr>
          <w:rFonts w:hint="eastAsia" w:ascii="仿宋" w:hAnsi="仿宋" w:eastAsia="仿宋" w:cs="仿宋"/>
          <w:sz w:val="28"/>
          <w:szCs w:val="28"/>
          <w:lang w:val="en-US" w:eastAsia="zh-CN"/>
        </w:rPr>
        <w:t>谈判</w:t>
      </w:r>
      <w:r>
        <w:rPr>
          <w:rFonts w:hint="eastAsia" w:ascii="仿宋" w:hAnsi="仿宋" w:eastAsia="仿宋" w:cs="仿宋"/>
          <w:sz w:val="28"/>
          <w:szCs w:val="28"/>
        </w:rPr>
        <w:t>文件；（9）</w:t>
      </w:r>
      <w:r>
        <w:rPr>
          <w:rFonts w:hint="eastAsia" w:ascii="仿宋" w:hAnsi="仿宋" w:eastAsia="仿宋" w:cs="仿宋"/>
          <w:sz w:val="28"/>
          <w:szCs w:val="28"/>
          <w:lang w:val="en-US" w:eastAsia="zh-CN"/>
        </w:rPr>
        <w:t>响应</w:t>
      </w:r>
      <w:r>
        <w:rPr>
          <w:rFonts w:hint="eastAsia" w:ascii="仿宋" w:hAnsi="仿宋" w:eastAsia="仿宋" w:cs="仿宋"/>
          <w:sz w:val="28"/>
          <w:szCs w:val="28"/>
        </w:rPr>
        <w:t>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48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26</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1D966762">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sz w:val="28"/>
          <w:szCs w:val="28"/>
        </w:rPr>
        <w:t xml:space="preserve"> (公章)</w:t>
      </w:r>
    </w:p>
    <w:p w14:paraId="54848C8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800C0B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E4BA662">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r>
        <w:rPr>
          <w:rFonts w:hint="eastAsia" w:ascii="仿宋" w:hAnsi="仿宋" w:eastAsia="仿宋" w:cs="仿宋"/>
          <w:sz w:val="28"/>
          <w:szCs w:val="28"/>
          <w:lang w:val="en-US" w:eastAsia="zh-CN"/>
        </w:rPr>
        <w:t xml:space="preserve"> </w:t>
      </w:r>
    </w:p>
    <w:p w14:paraId="3933655A">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r>
        <w:rPr>
          <w:rFonts w:hint="eastAsia" w:ascii="仿宋" w:hAnsi="仿宋" w:eastAsia="仿宋" w:cs="仿宋"/>
          <w:sz w:val="28"/>
          <w:szCs w:val="28"/>
          <w:lang w:val="en-US" w:eastAsia="zh-CN"/>
        </w:rPr>
        <w:t xml:space="preserve"> </w:t>
      </w:r>
    </w:p>
    <w:p w14:paraId="36B4178D">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1825AA6E">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5E5595AD">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5495245C">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024CD43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3F31DFDF">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24DD28C">
      <w:pPr>
        <w:spacing w:line="460" w:lineRule="exact"/>
        <w:ind w:left="5040" w:hanging="5040" w:hangingChars="1800"/>
        <w:rPr>
          <w:rFonts w:hint="eastAsia" w:ascii="仿宋" w:hAnsi="仿宋" w:eastAsia="仿宋" w:cs="仿宋"/>
          <w:kern w:val="10"/>
          <w:sz w:val="28"/>
          <w:szCs w:val="28"/>
          <w:u w:val="single"/>
          <w:lang w:eastAsia="zh-CN"/>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r>
        <w:rPr>
          <w:rFonts w:hint="eastAsia" w:ascii="仿宋" w:hAnsi="仿宋" w:eastAsia="仿宋" w:cs="仿宋"/>
          <w:kern w:val="10"/>
          <w:sz w:val="28"/>
          <w:szCs w:val="28"/>
          <w:u w:val="single"/>
          <w:lang w:val="en-US" w:eastAsia="zh-CN"/>
        </w:rPr>
        <w:t xml:space="preserve"> </w:t>
      </w:r>
    </w:p>
    <w:p w14:paraId="65683EF9">
      <w:pPr>
        <w:widowControl/>
        <w:spacing w:line="360" w:lineRule="auto"/>
        <w:outlineLvl w:val="9"/>
        <w:rPr>
          <w:rFonts w:hint="eastAsia" w:ascii="仿宋" w:hAnsi="仿宋" w:eastAsia="仿宋" w:cs="仿宋"/>
          <w:sz w:val="28"/>
          <w:szCs w:val="28"/>
          <w:u w:val="single"/>
          <w:lang w:val="en-US" w:eastAsia="zh-CN"/>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kern w:val="10"/>
          <w:sz w:val="28"/>
          <w:szCs w:val="28"/>
          <w:u w:val="single"/>
          <w:lang w:val="en-US" w:eastAsia="zh-CN"/>
        </w:rPr>
        <w:t xml:space="preserve"> </w:t>
      </w:r>
    </w:p>
    <w:p w14:paraId="5C04B23A">
      <w:pPr>
        <w:jc w:val="center"/>
        <w:rPr>
          <w:rFonts w:hint="eastAsia" w:ascii="仿宋" w:hAnsi="仿宋" w:eastAsia="仿宋" w:cs="仿宋"/>
          <w:b/>
          <w:bCs/>
          <w:sz w:val="36"/>
          <w:szCs w:val="36"/>
        </w:rPr>
        <w:sectPr>
          <w:footerReference r:id="rId6" w:type="default"/>
          <w:pgSz w:w="11906" w:h="16838"/>
          <w:pgMar w:top="1440" w:right="850" w:bottom="1440" w:left="850" w:header="851" w:footer="992" w:gutter="0"/>
          <w:pgNumType w:fmt="decimal"/>
          <w:cols w:space="425" w:num="1"/>
          <w:docGrid w:type="lines" w:linePitch="312" w:charSpace="0"/>
        </w:sectPr>
      </w:pP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347155"/>
      <w:bookmarkStart w:id="109" w:name="_Toc296346657"/>
      <w:bookmarkStart w:id="110" w:name="_Toc292559866"/>
      <w:bookmarkStart w:id="111" w:name="_Toc297120456"/>
      <w:bookmarkStart w:id="112" w:name="_Toc296890984"/>
      <w:bookmarkStart w:id="113" w:name="_Toc296503156"/>
      <w:bookmarkStart w:id="114" w:name="_Toc296944495"/>
      <w:bookmarkStart w:id="115" w:name="_Toc292559361"/>
      <w:bookmarkStart w:id="116" w:name="_Toc296891196"/>
      <w:bookmarkStart w:id="117" w:name="_Toc297048342"/>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07CA084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3E775C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1B9332F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名称：</w:t>
      </w:r>
      <w:r>
        <w:rPr>
          <w:rFonts w:hint="eastAsia" w:ascii="仿宋" w:hAnsi="仿宋" w:eastAsia="仿宋" w:cs="仿宋"/>
          <w:sz w:val="28"/>
          <w:szCs w:val="28"/>
          <w:lang w:val="en-US" w:eastAsia="zh-CN"/>
        </w:rPr>
        <w:t>XXXX</w:t>
      </w:r>
      <w:r>
        <w:rPr>
          <w:rFonts w:hint="eastAsia" w:ascii="仿宋" w:hAnsi="仿宋" w:eastAsia="仿宋" w:cs="仿宋"/>
          <w:sz w:val="28"/>
          <w:szCs w:val="28"/>
        </w:rPr>
        <w:t>；</w:t>
      </w:r>
    </w:p>
    <w:p w14:paraId="1FF6C46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922A7C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XXX</w:t>
      </w:r>
      <w:r>
        <w:rPr>
          <w:rFonts w:hint="eastAsia" w:ascii="仿宋" w:hAnsi="仿宋" w:eastAsia="仿宋" w:cs="仿宋"/>
          <w:sz w:val="28"/>
          <w:szCs w:val="28"/>
        </w:rPr>
        <w:t xml:space="preserve">  </w:t>
      </w:r>
    </w:p>
    <w:p w14:paraId="1A9CE1DA">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电子信箱：</w:t>
      </w:r>
      <w:r>
        <w:rPr>
          <w:rFonts w:hint="eastAsia" w:ascii="仿宋" w:hAnsi="仿宋" w:eastAsia="仿宋" w:cs="仿宋"/>
          <w:sz w:val="28"/>
          <w:szCs w:val="28"/>
          <w:lang w:val="en-US" w:eastAsia="zh-CN"/>
        </w:rPr>
        <w:t>XXX</w:t>
      </w:r>
    </w:p>
    <w:p w14:paraId="73945B1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4514CE4E">
      <w:pPr>
        <w:spacing w:line="4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名称：</w:t>
      </w:r>
      <w:r>
        <w:rPr>
          <w:rFonts w:hint="eastAsia" w:ascii="仿宋" w:hAnsi="仿宋" w:eastAsia="仿宋" w:cs="仿宋"/>
          <w:sz w:val="28"/>
          <w:szCs w:val="28"/>
          <w:lang w:val="en-US" w:eastAsia="zh-CN"/>
        </w:rPr>
        <w:t>XXX</w:t>
      </w:r>
    </w:p>
    <w:p w14:paraId="1AB73A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3F9FCF0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val="en-US" w:eastAsia="zh-CN"/>
        </w:rPr>
        <w:t>XXX</w:t>
      </w:r>
      <w:r>
        <w:rPr>
          <w:rFonts w:hint="eastAsia" w:ascii="仿宋" w:hAnsi="仿宋" w:eastAsia="仿宋" w:cs="仿宋"/>
          <w:sz w:val="28"/>
          <w:szCs w:val="28"/>
        </w:rPr>
        <w:t xml:space="preserve">；  </w:t>
      </w:r>
    </w:p>
    <w:p w14:paraId="440AF2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w:t>
      </w:r>
      <w:r>
        <w:rPr>
          <w:rFonts w:hint="eastAsia" w:ascii="仿宋" w:hAnsi="仿宋" w:eastAsia="仿宋" w:cs="仿宋"/>
          <w:kern w:val="0"/>
          <w:sz w:val="28"/>
          <w:szCs w:val="28"/>
          <w:u w:val="single"/>
          <w:lang w:val="en-US" w:eastAsia="zh-CN"/>
        </w:rPr>
        <w:t>XXX</w:t>
      </w:r>
      <w:r>
        <w:rPr>
          <w:rFonts w:hint="eastAsia" w:ascii="仿宋" w:hAnsi="仿宋" w:eastAsia="仿宋" w:cs="仿宋"/>
          <w:kern w:val="0"/>
          <w:sz w:val="28"/>
          <w:szCs w:val="28"/>
          <w:u w:val="single"/>
        </w:rPr>
        <w:t>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w:t>
      </w:r>
      <w:r>
        <w:rPr>
          <w:rFonts w:hint="eastAsia" w:ascii="仿宋" w:hAnsi="仿宋" w:eastAsia="仿宋" w:cs="仿宋"/>
          <w:sz w:val="28"/>
          <w:szCs w:val="28"/>
          <w:lang w:eastAsia="zh-CN"/>
        </w:rPr>
        <w:t>成交</w:t>
      </w:r>
      <w:r>
        <w:rPr>
          <w:rFonts w:hint="eastAsia" w:ascii="仿宋" w:hAnsi="仿宋" w:eastAsia="仿宋" w:cs="仿宋"/>
          <w:sz w:val="28"/>
          <w:szCs w:val="28"/>
        </w:rPr>
        <w:t>通知书；（3）</w:t>
      </w:r>
      <w:r>
        <w:rPr>
          <w:rFonts w:hint="eastAsia" w:ascii="仿宋" w:hAnsi="仿宋" w:eastAsia="仿宋" w:cs="仿宋"/>
          <w:sz w:val="28"/>
          <w:szCs w:val="28"/>
          <w:lang w:eastAsia="zh-CN"/>
        </w:rPr>
        <w:t>响应</w:t>
      </w:r>
      <w:r>
        <w:rPr>
          <w:rFonts w:hint="eastAsia" w:ascii="仿宋" w:hAnsi="仿宋" w:eastAsia="仿宋" w:cs="仿宋"/>
          <w:sz w:val="28"/>
          <w:szCs w:val="28"/>
        </w:rPr>
        <w:t>函及</w:t>
      </w:r>
      <w:r>
        <w:rPr>
          <w:rFonts w:hint="eastAsia" w:ascii="仿宋" w:hAnsi="仿宋" w:eastAsia="仿宋" w:cs="仿宋"/>
          <w:sz w:val="28"/>
          <w:szCs w:val="28"/>
          <w:lang w:eastAsia="zh-CN"/>
        </w:rPr>
        <w:t>响应</w:t>
      </w:r>
      <w:r>
        <w:rPr>
          <w:rFonts w:hint="eastAsia" w:ascii="仿宋" w:hAnsi="仿宋" w:eastAsia="仿宋" w:cs="仿宋"/>
          <w:sz w:val="28"/>
          <w:szCs w:val="28"/>
        </w:rPr>
        <w:t>函附录；（4）合同条款及附件；（5）技术标准和要求；（6）图纸；（7）已标价工程量清单；（8）</w:t>
      </w:r>
      <w:r>
        <w:rPr>
          <w:rFonts w:hint="eastAsia" w:ascii="仿宋" w:hAnsi="仿宋" w:eastAsia="仿宋" w:cs="仿宋"/>
          <w:sz w:val="28"/>
          <w:szCs w:val="28"/>
          <w:lang w:eastAsia="zh-CN"/>
        </w:rPr>
        <w:t>谈判文件</w:t>
      </w:r>
      <w:r>
        <w:rPr>
          <w:rFonts w:hint="eastAsia" w:ascii="仿宋" w:hAnsi="仿宋" w:eastAsia="仿宋" w:cs="仿宋"/>
          <w:sz w:val="28"/>
          <w:szCs w:val="28"/>
        </w:rPr>
        <w:t>；（9）</w:t>
      </w:r>
      <w:r>
        <w:rPr>
          <w:rFonts w:hint="eastAsia" w:ascii="仿宋" w:hAnsi="仿宋" w:eastAsia="仿宋" w:cs="仿宋"/>
          <w:sz w:val="28"/>
          <w:szCs w:val="28"/>
          <w:lang w:eastAsia="zh-CN"/>
        </w:rPr>
        <w:t>响应</w:t>
      </w:r>
      <w:r>
        <w:rPr>
          <w:rFonts w:hint="eastAsia" w:ascii="仿宋" w:hAnsi="仿宋" w:eastAsia="仿宋" w:cs="仿宋"/>
          <w:sz w:val="28"/>
          <w:szCs w:val="28"/>
        </w:rPr>
        <w:t>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lang w:eastAsia="zh-CN"/>
        </w:rPr>
        <w:t>响应</w:t>
      </w:r>
      <w:r>
        <w:rPr>
          <w:rFonts w:hint="eastAsia" w:ascii="仿宋" w:hAnsi="仿宋" w:eastAsia="仿宋" w:cs="仿宋"/>
          <w:sz w:val="28"/>
          <w:szCs w:val="28"/>
          <w:u w:val="single"/>
        </w:rPr>
        <w:t>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关于发包人提供的上述文件的使用限制的要求：承包人仅可为完成本合同目的而使用发包人提供的上述文件，不得外泄。。</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7048343"/>
      <w:bookmarkStart w:id="120" w:name="_Toc292559867"/>
      <w:bookmarkStart w:id="121" w:name="_Toc296890985"/>
      <w:bookmarkStart w:id="122" w:name="_Toc296347156"/>
      <w:bookmarkStart w:id="123" w:name="_Toc297120457"/>
      <w:bookmarkStart w:id="124" w:name="_Toc296891197"/>
      <w:bookmarkStart w:id="125" w:name="_Toc292559362"/>
      <w:bookmarkStart w:id="126" w:name="_Toc296503157"/>
      <w:bookmarkStart w:id="127" w:name="_Toc296346658"/>
      <w:bookmarkStart w:id="128" w:name="_Toc296944496"/>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lang w:val="en-US" w:eastAsia="zh-CN"/>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w:t>
      </w:r>
      <w:r>
        <w:rPr>
          <w:rFonts w:hint="eastAsia" w:ascii="仿宋" w:hAnsi="仿宋" w:eastAsia="仿宋" w:cs="仿宋"/>
          <w:sz w:val="28"/>
          <w:szCs w:val="28"/>
          <w:u w:val="single"/>
          <w:lang w:val="en-US" w:eastAsia="zh-CN"/>
        </w:rPr>
        <w:t>人</w:t>
      </w:r>
      <w:r>
        <w:rPr>
          <w:rFonts w:hint="eastAsia" w:ascii="仿宋" w:hAnsi="仿宋" w:eastAsia="仿宋" w:cs="仿宋"/>
          <w:sz w:val="28"/>
          <w:szCs w:val="28"/>
        </w:rPr>
        <w:t>。</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6347157"/>
      <w:bookmarkStart w:id="131" w:name="_Toc292559363"/>
      <w:bookmarkStart w:id="132" w:name="_Toc296346659"/>
      <w:bookmarkStart w:id="133" w:name="_Toc297120458"/>
      <w:bookmarkStart w:id="134" w:name="_Toc296890986"/>
      <w:bookmarkStart w:id="135" w:name="_Toc296503158"/>
      <w:bookmarkStart w:id="136" w:name="_Toc292559868"/>
      <w:bookmarkStart w:id="137" w:name="_Toc296944497"/>
      <w:bookmarkStart w:id="138" w:name="_Toc297048344"/>
      <w:bookmarkStart w:id="139" w:name="_Toc296891198"/>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XX</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w:t>
      </w:r>
      <w:r>
        <w:rPr>
          <w:rFonts w:hint="eastAsia" w:ascii="仿宋" w:hAnsi="仿宋" w:eastAsia="仿宋" w:cs="仿宋"/>
          <w:sz w:val="28"/>
          <w:szCs w:val="28"/>
          <w:u w:val="single"/>
        </w:rPr>
        <w:t>每月</w:t>
      </w:r>
      <w:r>
        <w:rPr>
          <w:rFonts w:hint="eastAsia" w:ascii="仿宋" w:hAnsi="仿宋" w:eastAsia="仿宋" w:cs="仿宋"/>
          <w:sz w:val="28"/>
          <w:szCs w:val="28"/>
        </w:rPr>
        <w:t>提供下月工程进度计划报表，一式三份，先送监理单位在</w:t>
      </w:r>
      <w:r>
        <w:rPr>
          <w:rFonts w:hint="eastAsia" w:ascii="仿宋" w:hAnsi="仿宋" w:eastAsia="仿宋" w:cs="仿宋"/>
          <w:sz w:val="28"/>
          <w:szCs w:val="28"/>
          <w:lang w:val="en-US" w:eastAsia="zh-CN"/>
        </w:rPr>
        <w:t>XXX</w:t>
      </w:r>
      <w:r>
        <w:rPr>
          <w:rFonts w:hint="eastAsia" w:ascii="仿宋" w:hAnsi="仿宋" w:eastAsia="仿宋" w:cs="仿宋"/>
          <w:sz w:val="28"/>
          <w:szCs w:val="28"/>
        </w:rPr>
        <w:t>日内审定后，送发包</w:t>
      </w:r>
      <w:r>
        <w:rPr>
          <w:rFonts w:hint="eastAsia" w:ascii="仿宋" w:hAnsi="仿宋" w:eastAsia="仿宋" w:cs="仿宋"/>
          <w:sz w:val="28"/>
          <w:szCs w:val="28"/>
          <w:lang w:val="en-US" w:eastAsia="zh-CN"/>
        </w:rPr>
        <w:t>人</w:t>
      </w:r>
      <w:r>
        <w:rPr>
          <w:rFonts w:hint="eastAsia" w:ascii="仿宋" w:hAnsi="仿宋" w:eastAsia="仿宋" w:cs="仿宋"/>
          <w:sz w:val="28"/>
          <w:szCs w:val="28"/>
        </w:rPr>
        <w:t>核定，发包</w:t>
      </w:r>
      <w:r>
        <w:rPr>
          <w:rFonts w:hint="eastAsia" w:ascii="仿宋" w:hAnsi="仿宋" w:eastAsia="仿宋" w:cs="仿宋"/>
          <w:sz w:val="28"/>
          <w:szCs w:val="28"/>
          <w:lang w:val="en-US" w:eastAsia="zh-CN"/>
        </w:rPr>
        <w:t>人</w:t>
      </w:r>
      <w:r>
        <w:rPr>
          <w:rFonts w:hint="eastAsia" w:ascii="仿宋" w:hAnsi="仿宋" w:eastAsia="仿宋" w:cs="仿宋"/>
          <w:sz w:val="28"/>
          <w:szCs w:val="28"/>
        </w:rPr>
        <w:t>在</w:t>
      </w:r>
      <w:r>
        <w:rPr>
          <w:rFonts w:hint="eastAsia" w:ascii="仿宋" w:hAnsi="仿宋" w:eastAsia="仿宋" w:cs="仿宋"/>
          <w:sz w:val="28"/>
          <w:szCs w:val="28"/>
          <w:lang w:val="en-US" w:eastAsia="zh-CN"/>
        </w:rPr>
        <w:t>XX</w:t>
      </w:r>
      <w:r>
        <w:rPr>
          <w:rFonts w:hint="eastAsia" w:ascii="仿宋" w:hAnsi="仿宋" w:eastAsia="仿宋" w:cs="仿宋"/>
          <w:sz w:val="28"/>
          <w:szCs w:val="28"/>
        </w:rPr>
        <w:t>个工作日内审定后，自留一份，返回监理方一份，承包</w:t>
      </w:r>
      <w:r>
        <w:rPr>
          <w:rFonts w:hint="eastAsia" w:ascii="仿宋" w:hAnsi="仿宋" w:eastAsia="仿宋" w:cs="仿宋"/>
          <w:sz w:val="28"/>
          <w:szCs w:val="28"/>
          <w:lang w:val="en-US" w:eastAsia="zh-CN"/>
        </w:rPr>
        <w:t>人</w:t>
      </w:r>
      <w:r>
        <w:rPr>
          <w:rFonts w:hint="eastAsia" w:ascii="仿宋" w:hAnsi="仿宋" w:eastAsia="仿宋" w:cs="仿宋"/>
          <w:sz w:val="28"/>
          <w:szCs w:val="28"/>
        </w:rPr>
        <w:t>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w:t>
      </w:r>
      <w:r>
        <w:rPr>
          <w:rFonts w:hint="eastAsia" w:ascii="仿宋" w:hAnsi="仿宋" w:eastAsia="仿宋" w:cs="仿宋"/>
          <w:sz w:val="28"/>
          <w:szCs w:val="28"/>
          <w:lang w:val="en-US" w:eastAsia="zh-CN"/>
        </w:rPr>
        <w:t>人</w:t>
      </w:r>
      <w:r>
        <w:rPr>
          <w:rFonts w:hint="eastAsia" w:ascii="仿宋" w:hAnsi="仿宋" w:eastAsia="仿宋" w:cs="仿宋"/>
          <w:sz w:val="28"/>
          <w:szCs w:val="28"/>
        </w:rPr>
        <w:t>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w:t>
      </w:r>
      <w:r>
        <w:rPr>
          <w:rFonts w:hint="eastAsia" w:ascii="仿宋" w:hAnsi="仿宋" w:eastAsia="仿宋" w:cs="仿宋"/>
          <w:sz w:val="28"/>
          <w:szCs w:val="28"/>
          <w:lang w:eastAsia="zh-CN"/>
        </w:rPr>
        <w:t>响应</w:t>
      </w:r>
      <w:r>
        <w:rPr>
          <w:rFonts w:hint="eastAsia" w:ascii="仿宋" w:hAnsi="仿宋" w:eastAsia="仿宋" w:cs="仿宋"/>
          <w:sz w:val="28"/>
          <w:szCs w:val="28"/>
        </w:rPr>
        <w:t>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w:t>
      </w:r>
      <w:r>
        <w:rPr>
          <w:rFonts w:hint="eastAsia" w:ascii="仿宋" w:hAnsi="仿宋" w:eastAsia="仿宋" w:cs="仿宋"/>
          <w:sz w:val="28"/>
          <w:szCs w:val="28"/>
          <w:lang w:eastAsia="zh-CN"/>
        </w:rPr>
        <w:t>响应</w:t>
      </w:r>
      <w:r>
        <w:rPr>
          <w:rFonts w:hint="eastAsia" w:ascii="仿宋" w:hAnsi="仿宋" w:eastAsia="仿宋" w:cs="仿宋"/>
          <w:sz w:val="28"/>
          <w:szCs w:val="28"/>
        </w:rPr>
        <w:t>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w:t>
      </w:r>
      <w:r>
        <w:rPr>
          <w:rFonts w:hint="eastAsia" w:ascii="仿宋" w:hAnsi="仿宋" w:eastAsia="仿宋" w:cs="仿宋"/>
          <w:sz w:val="28"/>
          <w:szCs w:val="28"/>
          <w:lang w:val="en-US" w:eastAsia="zh-CN"/>
        </w:rPr>
        <w:t>XXX</w:t>
      </w:r>
      <w:r>
        <w:rPr>
          <w:rFonts w:hint="eastAsia" w:ascii="仿宋" w:hAnsi="仿宋" w:eastAsia="仿宋" w:cs="仿宋"/>
          <w:sz w:val="28"/>
          <w:szCs w:val="28"/>
        </w:rPr>
        <w:t>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w:t>
      </w:r>
      <w:r>
        <w:rPr>
          <w:rFonts w:hint="eastAsia" w:ascii="仿宋" w:hAnsi="仿宋" w:eastAsia="仿宋" w:cs="仿宋"/>
          <w:sz w:val="28"/>
          <w:szCs w:val="28"/>
          <w:lang w:eastAsia="zh-CN"/>
        </w:rPr>
        <w:t>响应</w:t>
      </w:r>
      <w:r>
        <w:rPr>
          <w:rFonts w:hint="eastAsia" w:ascii="仿宋" w:hAnsi="仿宋" w:eastAsia="仿宋" w:cs="仿宋"/>
          <w:sz w:val="28"/>
          <w:szCs w:val="28"/>
        </w:rPr>
        <w:t>文件所报名单委派派驻现场的各类专业技术人员和质检人员。未经监理工程师的批准，这些人员不应无故不到位或被替换；若确实无法到位或需替换，需经监理工程师批准、</w:t>
      </w:r>
      <w:r>
        <w:rPr>
          <w:rFonts w:hint="eastAsia" w:ascii="仿宋" w:hAnsi="仿宋" w:eastAsia="仿宋" w:cs="仿宋"/>
          <w:sz w:val="28"/>
          <w:szCs w:val="28"/>
          <w:lang w:eastAsia="zh-CN"/>
        </w:rPr>
        <w:t>发包人</w:t>
      </w:r>
      <w:r>
        <w:rPr>
          <w:rFonts w:hint="eastAsia" w:ascii="仿宋" w:hAnsi="仿宋" w:eastAsia="仿宋" w:cs="仿宋"/>
          <w:sz w:val="28"/>
          <w:szCs w:val="28"/>
        </w:rPr>
        <w:t>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7593C1A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223C2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r>
        <w:rPr>
          <w:rFonts w:hint="eastAsia" w:ascii="仿宋" w:hAnsi="仿宋" w:eastAsia="仿宋" w:cs="仿宋"/>
          <w:sz w:val="28"/>
          <w:szCs w:val="28"/>
        </w:rPr>
        <w:t>；</w:t>
      </w:r>
    </w:p>
    <w:p w14:paraId="0C1271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497507F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7048348"/>
      <w:bookmarkStart w:id="141" w:name="_Toc296944501"/>
      <w:bookmarkStart w:id="142" w:name="_Toc297120462"/>
      <w:bookmarkStart w:id="143" w:name="_Toc296346663"/>
      <w:bookmarkStart w:id="144" w:name="_Toc296891202"/>
      <w:bookmarkStart w:id="145" w:name="_Toc267251413"/>
      <w:bookmarkStart w:id="146" w:name="_Toc296347161"/>
      <w:bookmarkStart w:id="147" w:name="_Toc292559366"/>
      <w:bookmarkStart w:id="148" w:name="_Toc296503162"/>
      <w:bookmarkStart w:id="149" w:name="_Toc292559871"/>
      <w:bookmarkStart w:id="150" w:name="_Toc296890990"/>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重大工程的计量（需监理人与发包人共同书面确认）、增加清单以外的工程项目、设计变更、单价调整等。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000B22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0295A1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4504C9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1BBA4E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4DD162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33A1BFB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通信地址：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以发包人确认为准</w:t>
      </w:r>
      <w:r>
        <w:rPr>
          <w:rFonts w:hint="eastAsia" w:ascii="仿宋" w:hAnsi="仿宋" w:eastAsia="仿宋" w:cs="仿宋"/>
          <w:sz w:val="28"/>
          <w:szCs w:val="28"/>
          <w:lang w:eastAsia="zh-CN"/>
        </w:rPr>
        <w:t>）</w:t>
      </w:r>
      <w:r>
        <w:rPr>
          <w:rFonts w:hint="eastAsia" w:ascii="仿宋" w:hAnsi="仿宋" w:eastAsia="仿宋" w:cs="仿宋"/>
          <w:sz w:val="28"/>
          <w:szCs w:val="28"/>
        </w:rPr>
        <w:t>；</w:t>
      </w:r>
    </w:p>
    <w:p w14:paraId="626F375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关于监理人的其他约定：对工程施工过程中质量、进度、造价、安全生产、文明施工及质量缺陷进行全过程监理。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2559872"/>
      <w:bookmarkStart w:id="154" w:name="_Toc296944502"/>
      <w:bookmarkStart w:id="155" w:name="_Toc297048349"/>
      <w:bookmarkStart w:id="156" w:name="_Toc297120463"/>
      <w:bookmarkStart w:id="157" w:name="_Toc292559367"/>
      <w:bookmarkStart w:id="158" w:name="_Toc296346664"/>
      <w:bookmarkStart w:id="159" w:name="_Toc296890991"/>
      <w:bookmarkStart w:id="160" w:name="_Toc296347162"/>
      <w:bookmarkStart w:id="161" w:name="_Toc296503163"/>
      <w:bookmarkStart w:id="162" w:name="_Toc296891203"/>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61E4667F">
      <w:pPr>
        <w:pStyle w:val="8"/>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297216175"/>
      <w:bookmarkStart w:id="165" w:name="_Toc297123516"/>
      <w:bookmarkStart w:id="166" w:name="_Toc312677484"/>
      <w:bookmarkStart w:id="167" w:name="_Toc303539125"/>
      <w:bookmarkStart w:id="168" w:name="_Toc312678010"/>
      <w:bookmarkStart w:id="169" w:name="_Toc300934968"/>
      <w:bookmarkStart w:id="170" w:name="_Toc304295546"/>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8581169"/>
      <w:bookmarkStart w:id="172" w:name="_Toc312678012"/>
      <w:bookmarkStart w:id="173" w:name="_Toc312677486"/>
      <w:bookmarkStart w:id="174" w:name="_Toc304295548"/>
      <w:bookmarkStart w:id="175" w:name="_Toc297216177"/>
      <w:bookmarkStart w:id="176" w:name="_Toc297123518"/>
      <w:bookmarkStart w:id="177" w:name="_Toc300934970"/>
      <w:bookmarkStart w:id="178" w:name="_Toc303539127"/>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8013"/>
      <w:bookmarkStart w:id="180" w:name="_Toc312677487"/>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w:t>
      </w:r>
      <w:r>
        <w:rPr>
          <w:rFonts w:hint="eastAsia" w:ascii="仿宋" w:hAnsi="仿宋" w:eastAsia="仿宋" w:cs="仿宋"/>
          <w:sz w:val="28"/>
          <w:szCs w:val="28"/>
          <w:u w:val="single"/>
          <w:lang w:val="en-US" w:eastAsia="zh-CN"/>
        </w:rPr>
        <w:t>XXX</w:t>
      </w:r>
      <w:r>
        <w:rPr>
          <w:rFonts w:hint="eastAsia" w:ascii="仿宋" w:hAnsi="仿宋" w:eastAsia="仿宋" w:cs="仿宋"/>
          <w:sz w:val="28"/>
          <w:szCs w:val="28"/>
          <w:u w:val="single"/>
        </w:rPr>
        <w:t>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lang w:val="en-US" w:eastAsia="zh-CN"/>
        </w:rPr>
        <w:t>XXX</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w:t>
      </w:r>
      <w:r>
        <w:rPr>
          <w:rFonts w:hint="eastAsia" w:ascii="仿宋" w:hAnsi="仿宋" w:eastAsia="仿宋" w:cs="仿宋"/>
          <w:sz w:val="28"/>
          <w:szCs w:val="28"/>
          <w:u w:val="single"/>
          <w:lang w:eastAsia="zh-CN"/>
        </w:rPr>
        <w:t>谈判文件</w:t>
      </w:r>
      <w:r>
        <w:rPr>
          <w:rFonts w:hint="eastAsia" w:ascii="仿宋" w:hAnsi="仿宋" w:eastAsia="仿宋" w:cs="仿宋"/>
          <w:sz w:val="28"/>
          <w:szCs w:val="28"/>
          <w:u w:val="single"/>
        </w:rPr>
        <w:t>“材料、设备品牌/厂家参考表”表中的材料（设备），承包人在实施采购前，必须报发包人同意后才能进行采购。</w:t>
      </w:r>
      <w:r>
        <w:rPr>
          <w:rFonts w:hint="eastAsia" w:ascii="仿宋" w:hAnsi="仿宋" w:eastAsia="仿宋" w:cs="仿宋"/>
          <w:sz w:val="28"/>
          <w:szCs w:val="28"/>
          <w:u w:val="single"/>
          <w:lang w:eastAsia="zh-CN"/>
        </w:rPr>
        <w:t>谈判文件</w:t>
      </w:r>
      <w:r>
        <w:rPr>
          <w:rFonts w:hint="eastAsia" w:ascii="仿宋" w:hAnsi="仿宋" w:eastAsia="仿宋" w:cs="仿宋"/>
          <w:sz w:val="28"/>
          <w:szCs w:val="28"/>
          <w:u w:val="single"/>
        </w:rPr>
        <w:t>“材料、设备品牌/厂家参考表”表以外的主要材料（设备），承包人在实施采购前，必须报发包人、监理人同意后方可进行采购，以上两种情况</w:t>
      </w:r>
      <w:r>
        <w:rPr>
          <w:rFonts w:hint="eastAsia" w:ascii="仿宋" w:hAnsi="仿宋" w:eastAsia="仿宋" w:cs="仿宋"/>
          <w:sz w:val="28"/>
          <w:szCs w:val="28"/>
          <w:u w:val="single"/>
          <w:lang w:eastAsia="zh-CN"/>
        </w:rPr>
        <w:t>成交</w:t>
      </w:r>
      <w:r>
        <w:rPr>
          <w:rFonts w:hint="eastAsia" w:ascii="仿宋" w:hAnsi="仿宋" w:eastAsia="仿宋" w:cs="仿宋"/>
          <w:sz w:val="28"/>
          <w:szCs w:val="28"/>
          <w:u w:val="single"/>
        </w:rPr>
        <w:t>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296346669"/>
      <w:bookmarkStart w:id="186" w:name="_Toc300934980"/>
      <w:bookmarkStart w:id="187" w:name="_Toc267251424"/>
      <w:bookmarkStart w:id="188" w:name="_Toc296347167"/>
      <w:bookmarkStart w:id="189" w:name="_Toc304295557"/>
      <w:bookmarkStart w:id="190" w:name="_Toc296891208"/>
      <w:bookmarkStart w:id="191" w:name="_Toc296890996"/>
      <w:bookmarkStart w:id="192" w:name="_Toc303539137"/>
      <w:bookmarkStart w:id="193" w:name="_Toc280868656"/>
      <w:bookmarkStart w:id="194" w:name="_Toc297120468"/>
      <w:bookmarkStart w:id="195" w:name="_Toc297123528"/>
      <w:bookmarkStart w:id="196" w:name="_Toc312677494"/>
      <w:bookmarkStart w:id="197" w:name="_Toc297216187"/>
      <w:bookmarkStart w:id="198" w:name="_Toc297048354"/>
      <w:bookmarkStart w:id="199" w:name="_Toc312678020"/>
      <w:bookmarkStart w:id="200" w:name="_Toc296503168"/>
      <w:bookmarkStart w:id="201" w:name="_Toc280868655"/>
      <w:bookmarkStart w:id="202" w:name="_Toc318581173"/>
      <w:bookmarkStart w:id="203" w:name="_Toc296944507"/>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w:t>
      </w:r>
      <w:r>
        <w:rPr>
          <w:rFonts w:hint="eastAsia" w:ascii="仿宋" w:hAnsi="仿宋" w:eastAsia="仿宋" w:cs="仿宋"/>
          <w:sz w:val="28"/>
          <w:szCs w:val="28"/>
          <w:u w:val="single"/>
          <w:lang w:eastAsia="zh-CN"/>
        </w:rPr>
        <w:t>响应</w:t>
      </w:r>
      <w:r>
        <w:rPr>
          <w:rFonts w:hint="eastAsia" w:ascii="仿宋" w:hAnsi="仿宋" w:eastAsia="仿宋" w:cs="仿宋"/>
          <w:sz w:val="28"/>
          <w:szCs w:val="28"/>
          <w:u w:val="single"/>
        </w:rPr>
        <w:t>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7048379"/>
      <w:bookmarkStart w:id="205" w:name="_Toc300934989"/>
      <w:bookmarkStart w:id="206" w:name="_Toc292559398"/>
      <w:bookmarkStart w:id="207" w:name="_Toc296346694"/>
      <w:bookmarkStart w:id="208" w:name="_Toc351203642"/>
      <w:bookmarkStart w:id="209" w:name="_Toc292559903"/>
      <w:bookmarkStart w:id="210" w:name="_Toc297120493"/>
      <w:bookmarkStart w:id="211" w:name="_Toc297123540"/>
      <w:bookmarkStart w:id="212" w:name="_Toc296944532"/>
      <w:bookmarkStart w:id="213" w:name="_Toc296891021"/>
      <w:bookmarkStart w:id="214" w:name="_Toc304295566"/>
      <w:bookmarkStart w:id="215" w:name="_Toc296503193"/>
      <w:bookmarkStart w:id="216" w:name="_Toc297216199"/>
      <w:bookmarkStart w:id="217" w:name="_Toc303539146"/>
      <w:bookmarkStart w:id="218" w:name="_Toc296891233"/>
      <w:bookmarkStart w:id="219" w:name="_Toc296347192"/>
      <w:bookmarkStart w:id="220" w:name="_Toc312678025"/>
      <w:bookmarkStart w:id="221" w:name="_Toc312677499"/>
      <w:bookmarkStart w:id="222" w:name="_Toc267251441"/>
      <w:bookmarkStart w:id="223" w:name="_Toc267251433"/>
      <w:bookmarkStart w:id="224" w:name="_Toc267251437"/>
      <w:bookmarkStart w:id="225" w:name="_Toc267251435"/>
      <w:bookmarkStart w:id="226" w:name="_Toc267251439"/>
      <w:bookmarkStart w:id="227" w:name="_Toc267251440"/>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297048380"/>
      <w:bookmarkStart w:id="229" w:name="_Toc292559904"/>
      <w:bookmarkStart w:id="230" w:name="_Toc300934990"/>
      <w:bookmarkStart w:id="231" w:name="_Toc304295567"/>
      <w:bookmarkStart w:id="232" w:name="_Toc296891022"/>
      <w:bookmarkStart w:id="233" w:name="_Toc296347193"/>
      <w:bookmarkStart w:id="234" w:name="_Toc297120494"/>
      <w:bookmarkStart w:id="235" w:name="_Toc296891234"/>
      <w:bookmarkStart w:id="236" w:name="_Toc312677500"/>
      <w:bookmarkStart w:id="237" w:name="_Toc292559399"/>
      <w:bookmarkStart w:id="238" w:name="_Toc296503194"/>
      <w:bookmarkStart w:id="239" w:name="_Toc296944533"/>
      <w:bookmarkStart w:id="240" w:name="_Toc297123541"/>
      <w:bookmarkStart w:id="241" w:name="_Toc296346695"/>
      <w:bookmarkStart w:id="242" w:name="_Toc303539147"/>
      <w:bookmarkStart w:id="243" w:name="_Toc297216200"/>
      <w:bookmarkStart w:id="244" w:name="_Toc312678026"/>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w:t>
      </w:r>
      <w:r>
        <w:rPr>
          <w:rFonts w:hint="eastAsia" w:ascii="仿宋" w:hAnsi="仿宋" w:eastAsia="仿宋" w:cs="仿宋"/>
          <w:sz w:val="28"/>
          <w:szCs w:val="28"/>
          <w:lang w:eastAsia="zh-CN"/>
        </w:rPr>
        <w:t>响应</w:t>
      </w:r>
      <w:r>
        <w:rPr>
          <w:rFonts w:hint="eastAsia" w:ascii="仿宋" w:hAnsi="仿宋" w:eastAsia="仿宋" w:cs="仿宋"/>
          <w:sz w:val="28"/>
          <w:szCs w:val="28"/>
        </w:rPr>
        <w:t>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296503091"/>
      <w:bookmarkStart w:id="246" w:name="_Toc337558796"/>
      <w:bookmarkStart w:id="247" w:name="_Toc296346592"/>
      <w:bookmarkStart w:id="248" w:name="_Toc351203576"/>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rPr>
        <w:t>暂列金属于发包人所有。只能按照监理人的指示并在发包人同意后使用，并对合同价格进行相应调整。</w:t>
      </w:r>
      <w:r>
        <w:rPr>
          <w:rFonts w:hint="eastAsia" w:ascii="仿宋" w:hAnsi="仿宋" w:eastAsia="仿宋" w:cs="仿宋"/>
          <w:sz w:val="28"/>
          <w:szCs w:val="28"/>
          <w:lang w:val="en-US" w:eastAsia="zh-CN"/>
        </w:rPr>
        <w:t>暂列金（含税）：XXX元。</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347204"/>
      <w:bookmarkStart w:id="251" w:name="_Toc292559915"/>
      <w:bookmarkStart w:id="252" w:name="_Toc296891245"/>
      <w:bookmarkStart w:id="253" w:name="_Toc296503205"/>
      <w:bookmarkStart w:id="254" w:name="_Toc292559410"/>
      <w:bookmarkStart w:id="255" w:name="_Toc296944544"/>
      <w:bookmarkStart w:id="256" w:name="_Toc296346706"/>
      <w:bookmarkStart w:id="257" w:name="_Toc297048391"/>
      <w:bookmarkStart w:id="258" w:name="_Toc297120505"/>
      <w:bookmarkStart w:id="259" w:name="_Toc296891033"/>
      <w:bookmarkStart w:id="260" w:name="_Toc351203644"/>
      <w:bookmarkStart w:id="261" w:name="_Toc303539159"/>
      <w:bookmarkStart w:id="262" w:name="_Toc304295579"/>
      <w:bookmarkStart w:id="263" w:name="_Toc297216211"/>
      <w:bookmarkStart w:id="264" w:name="_Toc312678040"/>
      <w:bookmarkStart w:id="265" w:name="_Toc297123552"/>
      <w:bookmarkStart w:id="266" w:name="_Toc300935002"/>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77CE1158">
      <w:pPr>
        <w:spacing w:line="460" w:lineRule="exact"/>
        <w:ind w:firstLine="560" w:firstLineChars="200"/>
        <w:rPr>
          <w:rFonts w:hint="eastAsia" w:ascii="仿宋" w:hAnsi="仿宋" w:eastAsia="仿宋" w:cs="仿宋"/>
          <w:b/>
          <w:sz w:val="28"/>
          <w:szCs w:val="28"/>
          <w:lang w:val="en-US" w:eastAsia="zh-CN"/>
        </w:rPr>
      </w:pPr>
      <w:bookmarkStart w:id="267" w:name="_Toc292559411"/>
      <w:bookmarkStart w:id="268" w:name="_Toc292559916"/>
      <w:bookmarkStart w:id="269" w:name="_Toc267251461"/>
      <w:bookmarkStart w:id="270" w:name="_Toc296346707"/>
      <w:bookmarkStart w:id="271" w:name="_Toc296891246"/>
      <w:bookmarkStart w:id="272" w:name="_Toc297120506"/>
      <w:bookmarkStart w:id="273" w:name="_Toc296891034"/>
      <w:bookmarkStart w:id="274" w:name="_Toc296944545"/>
      <w:bookmarkStart w:id="275" w:name="_Toc296503206"/>
      <w:bookmarkStart w:id="276" w:name="_Toc297048392"/>
      <w:bookmarkStart w:id="277" w:name="_Toc296347205"/>
      <w:bookmarkStart w:id="278" w:name="_Toc300935003"/>
      <w:bookmarkStart w:id="279" w:name="_Toc297216212"/>
      <w:bookmarkStart w:id="280" w:name="_Toc312678041"/>
      <w:bookmarkStart w:id="281" w:name="_Toc304295580"/>
      <w:bookmarkStart w:id="282" w:name="_Toc303539160"/>
      <w:bookmarkStart w:id="283" w:name="_Toc297123553"/>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sz w:val="28"/>
          <w:szCs w:val="28"/>
          <w:lang w:val="en-US" w:eastAsia="zh-CN"/>
        </w:rPr>
        <w:t>XXXX</w:t>
      </w:r>
      <w:r>
        <w:rPr>
          <w:rFonts w:hint="eastAsia" w:ascii="仿宋" w:hAnsi="仿宋" w:eastAsia="仿宋" w:cs="仿宋"/>
          <w:sz w:val="28"/>
          <w:szCs w:val="28"/>
          <w:lang w:eastAsia="zh-CN"/>
        </w:rPr>
        <w:t>。</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w:t>
      </w:r>
      <w:r>
        <w:rPr>
          <w:rFonts w:hint="eastAsia" w:ascii="仿宋" w:hAnsi="仿宋" w:eastAsia="仿宋" w:cs="仿宋"/>
          <w:sz w:val="28"/>
          <w:szCs w:val="28"/>
          <w:lang w:eastAsia="zh-CN"/>
        </w:rPr>
        <w:t>响应</w:t>
      </w:r>
      <w:r>
        <w:rPr>
          <w:rFonts w:hint="eastAsia" w:ascii="仿宋" w:hAnsi="仿宋" w:eastAsia="仿宋" w:cs="仿宋"/>
          <w:sz w:val="28"/>
          <w:szCs w:val="28"/>
        </w:rPr>
        <w:t>报价的价格执行，</w:t>
      </w:r>
      <w:r>
        <w:rPr>
          <w:rFonts w:hint="eastAsia" w:ascii="仿宋" w:hAnsi="仿宋" w:eastAsia="仿宋" w:cs="仿宋"/>
          <w:sz w:val="28"/>
          <w:szCs w:val="28"/>
          <w:lang w:eastAsia="zh-CN"/>
        </w:rPr>
        <w:t>响应</w:t>
      </w:r>
      <w:r>
        <w:rPr>
          <w:rFonts w:hint="eastAsia" w:ascii="仿宋" w:hAnsi="仿宋" w:eastAsia="仿宋" w:cs="仿宋"/>
          <w:sz w:val="28"/>
          <w:szCs w:val="28"/>
        </w:rPr>
        <w:t>报价上没有的材料价格按招标人认可的价格执行，按工程审定最高限价计价原则编制新增项目单价后，按最高限价与</w:t>
      </w:r>
      <w:r>
        <w:rPr>
          <w:rFonts w:hint="eastAsia" w:ascii="仿宋" w:hAnsi="仿宋" w:eastAsia="仿宋" w:cs="仿宋"/>
          <w:sz w:val="28"/>
          <w:szCs w:val="28"/>
          <w:lang w:eastAsia="zh-CN"/>
        </w:rPr>
        <w:t>响应</w:t>
      </w:r>
      <w:r>
        <w:rPr>
          <w:rFonts w:hint="eastAsia" w:ascii="仿宋" w:hAnsi="仿宋" w:eastAsia="仿宋" w:cs="仿宋"/>
          <w:sz w:val="28"/>
          <w:szCs w:val="28"/>
        </w:rPr>
        <w:t>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w:t>
      </w:r>
      <w:r>
        <w:rPr>
          <w:rFonts w:hint="eastAsia" w:ascii="仿宋" w:hAnsi="仿宋" w:eastAsia="仿宋" w:cs="仿宋"/>
          <w:b/>
          <w:sz w:val="28"/>
          <w:szCs w:val="28"/>
          <w:lang w:eastAsia="zh-CN"/>
        </w:rPr>
        <w:t>响应</w:t>
      </w:r>
      <w:r>
        <w:rPr>
          <w:rFonts w:hint="eastAsia" w:ascii="仿宋" w:hAnsi="仿宋" w:eastAsia="仿宋" w:cs="仿宋"/>
          <w:b/>
          <w:sz w:val="28"/>
          <w:szCs w:val="28"/>
        </w:rPr>
        <w:t>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55CF308E">
      <w:pPr>
        <w:spacing w:line="460" w:lineRule="exact"/>
        <w:ind w:firstLine="562" w:firstLineChars="200"/>
        <w:rPr>
          <w:rFonts w:hint="eastAsia" w:ascii="仿宋" w:hAnsi="仿宋" w:eastAsia="仿宋" w:cs="仿宋"/>
          <w:b/>
          <w:sz w:val="28"/>
          <w:szCs w:val="28"/>
        </w:rPr>
      </w:pPr>
      <w:bookmarkStart w:id="284" w:name="_Toc304295581"/>
      <w:bookmarkStart w:id="285" w:name="_Toc312678042"/>
      <w:bookmarkStart w:id="286" w:name="_Toc300935004"/>
      <w:bookmarkStart w:id="287" w:name="_Toc303539161"/>
      <w:bookmarkStart w:id="288" w:name="_Toc297216213"/>
      <w:bookmarkStart w:id="289" w:name="_Toc297123554"/>
      <w:bookmarkStart w:id="290" w:name="_Toc292559917"/>
      <w:bookmarkStart w:id="291" w:name="_Toc297048393"/>
      <w:bookmarkStart w:id="292" w:name="_Toc297120507"/>
      <w:bookmarkStart w:id="293" w:name="_Toc296346708"/>
      <w:bookmarkStart w:id="294" w:name="_Toc296891247"/>
      <w:bookmarkStart w:id="295" w:name="_Toc296891035"/>
      <w:bookmarkStart w:id="296" w:name="_Toc296347206"/>
      <w:bookmarkStart w:id="297" w:name="_Toc292559412"/>
      <w:bookmarkStart w:id="298" w:name="_Toc296503207"/>
      <w:bookmarkStart w:id="299" w:name="_Toc296944546"/>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w:t>
      </w:r>
    </w:p>
    <w:p w14:paraId="0BB9B6A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lang w:val="en-US" w:eastAsia="zh-CN"/>
        </w:rPr>
        <w:t>是</w:t>
      </w:r>
      <w:r>
        <w:rPr>
          <w:rFonts w:hint="eastAsia" w:ascii="仿宋" w:hAnsi="仿宋" w:eastAsia="仿宋" w:cs="仿宋"/>
          <w:sz w:val="28"/>
          <w:szCs w:val="28"/>
        </w:rPr>
        <w:t>。</w:t>
      </w:r>
    </w:p>
    <w:p w14:paraId="5D3395ED">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zh-CN"/>
        </w:rPr>
        <w:t>交</w:t>
      </w:r>
      <w:r>
        <w:rPr>
          <w:rFonts w:hint="eastAsia" w:ascii="仿宋" w:hAnsi="仿宋" w:eastAsia="仿宋" w:cs="仿宋"/>
          <w:sz w:val="28"/>
          <w:szCs w:val="28"/>
          <w:lang w:val="zh-CN" w:eastAsia="zh-CN"/>
        </w:rPr>
        <w:t>款金额：</w:t>
      </w:r>
      <w:r>
        <w:rPr>
          <w:rFonts w:hint="eastAsia" w:ascii="仿宋" w:hAnsi="仿宋" w:eastAsia="仿宋" w:cs="仿宋"/>
          <w:sz w:val="28"/>
          <w:szCs w:val="28"/>
          <w:lang w:val="en-US" w:eastAsia="zh-CN"/>
        </w:rPr>
        <w:t xml:space="preserve">人民币     元，大写：   </w:t>
      </w:r>
    </w:p>
    <w:p w14:paraId="5819BAD9">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注：履约担保交款金额计算方式为：合同金额</w:t>
      </w:r>
      <w:r>
        <w:rPr>
          <w:rFonts w:hint="eastAsia" w:ascii="仿宋" w:hAnsi="仿宋" w:eastAsia="仿宋" w:cs="仿宋"/>
          <w:sz w:val="28"/>
          <w:szCs w:val="28"/>
          <w:lang w:val="zh-CN" w:eastAsia="zh-CN"/>
        </w:rPr>
        <w:t>（扣除暂定部分）的10%（根据实际情况需明确暂定部分为暂列金额和暂估价），</w:t>
      </w:r>
      <w:r>
        <w:rPr>
          <w:rFonts w:hint="eastAsia" w:ascii="仿宋" w:hAnsi="仿宋" w:eastAsia="仿宋" w:cs="仿宋"/>
          <w:sz w:val="28"/>
          <w:szCs w:val="28"/>
          <w:lang w:val="en-US" w:eastAsia="zh-CN"/>
        </w:rPr>
        <w:t>暂列部分（含税）:人民币    XXX元。</w:t>
      </w:r>
    </w:p>
    <w:p w14:paraId="1D2F09C7">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交款方式：承包人应当以支票、汇票、本票或者金融机构、担保机构出具的保函等非现金形式(包括网银转账，电汇等方式)提交；</w:t>
      </w:r>
    </w:p>
    <w:p w14:paraId="2984D527">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val="zh-CN" w:eastAsia="zh-CN"/>
        </w:rPr>
        <w:t>）收款单位：四川省人民医院</w:t>
      </w:r>
    </w:p>
    <w:p w14:paraId="51F7A921">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val="zh-CN" w:eastAsia="zh-CN"/>
        </w:rPr>
        <w:t>）开户行：建设银行成都青羊支行</w:t>
      </w:r>
    </w:p>
    <w:p w14:paraId="1675D09C">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w:t>
      </w: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）银行账号；5100 1446 4360 5037 4282</w:t>
      </w:r>
    </w:p>
    <w:p w14:paraId="68323216">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交款时间：采购合同签订后7个工作日内；</w:t>
      </w:r>
    </w:p>
    <w:p w14:paraId="6AFD5578">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退还时间及方式：本项目验收合格后，发包人接到承包人退还申请后30个工作日内，一次性无息退还全部履约保证金。</w:t>
      </w:r>
    </w:p>
    <w:p w14:paraId="5629FBC1">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履约保证金不予退还情形：</w:t>
      </w:r>
    </w:p>
    <w:p w14:paraId="4D8222D5">
      <w:pPr>
        <w:spacing w:line="460" w:lineRule="exact"/>
        <w:ind w:firstLine="560" w:firstLineChars="200"/>
        <w:jc w:val="left"/>
        <w:rPr>
          <w:rFonts w:hint="eastAsia" w:ascii="仿宋" w:hAnsi="仿宋" w:eastAsia="仿宋" w:cs="仿宋"/>
          <w:sz w:val="28"/>
          <w:szCs w:val="28"/>
          <w:lang w:val="zh-CN" w:eastAsia="zh-CN"/>
        </w:rPr>
      </w:pPr>
      <w:r>
        <w:rPr>
          <w:rFonts w:hint="eastAsia" w:ascii="仿宋" w:hAnsi="仿宋" w:eastAsia="仿宋" w:cs="仿宋"/>
          <w:sz w:val="28"/>
          <w:szCs w:val="28"/>
          <w:lang w:val="zh-CN" w:eastAsia="zh-CN"/>
        </w:rPr>
        <w:t>(1)承包人不履行与发包人订立的合同的，给发包人造成的损失超过履约保证金数额的，还应当对超过部分予以赔偿；</w:t>
      </w:r>
    </w:p>
    <w:p w14:paraId="00689016">
      <w:pPr>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lang w:val="zh-CN" w:eastAsia="zh-CN"/>
        </w:rPr>
        <w:t>(2)项目验收结果不合格的；</w:t>
      </w:r>
    </w:p>
    <w:p w14:paraId="39CC2412">
      <w:pPr>
        <w:spacing w:line="460" w:lineRule="exact"/>
        <w:ind w:firstLine="560" w:firstLineChars="200"/>
        <w:jc w:val="left"/>
        <w:rPr>
          <w:rFonts w:hint="eastAsia"/>
        </w:rPr>
      </w:pPr>
      <w:r>
        <w:rPr>
          <w:rFonts w:hint="eastAsia" w:ascii="仿宋" w:hAnsi="仿宋" w:eastAsia="仿宋" w:cs="仿宋"/>
          <w:sz w:val="28"/>
          <w:szCs w:val="28"/>
          <w:lang w:val="en-US" w:eastAsia="zh-CN"/>
        </w:rPr>
        <w:t>(3)</w:t>
      </w:r>
      <w:r>
        <w:rPr>
          <w:rFonts w:hint="eastAsia" w:ascii="仿宋" w:hAnsi="仿宋" w:eastAsia="仿宋" w:cs="仿宋"/>
          <w:sz w:val="28"/>
          <w:szCs w:val="28"/>
          <w:lang w:val="zh-CN" w:eastAsia="zh-CN"/>
        </w:rPr>
        <w:t>其他违反国家相关法律法规的情形。</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7BD8EEE8">
      <w:pPr>
        <w:pStyle w:val="8"/>
        <w:keepNext w:val="0"/>
        <w:keepLines w:val="0"/>
        <w:pageBreakBefore w:val="0"/>
        <w:widowControl w:val="0"/>
        <w:kinsoku/>
        <w:wordWrap/>
        <w:overflowPunct/>
        <w:topLinePunct w:val="0"/>
        <w:autoSpaceDE/>
        <w:autoSpaceDN/>
        <w:bidi w:val="0"/>
        <w:adjustRightInd/>
        <w:snapToGrid/>
        <w:spacing w:line="460" w:lineRule="exact"/>
        <w:ind w:firstLine="561"/>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该项目安全文明施工费（含税）为：XXX元。</w:t>
      </w:r>
    </w:p>
    <w:p w14:paraId="12292A38">
      <w:pPr>
        <w:pStyle w:val="8"/>
        <w:keepNext w:val="0"/>
        <w:keepLines w:val="0"/>
        <w:pageBreakBefore w:val="0"/>
        <w:widowControl w:val="0"/>
        <w:kinsoku/>
        <w:wordWrap/>
        <w:overflowPunct/>
        <w:topLinePunct w:val="0"/>
        <w:autoSpaceDE/>
        <w:autoSpaceDN/>
        <w:bidi w:val="0"/>
        <w:adjustRightInd/>
        <w:snapToGrid/>
        <w:spacing w:line="460" w:lineRule="exact"/>
        <w:ind w:firstLine="561"/>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发包人应在开工后28天内预付安全文明施工费基本费（含税）总额的50%（人民币：XXX元），剩余50%基本费（人民币：XXX元）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12.3 预付款的支付</w:t>
      </w:r>
    </w:p>
    <w:p w14:paraId="30AD89AA">
      <w:pPr>
        <w:spacing w:line="46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预付款支付比例或金额：</w:t>
      </w:r>
      <w:r>
        <w:rPr>
          <w:rFonts w:hint="eastAsia" w:ascii="仿宋" w:hAnsi="仿宋" w:eastAsia="仿宋" w:cs="仿宋"/>
          <w:sz w:val="28"/>
          <w:szCs w:val="28"/>
          <w:highlight w:val="none"/>
          <w:u w:val="single"/>
          <w:lang w:val="en-US" w:eastAsia="zh-CN"/>
        </w:rPr>
        <w:t>无</w:t>
      </w:r>
      <w:r>
        <w:rPr>
          <w:rFonts w:hint="eastAsia" w:ascii="仿宋" w:hAnsi="仿宋" w:eastAsia="仿宋" w:cs="仿宋"/>
          <w:sz w:val="28"/>
          <w:szCs w:val="28"/>
          <w:highlight w:val="none"/>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545D74B0">
      <w:pPr>
        <w:spacing w:line="4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工程进度款根据工程进度按每月进行支付，承包人应在每月末向监理单位提交工程形象进度及进度申请预算书报告，监理单位在收到承包人提交的工程形象进度后5日历天完成审核，发包人在收到监理单位审核的形象进度及承包人提供合法有效票据及其他相关请款资料后55日内支付工程形象进度款的XXX%；待竣工结算审核完成后5个工作日内承包人向发包人交纳质保金（竣工结算审核审定金额的XXX%）后，承包人提供合法有效票据及其他相关请款资料，发包人收到上述发票及凭证资料后55日内支付至结算审核金额的XXX%。注：预付的安全文明施工费基本费应在第一次进度款时扣回。</w:t>
      </w:r>
    </w:p>
    <w:p w14:paraId="0B1D9F34">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zh-CN"/>
        </w:rPr>
        <w:t>质</w:t>
      </w:r>
      <w:r>
        <w:rPr>
          <w:rFonts w:hint="eastAsia" w:ascii="仿宋" w:hAnsi="仿宋" w:eastAsia="仿宋" w:cs="仿宋"/>
          <w:sz w:val="28"/>
          <w:szCs w:val="28"/>
        </w:rPr>
        <w:t>保</w:t>
      </w:r>
      <w:r>
        <w:rPr>
          <w:rFonts w:hint="eastAsia" w:ascii="仿宋" w:hAnsi="仿宋" w:eastAsia="仿宋" w:cs="仿宋"/>
          <w:sz w:val="28"/>
          <w:szCs w:val="28"/>
          <w:lang w:val="en-US" w:eastAsia="zh-CN"/>
        </w:rPr>
        <w:t>要求</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工程质量保修范围、期限和责任（详见《工程质量保修书》）</w:t>
      </w:r>
    </w:p>
    <w:p w14:paraId="2F32A58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竣工结算审核审定金额的XXX%</w:t>
      </w:r>
      <w:r>
        <w:rPr>
          <w:rFonts w:hint="eastAsia" w:ascii="仿宋" w:hAnsi="仿宋" w:eastAsia="仿宋" w:cs="仿宋"/>
          <w:sz w:val="28"/>
          <w:szCs w:val="28"/>
        </w:rPr>
        <w:t>。</w:t>
      </w:r>
      <w:r>
        <w:rPr>
          <w:rFonts w:hint="eastAsia" w:ascii="仿宋" w:hAnsi="仿宋" w:eastAsia="仿宋" w:cs="仿宋"/>
          <w:sz w:val="28"/>
          <w:szCs w:val="28"/>
          <w:lang w:val="en-US" w:eastAsia="zh-CN"/>
        </w:rPr>
        <w:t>质保金缴纳方式：以网银转账、支票、汇票、本票、金融机构或担保机构出具的保函/保险等非现金方式缴纳。</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lang w:val="zh-CN" w:eastAsia="zh-CN"/>
        </w:rPr>
        <w:t>缺陷责任期满后经发包人确认无质量问题，接承包人退款申请后30个工作日内一次性无息退还质量保证金。</w:t>
      </w:r>
    </w:p>
    <w:p w14:paraId="325CCD5C">
      <w:pPr>
        <w:spacing w:line="460" w:lineRule="exact"/>
        <w:ind w:firstLine="562" w:firstLineChars="200"/>
        <w:rPr>
          <w:rFonts w:hint="eastAsia" w:ascii="仿宋" w:hAnsi="仿宋" w:eastAsia="仿宋" w:cs="仿宋"/>
          <w:b/>
          <w:sz w:val="28"/>
          <w:szCs w:val="28"/>
        </w:rPr>
      </w:pPr>
      <w:bookmarkStart w:id="300" w:name="_Toc267251476"/>
      <w:bookmarkStart w:id="301" w:name="_Toc267251471"/>
      <w:bookmarkStart w:id="302" w:name="_Toc280868709"/>
      <w:bookmarkStart w:id="303" w:name="_Toc267251470"/>
      <w:bookmarkStart w:id="304" w:name="_Toc267251474"/>
      <w:bookmarkStart w:id="305" w:name="_Toc267251473"/>
      <w:bookmarkStart w:id="306" w:name="_Toc267251472"/>
      <w:bookmarkStart w:id="307" w:name="_Toc267251475"/>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谈判文件</w:t>
      </w:r>
      <w:r>
        <w:rPr>
          <w:rFonts w:hint="eastAsia" w:ascii="仿宋" w:hAnsi="仿宋" w:eastAsia="仿宋" w:cs="仿宋"/>
          <w:sz w:val="28"/>
          <w:szCs w:val="28"/>
        </w:rPr>
        <w:t>（含补充文件、预算控制价）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响应</w:t>
      </w:r>
      <w:r>
        <w:rPr>
          <w:rFonts w:hint="eastAsia" w:ascii="仿宋" w:hAnsi="仿宋" w:eastAsia="仿宋" w:cs="仿宋"/>
          <w:sz w:val="28"/>
          <w:szCs w:val="28"/>
        </w:rPr>
        <w:t>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w:t>
      </w:r>
      <w:r>
        <w:rPr>
          <w:rFonts w:hint="eastAsia" w:ascii="仿宋" w:hAnsi="仿宋" w:eastAsia="仿宋" w:cs="仿宋"/>
          <w:b/>
          <w:sz w:val="28"/>
          <w:szCs w:val="28"/>
          <w:lang w:eastAsia="zh-CN"/>
        </w:rPr>
        <w:t>成交</w:t>
      </w:r>
      <w:r>
        <w:rPr>
          <w:rFonts w:hint="eastAsia" w:ascii="仿宋" w:hAnsi="仿宋" w:eastAsia="仿宋" w:cs="仿宋"/>
          <w:b/>
          <w:sz w:val="28"/>
          <w:szCs w:val="28"/>
        </w:rPr>
        <w:t>后或结算时若发现承包人有违背招标/采购文件要求的情况（如：</w:t>
      </w:r>
      <w:r>
        <w:rPr>
          <w:rFonts w:hint="eastAsia" w:ascii="仿宋" w:hAnsi="仿宋" w:eastAsia="仿宋" w:cs="仿宋"/>
          <w:b/>
          <w:sz w:val="28"/>
          <w:szCs w:val="28"/>
          <w:lang w:eastAsia="zh-CN"/>
        </w:rPr>
        <w:t>响应</w:t>
      </w:r>
      <w:r>
        <w:rPr>
          <w:rFonts w:hint="eastAsia" w:ascii="仿宋" w:hAnsi="仿宋" w:eastAsia="仿宋" w:cs="仿宋"/>
          <w:b/>
          <w:sz w:val="28"/>
          <w:szCs w:val="28"/>
        </w:rPr>
        <w:t>工程量清单与分项报价汇总不一致或承包人在</w:t>
      </w:r>
      <w:r>
        <w:rPr>
          <w:rFonts w:hint="eastAsia" w:ascii="仿宋" w:hAnsi="仿宋" w:eastAsia="仿宋" w:cs="仿宋"/>
          <w:b/>
          <w:sz w:val="28"/>
          <w:szCs w:val="28"/>
          <w:lang w:eastAsia="zh-CN"/>
        </w:rPr>
        <w:t>响应</w:t>
      </w:r>
      <w:r>
        <w:rPr>
          <w:rFonts w:hint="eastAsia" w:ascii="仿宋" w:hAnsi="仿宋" w:eastAsia="仿宋" w:cs="仿宋"/>
          <w:b/>
          <w:sz w:val="28"/>
          <w:szCs w:val="28"/>
        </w:rPr>
        <w:t>时对</w:t>
      </w:r>
      <w:r>
        <w:rPr>
          <w:rFonts w:hint="eastAsia" w:ascii="仿宋" w:hAnsi="仿宋" w:eastAsia="仿宋" w:cs="仿宋"/>
          <w:b/>
          <w:sz w:val="28"/>
          <w:szCs w:val="28"/>
          <w:lang w:eastAsia="zh-CN"/>
        </w:rPr>
        <w:t>谈判文件</w:t>
      </w:r>
      <w:r>
        <w:rPr>
          <w:rFonts w:hint="eastAsia" w:ascii="仿宋" w:hAnsi="仿宋" w:eastAsia="仿宋" w:cs="仿宋"/>
          <w:b/>
          <w:sz w:val="28"/>
          <w:szCs w:val="28"/>
        </w:rPr>
        <w:t>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13.2本项目竣工结算审核由发包人审计部实施。</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90"/>
      <w:bookmarkStart w:id="312" w:name="_Toc267251489"/>
      <w:bookmarkStart w:id="313" w:name="_Toc267251486"/>
      <w:bookmarkStart w:id="314" w:name="_Toc267251488"/>
      <w:bookmarkStart w:id="315" w:name="_Toc267251493"/>
      <w:bookmarkStart w:id="316" w:name="_Toc267251494"/>
      <w:bookmarkStart w:id="317" w:name="_Toc267251499"/>
      <w:bookmarkStart w:id="318" w:name="_Toc267251495"/>
      <w:bookmarkStart w:id="319" w:name="_Toc267251491"/>
      <w:bookmarkStart w:id="320" w:name="_Toc267251502"/>
      <w:bookmarkStart w:id="321" w:name="_Toc267251503"/>
      <w:bookmarkStart w:id="322" w:name="_Toc267251496"/>
      <w:bookmarkStart w:id="323" w:name="_Toc267251501"/>
      <w:bookmarkStart w:id="324" w:name="_Toc267251498"/>
      <w:bookmarkStart w:id="325" w:name="_Toc267251492"/>
      <w:bookmarkStart w:id="326" w:name="_Toc267251497"/>
      <w:bookmarkStart w:id="327" w:name="_Toc267251508"/>
      <w:bookmarkStart w:id="328" w:name="_Toc267251506"/>
      <w:bookmarkStart w:id="329" w:name="_Toc267251504"/>
      <w:bookmarkStart w:id="330" w:name="_Toc267251507"/>
      <w:bookmarkStart w:id="331" w:name="_Toc267251510"/>
      <w:bookmarkStart w:id="332" w:name="_Toc267251515"/>
      <w:bookmarkStart w:id="333" w:name="_Toc267251509"/>
      <w:bookmarkStart w:id="334" w:name="_Toc267251514"/>
      <w:bookmarkStart w:id="335" w:name="_Toc267251511"/>
      <w:bookmarkStart w:id="336" w:name="_Toc267251513"/>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lang w:val="en-US" w:eastAsia="zh-CN"/>
        </w:rPr>
        <w:t>24</w:t>
      </w:r>
      <w:r>
        <w:rPr>
          <w:rFonts w:hint="eastAsia" w:ascii="仿宋" w:hAnsi="仿宋" w:eastAsia="仿宋" w:cs="仿宋"/>
          <w:sz w:val="28"/>
          <w:szCs w:val="28"/>
          <w:u w:val="single"/>
        </w:rPr>
        <w:t>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提出要求，承包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在发包</w:t>
      </w:r>
      <w:r>
        <w:rPr>
          <w:rFonts w:hint="eastAsia" w:ascii="仿宋" w:hAnsi="仿宋" w:eastAsia="仿宋" w:cs="仿宋"/>
          <w:kern w:val="0"/>
          <w:sz w:val="28"/>
          <w:szCs w:val="28"/>
          <w:lang w:val="en-US" w:eastAsia="zh-CN"/>
        </w:rPr>
        <w:t>人</w:t>
      </w:r>
      <w:r>
        <w:rPr>
          <w:rFonts w:hint="eastAsia" w:ascii="仿宋" w:hAnsi="仿宋" w:eastAsia="仿宋" w:cs="仿宋"/>
          <w:kern w:val="0"/>
          <w:sz w:val="28"/>
          <w:szCs w:val="28"/>
        </w:rPr>
        <w:t>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5DC2F791">
      <w:pPr>
        <w:numPr>
          <w:ilvl w:val="0"/>
          <w:numId w:val="0"/>
        </w:numPr>
        <w:spacing w:line="460" w:lineRule="exact"/>
        <w:ind w:firstLine="560" w:firstLineChars="20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val="en-US" w:eastAsia="zh-CN" w:bidi="ar-SA"/>
        </w:rPr>
        <w:t>（1）</w:t>
      </w: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w:t>
      </w:r>
      <w:r>
        <w:rPr>
          <w:rFonts w:hint="eastAsia" w:ascii="仿宋" w:hAnsi="仿宋" w:eastAsia="仿宋" w:cs="仿宋"/>
          <w:kern w:val="0"/>
          <w:sz w:val="28"/>
          <w:szCs w:val="28"/>
          <w:lang w:val="en-US" w:eastAsia="zh-CN"/>
        </w:rPr>
        <w:t>XXX</w:t>
      </w:r>
      <w:r>
        <w:rPr>
          <w:rFonts w:hint="eastAsia" w:ascii="仿宋" w:hAnsi="仿宋" w:eastAsia="仿宋" w:cs="仿宋"/>
          <w:kern w:val="0"/>
          <w:sz w:val="28"/>
          <w:szCs w:val="28"/>
        </w:rPr>
        <w:t>%的违约金；承包人违法转包工程，发包人有权拒付工程款，并保留终止合同的权利，承包人必须承担发包人因此而造成的所有损失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p>
    <w:p w14:paraId="602E3D5E">
      <w:pPr>
        <w:numPr>
          <w:ilvl w:val="0"/>
          <w:numId w:val="0"/>
        </w:numPr>
        <w:spacing w:line="460" w:lineRule="exact"/>
        <w:ind w:firstLine="560" w:firstLineChars="20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2</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w:t>
      </w:r>
      <w:r>
        <w:rPr>
          <w:rFonts w:hint="eastAsia" w:ascii="仿宋" w:hAnsi="仿宋" w:eastAsia="仿宋" w:cs="仿宋"/>
          <w:kern w:val="0"/>
          <w:sz w:val="28"/>
          <w:szCs w:val="28"/>
          <w:lang w:val="en-US" w:eastAsia="zh-CN"/>
        </w:rPr>
        <w:t>XXX</w:t>
      </w:r>
      <w:r>
        <w:rPr>
          <w:rFonts w:hint="eastAsia" w:ascii="仿宋" w:hAnsi="仿宋" w:eastAsia="仿宋" w:cs="仿宋"/>
          <w:kern w:val="0"/>
          <w:sz w:val="28"/>
          <w:szCs w:val="28"/>
        </w:rPr>
        <w:t>%向发包人支付违约金，发包人有权视情况严重程度单方解除合同并不退还履约保证金。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lang w:eastAsia="zh-CN"/>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28DA0509">
      <w:pPr>
        <w:keepNext w:val="0"/>
        <w:keepLines w:val="0"/>
        <w:widowControl/>
        <w:suppressLineNumbers w:val="0"/>
        <w:jc w:val="left"/>
        <w:rPr>
          <w:rFonts w:hint="eastAsia" w:ascii="仿宋" w:hAnsi="仿宋" w:eastAsia="仿宋" w:cs="仿宋"/>
          <w:sz w:val="28"/>
          <w:szCs w:val="28"/>
        </w:rPr>
      </w:pPr>
      <w:bookmarkStart w:id="338" w:name="_Toc351203652"/>
    </w:p>
    <w:p w14:paraId="2A9A0469">
      <w:pPr>
        <w:keepNext w:val="0"/>
        <w:keepLines w:val="0"/>
        <w:widowControl/>
        <w:suppressLineNumbers w:val="0"/>
        <w:jc w:val="left"/>
        <w:rPr>
          <w:rFonts w:hint="eastAsia" w:ascii="仿宋" w:hAnsi="仿宋" w:eastAsia="仿宋" w:cs="仿宋"/>
          <w:kern w:val="10"/>
          <w:sz w:val="28"/>
          <w:szCs w:val="28"/>
          <w:u w:val="single"/>
          <w:lang w:val="en-US" w:eastAsia="zh-CN"/>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kern w:val="10"/>
          <w:sz w:val="28"/>
          <w:szCs w:val="28"/>
          <w:u w:val="single"/>
          <w:lang w:val="en-US" w:eastAsia="zh-CN"/>
        </w:rPr>
        <w:t>XXX</w:t>
      </w:r>
      <w:r>
        <w:rPr>
          <w:rFonts w:hint="eastAsia" w:ascii="仿宋" w:hAnsi="仿宋" w:eastAsia="仿宋" w:cs="仿宋"/>
          <w:sz w:val="28"/>
          <w:szCs w:val="28"/>
        </w:rPr>
        <w:t>(公章)</w:t>
      </w:r>
    </w:p>
    <w:p w14:paraId="62FE36A4">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0EFD7F15">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C24FAF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60013961">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C498FA8">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5653EB3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7D48FA4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7ECDD98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75F82E7D">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54BB4F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3C5A876D">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7ADFBE71">
      <w:pPr>
        <w:spacing w:line="460" w:lineRule="exact"/>
        <w:rPr>
          <w:rFonts w:hint="eastAsia" w:ascii="仿宋" w:hAnsi="仿宋" w:eastAsia="仿宋" w:cs="仿宋"/>
          <w:kern w:val="10"/>
          <w:sz w:val="28"/>
          <w:szCs w:val="28"/>
          <w:u w:val="single"/>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w:t>
      </w:r>
      <w:r>
        <w:rPr>
          <w:rFonts w:hint="eastAsia" w:ascii="仿宋" w:hAnsi="仿宋" w:eastAsia="仿宋" w:cs="仿宋"/>
          <w:sz w:val="28"/>
          <w:szCs w:val="28"/>
          <w:lang w:val="en-US" w:eastAsia="zh-CN"/>
        </w:rPr>
        <w:t>XXX</w:t>
      </w:r>
      <w:r>
        <w:rPr>
          <w:rFonts w:hint="eastAsia" w:ascii="仿宋" w:hAnsi="仿宋" w:eastAsia="仿宋" w:cs="仿宋"/>
          <w:sz w:val="28"/>
          <w:szCs w:val="28"/>
        </w:rPr>
        <w:t>以及双方约定的其他项目。具体保修的内容，双方约定如下：</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lang w:val="en-US" w:eastAsia="zh-CN"/>
        </w:rPr>
        <w:t>年</w:t>
      </w:r>
      <w:r>
        <w:rPr>
          <w:rFonts w:hint="eastAsia" w:ascii="仿宋" w:hAnsi="仿宋" w:eastAsia="仿宋" w:cs="仿宋"/>
          <w:sz w:val="28"/>
          <w:szCs w:val="28"/>
        </w:rPr>
        <w:t>；</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2D944B70">
      <w:pPr>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7．其他项目保修期限约定如下：</w:t>
      </w:r>
      <w:r>
        <w:rPr>
          <w:rFonts w:hint="eastAsia" w:ascii="仿宋" w:hAnsi="仿宋" w:eastAsia="仿宋" w:cs="仿宋"/>
          <w:sz w:val="28"/>
          <w:szCs w:val="28"/>
          <w:lang w:val="en-US" w:eastAsia="zh-CN"/>
        </w:rPr>
        <w:t>无</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r>
        <w:rPr>
          <w:rFonts w:hint="eastAsia" w:ascii="仿宋" w:hAnsi="仿宋" w:eastAsia="仿宋" w:cs="仿宋"/>
          <w:sz w:val="28"/>
          <w:szCs w:val="28"/>
          <w:lang w:val="en-US" w:eastAsia="zh-CN"/>
        </w:rPr>
        <w:t>。</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lang w:val="en-US" w:eastAsia="zh-CN"/>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p>
    <w:p w14:paraId="26EE619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小时内响应到场，</w:t>
      </w:r>
      <w:r>
        <w:rPr>
          <w:rFonts w:hint="eastAsia" w:ascii="仿宋" w:hAnsi="仿宋" w:eastAsia="仿宋" w:cs="仿宋"/>
          <w:sz w:val="28"/>
          <w:szCs w:val="28"/>
          <w:lang w:val="en-US" w:eastAsia="zh-CN"/>
        </w:rPr>
        <w:t>XX</w:t>
      </w:r>
      <w:r>
        <w:rPr>
          <w:rFonts w:hint="eastAsia" w:ascii="仿宋" w:hAnsi="仿宋" w:eastAsia="仿宋" w:cs="仿宋"/>
          <w:sz w:val="28"/>
          <w:szCs w:val="28"/>
        </w:rPr>
        <w:t>小时内完成维修或更换有缺陷的货物或部件，</w:t>
      </w:r>
      <w:r>
        <w:rPr>
          <w:rFonts w:hint="eastAsia" w:ascii="仿宋" w:hAnsi="仿宋" w:eastAsia="仿宋" w:cs="仿宋"/>
          <w:sz w:val="28"/>
          <w:szCs w:val="28"/>
          <w:lang w:val="en-US" w:eastAsia="zh-CN"/>
        </w:rPr>
        <w:t>工程保修</w:t>
      </w:r>
      <w:r>
        <w:rPr>
          <w:rFonts w:hint="eastAsia" w:ascii="仿宋" w:hAnsi="仿宋" w:eastAsia="仿宋" w:cs="仿宋"/>
          <w:sz w:val="28"/>
          <w:szCs w:val="28"/>
        </w:rPr>
        <w:t>期顺延，由此带来的所有费用由</w:t>
      </w:r>
      <w:r>
        <w:rPr>
          <w:rFonts w:hint="eastAsia" w:ascii="仿宋" w:hAnsi="仿宋" w:eastAsia="仿宋" w:cs="仿宋"/>
          <w:sz w:val="28"/>
          <w:szCs w:val="28"/>
          <w:lang w:eastAsia="zh-CN"/>
        </w:rPr>
        <w:t>承包人</w:t>
      </w:r>
      <w:r>
        <w:rPr>
          <w:rFonts w:hint="eastAsia" w:ascii="仿宋" w:hAnsi="仿宋" w:eastAsia="仿宋" w:cs="仿宋"/>
          <w:sz w:val="28"/>
          <w:szCs w:val="28"/>
        </w:rPr>
        <w:t>承担。</w:t>
      </w:r>
    </w:p>
    <w:p w14:paraId="02EEA0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．对于涉及结构安全的质量问题，应当立即向当地建设行政主管部门和有关部门报告，采取安全防范措施，并由原设计人或者具有相应资质等级的设计人提出质量保修方案，承包人实施质量保修。</w:t>
      </w:r>
    </w:p>
    <w:p w14:paraId="0EF0047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038F478D">
      <w:pPr>
        <w:keepNext w:val="0"/>
        <w:keepLines w:val="0"/>
        <w:widowControl/>
        <w:suppressLineNumbers w:val="0"/>
        <w:jc w:val="left"/>
        <w:rPr>
          <w:rFonts w:hint="eastAsia" w:ascii="仿宋" w:hAnsi="仿宋" w:eastAsia="仿宋" w:cs="仿宋"/>
          <w:kern w:val="10"/>
          <w:sz w:val="28"/>
          <w:szCs w:val="28"/>
          <w:u w:val="single"/>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(公章)</w:t>
      </w:r>
    </w:p>
    <w:p w14:paraId="341C4B5B">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62B7E3A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0ACAD79">
      <w:pPr>
        <w:tabs>
          <w:tab w:val="left" w:pos="4410"/>
        </w:tabs>
        <w:spacing w:line="460" w:lineRule="exact"/>
        <w:rPr>
          <w:rFonts w:hint="default" w:ascii="仿宋" w:hAnsi="仿宋" w:eastAsia="仿宋" w:cs="仿宋"/>
          <w:sz w:val="28"/>
          <w:szCs w:val="28"/>
          <w:lang w:val="en-US"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F57BFE8">
      <w:pPr>
        <w:spacing w:line="460" w:lineRule="exact"/>
        <w:ind w:left="6160" w:hanging="6160" w:hangingChars="2200"/>
        <w:rPr>
          <w:rFonts w:hint="default" w:ascii="仿宋" w:hAnsi="仿宋" w:eastAsia="仿宋" w:cs="仿宋"/>
          <w:sz w:val="28"/>
          <w:szCs w:val="28"/>
          <w:lang w:val="en-US"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917486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1CF7A67">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59BE845C">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5AE9E34D">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27EBF25D">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094CD0F">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418D855">
      <w:pPr>
        <w:spacing w:line="460" w:lineRule="exact"/>
        <w:rPr>
          <w:rFonts w:hint="eastAsia" w:ascii="仿宋" w:hAnsi="仿宋" w:eastAsia="仿宋" w:cs="仿宋"/>
          <w:kern w:val="10"/>
          <w:sz w:val="28"/>
          <w:szCs w:val="28"/>
          <w:u w:val="single"/>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F4372E0">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jc w:val="both"/>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工程项目名称：</w:t>
      </w:r>
      <w:r>
        <w:rPr>
          <w:rFonts w:hint="eastAsia" w:ascii="仿宋" w:hAnsi="仿宋" w:eastAsia="仿宋" w:cs="仿宋"/>
          <w:sz w:val="28"/>
          <w:szCs w:val="28"/>
          <w:lang w:eastAsia="zh-CN"/>
        </w:rPr>
        <w:t>四川省人民医院</w:t>
      </w:r>
      <w:r>
        <w:rPr>
          <w:rFonts w:hint="eastAsia" w:ascii="仿宋" w:hAnsi="仿宋" w:eastAsia="仿宋" w:cs="仿宋"/>
          <w:sz w:val="28"/>
          <w:szCs w:val="28"/>
          <w:lang w:val="en-US" w:eastAsia="zh-CN"/>
        </w:rPr>
        <w:t>XXX</w:t>
      </w:r>
      <w:r>
        <w:rPr>
          <w:rFonts w:hint="eastAsia" w:ascii="仿宋" w:hAnsi="仿宋" w:eastAsia="仿宋" w:cs="仿宋"/>
          <w:sz w:val="28"/>
          <w:szCs w:val="28"/>
          <w:lang w:eastAsia="zh-CN"/>
        </w:rPr>
        <w:t>项目</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lang w:eastAsia="zh-CN"/>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01CD334F">
      <w:pPr>
        <w:pStyle w:val="8"/>
        <w:rPr>
          <w:rFonts w:hint="eastAsia"/>
        </w:rPr>
      </w:pPr>
    </w:p>
    <w:p w14:paraId="01C6B875">
      <w:pPr>
        <w:spacing w:line="460" w:lineRule="exact"/>
        <w:jc w:val="lef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0797A71">
      <w:pPr>
        <w:tabs>
          <w:tab w:val="left" w:pos="4410"/>
        </w:tabs>
        <w:spacing w:line="460" w:lineRule="exact"/>
        <w:rPr>
          <w:rFonts w:hint="eastAsia" w:ascii="仿宋" w:hAnsi="仿宋" w:eastAsia="仿宋" w:cs="仿宋"/>
          <w:sz w:val="28"/>
          <w:szCs w:val="28"/>
          <w:lang w:eastAsia="zh-CN"/>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1E197924">
      <w:pPr>
        <w:spacing w:line="460" w:lineRule="exact"/>
        <w:jc w:val="left"/>
        <w:rPr>
          <w:rFonts w:hint="eastAsia" w:ascii="仿宋" w:hAnsi="仿宋" w:eastAsia="仿宋" w:cs="仿宋"/>
          <w:sz w:val="28"/>
          <w:szCs w:val="28"/>
          <w:lang w:eastAsia="zh-CN"/>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C71B76D">
      <w:pPr>
        <w:spacing w:line="460" w:lineRule="exact"/>
        <w:rPr>
          <w:rFonts w:hint="eastAsia" w:ascii="仿宋" w:hAnsi="仿宋" w:eastAsia="仿宋" w:cs="仿宋"/>
          <w:sz w:val="28"/>
          <w:szCs w:val="28"/>
          <w:lang w:val="en-US" w:eastAsia="zh-CN"/>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r>
        <w:rPr>
          <w:rFonts w:hint="eastAsia" w:ascii="仿宋" w:hAnsi="仿宋" w:eastAsia="仿宋" w:cs="仿宋"/>
          <w:sz w:val="28"/>
          <w:szCs w:val="28"/>
          <w:u w:val="single"/>
          <w:lang w:val="en-US" w:eastAsia="zh-CN"/>
        </w:rPr>
        <w:t xml:space="preserve">         </w:t>
      </w:r>
    </w:p>
    <w:p w14:paraId="44C4B9F3">
      <w:pPr>
        <w:spacing w:line="460" w:lineRule="exact"/>
        <w:rPr>
          <w:rFonts w:hint="eastAsia" w:ascii="仿宋" w:hAnsi="仿宋" w:eastAsia="仿宋" w:cs="仿宋"/>
          <w:sz w:val="28"/>
          <w:szCs w:val="28"/>
          <w:lang w:val="en-US" w:eastAsia="zh-CN"/>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r>
        <w:rPr>
          <w:rFonts w:hint="eastAsia" w:ascii="仿宋" w:hAnsi="仿宋" w:eastAsia="仿宋" w:cs="仿宋"/>
          <w:sz w:val="28"/>
          <w:szCs w:val="28"/>
          <w:u w:val="single"/>
          <w:lang w:val="en-US" w:eastAsia="zh-CN"/>
        </w:rPr>
        <w:t xml:space="preserve">         </w:t>
      </w:r>
    </w:p>
    <w:p w14:paraId="316D18BB">
      <w:pPr>
        <w:spacing w:line="4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r>
        <w:rPr>
          <w:rFonts w:hint="eastAsia" w:ascii="仿宋" w:hAnsi="仿宋" w:eastAsia="仿宋" w:cs="仿宋"/>
          <w:sz w:val="28"/>
          <w:szCs w:val="28"/>
          <w:lang w:eastAsia="zh-CN"/>
        </w:rPr>
        <w:t>：</w:t>
      </w:r>
      <w:r>
        <w:rPr>
          <w:rFonts w:hint="eastAsia" w:ascii="仿宋" w:hAnsi="仿宋" w:eastAsia="仿宋" w:cs="仿宋"/>
          <w:sz w:val="28"/>
          <w:szCs w:val="28"/>
          <w:u w:val="single"/>
          <w:lang w:val="en-US" w:eastAsia="zh-CN"/>
        </w:rPr>
        <w:t xml:space="preserve">         </w:t>
      </w:r>
    </w:p>
    <w:p w14:paraId="35C3E22E">
      <w:pPr>
        <w:spacing w:line="460" w:lineRule="exact"/>
        <w:rPr>
          <w:rFonts w:hint="eastAsia" w:ascii="仿宋" w:hAnsi="仿宋" w:eastAsia="仿宋" w:cs="仿宋"/>
          <w:sz w:val="28"/>
          <w:szCs w:val="28"/>
          <w:u w:val="single"/>
          <w:lang w:val="en-US" w:eastAsia="zh-CN"/>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r>
        <w:rPr>
          <w:rFonts w:hint="eastAsia" w:ascii="仿宋" w:hAnsi="仿宋" w:eastAsia="仿宋" w:cs="仿宋"/>
          <w:sz w:val="28"/>
          <w:szCs w:val="28"/>
          <w:u w:val="single"/>
          <w:lang w:val="en-US" w:eastAsia="zh-CN"/>
        </w:rPr>
        <w:t xml:space="preserve">          </w:t>
      </w:r>
    </w:p>
    <w:p w14:paraId="41B551AA">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r>
        <w:rPr>
          <w:rFonts w:hint="eastAsia" w:ascii="仿宋" w:hAnsi="仿宋" w:eastAsia="仿宋" w:cs="仿宋"/>
          <w:sz w:val="28"/>
          <w:szCs w:val="28"/>
          <w:u w:val="single"/>
          <w:lang w:val="en-US" w:eastAsia="zh-CN"/>
        </w:rPr>
        <w:t xml:space="preserve">         </w:t>
      </w:r>
    </w:p>
    <w:p w14:paraId="17F99038">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lang w:val="en-US" w:eastAsia="zh-CN"/>
        </w:rPr>
        <w:t xml:space="preserve">                  </w:t>
      </w:r>
    </w:p>
    <w:p w14:paraId="30ED2B4D">
      <w:pPr>
        <w:spacing w:line="460" w:lineRule="exact"/>
        <w:jc w:val="left"/>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7B752A90">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sz w:val="28"/>
          <w:szCs w:val="28"/>
          <w:u w:val="single"/>
          <w:lang w:val="en-US" w:eastAsia="zh-CN"/>
        </w:rPr>
        <w:t xml:space="preserve">     </w:t>
      </w:r>
    </w:p>
    <w:p w14:paraId="4B3A70B4">
      <w:pPr>
        <w:widowControl/>
        <w:spacing w:line="360" w:lineRule="auto"/>
        <w:outlineLvl w:val="9"/>
        <w:rPr>
          <w:rFonts w:hint="eastAsia" w:ascii="仿宋" w:hAnsi="仿宋" w:eastAsia="仿宋" w:cs="仿宋"/>
          <w:sz w:val="28"/>
          <w:szCs w:val="28"/>
          <w:u w:val="single"/>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A8576BD-00BB-4D7C-BBBF-6DCEE965731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45E3B1E-3C98-436A-B5D6-3CBF008616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7C30A89-EDCE-42F2-97F1-147E138443F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F450322-0A1B-4B88-ADE0-CAD5C1D20476}"/>
  </w:font>
  <w:font w:name="Segoe UI Symbol">
    <w:panose1 w:val="020B0502040204020203"/>
    <w:charset w:val="00"/>
    <w:family w:val="swiss"/>
    <w:pitch w:val="default"/>
    <w:sig w:usb0="800001E3" w:usb1="1200FFEF" w:usb2="00040000" w:usb3="04000000" w:csb0="00000001" w:csb1="40000000"/>
    <w:embedRegular r:id="rId5" w:fontKey="{262AE4BC-4188-4964-8AA3-0136BD232D84}"/>
  </w:font>
  <w:font w:name="方正仿宋_GB2312">
    <w:panose1 w:val="02000000000000000000"/>
    <w:charset w:val="86"/>
    <w:family w:val="auto"/>
    <w:pitch w:val="default"/>
    <w:sig w:usb0="A00002BF" w:usb1="184F6CFA" w:usb2="00000012" w:usb3="00000000" w:csb0="00040001" w:csb1="00000000"/>
    <w:embedRegular r:id="rId6" w:fontKey="{51CED04A-74B9-485B-B9D5-3D400BAC0379}"/>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3C1B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819B44">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E819B44">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96A3BFD"/>
    <w:multiLevelType w:val="singleLevel"/>
    <w:tmpl w:val="C96A3BFD"/>
    <w:lvl w:ilvl="0" w:tentative="0">
      <w:start w:val="1"/>
      <w:numFmt w:val="decimal"/>
      <w:lvlText w:val="(%1)"/>
      <w:lvlJc w:val="left"/>
      <w:pPr>
        <w:ind w:left="425" w:hanging="425"/>
      </w:pPr>
      <w:rPr>
        <w:rFonts w:hint="default"/>
      </w:rPr>
    </w:lvl>
  </w:abstractNum>
  <w:abstractNum w:abstractNumId="3">
    <w:nsid w:val="DBFA7DCF"/>
    <w:multiLevelType w:val="singleLevel"/>
    <w:tmpl w:val="DBFA7DCF"/>
    <w:lvl w:ilvl="0" w:tentative="0">
      <w:start w:val="1"/>
      <w:numFmt w:val="decimal"/>
      <w:lvlText w:val="%1."/>
      <w:lvlJc w:val="left"/>
      <w:pPr>
        <w:tabs>
          <w:tab w:val="left" w:pos="312"/>
        </w:tabs>
      </w:p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4247D2AE"/>
    <w:multiLevelType w:val="singleLevel"/>
    <w:tmpl w:val="4247D2AE"/>
    <w:lvl w:ilvl="0" w:tentative="0">
      <w:start w:val="1"/>
      <w:numFmt w:val="decimal"/>
      <w:lvlText w:val="(%1)"/>
      <w:lvlJc w:val="left"/>
      <w:pPr>
        <w:ind w:left="425" w:hanging="425"/>
      </w:pPr>
      <w:rPr>
        <w:rFonts w:hint="default"/>
      </w:rPr>
    </w:lvl>
  </w:abstractNum>
  <w:abstractNum w:abstractNumId="12">
    <w:nsid w:val="590EF366"/>
    <w:multiLevelType w:val="singleLevel"/>
    <w:tmpl w:val="590EF366"/>
    <w:lvl w:ilvl="0" w:tentative="0">
      <w:start w:val="5"/>
      <w:numFmt w:val="decimal"/>
      <w:suff w:val="nothing"/>
      <w:lvlText w:val="%1、"/>
      <w:lvlJc w:val="left"/>
    </w:lvl>
  </w:abstractNum>
  <w:abstractNum w:abstractNumId="1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4"/>
  </w:num>
  <w:num w:numId="5">
    <w:abstractNumId w:val="7"/>
  </w:num>
  <w:num w:numId="6">
    <w:abstractNumId w:val="13"/>
  </w:num>
  <w:num w:numId="7">
    <w:abstractNumId w:val="9"/>
  </w:num>
  <w:num w:numId="8">
    <w:abstractNumId w:val="4"/>
  </w:num>
  <w:num w:numId="9">
    <w:abstractNumId w:val="1"/>
  </w:num>
  <w:num w:numId="10">
    <w:abstractNumId w:val="0"/>
  </w:num>
  <w:num w:numId="11">
    <w:abstractNumId w:val="6"/>
  </w:num>
  <w:num w:numId="12">
    <w:abstractNumId w:val="3"/>
  </w:num>
  <w:num w:numId="13">
    <w:abstractNumId w:val="2"/>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25A44"/>
    <w:rsid w:val="00275FE7"/>
    <w:rsid w:val="002924D0"/>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15FFE"/>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812738"/>
    <w:rsid w:val="02E103FD"/>
    <w:rsid w:val="03960557"/>
    <w:rsid w:val="04D81FFB"/>
    <w:rsid w:val="058C78B0"/>
    <w:rsid w:val="05E13064"/>
    <w:rsid w:val="060B2A58"/>
    <w:rsid w:val="078A573C"/>
    <w:rsid w:val="07C12BFE"/>
    <w:rsid w:val="081262DD"/>
    <w:rsid w:val="093A3733"/>
    <w:rsid w:val="0B4508AE"/>
    <w:rsid w:val="0C150B29"/>
    <w:rsid w:val="0CF161C9"/>
    <w:rsid w:val="0E0B7FF0"/>
    <w:rsid w:val="0EE651DB"/>
    <w:rsid w:val="0F392D3F"/>
    <w:rsid w:val="0F7F4595"/>
    <w:rsid w:val="10361D7B"/>
    <w:rsid w:val="117A5014"/>
    <w:rsid w:val="11C630C8"/>
    <w:rsid w:val="12457968"/>
    <w:rsid w:val="127F05A0"/>
    <w:rsid w:val="136D78F8"/>
    <w:rsid w:val="14D37FF3"/>
    <w:rsid w:val="15C54CCC"/>
    <w:rsid w:val="15CC4977"/>
    <w:rsid w:val="162A4F7D"/>
    <w:rsid w:val="16A82A66"/>
    <w:rsid w:val="16C73BBC"/>
    <w:rsid w:val="172123D6"/>
    <w:rsid w:val="174707F2"/>
    <w:rsid w:val="187F540D"/>
    <w:rsid w:val="1994787E"/>
    <w:rsid w:val="1AF000F5"/>
    <w:rsid w:val="1B8934AF"/>
    <w:rsid w:val="1C114E27"/>
    <w:rsid w:val="1D84707B"/>
    <w:rsid w:val="1DD000AF"/>
    <w:rsid w:val="1E09745A"/>
    <w:rsid w:val="1E176351"/>
    <w:rsid w:val="1F0829B6"/>
    <w:rsid w:val="1F0C1276"/>
    <w:rsid w:val="1F0C54A8"/>
    <w:rsid w:val="1F8F33DE"/>
    <w:rsid w:val="220C746B"/>
    <w:rsid w:val="23A86D7B"/>
    <w:rsid w:val="23D4489F"/>
    <w:rsid w:val="24AF7551"/>
    <w:rsid w:val="258A2959"/>
    <w:rsid w:val="25C61AD3"/>
    <w:rsid w:val="262001B9"/>
    <w:rsid w:val="263F622E"/>
    <w:rsid w:val="27413274"/>
    <w:rsid w:val="27855028"/>
    <w:rsid w:val="27B87AF9"/>
    <w:rsid w:val="27E80EA9"/>
    <w:rsid w:val="27EB03C1"/>
    <w:rsid w:val="27FE2AE4"/>
    <w:rsid w:val="280414A1"/>
    <w:rsid w:val="28570368"/>
    <w:rsid w:val="29C5318E"/>
    <w:rsid w:val="29CD6057"/>
    <w:rsid w:val="2B502F98"/>
    <w:rsid w:val="2B9575C9"/>
    <w:rsid w:val="2C207DFA"/>
    <w:rsid w:val="2C9A0A9E"/>
    <w:rsid w:val="2CA5739C"/>
    <w:rsid w:val="2CE669ED"/>
    <w:rsid w:val="2CFB5FD8"/>
    <w:rsid w:val="2D2A01AC"/>
    <w:rsid w:val="2DA70D65"/>
    <w:rsid w:val="2DE30C25"/>
    <w:rsid w:val="2F6065C6"/>
    <w:rsid w:val="2F6B655C"/>
    <w:rsid w:val="30281C88"/>
    <w:rsid w:val="31871FB0"/>
    <w:rsid w:val="31E32279"/>
    <w:rsid w:val="321E3342"/>
    <w:rsid w:val="32FB4834"/>
    <w:rsid w:val="33217DAE"/>
    <w:rsid w:val="337551E4"/>
    <w:rsid w:val="337E053C"/>
    <w:rsid w:val="3427766B"/>
    <w:rsid w:val="343706EB"/>
    <w:rsid w:val="351A08D0"/>
    <w:rsid w:val="357E7224"/>
    <w:rsid w:val="36334CE5"/>
    <w:rsid w:val="36343134"/>
    <w:rsid w:val="36945AB7"/>
    <w:rsid w:val="36C16F69"/>
    <w:rsid w:val="383E64EC"/>
    <w:rsid w:val="39D03A68"/>
    <w:rsid w:val="3A551407"/>
    <w:rsid w:val="3B033C36"/>
    <w:rsid w:val="3C106222"/>
    <w:rsid w:val="3C357C06"/>
    <w:rsid w:val="3CCA7E7E"/>
    <w:rsid w:val="3E01666E"/>
    <w:rsid w:val="3E5325C6"/>
    <w:rsid w:val="3E5D4E8E"/>
    <w:rsid w:val="3E755F09"/>
    <w:rsid w:val="3EEF1B7B"/>
    <w:rsid w:val="3FE25336"/>
    <w:rsid w:val="40DF0D69"/>
    <w:rsid w:val="41345E57"/>
    <w:rsid w:val="413936AC"/>
    <w:rsid w:val="415040DD"/>
    <w:rsid w:val="42075FF8"/>
    <w:rsid w:val="426808B6"/>
    <w:rsid w:val="4269685C"/>
    <w:rsid w:val="42842020"/>
    <w:rsid w:val="42887029"/>
    <w:rsid w:val="42F069BC"/>
    <w:rsid w:val="441475BD"/>
    <w:rsid w:val="450F48DA"/>
    <w:rsid w:val="46772614"/>
    <w:rsid w:val="468567BB"/>
    <w:rsid w:val="46D90E4C"/>
    <w:rsid w:val="4782487D"/>
    <w:rsid w:val="479E2B03"/>
    <w:rsid w:val="484401A4"/>
    <w:rsid w:val="4A0F7CE8"/>
    <w:rsid w:val="4AC676BD"/>
    <w:rsid w:val="4B31068E"/>
    <w:rsid w:val="4B3A1D58"/>
    <w:rsid w:val="4B6905AE"/>
    <w:rsid w:val="4B92526E"/>
    <w:rsid w:val="4BA55220"/>
    <w:rsid w:val="4BAD0151"/>
    <w:rsid w:val="4C464353"/>
    <w:rsid w:val="4C7E1155"/>
    <w:rsid w:val="4C8F75A2"/>
    <w:rsid w:val="4DAD4403"/>
    <w:rsid w:val="4E8C008E"/>
    <w:rsid w:val="4F42646A"/>
    <w:rsid w:val="4FEF758C"/>
    <w:rsid w:val="50650662"/>
    <w:rsid w:val="50771A9C"/>
    <w:rsid w:val="50B25FB2"/>
    <w:rsid w:val="50C01D3C"/>
    <w:rsid w:val="519A7DC4"/>
    <w:rsid w:val="51C47F6D"/>
    <w:rsid w:val="53A514E1"/>
    <w:rsid w:val="5455382C"/>
    <w:rsid w:val="559B5BC3"/>
    <w:rsid w:val="5628105F"/>
    <w:rsid w:val="56715C14"/>
    <w:rsid w:val="57106075"/>
    <w:rsid w:val="57E02CC4"/>
    <w:rsid w:val="58F72073"/>
    <w:rsid w:val="592A04F6"/>
    <w:rsid w:val="5A5F7C09"/>
    <w:rsid w:val="5B371EA1"/>
    <w:rsid w:val="5BA0525E"/>
    <w:rsid w:val="5CDA6D09"/>
    <w:rsid w:val="5D0A3490"/>
    <w:rsid w:val="5D7E0D39"/>
    <w:rsid w:val="5E4D1E02"/>
    <w:rsid w:val="5E9D3F29"/>
    <w:rsid w:val="5F647224"/>
    <w:rsid w:val="5F817E72"/>
    <w:rsid w:val="600E76A2"/>
    <w:rsid w:val="60384CD1"/>
    <w:rsid w:val="60655808"/>
    <w:rsid w:val="61A76AAC"/>
    <w:rsid w:val="61DB76DB"/>
    <w:rsid w:val="62D97D14"/>
    <w:rsid w:val="63750A53"/>
    <w:rsid w:val="63A9427A"/>
    <w:rsid w:val="63D462B1"/>
    <w:rsid w:val="641A3596"/>
    <w:rsid w:val="64D96647"/>
    <w:rsid w:val="652D3A34"/>
    <w:rsid w:val="655B51E5"/>
    <w:rsid w:val="65AB769B"/>
    <w:rsid w:val="65E40ADA"/>
    <w:rsid w:val="66330B86"/>
    <w:rsid w:val="66360241"/>
    <w:rsid w:val="666C1AD8"/>
    <w:rsid w:val="66A54C79"/>
    <w:rsid w:val="66E22203"/>
    <w:rsid w:val="671F7831"/>
    <w:rsid w:val="676B1CEC"/>
    <w:rsid w:val="685C1DC4"/>
    <w:rsid w:val="68B812C9"/>
    <w:rsid w:val="694F14B1"/>
    <w:rsid w:val="696D0F78"/>
    <w:rsid w:val="69D50CF4"/>
    <w:rsid w:val="6AB9525A"/>
    <w:rsid w:val="6B46058E"/>
    <w:rsid w:val="6C31699C"/>
    <w:rsid w:val="6C487AFD"/>
    <w:rsid w:val="6CB24363"/>
    <w:rsid w:val="6DD644F6"/>
    <w:rsid w:val="6EA93466"/>
    <w:rsid w:val="6F3E2352"/>
    <w:rsid w:val="6F4551EB"/>
    <w:rsid w:val="6FCF0795"/>
    <w:rsid w:val="71381023"/>
    <w:rsid w:val="713A2FED"/>
    <w:rsid w:val="719E17CE"/>
    <w:rsid w:val="73714961"/>
    <w:rsid w:val="741F6AAA"/>
    <w:rsid w:val="74620891"/>
    <w:rsid w:val="754D1D92"/>
    <w:rsid w:val="758350A9"/>
    <w:rsid w:val="75992388"/>
    <w:rsid w:val="75C14AC1"/>
    <w:rsid w:val="76034BED"/>
    <w:rsid w:val="76285B0A"/>
    <w:rsid w:val="76B35EA2"/>
    <w:rsid w:val="76F53C3E"/>
    <w:rsid w:val="771146FB"/>
    <w:rsid w:val="78BA61D2"/>
    <w:rsid w:val="78D41F79"/>
    <w:rsid w:val="79687E1D"/>
    <w:rsid w:val="79E61F64"/>
    <w:rsid w:val="7A5B1203"/>
    <w:rsid w:val="7A725AB4"/>
    <w:rsid w:val="7A810EAF"/>
    <w:rsid w:val="7B533629"/>
    <w:rsid w:val="7B560FD7"/>
    <w:rsid w:val="7B5F74F8"/>
    <w:rsid w:val="7B690630"/>
    <w:rsid w:val="7C5123F4"/>
    <w:rsid w:val="7D040AB6"/>
    <w:rsid w:val="7D4119E6"/>
    <w:rsid w:val="7DAF162B"/>
    <w:rsid w:val="7DC42B41"/>
    <w:rsid w:val="7DD5774B"/>
    <w:rsid w:val="7E5E071C"/>
    <w:rsid w:val="7F5405B7"/>
    <w:rsid w:val="7F9554E0"/>
    <w:rsid w:val="7FC56178"/>
    <w:rsid w:val="7FEA5BD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w:basedOn w:val="1"/>
    <w:next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8"/>
    <w:qFormat/>
    <w:uiPriority w:val="0"/>
    <w:rPr>
      <w:b/>
      <w:bCs/>
    </w:rPr>
  </w:style>
  <w:style w:type="paragraph" w:styleId="17">
    <w:name w:val="Body Text First Indent"/>
    <w:basedOn w:val="8"/>
    <w:link w:val="33"/>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basedOn w:val="21"/>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7"/>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8"/>
    <w:qFormat/>
    <w:uiPriority w:val="99"/>
    <w:rPr>
      <w:rFonts w:ascii="宋体" w:hAnsi="Times New Roman"/>
      <w:kern w:val="0"/>
      <w:sz w:val="21"/>
      <w:szCs w:val="24"/>
    </w:rPr>
  </w:style>
  <w:style w:type="character" w:customStyle="1" w:styleId="37">
    <w:name w:val="Comment Text Char"/>
    <w:basedOn w:val="21"/>
    <w:link w:val="7"/>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1"/>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126</Words>
  <Characters>134</Characters>
  <Lines>72</Lines>
  <Paragraphs>20</Paragraphs>
  <TotalTime>423</TotalTime>
  <ScaleCrop>false</ScaleCrop>
  <LinksUpToDate>false</LinksUpToDate>
  <CharactersWithSpaces>154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2026-06-10T09:27:17Z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93096C9411F442CE9897A8D3C2285441_13</vt:lpwstr>
  </property>
  <property fmtid="{D5CDD505-2E9C-101B-9397-08002B2CF9AE}" pid="4" name="KSOTemplateDocerSaveRecord">
    <vt:lpwstr>eyJoZGlkIjoiOTkyMTAwNWNkOWQxN2M2ZGU0YTllNDJiNjQ2ZjgyNjkiLCJ1c2VySWQiOiIzNjM4OTIzNDkifQ==</vt:lpwstr>
  </property>
</Properties>
</file>