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四川省人民医院全院消防灭火器材、救援器材及其配套设施购置采购项目（</w:t>
      </w:r>
      <w:r>
        <w:rPr>
          <w:rFonts w:hint="eastAsia" w:ascii="Times New Roman" w:hAnsi="Times New Roman" w:eastAsia="黑体" w:cs="Times New Roman"/>
          <w:b/>
          <w:spacing w:val="24"/>
          <w:sz w:val="56"/>
          <w:szCs w:val="56"/>
          <w:lang w:val="en-US" w:eastAsia="zh-CN"/>
        </w:rPr>
        <w:t>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62832406"/>
      <w:bookmarkStart w:id="2" w:name="_Toc3240"/>
      <w:bookmarkStart w:id="3" w:name="_Toc20358"/>
      <w:bookmarkStart w:id="4" w:name="_Toc1907"/>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rPr>
            </w:pPr>
            <w:r>
              <w:rPr>
                <w:rFonts w:hint="eastAsia" w:ascii="Times New Roman" w:hAnsi="Times New Roman" w:eastAsia="仿宋" w:cs="Times New Roman"/>
                <w:sz w:val="22"/>
                <w:lang w:eastAsia="zh-CN"/>
              </w:rPr>
              <w:t>四川省人民医院全院消防灭火器材、救援器材及其配套设施购置采购项目（</w:t>
            </w:r>
            <w:r>
              <w:rPr>
                <w:rFonts w:hint="eastAsia" w:ascii="Times New Roman" w:hAnsi="Times New Roman" w:eastAsia="仿宋" w:cs="Times New Roman"/>
                <w:sz w:val="22"/>
                <w:lang w:val="en-US" w:eastAsia="zh-CN"/>
              </w:rPr>
              <w:t>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CGZX-BWB20260536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30万</w:t>
            </w:r>
            <w:r>
              <w:rPr>
                <w:rFonts w:ascii="Times New Roman" w:hAnsi="Times New Roman" w:eastAsia="仿宋" w:cs="Times New Roman"/>
                <w:sz w:val="22"/>
              </w:rPr>
              <w:t>元</w:t>
            </w:r>
            <w:r>
              <w:rPr>
                <w:rFonts w:hint="eastAsia" w:ascii="Times New Roman" w:hAnsi="Times New Roman" w:eastAsia="仿宋" w:cs="Times New Roman"/>
                <w:sz w:val="22"/>
                <w:lang w:eastAsia="zh-CN"/>
              </w:rPr>
              <w:t>。本项目报价根据第四章《清单及技术要求》各项</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要求填报下浮率，下浮率为负数或者≥100%的，其响应文件按无效文件处理。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人民币15000元</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供应商应当以支票、汇票、本票或金融机构保函等非现金形式（含网银转账、电汇）</w:t>
            </w:r>
            <w:r>
              <w:rPr>
                <w:rFonts w:hint="eastAsia" w:ascii="Times New Roman" w:hAnsi="Times New Roman" w:eastAsia="仿宋" w:cs="Times New Roman"/>
                <w:sz w:val="22"/>
                <w:szCs w:val="22"/>
                <w:lang w:val="en-US" w:eastAsia="zh-CN"/>
              </w:rPr>
              <w:t>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hint="eastAsia" w:ascii="Times New Roman" w:hAnsi="Times New Roman" w:eastAsia="仿宋" w:cs="Times New Roman"/>
                <w:sz w:val="22"/>
                <w:szCs w:val="22"/>
                <w:lang w:val="en-US" w:eastAsia="zh-CN"/>
              </w:rPr>
              <w:t>10</w:t>
            </w:r>
            <w:r>
              <w:rPr>
                <w:rFonts w:ascii="Times New Roman" w:hAnsi="Times New Roman" w:eastAsia="仿宋" w:cs="Times New Roman"/>
                <w:sz w:val="22"/>
                <w:szCs w:val="22"/>
                <w:lang w:val="zh-CN"/>
              </w:rPr>
              <w:t>个工作日内</w:t>
            </w:r>
            <w:r>
              <w:rPr>
                <w:rFonts w:hint="eastAsia" w:ascii="Times New Roman" w:hAnsi="Times New Roman" w:eastAsia="仿宋" w:cs="Times New Roman"/>
                <w:sz w:val="22"/>
                <w:szCs w:val="22"/>
                <w:lang w:val="zh-CN"/>
              </w:rPr>
              <w:t>，逾期未缴纳的，视为自动放弃中标资格</w:t>
            </w:r>
            <w:r>
              <w:rPr>
                <w:rFonts w:ascii="Times New Roman" w:hAnsi="Times New Roman" w:eastAsia="仿宋" w:cs="Times New Roman"/>
                <w:sz w:val="22"/>
                <w:szCs w:val="22"/>
                <w:lang w:val="zh-CN"/>
              </w:rPr>
              <w:t>；</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服务期满且验收合格，供应商提交完整请款资料后，采购人在55个工作日内一次性无息退还</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375605F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供应商因自身原因逾期交货的，逾期超过10天的，采购人有权单方面解除合同，不予退还履约保证金，并要求供应商支付不低于履约保证金50%的额外违约金，承担采购人全部损失。</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87393665</w:t>
            </w:r>
          </w:p>
          <w:p w14:paraId="2BA80911">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保卫部</w:t>
            </w:r>
          </w:p>
          <w:p w14:paraId="6870918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刘老师 028-87393273</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9"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9"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9"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9" w:type="dxa"/>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9" w:type="dxa"/>
            <w:vAlign w:val="center"/>
          </w:tcPr>
          <w:p w14:paraId="6FB4F345">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17F92DF2">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A815D49">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9" w:type="dxa"/>
            <w:vAlign w:val="center"/>
          </w:tcPr>
          <w:p w14:paraId="719554D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46370F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30E2AD6B">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9" w:type="dxa"/>
            <w:vAlign w:val="center"/>
          </w:tcPr>
          <w:p w14:paraId="3768BD1D">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D0F9434">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4114081">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9" w:type="dxa"/>
            <w:vAlign w:val="center"/>
          </w:tcPr>
          <w:p w14:paraId="7150CAA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EAE5FD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2CAAD4C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9" w:type="dxa"/>
            <w:vAlign w:val="center"/>
          </w:tcPr>
          <w:p w14:paraId="76555182">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5799B5E">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367E115">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9" w:type="dxa"/>
            <w:vAlign w:val="center"/>
          </w:tcPr>
          <w:p w14:paraId="2F64669A">
            <w:pPr>
              <w:jc w:val="left"/>
              <w:rPr>
                <w:rFonts w:ascii="Times New Roman" w:hAnsi="Times New Roman" w:eastAsia="仿宋" w:cs="Times New Roman"/>
                <w:bCs/>
                <w:kern w:val="0"/>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6595"/>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68FC2F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一、项目简介</w:t>
      </w:r>
    </w:p>
    <w:p w14:paraId="6CD5B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满足四川省人民医院本部及龙泉院区、草堂院区、皮研所院区、温江院区、中和科研基地的消防灭火器材、救援器材及配套设施零星增加需求，保障器材质量与供应时效，防范消防安全风险，拟确定一家供应商，承接本项目全部产品的购置、配送、安装及售后服务等事宜。</w:t>
      </w:r>
    </w:p>
    <w:p w14:paraId="030E50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24"/>
        <w:gridCol w:w="5928"/>
        <w:gridCol w:w="1396"/>
        <w:gridCol w:w="1300"/>
      </w:tblGrid>
      <w:tr w14:paraId="6E93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9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3B8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B8CE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采购标的</w:t>
            </w:r>
          </w:p>
        </w:tc>
        <w:tc>
          <w:tcPr>
            <w:tcW w:w="10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F55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02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A00E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r>
      <w:tr w14:paraId="54AA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9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EA24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AAF0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消防系统零星设备及其配套设施购置</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972C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0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C936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r>
    </w:tbl>
    <w:p w14:paraId="7CF9E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1D0A3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★三、清单及技术要求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4"/>
        <w:gridCol w:w="1067"/>
        <w:gridCol w:w="1829"/>
        <w:gridCol w:w="4627"/>
        <w:gridCol w:w="1237"/>
        <w:gridCol w:w="544"/>
      </w:tblGrid>
      <w:tr w14:paraId="61203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9D6C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06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DA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产品名称</w:t>
            </w:r>
          </w:p>
        </w:tc>
        <w:tc>
          <w:tcPr>
            <w:tcW w:w="1829"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F1F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规格型号</w:t>
            </w:r>
          </w:p>
        </w:tc>
        <w:tc>
          <w:tcPr>
            <w:tcW w:w="462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A3B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w:t>
            </w:r>
          </w:p>
        </w:tc>
        <w:tc>
          <w:tcPr>
            <w:tcW w:w="123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DEC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限高单价</w:t>
            </w:r>
          </w:p>
          <w:p w14:paraId="6D7E90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c>
          <w:tcPr>
            <w:tcW w:w="544"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F785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r>
      <w:tr w14:paraId="1796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149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746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A22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与DN65mm消防水带连接使用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359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压铸铝合金，与DN65mm消防水带连接使用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5584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24.15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E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79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6BC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6F7B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E0C2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与DN50mm消防水带连接使用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ABE2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压铸铝合金，与DN50mm消防水带连接使用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0A6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CB8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47C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80B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6E2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0BBE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C66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重量：5KG，喷射时间≥15s，喷射距离≥4m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4255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BD47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1A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A38B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7A7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D84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MFZ/ABC4</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C53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重量：4KG，喷射时间≥13s，喷射距离≥3.5m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9D59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339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5AF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41E1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6E22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7452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37C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重量：2KG，喷射时间≥8s，喷射距离≥2m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67BD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35.88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50E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455C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B6DA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638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78B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A544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5kg四支装，板材厚度≥0.6mm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933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46.92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8843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0B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D40E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AC6B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A85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CC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5kg两支装，板材厚度≥0.6mm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3A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FB6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32BC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B0F9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6B5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3D7C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3DCA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灭火剂重量：≥3KG，</w:t>
            </w:r>
          </w:p>
          <w:p w14:paraId="29563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喷射时间：≥11s，</w:t>
            </w:r>
          </w:p>
          <w:p w14:paraId="5BF3E3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30EA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E5D9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BBF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1899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1AF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B34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7AF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灭火剂重量：≥2KG，</w:t>
            </w:r>
          </w:p>
          <w:p w14:paraId="1211B0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5D3919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喷射距离：≥1.5m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9260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CDC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FABD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A5D9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0AA0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B18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CE8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容量：6L，</w:t>
            </w:r>
          </w:p>
          <w:p w14:paraId="403439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4395B6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1183C6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24443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有效喷射距离：≥3.5 米；</w:t>
            </w:r>
          </w:p>
          <w:p w14:paraId="5F1274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喷射时间≥40s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F07E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112.47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07DD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DDF9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13A5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44FB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CD82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8C7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容量：3L；</w:t>
            </w:r>
          </w:p>
          <w:p w14:paraId="427B4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72AD26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0193E3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635FBD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产品喷射距离≥3m；</w:t>
            </w:r>
          </w:p>
          <w:p w14:paraId="74F94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喷射时间≥30s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6529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70.38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E8B6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398E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E45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563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B68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35KG</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600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重量：35KG，</w:t>
            </w:r>
          </w:p>
          <w:p w14:paraId="57D6E4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喷射时间≥60s，</w:t>
            </w:r>
          </w:p>
          <w:p w14:paraId="7D2259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喷射距离≥8m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DCD5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296.7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74D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E71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D368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AB98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0A7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MFJ950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A0A7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车载用，≥950g干粉灭火药剂，筒体直径≥85mm，</w:t>
            </w:r>
          </w:p>
          <w:p w14:paraId="2B053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7F1B7C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AAA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68.31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7942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398E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B1F3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6760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E7D1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5BC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1.5m*1.5m,双层符合XF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2C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F332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2AB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F274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BDE5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F4CE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59A2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2m*2m,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E7DE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B0DF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6AD9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FCF3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E86B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728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E50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6m*6m,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1F72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593.4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7D26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54A2D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1E38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D41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11C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7672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手提式、防水、防爆、可充电；</w:t>
            </w:r>
          </w:p>
          <w:p w14:paraId="35D387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最高亮度：350流明及以上；</w:t>
            </w:r>
          </w:p>
          <w:p w14:paraId="6E5B0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最大射程:500m及以上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15F7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193.2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CE6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76BD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A20D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F7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AB3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10－65－25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652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2B13CB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口径：65mm；</w:t>
            </w:r>
          </w:p>
          <w:p w14:paraId="227E72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D55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175.95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C61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1CB2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553C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FFA5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78BE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10－50－25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ED3F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026F18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口径：50mm；</w:t>
            </w:r>
          </w:p>
          <w:p w14:paraId="190318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97AA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165.6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809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55B9D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1068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B3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163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FII65/6×*2-1.6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8BB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FII65/65*2-1.6（65mm口径一进二出分水器，可承受压力≥1.6MPa）</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844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4C0F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595D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E669A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B4D1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47D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011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消防梯长度≥3米</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9514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F98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r>
      <w:tr w14:paraId="2084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319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3EB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906B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5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额定防护时间≥30分钟，</w:t>
            </w:r>
          </w:p>
          <w:p w14:paraId="7E5867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滤烟率≥95%，</w:t>
            </w:r>
          </w:p>
          <w:p w14:paraId="76565F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吸气阻力≤800Pa，</w:t>
            </w:r>
          </w:p>
          <w:p w14:paraId="253118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呼气阻力≤300Pa</w:t>
            </w:r>
          </w:p>
          <w:p w14:paraId="2B1006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视窗透光率≥85%</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8575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F19BD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r>
      <w:tr w14:paraId="4DC4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C036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A874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BB2C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定制铁质货架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5F4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四层；</w:t>
            </w:r>
          </w:p>
          <w:p w14:paraId="61C992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承重≥180KG，</w:t>
            </w:r>
          </w:p>
          <w:p w14:paraId="3BCD1B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长*宽*高：1.5*2*0.5m±1%</w:t>
            </w:r>
          </w:p>
          <w:p w14:paraId="3A5A6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44E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427.8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3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953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A15D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B7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C1E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FEDD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逃生应急包套装，绳长50米±1%</w:t>
            </w:r>
          </w:p>
          <w:p w14:paraId="4D6F39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18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579.6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71F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A33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2B41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F1FC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7FE3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TMF-03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48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钢制，墙壁挂置</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110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13.662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5AF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D32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78EF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EB9E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233D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184C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 200(含)-500m(不含)；充电模式: 有线充电</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D52C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44.85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63D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4608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0671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177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BE2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1143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汽油，锯链速度：≥400m/min，输入功率≥1600W，导板长度≥400mm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E03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28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E6F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85D6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D1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B72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3F01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汽油，双轮异向，排量≥60cc，切割深度≥100mm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A36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5313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134E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3CDD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D00D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90F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8F7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D736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长*宽*高：70*30*110cm±1%（玻璃+304不锈钢），框架式，管材、板材厚度≥0.8mm，含破玻锤1把</w:t>
            </w:r>
          </w:p>
          <w:p w14:paraId="52B8F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8BF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565.8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0500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5D79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C9CF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E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393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25F9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LED寿命≥5000小时、</w:t>
            </w:r>
          </w:p>
          <w:p w14:paraId="3B9CCB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尺寸：54cm（±1cm），</w:t>
            </w:r>
          </w:p>
          <w:p w14:paraId="566AC9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材质：灯体PC、手柄ABS，供电方式：充电电池，红色</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3E5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06F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42F34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03B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27B9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BF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1737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面料柔软贴身，颜色：荧光绿，拉链穿戴方式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A7DD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2C4D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r>
      <w:tr w14:paraId="76D1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519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FD18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1D42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消防专用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1525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防水、防爆、</w:t>
            </w:r>
          </w:p>
          <w:p w14:paraId="08E4C5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声级强度：80dB-105dB，</w:t>
            </w:r>
          </w:p>
          <w:p w14:paraId="3F8435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静止时间：30±1s，</w:t>
            </w:r>
          </w:p>
          <w:p w14:paraId="569F99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报警时间：≥240min，</w:t>
            </w:r>
          </w:p>
          <w:p w14:paraId="128565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开机时间≥20h，</w:t>
            </w:r>
          </w:p>
          <w:p w14:paraId="0D8116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佩戴质量≤200g，</w:t>
            </w:r>
          </w:p>
          <w:p w14:paraId="624E5D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防护等级≥IP68</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41D1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248.4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B7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72B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8377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DA51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8E87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A14B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材质：胶把，钢制；</w:t>
            </w:r>
          </w:p>
          <w:p w14:paraId="2233C5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长度1m（±1cm）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71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E070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r>
      <w:tr w14:paraId="12991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EB9F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B4EB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6238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DFD5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规格：5cm宽*125m长，允许误差范围±1cm，材质：涤纶布；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6F0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D3AA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r>
      <w:tr w14:paraId="0281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B6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06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E266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1829"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665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10-2014《消防员灭火防护服》；CCCF-CPRZ-27:2019《消防类产品认证实施规则 消防装备产品：消防员个人防护装备产品》的相关要求</w:t>
            </w:r>
          </w:p>
        </w:tc>
        <w:tc>
          <w:tcPr>
            <w:tcW w:w="462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520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阻燃性能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外层损毁长度≤25mm，续燃时间0秒，无熔融滴落现象；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隔热层与舒适层损毁长度≤35-50mm，续燃时间≤2秒。</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2. 热防护性能（TPP值）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整体热防护性能普遍≥33-35 cal/cm²。</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 机械强度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外层断裂强力≥1900-2350N（经纬向），撕破强力≥600-1550N；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救生拖拉带断裂强力≥14000N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 防水与透气性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防水层耐静水压≥50kPa，水蒸气透过量≥5000g/㎡·24h；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洗涤后拒油性能达≥4级。 </w:t>
            </w:r>
          </w:p>
          <w:p w14:paraId="59E5E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5.多层复合面料       </w:t>
            </w:r>
          </w:p>
          <w:p w14:paraId="138568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防护服由外层、防水透气层、隔热层和舒适层组成</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外层：采用原液染色芳纶纤维，兼具阻燃、防静电、抗撕裂性能；</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中间层：芳纶毡复合PTFE膜，提供防水、透气功能（耐静水压≥50kPa，水蒸气透过量≥7850g/㎡·24h）；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舒适层：芳纶与阻燃粘胶混纺材料。 </w:t>
            </w:r>
          </w:p>
          <w:p w14:paraId="5E37BC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6.人体工学与防护要求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肩、肘、膝部耐磨处理：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反光标识：胸部、腰部、袖口及小腿部配置“黄银黄”反光带（宽度50-50.8mm），提升暗光环境下的可见性；</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功能性口袋：上衣左胸设电台立体口袋，大腿外侧配工具袋，所有外口袋均设漏水孔。</w:t>
            </w:r>
          </w:p>
        </w:tc>
        <w:tc>
          <w:tcPr>
            <w:tcW w:w="123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B061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2829</w:t>
            </w:r>
          </w:p>
        </w:tc>
        <w:tc>
          <w:tcPr>
            <w:tcW w:w="544"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3D5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A08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56D35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CE29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F57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E07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5BF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70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CED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612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353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D32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A9A4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155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C73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3170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A63F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805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502C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73C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944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B0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88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8021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0BD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856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98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F4A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B7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0DB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35D8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77FE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A2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F52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31BF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34F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5A7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216D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100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299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符合XF7-2004消防员灭火防护手套CCCF-CPRZ-27:2019《消防类产品认证实施规则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92F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CB59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73A9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310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7A89D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F48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6E6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符合XF494-2023《消防用防坠落装备》、CCCF-CPRZ-27:2019《消防类产品认证实施规则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92C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26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44F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D8D1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EE4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FF5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014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6-2004消防员灭火防护靴、CCCF-CPRZ-27:2019《消防类产品认证实施规则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8477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8583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86C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354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ABD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99E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06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符合XF44-2015消防头盔、CCCF-CPRZ-27:2019《消防类产品认证实施规则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E9C4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17式全盔消防头盔</w:t>
            </w:r>
          </w:p>
          <w:p w14:paraId="2F9269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配外部强光手电支架1个</w:t>
            </w:r>
          </w:p>
          <w:p w14:paraId="30CAB2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配防爆战术手电筒1只</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A045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662.4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4E5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F54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A390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168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92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7FE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材质：304不锈钢，玻璃门，</w:t>
            </w:r>
          </w:p>
          <w:p w14:paraId="5E333E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62F4D3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A2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1380</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D499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2714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59E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117F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E509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DF56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材质：铁皮，玻璃门，红色，</w:t>
            </w:r>
          </w:p>
          <w:p w14:paraId="6AF3D8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04F35D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A24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6AB6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FDE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7B108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C3C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F193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4CC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65mm转50mm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2CF5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19A2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0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E925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E0F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E6F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0ED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65内扣转快速活接65雌</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07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50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70221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73E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3E53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C5C1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1E5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挎肩式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40A1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144.9</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FD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1E91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DE2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7962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EC1A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铝箔袋款单个30*30cm</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53B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防火铝箔包装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24EA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6BF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r>
      <w:tr w14:paraId="6A96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B4182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8A45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5F37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9L碳纤维瓶呼吸器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275C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材质：碳纤维复合材料</w:t>
            </w:r>
          </w:p>
          <w:p w14:paraId="7AE331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容积：≥9L</w:t>
            </w:r>
          </w:p>
          <w:p w14:paraId="58ADF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额定工作压力：30Mpa</w:t>
            </w:r>
          </w:p>
          <w:p w14:paraId="512011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使用时间：≥60分钟（30L/min呼吸时），减压器输出压力稳定，气瓶压力在30MPa、20MPa、10MPa时，分别经过5min测试后，试样减压器输出压力没有变化             </w:t>
            </w:r>
          </w:p>
          <w:p w14:paraId="627462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供气阀应为360°快速插接，供气流量≥500L/min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右肩带应缝制有挂钩，左肩带应缝制有挂绳。可以放置呼救器、对讲机。腰带上应配有供气阀放置支架。</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注：（1）供应商所提供的正压式消防空气呼吸器在响应时须符合 GB/T 16556-2007 或 GB 16556-2025。响应时提供国家认可的检测机构出具的评测报告复印件加盖公章。</w:t>
            </w:r>
          </w:p>
          <w:p w14:paraId="1D60CC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（2）供应商须承诺，本项目服务期（2026.9.15–2027.9.16）内所交付的正压式消防空气呼吸器均按 GB 16556-2025《呼吸防护 自给开路式压缩空气呼吸器》生产、检验合格，并提供对应检测报告。</w:t>
            </w:r>
            <w:r>
              <w:rPr>
                <w:rFonts w:hint="eastAsia" w:ascii="仿宋" w:hAnsi="仿宋" w:eastAsia="仿宋" w:cs="仿宋"/>
                <w:b/>
                <w:bCs/>
                <w:color w:val="auto"/>
                <w:sz w:val="24"/>
                <w:szCs w:val="24"/>
                <w:highlight w:val="none"/>
                <w:lang w:val="en-US" w:eastAsia="zh-CN"/>
              </w:rPr>
              <w:t>提供承诺函并加盖供应商公章。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223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3036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5B8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7BB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5"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27C4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E031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E74A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9164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电池容量：≥3500mAh</w:t>
            </w:r>
          </w:p>
          <w:p w14:paraId="7AAAA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传送距离：≥500m(顺风)</w:t>
            </w:r>
          </w:p>
          <w:p w14:paraId="7CA579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待机时间：≥18小时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录音时长：≥240秒</w:t>
            </w:r>
          </w:p>
          <w:p w14:paraId="33A3D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产品材质：ABS优质塑料,具有喊话、报警、录音功能</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33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094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920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9D0D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BE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305F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029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标称电压：3.7V（放电平均电压）</w:t>
            </w:r>
          </w:p>
          <w:p w14:paraId="5780A7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循环寿命：普通 300–500 次（80% 容量）</w:t>
            </w:r>
          </w:p>
          <w:p w14:paraId="4EF9FA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规格与选型</w:t>
            </w:r>
          </w:p>
          <w:p w14:paraId="387903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18650 圆柱：容量 2000–3500mAh，持续放电 1C–10C，适合手电、储能、小设备。</w:t>
            </w:r>
          </w:p>
          <w:p w14:paraId="44A75E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执行 GB/T 18287-2013《移动电话用锂离子蓄电池及蓄电池组总规范》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C03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488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r>
      <w:tr w14:paraId="642D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22ED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DF8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B5A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D94E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材质：铝合金材质</w:t>
            </w:r>
          </w:p>
          <w:p w14:paraId="25F059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整体重量：≤12KG</w:t>
            </w:r>
          </w:p>
          <w:p w14:paraId="37CAB3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工作长度：≥4M（±10㎝）</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0A6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372.6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375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3260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D7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8F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C52E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82C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材质：聚碳酸酯防化护目镜；</w:t>
            </w:r>
          </w:p>
          <w:p w14:paraId="2D3F42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防雾、防冲击、防腐蚀，具有化学雾滴防护性能及耐热性性能；符合GB 14866-2023《眼面防护具通用技术规范》。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2A0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FA2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9D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CCD4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DC9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2C4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4FEF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机体为25mm（±1mm）粉末涂层钢架≥5个方位快速便捷定位调节设置性能参数；</w:t>
            </w:r>
          </w:p>
          <w:p w14:paraId="5FFE0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涡轮风叶≤φ400mmX17片，运行时间≥58min(全速运行)；重量≤27KG；</w:t>
            </w:r>
          </w:p>
          <w:p w14:paraId="1183F4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体积≤533h*508w*432dmm；</w:t>
            </w:r>
          </w:p>
          <w:p w14:paraId="57202A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排烟量≥13000m3/hr；</w:t>
            </w:r>
          </w:p>
          <w:p w14:paraId="62B180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响应时提供国家认可的检测机构出具的评测报告复印件加盖公章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63CC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7935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24BD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0F41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4328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8F9A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9EE4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7C11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长度：≥600mm，</w:t>
            </w:r>
          </w:p>
          <w:p w14:paraId="6B4D6B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材质：碳钢</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DAC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A2A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r>
      <w:tr w14:paraId="4E69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B699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80A7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08F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C0E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材质：不锈钢</w:t>
            </w:r>
          </w:p>
          <w:p w14:paraId="227598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其他：含挂绳</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3A00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E3D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B991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A55D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26C4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A1E3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JBQ5.0/8.6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09C5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发动机功率：≥6.8KW                       </w:t>
            </w:r>
          </w:p>
          <w:p w14:paraId="6AA45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吸深：≥7M</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扬程：≥50米，</w:t>
            </w:r>
          </w:p>
          <w:p w14:paraId="178E8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出水压力：≥0.5MPa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外形尺寸：620*590*525MM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926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6693</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C2FE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7149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905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7C97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47DB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3-DG-210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C9E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容量：210AH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尺寸：260MM*182MM*303MM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490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638.25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32B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D7D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C620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5288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57D8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3-EVF-170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1FCA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  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容量：170AH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尺寸：261MM*180MM*245MM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979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E86B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7535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744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A89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9564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M2AL 12-18 CFR</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7B66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电压：12V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容量：18AH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尺寸：181.5MM*77MM*167.5MM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B6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251.85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B882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5A8E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5" w:hRule="atLeast"/>
        </w:trPr>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D6E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D35C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E798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通过消防产品型式检验，部分地区采购要求 CCCF 认证</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9047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发动机类型：单缸风冷二冲程</w:t>
            </w:r>
          </w:p>
          <w:p w14:paraId="1BDF76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锯片直径：≥350 mm（切割深≥125 mm</w:t>
            </w:r>
          </w:p>
          <w:p w14:paraId="1373A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整备重量（不含燃油）：≤18 kg</w:t>
            </w:r>
          </w:p>
          <w:p w14:paraId="59DF99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砂轮锯片：可切割钢筋、钢材、防盗门</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D358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83A1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364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334A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724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25F0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651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基材：PVC压敏胶，强粘且部分可移除不留残胶</w:t>
            </w:r>
          </w:p>
          <w:p w14:paraId="026534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颜色样式：标准红白相间，斜纹、直条；符合国标安全色，白天醒目、夜间灯光照射下高亮反光</w:t>
            </w:r>
          </w:p>
          <w:p w14:paraId="0B684D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标准规格：常用宽度 50mm，长度50m</w:t>
            </w:r>
          </w:p>
          <w:p w14:paraId="13EBE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性能与标准：逆反射系数达标，视角范围广；耐水、耐晒、耐温（-30℃~80℃）使用寿命≥ 3年</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9FD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28B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r>
      <w:tr w14:paraId="5BCF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23E3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9D4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89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4KG支架式</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E71F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药剂类型：ABC 超细干粉（可灭 A/B/C/E 类火）</w:t>
            </w:r>
          </w:p>
          <w:p w14:paraId="3D89E4D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含水率≤0.25%、吸湿率≤3.00%、电绝缘性≥4.00kV、灭火效能≤150g/m³</w:t>
            </w:r>
          </w:p>
          <w:p w14:paraId="5789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适用温度：-20℃~+60℃。</w:t>
            </w:r>
          </w:p>
          <w:p w14:paraId="26C03E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认证要求:3C 消防认证、CCCF 强制检验</w:t>
            </w:r>
          </w:p>
          <w:p w14:paraId="78F8ED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8531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266.57</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793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bl>
    <w:p w14:paraId="379682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17FA7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（二）其他要求</w:t>
      </w:r>
    </w:p>
    <w:p w14:paraId="3741F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1、质保要求</w:t>
      </w:r>
    </w:p>
    <w:p w14:paraId="61E38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（1）灭火器类产品质保期不低于3年；其余所有消防器材及配套设施质保期不低于1年；质保期内，产品出现质量问题，供应商须更换、维修，由此产生的费用由供应商承担，采购人不再另行支付。</w:t>
      </w:r>
    </w:p>
    <w:p w14:paraId="2661B2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（2）质保范围：含所有货物（质保期内涉及维修、产品更换、人工费用等一切费用包含在本项目报价中）</w:t>
      </w:r>
    </w:p>
    <w:p w14:paraId="2B18C9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2、核心技术标准要求</w:t>
      </w:r>
    </w:p>
    <w:p w14:paraId="425E16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供应商提供的产品产品须满足以下国家标准，包括但不限于：</w:t>
      </w:r>
    </w:p>
    <w:p w14:paraId="5BC603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灭火器类：GB 4351-2023《手提式灭火器 第 1 部分：性能和结构要求》、GB 8109-2023《推车式灭火器》；</w:t>
      </w:r>
    </w:p>
    <w:p w14:paraId="7A120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消防水带类：GB 6246-2011《消防水带》；</w:t>
      </w:r>
    </w:p>
    <w:p w14:paraId="6284AE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逃生避难器材类：GB/T 21976.1-2008《建筑火灾逃生避难器材 第 1 部分：配备指南》；</w:t>
      </w:r>
    </w:p>
    <w:p w14:paraId="7BD86A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个人防护装备类：XF 10-2014《消防员灭火防护服》、XF 44-2015《消防头盔》、XF 124-2013《正压式消防空气呼吸器》；</w:t>
      </w:r>
    </w:p>
    <w:p w14:paraId="1E65AF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其他器材：XF 1295-2014《灭火毯》、GB 14866-2023《眼面防护具通用技术规范》。</w:t>
      </w:r>
    </w:p>
    <w:p w14:paraId="6D3F1F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注：本项目涉及国家标准、行业标准等描述与国家最新要求不一致时以国家最新要求为准。</w:t>
      </w:r>
    </w:p>
    <w:p w14:paraId="2A426E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3、产品通用要求</w:t>
      </w:r>
    </w:p>
    <w:p w14:paraId="3E78F7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（1）资质合规：涉及国家强制3C认证、CCCF认证的产品（如灭火器、17式消防战斗服、消防头盔等），供货时必须随货提供完整的认证证书、检验报告原件的复印件；</w:t>
      </w:r>
    </w:p>
    <w:p w14:paraId="0821B5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（2）出厂时效：灭火器、消防湿毛巾的出厂日期不得超过采购人供货通知发出后3个月，其余器材出厂日期不得超过6个月；</w:t>
      </w:r>
    </w:p>
    <w:p w14:paraId="30FB0D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（3）质量承诺：供应商须单独出具《产品标准符合性承诺函》（加盖公章），承诺所有产品为全新原厂正品，无假冒伪劣、以次充好情况，若违反承诺，采购人有权解除合同并追究全部责任。</w:t>
      </w:r>
    </w:p>
    <w:p w14:paraId="7372E2B9">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售后服务要求</w:t>
      </w:r>
    </w:p>
    <w:p w14:paraId="4B2F71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（1）培训服务：为采购人工作人员提供产品使用、日常维护、故障处理的专业培训，确保熟练操作；</w:t>
      </w:r>
    </w:p>
    <w:p w14:paraId="6C665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（2）退换货服务：产品验收不合格的，供应商须在5日内无条件更换合格产品，承担全部运输及相关费用；</w:t>
      </w:r>
    </w:p>
    <w:p w14:paraId="2F3C6E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（3）质保期内，供应商接到采购人售后需求后，须24小时内响应，现场处理或解决问题。</w:t>
      </w:r>
    </w:p>
    <w:p w14:paraId="5C6B5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5、经验要求：供应商自2023年1月1日（含）起，须具有1个大型企事业单位消防器材购置类项目的履约经验，供应商需提供合同或中标(成交)通知书复印件并加盖公章。</w:t>
      </w:r>
    </w:p>
    <w:p w14:paraId="796F5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四、服务方案</w:t>
      </w:r>
    </w:p>
    <w:p w14:paraId="7B5E9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供应商针对本项目制定完整的项目实施方案，包括但不限于以下内容：</w:t>
      </w:r>
    </w:p>
    <w:p w14:paraId="20DDF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1、进度保障：建立快速响应机制，明确需求对接、采购、配送各环节时限，确保满足交付要求；</w:t>
      </w:r>
    </w:p>
    <w:p w14:paraId="673542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2、质量管控：建立产品采购审核、到货检验、运输防护全流程质量控制体系；</w:t>
      </w:r>
    </w:p>
    <w:p w14:paraId="32FFC7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3、人员配置：配备专职项目负责人、配送人员及售后人员，提供24小时联系渠道；</w:t>
      </w:r>
    </w:p>
    <w:p w14:paraId="37CD8C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4、运输配送：制定适配医院多院区零星供货的运输方案，确保产品安全、无损送达采购人指定地点，不影响医院正常诊疗秩序。</w:t>
      </w:r>
    </w:p>
    <w:p w14:paraId="3B5C6D9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leftChars="200"/>
        <w:contextualSpacing/>
        <w:textAlignment w:val="auto"/>
        <w:rPr>
          <w:rFonts w:hint="eastAsia" w:ascii="仿宋" w:hAnsi="仿宋" w:eastAsia="仿宋" w:cs="仿宋"/>
          <w:b/>
          <w:bCs/>
          <w:color w:val="000000"/>
          <w:kern w:val="0"/>
          <w:sz w:val="24"/>
          <w:szCs w:val="24"/>
          <w:lang w:val="en-US" w:eastAsia="zh-CN"/>
        </w:rPr>
      </w:pPr>
      <w:r>
        <w:rPr>
          <w:rFonts w:hint="eastAsia" w:ascii="仿宋" w:hAnsi="仿宋" w:eastAsia="仿宋" w:cs="仿宋"/>
          <w:b/>
          <w:bCs/>
          <w:color w:val="000000"/>
          <w:kern w:val="0"/>
          <w:sz w:val="24"/>
          <w:szCs w:val="24"/>
          <w:lang w:val="en-US" w:eastAsia="zh-CN"/>
        </w:rPr>
        <w:t>五、样品要求</w:t>
      </w:r>
    </w:p>
    <w:p w14:paraId="3D98E8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（1）样品提供：5kg手提式干粉灭火器1具、3kg手提式二氧化碳灭火器1具；6L手提式水基型灭火器1具；消防头盔1顶；17式消防战斗服1套；过滤式消防呼吸器1只。</w:t>
      </w:r>
    </w:p>
    <w:p w14:paraId="0096143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）送样时间：</w:t>
      </w:r>
      <w:r>
        <w:rPr>
          <w:rFonts w:hint="eastAsia" w:ascii="仿宋" w:hAnsi="仿宋" w:eastAsia="仿宋" w:cs="仿宋"/>
          <w:sz w:val="24"/>
          <w:szCs w:val="24"/>
          <w:lang w:val="en-US" w:eastAsia="zh-CN"/>
        </w:rPr>
        <w:t>2026年5月18日14:10</w:t>
      </w:r>
      <w:bookmarkStart w:id="104" w:name="_GoBack"/>
      <w:bookmarkEnd w:id="104"/>
      <w:r>
        <w:rPr>
          <w:rFonts w:hint="eastAsia" w:ascii="仿宋" w:hAnsi="仿宋" w:eastAsia="仿宋" w:cs="仿宋"/>
          <w:sz w:val="24"/>
          <w:szCs w:val="24"/>
          <w:lang w:val="en-US" w:eastAsia="zh-CN"/>
        </w:rPr>
        <w:t>-14:30</w:t>
      </w:r>
      <w:r>
        <w:rPr>
          <w:rFonts w:hint="eastAsia" w:ascii="仿宋" w:hAnsi="仿宋" w:eastAsia="仿宋" w:cs="仿宋"/>
          <w:sz w:val="24"/>
          <w:szCs w:val="24"/>
          <w:lang w:eastAsia="zh-CN"/>
        </w:rPr>
        <w:t>。地点：四川省人民医院招标采购中心41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会议室（成都市青羊区浣花北路18号附1号4楼</w:t>
      </w:r>
      <w:r>
        <w:rPr>
          <w:rFonts w:hint="eastAsia" w:ascii="仿宋" w:hAnsi="仿宋" w:eastAsia="仿宋" w:cs="仿宋"/>
          <w:sz w:val="24"/>
          <w:szCs w:val="24"/>
          <w:lang w:val="en-US" w:eastAsia="zh-CN"/>
        </w:rPr>
        <w:t>412</w:t>
      </w:r>
      <w:r>
        <w:rPr>
          <w:rFonts w:hint="eastAsia" w:ascii="仿宋" w:hAnsi="仿宋" w:eastAsia="仿宋" w:cs="仿宋"/>
          <w:sz w:val="24"/>
          <w:szCs w:val="24"/>
          <w:lang w:eastAsia="zh-CN"/>
        </w:rPr>
        <w:t>）。</w:t>
      </w:r>
    </w:p>
    <w:p w14:paraId="0632344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的样品制作、搬运、安装、拆除等相关费用由</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承担。采购人对</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所递交样品的包装和污损不负任何责任。</w:t>
      </w:r>
    </w:p>
    <w:p w14:paraId="18DE8B3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）送达样品时，必须提供样品清单，注明项目名称、项目编号、样品名称及数量与所投样品摆放在一起。</w:t>
      </w:r>
    </w:p>
    <w:p w14:paraId="4DA3DF1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）退还：</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的样品用于验收比对（所供货物必须与样品完全一致）。其余</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应在项目结果公告之日起3个工作日内自行取回样品。3个工作日后不取回样品，则视为自动放弃样品的所有权，采购人有权自行处置相关样品。（取样联系人：</w:t>
      </w:r>
      <w:r>
        <w:rPr>
          <w:rFonts w:hint="eastAsia" w:ascii="仿宋" w:hAnsi="仿宋" w:eastAsia="仿宋" w:cs="仿宋"/>
          <w:sz w:val="24"/>
          <w:szCs w:val="24"/>
          <w:lang w:val="en-US" w:eastAsia="zh-CN"/>
        </w:rPr>
        <w:t>甘</w:t>
      </w:r>
      <w:r>
        <w:rPr>
          <w:rFonts w:hint="eastAsia" w:ascii="仿宋" w:hAnsi="仿宋" w:eastAsia="仿宋" w:cs="仿宋"/>
          <w:sz w:val="24"/>
          <w:szCs w:val="24"/>
          <w:lang w:eastAsia="zh-CN"/>
        </w:rPr>
        <w:t>老师，联系方式028-87393</w:t>
      </w:r>
      <w:r>
        <w:rPr>
          <w:rFonts w:hint="eastAsia" w:ascii="仿宋" w:hAnsi="仿宋" w:eastAsia="仿宋" w:cs="仿宋"/>
          <w:sz w:val="24"/>
          <w:szCs w:val="24"/>
          <w:lang w:val="en-US" w:eastAsia="zh-CN"/>
        </w:rPr>
        <w:t>665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p>
    <w:p w14:paraId="7587483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）本项目样品评审采用盲样，在样品包装及样品上均不能出现</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及生产厂家企业名称、品牌商标等可能导致识别</w:t>
      </w:r>
      <w:r>
        <w:rPr>
          <w:rFonts w:hint="eastAsia" w:ascii="仿宋" w:hAnsi="仿宋" w:eastAsia="仿宋" w:cs="仿宋"/>
          <w:sz w:val="24"/>
          <w:szCs w:val="24"/>
          <w:lang w:val="en-US" w:eastAsia="zh-CN"/>
        </w:rPr>
        <w:t>响应</w:t>
      </w:r>
      <w:r>
        <w:rPr>
          <w:rFonts w:hint="eastAsia" w:ascii="仿宋" w:hAnsi="仿宋" w:eastAsia="仿宋" w:cs="仿宋"/>
          <w:sz w:val="24"/>
          <w:szCs w:val="24"/>
          <w:lang w:eastAsia="zh-CN"/>
        </w:rPr>
        <w:t>产品的相关信息。</w:t>
      </w:r>
    </w:p>
    <w:p w14:paraId="458707B6">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未按要求提供实物样品的，少送样品的，错送样品的其样品不得分。</w:t>
      </w:r>
    </w:p>
    <w:p w14:paraId="40DC46F9">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根据供应商提供的样品，未出现以下情况进行综合评定：</w:t>
      </w:r>
    </w:p>
    <w:p w14:paraId="20FB86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1）手提式灭火器：</w:t>
      </w:r>
      <w:r>
        <w:rPr>
          <w:rFonts w:hint="eastAsia" w:ascii="仿宋" w:hAnsi="仿宋" w:eastAsia="仿宋" w:cs="仿宋"/>
          <w:sz w:val="24"/>
          <w:szCs w:val="24"/>
          <w:highlight w:val="none"/>
          <w:lang w:val="en-US" w:eastAsia="zh-CN"/>
        </w:rPr>
        <w:t>①灭火器外观字体模糊不清、难以辨认；②缺灭火器名称、型号、规格、灭火剂类型和主成分及含量；③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w:t>
      </w:r>
    </w:p>
    <w:p w14:paraId="1CC315E1">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17式消防战斗服：①面料表面不平整或有明显织纹缺陷、褪色（如断丝、跳线、污渍、破损等）；②反光条表面不平整、反光不均匀，有气泡、起皱或脱落；③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w:t>
      </w:r>
    </w:p>
    <w:p w14:paraId="225FB65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lang w:val="en-US" w:eastAsia="zh-CN"/>
        </w:rPr>
        <w:t>消防头盔：</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w:t>
      </w:r>
    </w:p>
    <w:p w14:paraId="54A4ED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highlight w:val="none"/>
          <w:lang w:val="en-US" w:eastAsia="zh-CN" w:bidi="ar-SA"/>
        </w:rPr>
        <w:t>4）过滤式消防呼吸器：</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w:t>
      </w:r>
    </w:p>
    <w:p w14:paraId="1C099F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★六、商务要求：</w:t>
      </w:r>
    </w:p>
    <w:p w14:paraId="3AF235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（一）服务期：2026年9月15日至2027年9月16日。</w:t>
      </w:r>
    </w:p>
    <w:p w14:paraId="3F96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（二）交付时间与地点：</w:t>
      </w:r>
    </w:p>
    <w:p w14:paraId="7F7FDA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1.交付时间：每次接到采购人供货通知后，15日内完成产品配送、安装及调试；</w:t>
      </w:r>
    </w:p>
    <w:p w14:paraId="01BAC0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2.交付地点：四川省人民医院所有院区（具体地点按采购人通知执行）。</w:t>
      </w:r>
    </w:p>
    <w:p w14:paraId="296624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（三）资金支付条款：                                  </w:t>
      </w:r>
    </w:p>
    <w:p w14:paraId="3B0CA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实际供货数量、成交单价据实结算，单次供货验收合格后，供应商在5日内提交合法有效票据及其他相关请款资料；采购人收到上述票据及资料后55日内，通过银行转账支付当次货款的100%。供应商因自身原因逾期交货的，按逾期天数支付违约金（违约金=履约保证金×10%/天），累计不超过履约保证金总额。</w:t>
      </w:r>
    </w:p>
    <w:p w14:paraId="5091D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（四）验收：</w:t>
      </w:r>
    </w:p>
    <w:p w14:paraId="7B58D3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4.1验收时间：供应商完成单次交付工作后5日内通知采购人验收，采购人接供应商通知后10日内组织验收。     </w:t>
      </w:r>
    </w:p>
    <w:p w14:paraId="766A0E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4.2验收主体：采购人       </w:t>
      </w:r>
    </w:p>
    <w:p w14:paraId="5C1DE0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4.3验收方式：现场整体验收</w:t>
      </w:r>
    </w:p>
    <w:p w14:paraId="77B53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4.4验收程序：分期/分段验收</w:t>
      </w:r>
    </w:p>
    <w:p w14:paraId="0E21F7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4.5验收内容：按照基于本项目采购需求编制的采购文件要求及供应商响应文件情况，由供应商向采购人单次交付的全部内容。</w:t>
      </w:r>
    </w:p>
    <w:p w14:paraId="589F5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4.6验收标准：</w:t>
      </w:r>
    </w:p>
    <w:p w14:paraId="1BF304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734832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（2）基于本项目采购需求编制的采购文件相关技术、服务要求、成交供应商响应文件相关响应内容。</w:t>
      </w:r>
    </w:p>
    <w:p w14:paraId="25A7C0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（3）产品生产厂家出具的产品说明书、技术白皮书、医疗器械注册证或备案凭证等技术资料（如涉及）。</w:t>
      </w:r>
    </w:p>
    <w:p w14:paraId="5A5A7C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109DB9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5BAB49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（6）其他标准：无</w:t>
      </w:r>
    </w:p>
    <w:p w14:paraId="6F4358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4.7是否邀请本项目的其它潜在供应商：否</w:t>
      </w:r>
    </w:p>
    <w:p w14:paraId="4320B0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4.8是否邀请专家：否</w:t>
      </w:r>
    </w:p>
    <w:p w14:paraId="05C74C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4.9是否邀请第三方检测机构：否</w:t>
      </w:r>
    </w:p>
    <w:p w14:paraId="4C2572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4.10是否邀请服务对象：否</w:t>
      </w:r>
    </w:p>
    <w:p w14:paraId="53615C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4.11其它验收要求：</w:t>
      </w:r>
    </w:p>
    <w:p w14:paraId="78D8B9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一般器材须随货出具合格证、3C认证、检测报告等完整资质文件；供应商成交后送货至指定地点，采购人将对产品的规格、数量、外观、质量、出厂日期、资质文件及性能等进行全面核验。若产品与采购文件要求、供应商响应文件承诺不符，供应商须在5日内无条件更换合格产品，并承担全部运输及相关费用。</w:t>
      </w:r>
    </w:p>
    <w:p w14:paraId="34D95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消防装备（含ABC干粉灭火器、二氧化碳灭火器、水基灭火器、推车式干粉灭火器、水带含接口、一进二出分水器等）及消防员个人防护装备（17式消防战斗服、消防头盔等），交货时必须出具检验报告及强制性产品认证证书，缺一不可。</w:t>
      </w:r>
    </w:p>
    <w:p w14:paraId="0A53D5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针对项目中涉及国家强制认证（CCC）或前置许可、认证的产品，供应商须在响应文件中提交加盖公章的承诺函，承诺所投产品符合国家强制认证（CCC）及相关前置许可、认证要求，并在供货时一并提供相关许可、认证材料，确保资质合规。</w:t>
      </w:r>
    </w:p>
    <w:p w14:paraId="1660F3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BC2D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1E53B04C">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881"/>
        <w:gridCol w:w="980"/>
        <w:gridCol w:w="4448"/>
        <w:gridCol w:w="1648"/>
      </w:tblGrid>
      <w:tr w14:paraId="64D3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6B6FEDE4">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序号</w:t>
            </w:r>
          </w:p>
        </w:tc>
        <w:tc>
          <w:tcPr>
            <w:tcW w:w="1881" w:type="dxa"/>
            <w:tcBorders>
              <w:top w:val="single" w:color="auto" w:sz="4" w:space="0"/>
              <w:left w:val="single" w:color="auto" w:sz="4" w:space="0"/>
              <w:bottom w:val="single" w:color="auto" w:sz="4" w:space="0"/>
              <w:right w:val="single" w:color="auto" w:sz="4" w:space="0"/>
            </w:tcBorders>
            <w:vAlign w:val="center"/>
          </w:tcPr>
          <w:p w14:paraId="15756B6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评审因素</w:t>
            </w:r>
          </w:p>
        </w:tc>
        <w:tc>
          <w:tcPr>
            <w:tcW w:w="980" w:type="dxa"/>
            <w:tcBorders>
              <w:top w:val="single" w:color="auto" w:sz="4" w:space="0"/>
              <w:left w:val="single" w:color="auto" w:sz="4" w:space="0"/>
              <w:bottom w:val="single" w:color="auto" w:sz="4" w:space="0"/>
              <w:right w:val="single" w:color="auto" w:sz="4" w:space="0"/>
            </w:tcBorders>
            <w:vAlign w:val="center"/>
          </w:tcPr>
          <w:p w14:paraId="28E6633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分值</w:t>
            </w:r>
          </w:p>
        </w:tc>
        <w:tc>
          <w:tcPr>
            <w:tcW w:w="4448" w:type="dxa"/>
            <w:tcBorders>
              <w:top w:val="single" w:color="auto" w:sz="4" w:space="0"/>
              <w:left w:val="single" w:color="auto" w:sz="4" w:space="0"/>
              <w:bottom w:val="single" w:color="auto" w:sz="4" w:space="0"/>
              <w:right w:val="single" w:color="auto" w:sz="4" w:space="0"/>
            </w:tcBorders>
            <w:vAlign w:val="center"/>
          </w:tcPr>
          <w:p w14:paraId="1A4CB11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评分标准</w:t>
            </w:r>
          </w:p>
        </w:tc>
        <w:tc>
          <w:tcPr>
            <w:tcW w:w="1648" w:type="dxa"/>
            <w:tcBorders>
              <w:top w:val="single" w:color="auto" w:sz="4" w:space="0"/>
              <w:left w:val="single" w:color="auto" w:sz="4" w:space="0"/>
              <w:bottom w:val="single" w:color="auto" w:sz="4" w:space="0"/>
              <w:right w:val="single" w:color="auto" w:sz="4" w:space="0"/>
            </w:tcBorders>
            <w:vAlign w:val="center"/>
          </w:tcPr>
          <w:p w14:paraId="0E7AD5BC">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说明</w:t>
            </w:r>
          </w:p>
        </w:tc>
      </w:tr>
      <w:tr w14:paraId="793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B204B08">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1</w:t>
            </w:r>
          </w:p>
        </w:tc>
        <w:tc>
          <w:tcPr>
            <w:tcW w:w="1881" w:type="dxa"/>
            <w:tcBorders>
              <w:top w:val="single" w:color="auto" w:sz="4" w:space="0"/>
              <w:left w:val="single" w:color="auto" w:sz="4" w:space="0"/>
              <w:bottom w:val="single" w:color="auto" w:sz="4" w:space="0"/>
              <w:right w:val="single" w:color="auto" w:sz="4" w:space="0"/>
            </w:tcBorders>
            <w:vAlign w:val="center"/>
          </w:tcPr>
          <w:p w14:paraId="753C8817">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报价</w:t>
            </w:r>
            <w:r>
              <w:rPr>
                <w:rFonts w:hint="eastAsia" w:ascii="仿宋" w:hAnsi="仿宋" w:eastAsia="仿宋" w:cs="仿宋"/>
                <w:sz w:val="24"/>
                <w:szCs w:val="24"/>
                <w:highlight w:val="none"/>
                <w:u w:val="none"/>
                <w:lang w:val="en-US" w:eastAsia="zh-CN"/>
              </w:rPr>
              <w:t>30</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7F8634BE">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bCs/>
                <w:sz w:val="24"/>
                <w:szCs w:val="24"/>
                <w:highlight w:val="none"/>
                <w:u w:val="none"/>
                <w:lang w:val="en-US" w:eastAsia="zh-CN"/>
              </w:rPr>
              <w:t>30</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727F165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文件要求且有效下浮率最高的为评审基准价，其价格分为满分。其他供应商的报价得分按照下列公式计算：报价得分= (1-基准价）／（1-下浮率)*</w:t>
            </w:r>
            <w:r>
              <w:rPr>
                <w:rFonts w:hint="eastAsia" w:ascii="仿宋" w:eastAsia="仿宋" w:cs="仿宋"/>
                <w:sz w:val="24"/>
                <w:szCs w:val="24"/>
                <w:lang w:val="en-US" w:eastAsia="zh-CN"/>
              </w:rPr>
              <w:t>30</w:t>
            </w:r>
            <w:r>
              <w:rPr>
                <w:rFonts w:hint="eastAsia" w:ascii="仿宋" w:eastAsia="仿宋" w:cs="仿宋"/>
                <w:sz w:val="24"/>
                <w:szCs w:val="24"/>
                <w:lang w:eastAsia="zh-CN"/>
              </w:rPr>
              <w:t>。</w:t>
            </w:r>
          </w:p>
        </w:tc>
        <w:tc>
          <w:tcPr>
            <w:tcW w:w="1648" w:type="dxa"/>
            <w:tcBorders>
              <w:top w:val="single" w:color="auto" w:sz="4" w:space="0"/>
              <w:left w:val="single" w:color="auto" w:sz="4" w:space="0"/>
              <w:bottom w:val="single" w:color="auto" w:sz="4" w:space="0"/>
              <w:right w:val="single" w:color="auto" w:sz="4" w:space="0"/>
            </w:tcBorders>
            <w:vAlign w:val="center"/>
          </w:tcPr>
          <w:p w14:paraId="7A39BA2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4482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right w:val="single" w:color="auto" w:sz="4" w:space="0"/>
            </w:tcBorders>
            <w:vAlign w:val="center"/>
          </w:tcPr>
          <w:p w14:paraId="412A54F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p>
        </w:tc>
        <w:tc>
          <w:tcPr>
            <w:tcW w:w="1881" w:type="dxa"/>
            <w:tcBorders>
              <w:top w:val="single" w:color="auto" w:sz="4" w:space="0"/>
              <w:left w:val="single" w:color="auto" w:sz="4" w:space="0"/>
              <w:right w:val="single" w:color="auto" w:sz="4" w:space="0"/>
            </w:tcBorders>
            <w:vAlign w:val="center"/>
          </w:tcPr>
          <w:p w14:paraId="54600586">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val="en-US" w:eastAsia="zh-CN"/>
              </w:rPr>
              <w:t>样品48</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149466CA">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48</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65D481A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供应商按采购文件要求提供样品，有下列情形的样品其对应评分项不得分：（1）少送样品的；（2）错送样品的。</w:t>
            </w:r>
          </w:p>
          <w:p w14:paraId="15D17648">
            <w:pPr>
              <w:numPr>
                <w:ilvl w:val="0"/>
                <w:numId w:val="13"/>
              </w:numPr>
              <w:spacing w:line="360" w:lineRule="auto"/>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手提式灭火器：样品无缺陷得14分，每有1处缺陷扣2分，扣完为止。（缺陷是</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灭火器外观字体模糊不清、难以辨认；</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缺灭火器名称、型号、规格、灭火剂类型和主成分及含量；</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以上任意一种情形）</w:t>
            </w:r>
          </w:p>
          <w:p w14:paraId="343ABE3B">
            <w:pPr>
              <w:numPr>
                <w:ilvl w:val="0"/>
                <w:numId w:val="13"/>
              </w:numPr>
              <w:spacing w:line="360" w:lineRule="auto"/>
              <w:ind w:left="0" w:lef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17式消防战斗服：样品无缺陷得14分，每有一处缺陷扣2分，扣完为止。（缺陷是指：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面料表面不平整或有明显织纹缺陷、褪色（如断丝、跳线、污渍、破损等）；</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反光条表面不平整、反光不均匀，有气泡、起皱或脱落；</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以上任意一种情形）</w:t>
            </w:r>
          </w:p>
          <w:p w14:paraId="3BA71DA5">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仿宋" w:hAnsi="仿宋" w:eastAsia="仿宋" w:cs="仿宋"/>
                <w:kern w:val="2"/>
                <w:sz w:val="24"/>
                <w:szCs w:val="24"/>
                <w:highlight w:val="none"/>
                <w:lang w:val="en-US" w:eastAsia="zh-CN" w:bidi="ar-SA"/>
              </w:rPr>
              <w:t>3.消防头盔：样品无缺陷得10分，每有一处缺陷扣2分，扣完为止。（缺陷是指：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缺型号规格、生产日期（批号）等永久性标志以上任意一种情形）</w:t>
            </w:r>
          </w:p>
          <w:p w14:paraId="6CA0AAA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kern w:val="2"/>
                <w:sz w:val="24"/>
                <w:szCs w:val="24"/>
                <w:highlight w:val="none"/>
                <w:lang w:val="en-US" w:eastAsia="zh-CN" w:bidi="ar-SA"/>
              </w:rPr>
              <w:t>4.过滤式消防呼吸器：满分10分，每有一处缺陷扣2分，扣完为止。（缺陷是指：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佩戴繁琐不便、系带不能快速放松拉紧以上任意一种情形）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709C4EE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0F3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167ACB42">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3</w:t>
            </w:r>
          </w:p>
        </w:tc>
        <w:tc>
          <w:tcPr>
            <w:tcW w:w="1881" w:type="dxa"/>
            <w:tcBorders>
              <w:left w:val="single" w:color="auto" w:sz="4" w:space="0"/>
              <w:bottom w:val="single" w:color="auto" w:sz="4" w:space="0"/>
              <w:right w:val="single" w:color="auto" w:sz="4" w:space="0"/>
            </w:tcBorders>
            <w:vAlign w:val="center"/>
          </w:tcPr>
          <w:p w14:paraId="3C4DABD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服务方案10%</w:t>
            </w:r>
          </w:p>
        </w:tc>
        <w:tc>
          <w:tcPr>
            <w:tcW w:w="980" w:type="dxa"/>
            <w:tcBorders>
              <w:top w:val="single" w:color="auto" w:sz="4" w:space="0"/>
              <w:left w:val="single" w:color="auto" w:sz="4" w:space="0"/>
              <w:bottom w:val="single" w:color="auto" w:sz="4" w:space="0"/>
              <w:right w:val="single" w:color="auto" w:sz="4" w:space="0"/>
            </w:tcBorders>
            <w:vAlign w:val="center"/>
          </w:tcPr>
          <w:p w14:paraId="31E0EC8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10分</w:t>
            </w:r>
          </w:p>
        </w:tc>
        <w:tc>
          <w:tcPr>
            <w:tcW w:w="4448" w:type="dxa"/>
            <w:tcBorders>
              <w:top w:val="single" w:color="auto" w:sz="4" w:space="0"/>
              <w:left w:val="single" w:color="auto" w:sz="4" w:space="0"/>
              <w:bottom w:val="single" w:color="auto" w:sz="4" w:space="0"/>
              <w:right w:val="single" w:color="auto" w:sz="4" w:space="0"/>
            </w:tcBorders>
            <w:vAlign w:val="center"/>
          </w:tcPr>
          <w:p w14:paraId="6A6E27F5">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供应商针对本项目制定完整的项目实施方案，包括但不限于以下内容：</w:t>
            </w:r>
          </w:p>
          <w:p w14:paraId="6F2431F1">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1、进度保障：建立快速响应机制，明确需求对接、采购、配送各环节时限，确保满足交付要求；</w:t>
            </w:r>
          </w:p>
          <w:p w14:paraId="53D8575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2、质量管控：建立产品采购审核、到货检验、运输防护全流程质量控制体系；</w:t>
            </w:r>
          </w:p>
          <w:p w14:paraId="3367483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3、人员配置：配备专职项目负责人、配送人员及售后人员，提供24小时联系渠道；</w:t>
            </w:r>
          </w:p>
          <w:p w14:paraId="75D9460C">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4、运输配送：制定适配医院多院区零星供货的运输方案，确保产品安全、无损送达采购人指定地点，不影响医院正常诊疗秩序。</w:t>
            </w:r>
          </w:p>
          <w:p w14:paraId="4DD83DBD">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rPr>
              <w:t>每有一项内容缺失扣</w:t>
            </w:r>
            <w:r>
              <w:rPr>
                <w:rFonts w:hint="eastAsia" w:ascii="仿宋" w:hAnsi="仿宋" w:eastAsia="仿宋" w:cs="仿宋"/>
                <w:bCs/>
                <w:sz w:val="24"/>
                <w:szCs w:val="24"/>
                <w:highlight w:val="none"/>
                <w:u w:val="none"/>
                <w:lang w:val="en-US" w:eastAsia="zh-CN"/>
              </w:rPr>
              <w:t>2.5</w:t>
            </w:r>
            <w:r>
              <w:rPr>
                <w:rFonts w:hint="eastAsia" w:ascii="仿宋" w:hAnsi="仿宋" w:eastAsia="仿宋" w:cs="仿宋"/>
                <w:bCs/>
                <w:sz w:val="24"/>
                <w:szCs w:val="24"/>
                <w:highlight w:val="none"/>
                <w:u w:val="none"/>
              </w:rPr>
              <w:t>分，每有一处内容有缺陷的扣</w:t>
            </w:r>
            <w:r>
              <w:rPr>
                <w:rFonts w:hint="eastAsia" w:ascii="仿宋" w:hAnsi="仿宋" w:eastAsia="仿宋" w:cs="仿宋"/>
                <w:bCs/>
                <w:sz w:val="24"/>
                <w:szCs w:val="24"/>
                <w:highlight w:val="none"/>
                <w:u w:val="none"/>
                <w:lang w:val="en-US" w:eastAsia="zh-CN"/>
              </w:rPr>
              <w:t>1.25</w:t>
            </w:r>
            <w:r>
              <w:rPr>
                <w:rFonts w:hint="eastAsia" w:ascii="仿宋" w:hAnsi="仿宋" w:eastAsia="仿宋" w:cs="仿宋"/>
                <w:bCs/>
                <w:sz w:val="24"/>
                <w:szCs w:val="24"/>
                <w:highlight w:val="none"/>
                <w:u w:val="none"/>
              </w:rPr>
              <w:t>分，直至本项分值扣完为止。</w:t>
            </w:r>
          </w:p>
          <w:p w14:paraId="33CA1CA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eastAsia="zh-CN"/>
              </w:rPr>
            </w:pPr>
            <w:r>
              <w:rPr>
                <w:rFonts w:hint="eastAsia" w:ascii="仿宋" w:hAnsi="仿宋" w:eastAsia="仿宋" w:cs="仿宋"/>
                <w:sz w:val="24"/>
                <w:szCs w:val="24"/>
                <w:highlight w:val="none"/>
                <w:u w:val="none"/>
                <w:lang w:val="en-US" w:eastAsia="zh-CN"/>
              </w:rPr>
              <w:t>注：缺陷</w:t>
            </w:r>
            <w:r>
              <w:rPr>
                <w:rFonts w:hint="eastAsia" w:ascii="仿宋" w:hAnsi="仿宋" w:eastAsia="仿宋" w:cs="仿宋"/>
                <w:sz w:val="24"/>
                <w:szCs w:val="24"/>
                <w:highlight w:val="none"/>
                <w:u w:val="none"/>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3ED77F14">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37D3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3B400C89">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w:t>
            </w:r>
          </w:p>
        </w:tc>
        <w:tc>
          <w:tcPr>
            <w:tcW w:w="1881" w:type="dxa"/>
            <w:tcBorders>
              <w:left w:val="single" w:color="auto" w:sz="4" w:space="0"/>
              <w:bottom w:val="single" w:color="auto" w:sz="4" w:space="0"/>
              <w:right w:val="single" w:color="auto" w:sz="4" w:space="0"/>
            </w:tcBorders>
            <w:vAlign w:val="center"/>
          </w:tcPr>
          <w:p w14:paraId="1A718BE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w:t>
            </w:r>
            <w:r>
              <w:rPr>
                <w:rFonts w:hint="eastAsia" w:ascii="仿宋" w:hAnsi="仿宋" w:eastAsia="仿宋" w:cs="仿宋"/>
                <w:sz w:val="24"/>
                <w:szCs w:val="24"/>
                <w:highlight w:val="none"/>
                <w:u w:val="none"/>
                <w:lang w:val="en-US" w:eastAsia="zh-CN"/>
              </w:rPr>
              <w:t>12</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0184E26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12</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1A3DCA1F">
            <w:pPr>
              <w:keepNext w:val="0"/>
              <w:keepLines w:val="0"/>
              <w:pageBreakBefore w:val="0"/>
              <w:widowControl w:val="0"/>
              <w:kinsoku/>
              <w:wordWrap/>
              <w:overflowPunct/>
              <w:topLinePunct w:val="0"/>
              <w:autoSpaceDE/>
              <w:autoSpaceDN/>
              <w:bidi w:val="0"/>
              <w:adjustRightInd/>
              <w:snapToGrid/>
              <w:ind w:left="0"/>
              <w:jc w:val="both"/>
              <w:textAlignment w:val="auto"/>
              <w:rPr>
                <w:rFonts w:hint="default" w:ascii="仿宋" w:hAnsi="仿宋" w:eastAsia="仿宋" w:cs="仿宋"/>
                <w:sz w:val="24"/>
                <w:szCs w:val="24"/>
                <w:highlight w:val="none"/>
                <w:u w:val="none"/>
                <w:lang w:val="en-US"/>
              </w:rPr>
            </w:pPr>
            <w:r>
              <w:rPr>
                <w:rFonts w:hint="eastAsia" w:ascii="仿宋" w:hAnsi="仿宋" w:eastAsia="仿宋" w:cs="仿宋"/>
                <w:color w:val="auto"/>
                <w:sz w:val="24"/>
                <w:szCs w:val="24"/>
                <w:highlight w:val="none"/>
                <w:lang w:val="en-US" w:eastAsia="zh-CN"/>
              </w:rPr>
              <w:t>供应商提供自2023年1月1日（含）起，大型企事业单位消防器材购置类项目的履约经验，在满足1个的基础上，每多提交1个得3分，本项最多得12分</w:t>
            </w:r>
          </w:p>
          <w:p w14:paraId="642903D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业绩需提供合同或中标(成交)通知书复印件并加盖公章。</w:t>
            </w:r>
          </w:p>
        </w:tc>
        <w:tc>
          <w:tcPr>
            <w:tcW w:w="1648" w:type="dxa"/>
            <w:tcBorders>
              <w:top w:val="single" w:color="auto" w:sz="4" w:space="0"/>
              <w:left w:val="single" w:color="auto" w:sz="4" w:space="0"/>
              <w:bottom w:val="single" w:color="auto" w:sz="4" w:space="0"/>
              <w:right w:val="single" w:color="auto" w:sz="4" w:space="0"/>
            </w:tcBorders>
            <w:vAlign w:val="center"/>
          </w:tcPr>
          <w:p w14:paraId="4F9F9A2A">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bl>
    <w:p w14:paraId="7E701686">
      <w:pPr>
        <w:rPr>
          <w:rFonts w:ascii="Times New Roman" w:hAnsi="Times New Roman" w:cs="Times New Roman"/>
        </w:rPr>
      </w:pPr>
    </w:p>
    <w:p w14:paraId="5F7AF94B">
      <w: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989"/>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11352"/>
      <w:bookmarkStart w:id="50" w:name="_Toc3023"/>
      <w:bookmarkStart w:id="51" w:name="_Toc16029"/>
      <w:bookmarkStart w:id="52" w:name="_Toc14829"/>
      <w:bookmarkStart w:id="53" w:name="_Toc2151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30971"/>
      <w:bookmarkStart w:id="56" w:name="_Toc17857"/>
      <w:bookmarkStart w:id="57" w:name="_Toc4305"/>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11351"/>
      <w:bookmarkStart w:id="69" w:name="_Toc20589"/>
      <w:bookmarkStart w:id="70" w:name="_Toc12015"/>
      <w:bookmarkStart w:id="71" w:name="_Toc25638"/>
      <w:bookmarkStart w:id="72" w:name="_Toc2766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6435"/>
      <w:bookmarkStart w:id="74" w:name="_Toc26969"/>
      <w:bookmarkStart w:id="75" w:name="_Toc2041"/>
      <w:bookmarkStart w:id="76" w:name="_Toc23967"/>
      <w:bookmarkStart w:id="77" w:name="_Toc12967"/>
      <w:bookmarkStart w:id="78" w:name="_Toc1074"/>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1369"/>
      <w:bookmarkStart w:id="81" w:name="_Toc21082"/>
      <w:bookmarkStart w:id="82" w:name="_Toc26839"/>
      <w:bookmarkStart w:id="83" w:name="_Toc24806"/>
      <w:bookmarkStart w:id="84" w:name="_Toc28634"/>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0"/>
        <w:gridCol w:w="2718"/>
        <w:gridCol w:w="3370"/>
        <w:gridCol w:w="2575"/>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406" w:type="pct"/>
            <w:vAlign w:val="center"/>
          </w:tcPr>
          <w:p w14:paraId="0DC726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743" w:type="pct"/>
            <w:vAlign w:val="center"/>
          </w:tcPr>
          <w:p w14:paraId="572EF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w:t>
            </w:r>
          </w:p>
        </w:tc>
        <w:tc>
          <w:tcPr>
            <w:tcW w:w="1332" w:type="pct"/>
            <w:vAlign w:val="center"/>
          </w:tcPr>
          <w:p w14:paraId="33CC70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406" w:type="pct"/>
            <w:vAlign w:val="center"/>
          </w:tcPr>
          <w:p w14:paraId="0E75681C">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eastAsia="zh-CN"/>
              </w:rPr>
              <w:t>四川省人民医院全院消防灭火器材、救援器材及其配套设施购置</w:t>
            </w:r>
          </w:p>
        </w:tc>
        <w:tc>
          <w:tcPr>
            <w:tcW w:w="1743" w:type="pct"/>
            <w:vAlign w:val="center"/>
          </w:tcPr>
          <w:p w14:paraId="5B49942F">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下浮率</w:t>
            </w:r>
            <w:r>
              <w:rPr>
                <w:rFonts w:hint="eastAsia" w:ascii="仿宋" w:hAnsi="仿宋" w:eastAsia="仿宋" w:cs="仿宋"/>
                <w:sz w:val="24"/>
                <w:szCs w:val="24"/>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tc>
        <w:tc>
          <w:tcPr>
            <w:tcW w:w="1332" w:type="pct"/>
            <w:vAlign w:val="center"/>
          </w:tcPr>
          <w:p w14:paraId="71BCF070">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按照清单限价报下浮率</w:t>
            </w:r>
          </w:p>
        </w:tc>
      </w:tr>
    </w:tbl>
    <w:p w14:paraId="20EF5A8E">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en-US" w:eastAsia="zh-CN"/>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8"/>
        <w:numPr>
          <w:ilvl w:val="0"/>
          <w:numId w:val="14"/>
        </w:numPr>
        <w:ind w:left="0" w:firstLine="0" w:firstLineChars="0"/>
        <w:contextualSpacing/>
        <w:jc w:val="left"/>
        <w:rPr>
          <w:b/>
          <w:szCs w:val="21"/>
        </w:rPr>
      </w:pPr>
      <w:r>
        <w:rPr>
          <w:b/>
          <w:szCs w:val="21"/>
        </w:rPr>
        <w:t>合同标的</w:t>
      </w:r>
    </w:p>
    <w:p w14:paraId="2E385537">
      <w:pPr>
        <w:pStyle w:val="9"/>
        <w:numPr>
          <w:ilvl w:val="0"/>
          <w:numId w:val="15"/>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5"/>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5"/>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8"/>
              <w:ind w:firstLine="0" w:firstLineChars="0"/>
              <w:jc w:val="center"/>
              <w:rPr>
                <w:color w:val="000000"/>
                <w:szCs w:val="21"/>
              </w:rPr>
            </w:pPr>
            <w:r>
              <w:rPr>
                <w:color w:val="000000"/>
                <w:szCs w:val="21"/>
              </w:rPr>
              <w:t>序号</w:t>
            </w:r>
          </w:p>
        </w:tc>
        <w:tc>
          <w:tcPr>
            <w:tcW w:w="2977" w:type="dxa"/>
            <w:vAlign w:val="center"/>
          </w:tcPr>
          <w:p w14:paraId="42032E31">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8"/>
              <w:ind w:firstLine="0" w:firstLineChars="0"/>
              <w:jc w:val="center"/>
              <w:rPr>
                <w:color w:val="000000"/>
                <w:szCs w:val="21"/>
              </w:rPr>
            </w:pPr>
            <w:r>
              <w:rPr>
                <w:color w:val="000000"/>
                <w:szCs w:val="21"/>
              </w:rPr>
              <w:t>具体内容</w:t>
            </w:r>
          </w:p>
        </w:tc>
        <w:tc>
          <w:tcPr>
            <w:tcW w:w="963" w:type="dxa"/>
            <w:vAlign w:val="center"/>
          </w:tcPr>
          <w:p w14:paraId="6E75E46C">
            <w:pPr>
              <w:pStyle w:val="28"/>
              <w:ind w:firstLine="0" w:firstLineChars="0"/>
              <w:jc w:val="center"/>
              <w:rPr>
                <w:color w:val="000000"/>
                <w:szCs w:val="21"/>
              </w:rPr>
            </w:pPr>
            <w:r>
              <w:rPr>
                <w:color w:val="000000"/>
                <w:szCs w:val="21"/>
              </w:rPr>
              <w:t>分项价格（万元）</w:t>
            </w:r>
          </w:p>
        </w:tc>
        <w:tc>
          <w:tcPr>
            <w:tcW w:w="2016" w:type="dxa"/>
          </w:tcPr>
          <w:p w14:paraId="3BC8F9B2">
            <w:pPr>
              <w:pStyle w:val="28"/>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8"/>
              <w:ind w:firstLine="0" w:firstLineChars="0"/>
              <w:jc w:val="center"/>
              <w:rPr>
                <w:color w:val="000000"/>
                <w:szCs w:val="21"/>
              </w:rPr>
            </w:pPr>
            <w:r>
              <w:rPr>
                <w:rFonts w:hint="eastAsia"/>
                <w:color w:val="000000"/>
                <w:szCs w:val="21"/>
              </w:rPr>
              <w:t>1</w:t>
            </w:r>
          </w:p>
        </w:tc>
        <w:tc>
          <w:tcPr>
            <w:tcW w:w="2977" w:type="dxa"/>
            <w:vAlign w:val="center"/>
          </w:tcPr>
          <w:p w14:paraId="629F7C51">
            <w:pPr>
              <w:pStyle w:val="28"/>
              <w:ind w:firstLine="0" w:firstLineChars="0"/>
              <w:rPr>
                <w:color w:val="000000"/>
                <w:szCs w:val="21"/>
              </w:rPr>
            </w:pPr>
          </w:p>
        </w:tc>
        <w:tc>
          <w:tcPr>
            <w:tcW w:w="3686" w:type="dxa"/>
            <w:vAlign w:val="center"/>
          </w:tcPr>
          <w:p w14:paraId="1B711F72">
            <w:pPr>
              <w:pStyle w:val="28"/>
              <w:ind w:firstLine="0" w:firstLineChars="0"/>
              <w:rPr>
                <w:color w:val="000000"/>
                <w:szCs w:val="21"/>
              </w:rPr>
            </w:pPr>
          </w:p>
        </w:tc>
        <w:tc>
          <w:tcPr>
            <w:tcW w:w="963" w:type="dxa"/>
            <w:vAlign w:val="center"/>
          </w:tcPr>
          <w:p w14:paraId="5DD02118">
            <w:pPr>
              <w:pStyle w:val="28"/>
              <w:ind w:firstLine="0" w:firstLineChars="0"/>
              <w:jc w:val="center"/>
              <w:rPr>
                <w:color w:val="000000"/>
                <w:szCs w:val="21"/>
              </w:rPr>
            </w:pPr>
          </w:p>
        </w:tc>
        <w:tc>
          <w:tcPr>
            <w:tcW w:w="2016" w:type="dxa"/>
          </w:tcPr>
          <w:p w14:paraId="149276E7">
            <w:pPr>
              <w:pStyle w:val="28"/>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8"/>
              <w:ind w:firstLine="0" w:firstLineChars="0"/>
              <w:jc w:val="center"/>
              <w:rPr>
                <w:color w:val="000000"/>
                <w:szCs w:val="21"/>
              </w:rPr>
            </w:pPr>
            <w:r>
              <w:rPr>
                <w:rFonts w:hint="eastAsia"/>
                <w:color w:val="000000"/>
                <w:szCs w:val="21"/>
              </w:rPr>
              <w:t>2</w:t>
            </w:r>
          </w:p>
        </w:tc>
        <w:tc>
          <w:tcPr>
            <w:tcW w:w="2977" w:type="dxa"/>
            <w:vAlign w:val="center"/>
          </w:tcPr>
          <w:p w14:paraId="0E44D544">
            <w:pPr>
              <w:pStyle w:val="28"/>
              <w:ind w:firstLine="0" w:firstLineChars="0"/>
              <w:rPr>
                <w:color w:val="000000"/>
                <w:szCs w:val="21"/>
              </w:rPr>
            </w:pPr>
          </w:p>
        </w:tc>
        <w:tc>
          <w:tcPr>
            <w:tcW w:w="3686" w:type="dxa"/>
            <w:vAlign w:val="center"/>
          </w:tcPr>
          <w:p w14:paraId="01B65D9C">
            <w:pPr>
              <w:pStyle w:val="28"/>
              <w:ind w:firstLine="0" w:firstLineChars="0"/>
              <w:rPr>
                <w:color w:val="000000"/>
                <w:szCs w:val="21"/>
              </w:rPr>
            </w:pPr>
          </w:p>
        </w:tc>
        <w:tc>
          <w:tcPr>
            <w:tcW w:w="963" w:type="dxa"/>
            <w:vAlign w:val="center"/>
          </w:tcPr>
          <w:p w14:paraId="4C31DD39">
            <w:pPr>
              <w:pStyle w:val="28"/>
              <w:ind w:firstLine="0" w:firstLineChars="0"/>
              <w:jc w:val="center"/>
              <w:rPr>
                <w:color w:val="000000"/>
                <w:szCs w:val="21"/>
              </w:rPr>
            </w:pPr>
          </w:p>
        </w:tc>
        <w:tc>
          <w:tcPr>
            <w:tcW w:w="2016" w:type="dxa"/>
          </w:tcPr>
          <w:p w14:paraId="3000AC5A">
            <w:pPr>
              <w:pStyle w:val="28"/>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8"/>
              <w:ind w:firstLine="0" w:firstLineChars="0"/>
              <w:jc w:val="center"/>
              <w:rPr>
                <w:color w:val="000000"/>
                <w:szCs w:val="21"/>
              </w:rPr>
            </w:pPr>
            <w:r>
              <w:rPr>
                <w:rFonts w:hint="eastAsia"/>
                <w:color w:val="000000"/>
                <w:szCs w:val="21"/>
              </w:rPr>
              <w:t>3</w:t>
            </w:r>
          </w:p>
        </w:tc>
        <w:tc>
          <w:tcPr>
            <w:tcW w:w="2977" w:type="dxa"/>
            <w:vAlign w:val="center"/>
          </w:tcPr>
          <w:p w14:paraId="71D5F885">
            <w:pPr>
              <w:pStyle w:val="28"/>
              <w:ind w:firstLine="0" w:firstLineChars="0"/>
              <w:rPr>
                <w:color w:val="000000"/>
                <w:szCs w:val="21"/>
              </w:rPr>
            </w:pPr>
          </w:p>
        </w:tc>
        <w:tc>
          <w:tcPr>
            <w:tcW w:w="3686" w:type="dxa"/>
            <w:vAlign w:val="center"/>
          </w:tcPr>
          <w:p w14:paraId="38AC0A57">
            <w:pPr>
              <w:pStyle w:val="28"/>
              <w:ind w:firstLine="0" w:firstLineChars="0"/>
              <w:rPr>
                <w:color w:val="000000"/>
                <w:szCs w:val="21"/>
              </w:rPr>
            </w:pPr>
          </w:p>
        </w:tc>
        <w:tc>
          <w:tcPr>
            <w:tcW w:w="963" w:type="dxa"/>
            <w:vAlign w:val="center"/>
          </w:tcPr>
          <w:p w14:paraId="3B158765">
            <w:pPr>
              <w:pStyle w:val="28"/>
              <w:ind w:firstLine="0" w:firstLineChars="0"/>
              <w:jc w:val="center"/>
              <w:rPr>
                <w:color w:val="000000"/>
                <w:szCs w:val="21"/>
              </w:rPr>
            </w:pPr>
          </w:p>
        </w:tc>
        <w:tc>
          <w:tcPr>
            <w:tcW w:w="2016" w:type="dxa"/>
          </w:tcPr>
          <w:p w14:paraId="43F7F4B9">
            <w:pPr>
              <w:pStyle w:val="28"/>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8"/>
              <w:ind w:firstLine="0" w:firstLineChars="0"/>
              <w:jc w:val="center"/>
              <w:rPr>
                <w:color w:val="000000"/>
                <w:szCs w:val="21"/>
              </w:rPr>
            </w:pPr>
            <w:r>
              <w:rPr>
                <w:color w:val="000000"/>
                <w:szCs w:val="21"/>
              </w:rPr>
              <w:t>…</w:t>
            </w:r>
          </w:p>
        </w:tc>
        <w:tc>
          <w:tcPr>
            <w:tcW w:w="2977" w:type="dxa"/>
            <w:vAlign w:val="center"/>
          </w:tcPr>
          <w:p w14:paraId="492CFE5D">
            <w:pPr>
              <w:pStyle w:val="28"/>
              <w:ind w:firstLine="0" w:firstLineChars="0"/>
              <w:rPr>
                <w:color w:val="000000"/>
                <w:szCs w:val="21"/>
              </w:rPr>
            </w:pPr>
          </w:p>
        </w:tc>
        <w:tc>
          <w:tcPr>
            <w:tcW w:w="3686" w:type="dxa"/>
            <w:vAlign w:val="center"/>
          </w:tcPr>
          <w:p w14:paraId="5E27032F">
            <w:pPr>
              <w:pStyle w:val="28"/>
              <w:ind w:firstLine="0" w:firstLineChars="0"/>
              <w:rPr>
                <w:color w:val="000000"/>
                <w:szCs w:val="21"/>
              </w:rPr>
            </w:pPr>
          </w:p>
        </w:tc>
        <w:tc>
          <w:tcPr>
            <w:tcW w:w="963" w:type="dxa"/>
            <w:vAlign w:val="center"/>
          </w:tcPr>
          <w:p w14:paraId="19B21445">
            <w:pPr>
              <w:pStyle w:val="28"/>
              <w:ind w:firstLine="0" w:firstLineChars="0"/>
              <w:jc w:val="center"/>
              <w:rPr>
                <w:color w:val="000000"/>
                <w:szCs w:val="21"/>
              </w:rPr>
            </w:pPr>
          </w:p>
        </w:tc>
        <w:tc>
          <w:tcPr>
            <w:tcW w:w="2016" w:type="dxa"/>
          </w:tcPr>
          <w:p w14:paraId="5FC047A6">
            <w:pPr>
              <w:pStyle w:val="28"/>
              <w:ind w:firstLine="0" w:firstLineChars="0"/>
              <w:rPr>
                <w:color w:val="000000"/>
                <w:szCs w:val="21"/>
              </w:rPr>
            </w:pPr>
          </w:p>
        </w:tc>
      </w:tr>
    </w:tbl>
    <w:p w14:paraId="2D35C912">
      <w:pPr>
        <w:pStyle w:val="28"/>
        <w:numPr>
          <w:ilvl w:val="0"/>
          <w:numId w:val="14"/>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8"/>
        <w:numPr>
          <w:ilvl w:val="0"/>
          <w:numId w:val="14"/>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8"/>
        <w:jc w:val="left"/>
        <w:rPr>
          <w:bCs/>
          <w:szCs w:val="21"/>
        </w:rPr>
      </w:pPr>
    </w:p>
    <w:p w14:paraId="368787FF">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8"/>
        <w:jc w:val="left"/>
        <w:rPr>
          <w:bCs/>
          <w:szCs w:val="21"/>
        </w:rPr>
      </w:pPr>
    </w:p>
    <w:p w14:paraId="27DB179C">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8"/>
        <w:numPr>
          <w:ilvl w:val="0"/>
          <w:numId w:val="14"/>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8"/>
        <w:numPr>
          <w:ilvl w:val="0"/>
          <w:numId w:val="14"/>
        </w:numPr>
        <w:ind w:left="0" w:firstLine="0" w:firstLineChars="0"/>
        <w:contextualSpacing/>
        <w:jc w:val="left"/>
        <w:rPr>
          <w:b/>
          <w:szCs w:val="21"/>
        </w:rPr>
      </w:pPr>
      <w:r>
        <w:rPr>
          <w:b/>
          <w:szCs w:val="21"/>
        </w:rPr>
        <w:t>验收</w:t>
      </w:r>
    </w:p>
    <w:p w14:paraId="57707485">
      <w:pPr>
        <w:pStyle w:val="28"/>
        <w:numPr>
          <w:ilvl w:val="0"/>
          <w:numId w:val="16"/>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8"/>
        <w:numPr>
          <w:ilvl w:val="0"/>
          <w:numId w:val="16"/>
        </w:numPr>
        <w:ind w:left="0" w:firstLine="0" w:firstLineChars="0"/>
        <w:contextualSpacing/>
        <w:rPr>
          <w:szCs w:val="21"/>
        </w:rPr>
      </w:pPr>
      <w:r>
        <w:rPr>
          <w:szCs w:val="21"/>
        </w:rPr>
        <w:t>验收方案：</w:t>
      </w:r>
    </w:p>
    <w:p w14:paraId="10719FFA">
      <w:pPr>
        <w:pStyle w:val="28"/>
        <w:numPr>
          <w:ilvl w:val="0"/>
          <w:numId w:val="17"/>
        </w:numPr>
        <w:ind w:firstLineChars="0"/>
        <w:contextualSpacing/>
        <w:rPr>
          <w:color w:val="000000"/>
          <w:szCs w:val="21"/>
        </w:rPr>
      </w:pPr>
      <w:r>
        <w:rPr>
          <w:rFonts w:hint="eastAsia"/>
          <w:color w:val="000000"/>
          <w:szCs w:val="21"/>
        </w:rPr>
        <w:t>验收主体：甲方</w:t>
      </w:r>
    </w:p>
    <w:p w14:paraId="7212F6E2">
      <w:pPr>
        <w:pStyle w:val="28"/>
        <w:numPr>
          <w:ilvl w:val="0"/>
          <w:numId w:val="17"/>
        </w:numPr>
        <w:ind w:firstLineChars="0"/>
        <w:contextualSpacing/>
        <w:rPr>
          <w:color w:val="000000"/>
          <w:szCs w:val="21"/>
        </w:rPr>
      </w:pPr>
      <w:r>
        <w:rPr>
          <w:rFonts w:hint="eastAsia"/>
          <w:color w:val="000000"/>
          <w:szCs w:val="21"/>
        </w:rPr>
        <w:t>验收组织方式：自行验收</w:t>
      </w:r>
    </w:p>
    <w:p w14:paraId="5C963DBA">
      <w:pPr>
        <w:pStyle w:val="28"/>
        <w:numPr>
          <w:ilvl w:val="0"/>
          <w:numId w:val="17"/>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8"/>
        <w:numPr>
          <w:ilvl w:val="0"/>
          <w:numId w:val="17"/>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8"/>
        <w:numPr>
          <w:ilvl w:val="0"/>
          <w:numId w:val="17"/>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8"/>
        <w:numPr>
          <w:ilvl w:val="0"/>
          <w:numId w:val="17"/>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8"/>
        <w:numPr>
          <w:ilvl w:val="0"/>
          <w:numId w:val="17"/>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8"/>
        <w:numPr>
          <w:ilvl w:val="0"/>
          <w:numId w:val="17"/>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8"/>
        <w:numPr>
          <w:ilvl w:val="0"/>
          <w:numId w:val="17"/>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8"/>
        <w:numPr>
          <w:ilvl w:val="0"/>
          <w:numId w:val="17"/>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8"/>
        <w:numPr>
          <w:ilvl w:val="0"/>
          <w:numId w:val="17"/>
        </w:numPr>
        <w:ind w:firstLineChars="0"/>
        <w:contextualSpacing/>
        <w:rPr>
          <w:szCs w:val="21"/>
        </w:rPr>
      </w:pPr>
      <w:r>
        <w:rPr>
          <w:szCs w:val="21"/>
        </w:rPr>
        <w:t>验收标准：</w:t>
      </w:r>
    </w:p>
    <w:p w14:paraId="24757C73">
      <w:pPr>
        <w:pStyle w:val="16"/>
        <w:numPr>
          <w:ilvl w:val="0"/>
          <w:numId w:val="18"/>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8"/>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8"/>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8"/>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8"/>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8"/>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8"/>
        <w:numPr>
          <w:ilvl w:val="0"/>
          <w:numId w:val="17"/>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8"/>
        <w:numPr>
          <w:ilvl w:val="0"/>
          <w:numId w:val="16"/>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8"/>
        <w:numPr>
          <w:ilvl w:val="0"/>
          <w:numId w:val="14"/>
        </w:numPr>
        <w:ind w:left="0" w:firstLine="0" w:firstLineChars="0"/>
        <w:contextualSpacing/>
        <w:jc w:val="left"/>
        <w:rPr>
          <w:b/>
          <w:szCs w:val="21"/>
        </w:rPr>
      </w:pPr>
      <w:r>
        <w:rPr>
          <w:b/>
          <w:szCs w:val="21"/>
        </w:rPr>
        <w:t>付款方式</w:t>
      </w:r>
    </w:p>
    <w:p w14:paraId="5CC20725">
      <w:pPr>
        <w:pStyle w:val="9"/>
        <w:numPr>
          <w:ilvl w:val="0"/>
          <w:numId w:val="19"/>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9"/>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9"/>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9"/>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8"/>
        <w:numPr>
          <w:ilvl w:val="0"/>
          <w:numId w:val="14"/>
        </w:numPr>
        <w:ind w:left="0" w:firstLine="0" w:firstLineChars="0"/>
        <w:contextualSpacing/>
        <w:jc w:val="left"/>
        <w:rPr>
          <w:b/>
          <w:szCs w:val="21"/>
        </w:rPr>
      </w:pPr>
      <w:r>
        <w:rPr>
          <w:b/>
          <w:szCs w:val="21"/>
        </w:rPr>
        <w:t>双方权利与义务</w:t>
      </w:r>
    </w:p>
    <w:p w14:paraId="581F8AA0">
      <w:pPr>
        <w:pStyle w:val="9"/>
        <w:numPr>
          <w:ilvl w:val="0"/>
          <w:numId w:val="20"/>
        </w:numPr>
        <w:spacing w:after="0" w:line="240" w:lineRule="auto"/>
        <w:ind w:left="227" w:leftChars="0" w:hanging="227"/>
        <w:contextualSpacing/>
        <w:jc w:val="left"/>
        <w:rPr>
          <w:szCs w:val="21"/>
        </w:rPr>
      </w:pPr>
      <w:r>
        <w:rPr>
          <w:szCs w:val="21"/>
        </w:rPr>
        <w:t>甲方权利与义务</w:t>
      </w:r>
    </w:p>
    <w:p w14:paraId="4D16113D">
      <w:pPr>
        <w:pStyle w:val="28"/>
        <w:numPr>
          <w:ilvl w:val="0"/>
          <w:numId w:val="21"/>
        </w:numPr>
        <w:adjustRightInd w:val="0"/>
        <w:ind w:left="525" w:hanging="525" w:hangingChars="250"/>
        <w:contextualSpacing/>
        <w:jc w:val="left"/>
        <w:rPr>
          <w:szCs w:val="21"/>
        </w:rPr>
      </w:pPr>
      <w:r>
        <w:rPr>
          <w:szCs w:val="21"/>
        </w:rPr>
        <w:t>按合同约定向乙方支付费用。</w:t>
      </w:r>
    </w:p>
    <w:p w14:paraId="62A02753">
      <w:pPr>
        <w:pStyle w:val="28"/>
        <w:numPr>
          <w:ilvl w:val="0"/>
          <w:numId w:val="21"/>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8"/>
        <w:numPr>
          <w:ilvl w:val="0"/>
          <w:numId w:val="21"/>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8"/>
        <w:numPr>
          <w:ilvl w:val="0"/>
          <w:numId w:val="21"/>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20"/>
        </w:numPr>
        <w:spacing w:after="0" w:line="240" w:lineRule="auto"/>
        <w:ind w:left="227" w:leftChars="0" w:hanging="227"/>
        <w:contextualSpacing/>
        <w:jc w:val="left"/>
        <w:rPr>
          <w:szCs w:val="21"/>
        </w:rPr>
      </w:pPr>
      <w:r>
        <w:rPr>
          <w:szCs w:val="21"/>
        </w:rPr>
        <w:t>乙方权利与义务</w:t>
      </w:r>
    </w:p>
    <w:p w14:paraId="319B30B1">
      <w:pPr>
        <w:pStyle w:val="9"/>
        <w:numPr>
          <w:ilvl w:val="0"/>
          <w:numId w:val="22"/>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2"/>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2"/>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2"/>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2"/>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8"/>
        <w:numPr>
          <w:ilvl w:val="0"/>
          <w:numId w:val="14"/>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3"/>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8"/>
        <w:numPr>
          <w:ilvl w:val="0"/>
          <w:numId w:val="23"/>
        </w:numPr>
        <w:ind w:left="0" w:firstLine="0" w:firstLineChars="0"/>
        <w:rPr>
          <w:szCs w:val="21"/>
        </w:rPr>
      </w:pPr>
      <w:r>
        <w:rPr>
          <w:szCs w:val="21"/>
        </w:rPr>
        <w:t>乙方违约责任：</w:t>
      </w:r>
    </w:p>
    <w:p w14:paraId="354B31C5">
      <w:pPr>
        <w:pStyle w:val="9"/>
        <w:numPr>
          <w:ilvl w:val="0"/>
          <w:numId w:val="24"/>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4"/>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4"/>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4"/>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4"/>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4"/>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4"/>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4"/>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4"/>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8"/>
        <w:numPr>
          <w:ilvl w:val="0"/>
          <w:numId w:val="14"/>
        </w:numPr>
        <w:ind w:left="0" w:firstLine="0" w:firstLineChars="0"/>
        <w:contextualSpacing/>
        <w:jc w:val="left"/>
        <w:rPr>
          <w:b/>
          <w:szCs w:val="21"/>
        </w:rPr>
      </w:pPr>
      <w:r>
        <w:rPr>
          <w:b/>
          <w:szCs w:val="21"/>
        </w:rPr>
        <w:t>不可抗力</w:t>
      </w:r>
    </w:p>
    <w:p w14:paraId="26541785">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8"/>
        <w:numPr>
          <w:ilvl w:val="0"/>
          <w:numId w:val="14"/>
        </w:numPr>
        <w:ind w:left="0" w:firstLine="0" w:firstLineChars="0"/>
        <w:contextualSpacing/>
        <w:jc w:val="left"/>
        <w:rPr>
          <w:b/>
          <w:szCs w:val="21"/>
        </w:rPr>
      </w:pPr>
      <w:r>
        <w:rPr>
          <w:b/>
          <w:szCs w:val="21"/>
        </w:rPr>
        <w:t>合同终止及解除</w:t>
      </w:r>
    </w:p>
    <w:p w14:paraId="275C61D9">
      <w:pPr>
        <w:pStyle w:val="28"/>
        <w:numPr>
          <w:ilvl w:val="0"/>
          <w:numId w:val="25"/>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8"/>
        <w:numPr>
          <w:ilvl w:val="0"/>
          <w:numId w:val="25"/>
        </w:numPr>
        <w:ind w:left="0" w:firstLine="0" w:firstLineChars="0"/>
        <w:rPr>
          <w:szCs w:val="21"/>
        </w:rPr>
      </w:pPr>
      <w:r>
        <w:rPr>
          <w:szCs w:val="21"/>
        </w:rPr>
        <w:t>在甲、乙任何一方有严重违约行为时，另一方有权单方解除合同。</w:t>
      </w:r>
    </w:p>
    <w:p w14:paraId="2BA7B89E">
      <w:pPr>
        <w:pStyle w:val="28"/>
        <w:numPr>
          <w:ilvl w:val="0"/>
          <w:numId w:val="14"/>
        </w:numPr>
        <w:ind w:left="0" w:firstLine="0" w:firstLineChars="0"/>
        <w:contextualSpacing/>
        <w:jc w:val="left"/>
        <w:rPr>
          <w:b/>
          <w:szCs w:val="21"/>
        </w:rPr>
      </w:pPr>
      <w:r>
        <w:rPr>
          <w:b/>
          <w:szCs w:val="21"/>
        </w:rPr>
        <w:t>争议解决办法</w:t>
      </w:r>
    </w:p>
    <w:p w14:paraId="5C6244A3">
      <w:pPr>
        <w:pStyle w:val="28"/>
        <w:numPr>
          <w:ilvl w:val="0"/>
          <w:numId w:val="26"/>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8"/>
        <w:numPr>
          <w:ilvl w:val="0"/>
          <w:numId w:val="26"/>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8"/>
        <w:numPr>
          <w:ilvl w:val="0"/>
          <w:numId w:val="14"/>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3"/>
        <w:numPr>
          <w:ilvl w:val="0"/>
          <w:numId w:val="27"/>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3"/>
        <w:numPr>
          <w:ilvl w:val="0"/>
          <w:numId w:val="27"/>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3"/>
        <w:numPr>
          <w:ilvl w:val="0"/>
          <w:numId w:val="27"/>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8"/>
        <w:numPr>
          <w:ilvl w:val="0"/>
          <w:numId w:val="14"/>
        </w:numPr>
        <w:ind w:left="0" w:firstLine="0" w:firstLineChars="0"/>
        <w:contextualSpacing/>
        <w:jc w:val="left"/>
        <w:rPr>
          <w:b/>
          <w:szCs w:val="21"/>
        </w:rPr>
      </w:pPr>
      <w:r>
        <w:rPr>
          <w:b/>
          <w:szCs w:val="21"/>
        </w:rPr>
        <w:t>其他</w:t>
      </w:r>
    </w:p>
    <w:p w14:paraId="162904B6">
      <w:pPr>
        <w:pStyle w:val="28"/>
        <w:numPr>
          <w:ilvl w:val="0"/>
          <w:numId w:val="28"/>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8"/>
        <w:numPr>
          <w:ilvl w:val="0"/>
          <w:numId w:val="28"/>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8"/>
        <w:numPr>
          <w:ilvl w:val="0"/>
          <w:numId w:val="14"/>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noWrap w:val="0"/>
            <w:vAlign w:val="center"/>
          </w:tcPr>
          <w:p w14:paraId="76F5C2A7">
            <w:pPr>
              <w:widowControl/>
              <w:jc w:val="center"/>
              <w:rPr>
                <w:b/>
                <w:bCs/>
                <w:szCs w:val="21"/>
              </w:rPr>
            </w:pPr>
            <w:r>
              <w:rPr>
                <w:rFonts w:hint="eastAsia"/>
                <w:b/>
                <w:bCs/>
                <w:szCs w:val="21"/>
              </w:rPr>
              <w:t>序号</w:t>
            </w:r>
          </w:p>
        </w:tc>
        <w:tc>
          <w:tcPr>
            <w:tcW w:w="3686" w:type="dxa"/>
            <w:noWrap w:val="0"/>
            <w:vAlign w:val="center"/>
          </w:tcPr>
          <w:p w14:paraId="6138C8A7">
            <w:pPr>
              <w:widowControl/>
              <w:jc w:val="center"/>
              <w:rPr>
                <w:b/>
                <w:bCs/>
                <w:szCs w:val="21"/>
              </w:rPr>
            </w:pPr>
            <w:r>
              <w:rPr>
                <w:rFonts w:hint="eastAsia"/>
                <w:b/>
                <w:bCs/>
                <w:szCs w:val="21"/>
              </w:rPr>
              <w:t>结算项目名称</w:t>
            </w:r>
          </w:p>
        </w:tc>
        <w:tc>
          <w:tcPr>
            <w:tcW w:w="3402" w:type="dxa"/>
            <w:noWrap w:val="0"/>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56BCD53">
            <w:pPr>
              <w:widowControl/>
              <w:jc w:val="center"/>
              <w:rPr>
                <w:szCs w:val="21"/>
              </w:rPr>
            </w:pPr>
            <w:r>
              <w:rPr>
                <w:rFonts w:hint="eastAsia"/>
                <w:szCs w:val="21"/>
              </w:rPr>
              <w:t>1</w:t>
            </w:r>
          </w:p>
        </w:tc>
        <w:tc>
          <w:tcPr>
            <w:tcW w:w="3686" w:type="dxa"/>
            <w:noWrap w:val="0"/>
            <w:vAlign w:val="center"/>
          </w:tcPr>
          <w:p w14:paraId="466C56FF">
            <w:pPr>
              <w:widowControl/>
              <w:jc w:val="left"/>
              <w:rPr>
                <w:szCs w:val="21"/>
              </w:rPr>
            </w:pPr>
          </w:p>
        </w:tc>
        <w:tc>
          <w:tcPr>
            <w:tcW w:w="3402" w:type="dxa"/>
            <w:noWrap w:val="0"/>
            <w:vAlign w:val="center"/>
          </w:tcPr>
          <w:p w14:paraId="3BC0C217">
            <w:pPr>
              <w:widowControl/>
              <w:jc w:val="left"/>
              <w:rPr>
                <w:szCs w:val="21"/>
              </w:rPr>
            </w:pPr>
          </w:p>
        </w:tc>
        <w:tc>
          <w:tcPr>
            <w:tcW w:w="992" w:type="dxa"/>
            <w:noWrap w:val="0"/>
            <w:vAlign w:val="center"/>
          </w:tcPr>
          <w:p w14:paraId="1338F166">
            <w:pPr>
              <w:widowControl/>
              <w:jc w:val="center"/>
              <w:rPr>
                <w:szCs w:val="21"/>
              </w:rPr>
            </w:pPr>
          </w:p>
        </w:tc>
        <w:tc>
          <w:tcPr>
            <w:tcW w:w="986" w:type="dxa"/>
            <w:noWrap w:val="0"/>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F21EF6E">
            <w:pPr>
              <w:widowControl/>
              <w:jc w:val="center"/>
              <w:rPr>
                <w:szCs w:val="21"/>
              </w:rPr>
            </w:pPr>
            <w:r>
              <w:rPr>
                <w:rFonts w:hint="eastAsia"/>
                <w:szCs w:val="21"/>
              </w:rPr>
              <w:t>2</w:t>
            </w:r>
          </w:p>
        </w:tc>
        <w:tc>
          <w:tcPr>
            <w:tcW w:w="3686" w:type="dxa"/>
            <w:noWrap w:val="0"/>
            <w:vAlign w:val="center"/>
          </w:tcPr>
          <w:p w14:paraId="638D463C">
            <w:pPr>
              <w:widowControl/>
              <w:jc w:val="left"/>
              <w:rPr>
                <w:szCs w:val="21"/>
              </w:rPr>
            </w:pPr>
          </w:p>
        </w:tc>
        <w:tc>
          <w:tcPr>
            <w:tcW w:w="3402" w:type="dxa"/>
            <w:noWrap w:val="0"/>
            <w:vAlign w:val="center"/>
          </w:tcPr>
          <w:p w14:paraId="1E1EDFDE">
            <w:pPr>
              <w:widowControl/>
              <w:jc w:val="left"/>
              <w:rPr>
                <w:szCs w:val="21"/>
              </w:rPr>
            </w:pPr>
          </w:p>
        </w:tc>
        <w:tc>
          <w:tcPr>
            <w:tcW w:w="992" w:type="dxa"/>
            <w:noWrap w:val="0"/>
            <w:vAlign w:val="center"/>
          </w:tcPr>
          <w:p w14:paraId="3C44F2A1">
            <w:pPr>
              <w:widowControl/>
              <w:jc w:val="center"/>
              <w:rPr>
                <w:szCs w:val="21"/>
              </w:rPr>
            </w:pPr>
          </w:p>
        </w:tc>
        <w:tc>
          <w:tcPr>
            <w:tcW w:w="986" w:type="dxa"/>
            <w:noWrap w:val="0"/>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9356817">
            <w:pPr>
              <w:widowControl/>
              <w:jc w:val="center"/>
              <w:rPr>
                <w:szCs w:val="21"/>
              </w:rPr>
            </w:pPr>
            <w:r>
              <w:rPr>
                <w:szCs w:val="21"/>
              </w:rPr>
              <w:t>…</w:t>
            </w:r>
          </w:p>
        </w:tc>
        <w:tc>
          <w:tcPr>
            <w:tcW w:w="3686" w:type="dxa"/>
            <w:noWrap w:val="0"/>
            <w:vAlign w:val="center"/>
          </w:tcPr>
          <w:p w14:paraId="670196F7">
            <w:pPr>
              <w:widowControl/>
              <w:jc w:val="left"/>
              <w:rPr>
                <w:szCs w:val="21"/>
              </w:rPr>
            </w:pPr>
          </w:p>
        </w:tc>
        <w:tc>
          <w:tcPr>
            <w:tcW w:w="3402" w:type="dxa"/>
            <w:noWrap w:val="0"/>
            <w:vAlign w:val="center"/>
          </w:tcPr>
          <w:p w14:paraId="5104BE78">
            <w:pPr>
              <w:widowControl/>
              <w:jc w:val="left"/>
              <w:rPr>
                <w:szCs w:val="21"/>
              </w:rPr>
            </w:pPr>
          </w:p>
        </w:tc>
        <w:tc>
          <w:tcPr>
            <w:tcW w:w="992" w:type="dxa"/>
            <w:noWrap w:val="0"/>
            <w:vAlign w:val="center"/>
          </w:tcPr>
          <w:p w14:paraId="22F4BD02">
            <w:pPr>
              <w:widowControl/>
              <w:jc w:val="center"/>
              <w:rPr>
                <w:szCs w:val="21"/>
              </w:rPr>
            </w:pPr>
          </w:p>
        </w:tc>
        <w:tc>
          <w:tcPr>
            <w:tcW w:w="986" w:type="dxa"/>
            <w:noWrap w:val="0"/>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fmt="decimal" w:start="1"/>
          <w:cols w:space="720" w:num="1"/>
          <w:docGrid w:linePitch="312" w:charSpace="0"/>
        </w:sectPr>
      </w:pPr>
      <w:r>
        <w:rPr>
          <w:szCs w:val="21"/>
        </w:rPr>
        <w:br w:type="page"/>
      </w:r>
    </w:p>
    <w:p w14:paraId="7C0E56F4">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2</w:t>
      </w:r>
      <w:r>
        <w:rPr>
          <w:rFonts w:hint="eastAsia" w:ascii="宋体" w:hAnsi="宋体"/>
          <w:b/>
          <w:bCs/>
          <w:szCs w:val="21"/>
        </w:rPr>
        <w:t>：</w:t>
      </w:r>
      <w:r>
        <w:rPr>
          <w:rFonts w:hint="eastAsia" w:ascii="宋体" w:hAnsi="宋体"/>
          <w:b/>
          <w:bCs/>
          <w:szCs w:val="21"/>
          <w:lang w:val="en-US" w:eastAsia="zh-CN"/>
        </w:rPr>
        <w:t>考核标准</w:t>
      </w:r>
    </w:p>
    <w:p w14:paraId="2C21E9B8"/>
    <w:p w14:paraId="5BF6043E">
      <w:r>
        <w:rPr>
          <w:rFonts w:hint="eastAsia"/>
        </w:rPr>
        <w:t>*</w:t>
      </w:r>
      <w:r>
        <w:t>**</w:t>
      </w:r>
    </w:p>
    <w:p w14:paraId="05CB4E39">
      <w:pPr>
        <w:pStyle w:val="7"/>
        <w:rPr>
          <w:rFonts w:hint="eastAsia" w:ascii="仿宋" w:hAnsi="仿宋" w:eastAsia="仿宋" w:cs="仿宋"/>
          <w:color w:val="auto"/>
          <w:sz w:val="28"/>
          <w:szCs w:val="36"/>
          <w:highlight w:val="none"/>
        </w:rPr>
      </w:pPr>
    </w:p>
    <w:p w14:paraId="5A954D06">
      <w:pPr>
        <w:pStyle w:val="7"/>
        <w:rPr>
          <w:rFonts w:hint="eastAsia" w:ascii="仿宋" w:hAnsi="仿宋" w:eastAsia="仿宋" w:cs="仿宋"/>
          <w:color w:val="auto"/>
          <w:sz w:val="28"/>
          <w:szCs w:val="36"/>
          <w:highlight w:val="none"/>
        </w:rPr>
      </w:pPr>
    </w:p>
    <w:p w14:paraId="1C759154">
      <w:pPr>
        <w:pStyle w:val="7"/>
        <w:rPr>
          <w:rFonts w:hint="eastAsia" w:ascii="仿宋" w:hAnsi="仿宋" w:eastAsia="仿宋" w:cs="仿宋"/>
          <w:color w:val="auto"/>
          <w:sz w:val="28"/>
          <w:szCs w:val="36"/>
          <w:highlight w:val="none"/>
        </w:rPr>
      </w:pPr>
    </w:p>
    <w:p w14:paraId="7A5531E3">
      <w:pPr>
        <w:pStyle w:val="7"/>
        <w:rPr>
          <w:rFonts w:hint="eastAsia" w:ascii="仿宋" w:hAnsi="仿宋" w:eastAsia="仿宋" w:cs="仿宋"/>
          <w:color w:val="auto"/>
          <w:sz w:val="28"/>
          <w:szCs w:val="36"/>
          <w:highlight w:val="none"/>
        </w:rPr>
      </w:pPr>
    </w:p>
    <w:p w14:paraId="4E875001">
      <w:pPr>
        <w:rPr>
          <w:rFonts w:ascii="Times New Roman" w:hAnsi="Times New Roman"/>
        </w:rPr>
      </w:pPr>
      <w:r>
        <w:rPr>
          <w:rFonts w:ascii="Times New Roman" w:hAnsi="Times New Roman"/>
        </w:rPr>
        <w:br w:type="page"/>
      </w:r>
    </w:p>
    <w:p w14:paraId="363FF3E9">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3</w:t>
      </w:r>
      <w:r>
        <w:rPr>
          <w:rFonts w:hint="eastAsia" w:ascii="宋体" w:hAnsi="宋体"/>
          <w:b/>
          <w:bCs/>
          <w:szCs w:val="21"/>
        </w:rPr>
        <w:t>：</w:t>
      </w:r>
      <w:r>
        <w:rPr>
          <w:rFonts w:hint="eastAsia" w:ascii="宋体" w:hAnsi="宋体"/>
          <w:b/>
          <w:bCs/>
          <w:szCs w:val="21"/>
          <w:lang w:val="en-US" w:eastAsia="zh-CN"/>
        </w:rPr>
        <w:t>服务方案</w:t>
      </w:r>
    </w:p>
    <w:p w14:paraId="370E0AEC">
      <w:pPr>
        <w:pStyle w:val="25"/>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76C0F49-A924-4153-AA2D-30A227EFA1B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A3457C3-40D9-460A-B560-4F5B83CA54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15B8C06-0178-47FC-B5B0-9D7C2ABC4A6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4BAE1D1-F972-4C9E-BB65-3CD1B71009EB}"/>
  </w:font>
  <w:font w:name="微软雅黑">
    <w:panose1 w:val="020B0503020204020204"/>
    <w:charset w:val="86"/>
    <w:family w:val="auto"/>
    <w:pitch w:val="default"/>
    <w:sig w:usb0="80000287" w:usb1="2ACF3C50" w:usb2="00000016" w:usb3="00000000" w:csb0="0004001F" w:csb1="00000000"/>
    <w:embedRegular r:id="rId5" w:fontKey="{C1AE709C-F939-4354-BBD1-C50C51F62A4C}"/>
  </w:font>
  <w:font w:name="Arial">
    <w:panose1 w:val="020B0604020202020204"/>
    <w:charset w:val="00"/>
    <w:family w:val="auto"/>
    <w:pitch w:val="default"/>
    <w:sig w:usb0="E0002EFF" w:usb1="C000785B" w:usb2="00000009" w:usb3="00000000" w:csb0="400001FF" w:csb1="FFFF0000"/>
  </w:font>
  <w:font w:name="Segoe UI Symbol">
    <w:panose1 w:val="020B0502040204020203"/>
    <w:charset w:val="00"/>
    <w:family w:val="swiss"/>
    <w:pitch w:val="default"/>
    <w:sig w:usb0="800001E3" w:usb1="1200FFEF" w:usb2="00040000" w:usb3="04000000" w:csb0="00000001" w:csb1="40000000"/>
    <w:embedRegular r:id="rId6" w:fontKey="{04DF6B67-9AEA-4A5E-8254-827FB0805DE9}"/>
  </w:font>
  <w:font w:name="Wingdings 2">
    <w:altName w:val="Wingdings"/>
    <w:panose1 w:val="05020102010507070707"/>
    <w:charset w:val="4D"/>
    <w:family w:val="decorative"/>
    <w:pitch w:val="default"/>
    <w:sig w:usb0="00000000" w:usb1="00000000" w:usb2="00000000" w:usb3="00000000" w:csb0="80000001" w:csb1="00000000"/>
    <w:embedRegular r:id="rId7" w:fontKey="{2F0E21CA-E026-48EC-B675-5992B1F7746C}"/>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442B70F"/>
    <w:multiLevelType w:val="singleLevel"/>
    <w:tmpl w:val="B442B70F"/>
    <w:lvl w:ilvl="0" w:tentative="0">
      <w:start w:val="1"/>
      <w:numFmt w:val="decimal"/>
      <w:lvlText w:val="%1."/>
      <w:lvlJc w:val="left"/>
      <w:pPr>
        <w:tabs>
          <w:tab w:val="left" w:pos="312"/>
        </w:tabs>
      </w:p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D22B88"/>
    <w:multiLevelType w:val="singleLevel"/>
    <w:tmpl w:val="61D22B88"/>
    <w:lvl w:ilvl="0" w:tentative="0">
      <w:start w:val="4"/>
      <w:numFmt w:val="decimal"/>
      <w:suff w:val="nothing"/>
      <w:lvlText w:val="%1、"/>
      <w:lvlJc w:val="left"/>
    </w:lvl>
  </w:abstractNum>
  <w:abstractNum w:abstractNumId="23">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7"/>
  </w:num>
  <w:num w:numId="5">
    <w:abstractNumId w:val="13"/>
  </w:num>
  <w:num w:numId="6">
    <w:abstractNumId w:val="21"/>
  </w:num>
  <w:num w:numId="7">
    <w:abstractNumId w:val="16"/>
  </w:num>
  <w:num w:numId="8">
    <w:abstractNumId w:val="3"/>
  </w:num>
  <w:num w:numId="9">
    <w:abstractNumId w:val="1"/>
  </w:num>
  <w:num w:numId="10">
    <w:abstractNumId w:val="0"/>
  </w:num>
  <w:num w:numId="11">
    <w:abstractNumId w:val="5"/>
  </w:num>
  <w:num w:numId="12">
    <w:abstractNumId w:val="22"/>
  </w:num>
  <w:num w:numId="13">
    <w:abstractNumId w:val="2"/>
  </w:num>
  <w:num w:numId="14">
    <w:abstractNumId w:val="12"/>
  </w:num>
  <w:num w:numId="15">
    <w:abstractNumId w:val="23"/>
  </w:num>
  <w:num w:numId="16">
    <w:abstractNumId w:val="26"/>
  </w:num>
  <w:num w:numId="17">
    <w:abstractNumId w:val="19"/>
  </w:num>
  <w:num w:numId="18">
    <w:abstractNumId w:val="9"/>
  </w:num>
  <w:num w:numId="19">
    <w:abstractNumId w:val="7"/>
  </w:num>
  <w:num w:numId="20">
    <w:abstractNumId w:val="24"/>
  </w:num>
  <w:num w:numId="21">
    <w:abstractNumId w:val="18"/>
  </w:num>
  <w:num w:numId="22">
    <w:abstractNumId w:val="8"/>
  </w:num>
  <w:num w:numId="23">
    <w:abstractNumId w:val="11"/>
  </w:num>
  <w:num w:numId="24">
    <w:abstractNumId w:val="25"/>
  </w:num>
  <w:num w:numId="25">
    <w:abstractNumId w:val="6"/>
  </w:num>
  <w:num w:numId="26">
    <w:abstractNumId w:val="20"/>
  </w:num>
  <w:num w:numId="27">
    <w:abstractNumId w:val="1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65A81"/>
    <w:rsid w:val="058C78B0"/>
    <w:rsid w:val="05E13064"/>
    <w:rsid w:val="078A573C"/>
    <w:rsid w:val="093A3733"/>
    <w:rsid w:val="0B4508AE"/>
    <w:rsid w:val="0CF161C9"/>
    <w:rsid w:val="0D352B8F"/>
    <w:rsid w:val="0E0B7FF0"/>
    <w:rsid w:val="0F8130FB"/>
    <w:rsid w:val="0F9A05A2"/>
    <w:rsid w:val="115D07B9"/>
    <w:rsid w:val="117A5014"/>
    <w:rsid w:val="127F05A0"/>
    <w:rsid w:val="127F1D65"/>
    <w:rsid w:val="13546548"/>
    <w:rsid w:val="136D78F8"/>
    <w:rsid w:val="1411115B"/>
    <w:rsid w:val="15CC4977"/>
    <w:rsid w:val="162A4F7D"/>
    <w:rsid w:val="16A82A66"/>
    <w:rsid w:val="1994787E"/>
    <w:rsid w:val="1B395F40"/>
    <w:rsid w:val="1DD000AF"/>
    <w:rsid w:val="1E09745A"/>
    <w:rsid w:val="1E176351"/>
    <w:rsid w:val="1FD31681"/>
    <w:rsid w:val="229D6DB5"/>
    <w:rsid w:val="23B23499"/>
    <w:rsid w:val="23D4489F"/>
    <w:rsid w:val="262001B9"/>
    <w:rsid w:val="27B87AF9"/>
    <w:rsid w:val="27E80EA9"/>
    <w:rsid w:val="280414A1"/>
    <w:rsid w:val="28570368"/>
    <w:rsid w:val="29C5318E"/>
    <w:rsid w:val="2B502F98"/>
    <w:rsid w:val="2C9A0A9E"/>
    <w:rsid w:val="2CA621A6"/>
    <w:rsid w:val="2DA70D65"/>
    <w:rsid w:val="2EE31C10"/>
    <w:rsid w:val="30497EAF"/>
    <w:rsid w:val="30C931D7"/>
    <w:rsid w:val="314D62F2"/>
    <w:rsid w:val="3427766B"/>
    <w:rsid w:val="343706EB"/>
    <w:rsid w:val="351A08D0"/>
    <w:rsid w:val="36334CE5"/>
    <w:rsid w:val="36992B4F"/>
    <w:rsid w:val="3A551407"/>
    <w:rsid w:val="3B033C36"/>
    <w:rsid w:val="3E5D4E8E"/>
    <w:rsid w:val="3FE25336"/>
    <w:rsid w:val="42075FF8"/>
    <w:rsid w:val="42842020"/>
    <w:rsid w:val="468567BB"/>
    <w:rsid w:val="4782487D"/>
    <w:rsid w:val="49F21769"/>
    <w:rsid w:val="4B31068E"/>
    <w:rsid w:val="4BA55220"/>
    <w:rsid w:val="4BAD0151"/>
    <w:rsid w:val="4C8F75A2"/>
    <w:rsid w:val="4DAD4403"/>
    <w:rsid w:val="4E8C008E"/>
    <w:rsid w:val="4FEF758C"/>
    <w:rsid w:val="50771A9C"/>
    <w:rsid w:val="51C47F6D"/>
    <w:rsid w:val="5455382C"/>
    <w:rsid w:val="54643166"/>
    <w:rsid w:val="5573681D"/>
    <w:rsid w:val="569A039C"/>
    <w:rsid w:val="56BA722E"/>
    <w:rsid w:val="5D0A3490"/>
    <w:rsid w:val="5D7E0D39"/>
    <w:rsid w:val="5E9D3F29"/>
    <w:rsid w:val="5F3D466C"/>
    <w:rsid w:val="60384CD1"/>
    <w:rsid w:val="60655808"/>
    <w:rsid w:val="613B6B58"/>
    <w:rsid w:val="63A9427A"/>
    <w:rsid w:val="63D462B1"/>
    <w:rsid w:val="641A3596"/>
    <w:rsid w:val="64D96647"/>
    <w:rsid w:val="655B51E5"/>
    <w:rsid w:val="65E40ADA"/>
    <w:rsid w:val="66330B86"/>
    <w:rsid w:val="66E22203"/>
    <w:rsid w:val="68B812C9"/>
    <w:rsid w:val="69D50CF4"/>
    <w:rsid w:val="6C487AFD"/>
    <w:rsid w:val="6CB24363"/>
    <w:rsid w:val="6EA93466"/>
    <w:rsid w:val="6F97249D"/>
    <w:rsid w:val="6FCF0795"/>
    <w:rsid w:val="70EE62C9"/>
    <w:rsid w:val="71381023"/>
    <w:rsid w:val="73714961"/>
    <w:rsid w:val="754D1D92"/>
    <w:rsid w:val="758350A9"/>
    <w:rsid w:val="79687E1D"/>
    <w:rsid w:val="7B560FD7"/>
    <w:rsid w:val="7B5F74F8"/>
    <w:rsid w:val="7B690630"/>
    <w:rsid w:val="7C5123F4"/>
    <w:rsid w:val="7CB400F8"/>
    <w:rsid w:val="7D040AB6"/>
    <w:rsid w:val="7D4119E6"/>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null3"/>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49</Pages>
  <Words>1408</Words>
  <Characters>1496</Characters>
  <Lines>72</Lines>
  <Paragraphs>20</Paragraphs>
  <TotalTime>42</TotalTime>
  <ScaleCrop>false</ScaleCrop>
  <LinksUpToDate>false</LinksUpToDate>
  <CharactersWithSpaces>1568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2026-05-07T08:10:26Z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4C5CE8C03F8D45CD85E336E2A836F39B_13</vt:lpwstr>
  </property>
  <property fmtid="{D5CDD505-2E9C-101B-9397-08002B2CF9AE}" pid="4" name="KSOTemplateDocerSaveRecord">
    <vt:lpwstr>eyJoZGlkIjoiMmYzMjBlOTBlMmU5YzA1ZjM4ZDczZjBmYWNjYjE4M2UiLCJ1c2VySWQiOiI2NTgwMTYxNjcifQ==</vt:lpwstr>
  </property>
</Properties>
</file>