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转运呼吸机</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1919"/>
      <w:bookmarkStart w:id="1" w:name="_Toc20358"/>
      <w:bookmarkStart w:id="2" w:name="_Toc3240"/>
      <w:bookmarkStart w:id="3" w:name="_Toc471310326"/>
      <w:bookmarkStart w:id="4" w:name="_Toc62832406"/>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转运呼吸机</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 xml:space="preserve">CGZX-YXZ20261546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405000.00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合同金额的10%</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en-US" w:eastAsia="zh-CN"/>
              </w:rPr>
              <w:t xml:space="preserve">供应商拒绝履行与采购人订立的合同 </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转运呼吸机设备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转运呼吸机</w:t>
            </w:r>
          </w:p>
        </w:tc>
        <w:tc>
          <w:tcPr>
            <w:tcW w:w="528"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465"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13.5</w:t>
            </w:r>
          </w:p>
        </w:tc>
        <w:tc>
          <w:tcPr>
            <w:tcW w:w="69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40.5</w:t>
            </w:r>
          </w:p>
        </w:tc>
        <w:tc>
          <w:tcPr>
            <w:tcW w:w="516"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0"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1.适用于成人、小儿、婴幼儿患者通气辅助及呼吸支持。</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2.▲电动电控，具备内置式涡轮提供空气，涡轮峰值流速≥280L/min。（提供产品彩页或说明书证明）</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3.支持高压氧气气源和低压氧气气源两种供气方式。</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4.具备氧浓度监测功能，监测范围满足21%—100%，监测精度±1%。</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5.★配置顺磁氧浓度传感器或超声氧浓度传感器。</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6.具备≥10英寸彩色触摸控制屏（电容屏），可同屏显示波形和监测参数，具备屏幕亮度在不同环境亮度下自动调节功能。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7.▲至</w:t>
      </w:r>
      <w:bookmarkStart w:id="117" w:name="_GoBack"/>
      <w:bookmarkEnd w:id="117"/>
      <w:r>
        <w:rPr>
          <w:rFonts w:hint="eastAsia"/>
        </w:rPr>
        <w:t>少具备以下标准通气模式：控制/辅助通气（A/C）、同步间歇指令通气（SIMV）、持续气道正压/压力支持通气（CPAP/PSV）、双水平气道正压通气（BIPAP或DuoLevel或BiLevel）、压力调节容量控制通气（AUTOFLOW或PRVC）、压力调节容量控制-同步间歇指令通气（PRVC-SIMV）、心肺复苏通气（CPRV或CPRmode）；</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8.至少具备以下高级通气模式：容量支持通气（VS）、气道压力释放通气（APRV）、自适应分钟通气（AMV或ASV）；</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9.具备无创通气功能和高流量氧疗功能，高流量氧疗流量范围：满足2L/min—80L/min可调。</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10.（提供产品彩页或说明书证明）</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11.▲具备智能呼吸同步功能，可自动追踪并调节患者的吸气灵敏度、呼吸触发灵敏度、压力上升时间，可选择手动调节灵敏度。（提供产品彩页或说明书证明）</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12.具备内源性PEEP测定、口腔闭合压P0.1测定、浅快呼吸指数RSBI测定功能。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13.具备脱机辅助SBT和肺复张辅助功能，具备静态PV环功能。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14.▲满足以下参数调节功能：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15.潮气量：20ml—4000ml；</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16.氧浓度：21%—100%；</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17.吸气压力：1cmH2O—80cmH2O；</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18.呼气末正压：0 cmH2O—50cmH2O；</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19.吸气时间：0.1s—10s；</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20.压力触发灵敏度：0.5cmH2O—20cmH2O；</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21.流速触发灵敏度：0.5 L/min—20L/min；</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22.呼气触发灵敏度：1%—80%。</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23.（提供产品彩页或说明书证明）</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24.具备心电监护功能，心电监护参数可与呼吸监测参数同屏显示。（提供产品彩页或说明书证明）</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25.可存储≥100小时的监测参数和趋势图，≥5000条报警和操作日志记录。</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26.具备截屏和U盘导出功能，可缓存≥50张截屏图像文件。</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27.具备便携式提手，提手支持悬挂在病床侧护板上。</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28.具备锂电池，电池支持工作时间≥300分钟；支持额外选配锂电池并实现双电池工作，双电池支持工作时间≥600分钟。</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29.具备电池剩余电量监测和显示功能，支持关机状态下查看。</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30.连接氧气钢瓶供氧状态下，具备钢瓶剩余氧气量监测和显示功能。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31.▲主机（不含电池）重量≤6.5kg，防尘防水等级≥IP34。（提供产品彩页或说明书证明）</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32.适用环境温度满足-20℃—50℃，具备≥7000m海拔补偿功能，适用于高空转运和高海拔地区转运。</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33.★设计使用年限≥10年。（提供产品铭牌证明）</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rPr>
        <w:t>34.★每台不低于以下附件配置：呼出阀2个、流量传感器5个（非一次性）、可重复消毒硅胶呼吸管路1套、4L氧气钢瓶2个、双表头减压阀1个（含氧气接头快速连接器）、高压氧气管2根、便携式急救包1个、专用台车1个。</w:t>
      </w:r>
    </w:p>
    <w:p>
      <w:pPr>
        <w:pStyle w:val="14"/>
        <w:widowControl/>
        <w:numPr>
          <w:ilvl w:val="0"/>
          <w:numId w:val="0"/>
        </w:numPr>
        <w:spacing w:before="0" w:beforeAutospacing="0" w:after="0" w:afterAutospacing="0"/>
        <w:ind w:firstLine="0" w:firstLineChars="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2.交付地点：四川省人民医院（院本部）</w:t>
      </w:r>
    </w:p>
    <w:p>
      <w:pPr>
        <w:pStyle w:val="14"/>
        <w:widowControl/>
        <w:spacing w:before="0" w:beforeAutospacing="0" w:after="0" w:afterAutospacing="0" w:line="288" w:lineRule="auto"/>
        <w:ind w:firstLine="480" w:firstLineChars="200"/>
        <w:rPr>
          <w:rFonts w:hint="default"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3.后续采购事项：无</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4.质保期：验收合格后不低于5年。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5.质保范围：含整机所有部件（质保期内涉及维修、产品更换、人工费用等一切费用包含在本项目报价中）。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6.付款条件：验收合格后，供应商须在5日内向采购人出具合法有效票据及其它相关请款资料，采购人自收到上述票据及资料后55日内向供应商支付合同总金额的100%。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7.履约验收方案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8.售后服务要求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default" w:ascii="仿宋" w:hAnsi="仿宋" w:eastAsia="仿宋" w:cs="仿宋"/>
          <w:color w:val="000000" w:themeColor="text1"/>
          <w:sz w:val="24"/>
          <w:szCs w:val="24"/>
          <w:lang w:val="en-US" w:eastAsia="zh-CN"/>
          <w14:textFill>
            <w14:solidFill>
              <w14:schemeClr w14:val="tx1"/>
            </w14:solidFill>
          </w14:textFill>
        </w:rPr>
        <w:t>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val="en-US" w:eastAsia="zh-CN"/>
          <w14:textFill>
            <w14:solidFill>
              <w14:schemeClr w14:val="tx1"/>
            </w14:solidFill>
          </w14:textFill>
        </w:rPr>
        <w:t>如在质保期内出现质量问题，供应商须在接到通知后2小时内响应，24小时内到场维修，并承担相关费用。</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default" w:ascii="仿宋" w:hAnsi="仿宋" w:eastAsia="仿宋" w:cs="仿宋"/>
          <w:color w:val="000000" w:themeColor="text1"/>
          <w:sz w:val="24"/>
          <w:szCs w:val="24"/>
          <w:lang w:val="en-US" w:eastAsia="zh-CN"/>
          <w14:textFill>
            <w14:solidFill>
              <w14:schemeClr w14:val="tx1"/>
            </w14:solidFill>
          </w14:textFill>
        </w:rPr>
        <w:t>如设备在质保期内因同一故障经供应商两次维修仍不能达到合同约定的技术要求及国家法律法规规定的质量标准，采购人有权要求供应商更换全新设备或退货，并追究供应商违约责任。</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default" w:ascii="仿宋" w:hAnsi="仿宋" w:eastAsia="仿宋" w:cs="仿宋"/>
          <w:color w:val="000000" w:themeColor="text1"/>
          <w:sz w:val="24"/>
          <w:szCs w:val="24"/>
          <w:lang w:val="en-US" w:eastAsia="zh-CN"/>
          <w14:textFill>
            <w14:solidFill>
              <w14:schemeClr w14:val="tx1"/>
            </w14:solidFill>
          </w14:textFill>
        </w:rPr>
        <w:t>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default" w:ascii="仿宋" w:hAnsi="仿宋" w:eastAsia="仿宋" w:cs="仿宋"/>
          <w:color w:val="000000" w:themeColor="text1"/>
          <w:sz w:val="24"/>
          <w:szCs w:val="24"/>
          <w:lang w:val="en-US" w:eastAsia="zh-CN"/>
          <w14:textFill>
            <w14:solidFill>
              <w14:schemeClr w14:val="tx1"/>
            </w14:solidFill>
          </w14:textFill>
        </w:rPr>
        <w:t>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default" w:ascii="仿宋" w:hAnsi="仿宋" w:eastAsia="仿宋" w:cs="仿宋"/>
          <w:color w:val="000000" w:themeColor="text1"/>
          <w:sz w:val="24"/>
          <w:szCs w:val="24"/>
          <w:lang w:val="en-US" w:eastAsia="zh-CN"/>
          <w14:textFill>
            <w14:solidFill>
              <w14:schemeClr w14:val="tx1"/>
            </w14:solidFill>
          </w14:textFill>
        </w:rPr>
        <w:t>供应商须指派专人负责与采购人联系售后服务事宜。</w:t>
      </w:r>
    </w:p>
    <w:p>
      <w:pPr>
        <w:pStyle w:val="14"/>
        <w:widowControl/>
        <w:spacing w:beforeAutospacing="0" w:afterAutospacing="0" w:line="288" w:lineRule="auto"/>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r>
        <w:rPr>
          <w:rFonts w:hint="eastAsia" w:ascii="仿宋" w:hAnsi="仿宋" w:eastAsia="仿宋" w:cs="仿宋"/>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lang w:val="en-US" w:eastAsia="zh-CN"/>
        </w:rPr>
      </w:pPr>
      <w:r>
        <w:rPr>
          <w:rFonts w:hint="eastAsia"/>
          <w:lang w:val="en-US" w:eastAsia="zh-CN"/>
        </w:rPr>
        <w:t xml:space="preserve">10.供应商须在投标文件中单独提供配置清单（不同产品分别提供，格式详见投标文件格式），采购人将以此为依据进行验收。 技术参数中采购人的实质性配置要求包含的内容须在分项报价明细表中分别报价（技术参数第34条：每台不低于以下附件配置：呼出阀2个、流量传感器5个（非一次性）、可重复消毒硅胶呼吸管路1套、4L氧气钢瓶2个、双表头减压阀1个（含氧气接头快速连接器）、高压氧气管2根、便携式急救包1个、专用台车1个），除此之外，若涉及设备正常运行所需的其他配置内容，供应商应在配置清单中分别列明其涉及的产品名称、型号（若有）、数量即可，并根据响应产品的实际情况确定是否单独报价。 </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lang w:val="en-US" w:eastAsia="zh-CN"/>
        </w:rPr>
        <w:t>11.供应商提供的产品的生产日期与到货日期时间间隔不超过3个月，供应商提供承诺函，格式自拟。</w:t>
      </w:r>
    </w:p>
    <w:p>
      <w:pPr>
        <w:pStyle w:val="14"/>
        <w:widowControl/>
        <w:spacing w:beforeAutospacing="0" w:afterAutospacing="0" w:line="288" w:lineRule="auto"/>
        <w:ind w:firstLine="480" w:firstLineChars="200"/>
        <w:rPr>
          <w:rFonts w:hint="eastAsia" w:ascii="仿宋" w:hAnsi="仿宋" w:eastAsia="仿宋" w:cs="仿宋"/>
          <w:sz w:val="24"/>
          <w:szCs w:val="24"/>
          <w:lang w:val="en-US" w:eastAsia="zh-CN"/>
        </w:rPr>
      </w:pPr>
    </w:p>
    <w:p>
      <w:pPr>
        <w:pStyle w:val="16"/>
        <w:adjustRightInd w:val="0"/>
        <w:spacing w:before="0" w:after="0" w:line="240" w:lineRule="auto"/>
        <w:ind w:left="0" w:leftChars="0" w:firstLine="0" w:firstLineChars="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pStyle w:val="14"/>
        <w:widowControl/>
        <w:numPr>
          <w:ilvl w:val="0"/>
          <w:numId w:val="0"/>
        </w:numPr>
        <w:spacing w:beforeAutospacing="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1</w:t>
      </w:r>
      <w:r>
        <w:rPr>
          <w:rFonts w:hint="eastAsia" w:ascii="仿宋" w:hAnsi="仿宋" w:eastAsia="仿宋" w:cs="仿宋"/>
          <w:b w:val="0"/>
          <w:kern w:val="2"/>
          <w:sz w:val="24"/>
          <w:szCs w:val="24"/>
          <w:vertAlign w:val="baseline"/>
          <w:lang w:val="en-US" w:eastAsia="zh-CN" w:bidi="ar"/>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eastAsia" w:ascii="仿宋" w:hAnsi="仿宋" w:eastAsia="仿宋" w:cs="仿宋"/>
          <w:b w:val="0"/>
          <w:kern w:val="2"/>
          <w:sz w:val="24"/>
          <w:szCs w:val="24"/>
          <w:vertAlign w:val="baseline"/>
          <w:lang w:val="en-US" w:eastAsia="zh-CN"/>
        </w:rPr>
        <w:t>。</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rPr>
      </w:pPr>
      <w:r>
        <w:rPr>
          <w:rFonts w:hint="eastAsia" w:ascii="仿宋" w:hAnsi="仿宋" w:eastAsia="仿宋" w:cs="仿宋"/>
          <w:kern w:val="2"/>
          <w:sz w:val="24"/>
          <w:szCs w:val="24"/>
          <w:lang w:val="en-US" w:eastAsia="zh-CN"/>
        </w:rPr>
        <w:t>2.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39</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19</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22827"/>
      <w:bookmarkStart w:id="20" w:name="_Toc3094"/>
      <w:bookmarkStart w:id="21" w:name="_Toc28171"/>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4960"/>
      <w:bookmarkStart w:id="23" w:name="_Toc5913"/>
      <w:bookmarkStart w:id="24" w:name="_Toc29819"/>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19851"/>
      <w:bookmarkStart w:id="26" w:name="_Toc9428"/>
      <w:bookmarkStart w:id="27" w:name="_Toc30609"/>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32352"/>
      <w:bookmarkStart w:id="29" w:name="_Toc1544"/>
      <w:bookmarkStart w:id="30" w:name="_Toc9041"/>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690"/>
      <w:bookmarkStart w:id="34" w:name="_Toc17163"/>
      <w:bookmarkStart w:id="35" w:name="_Toc32749"/>
      <w:bookmarkStart w:id="36" w:name="_Toc24859"/>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24123"/>
      <w:bookmarkStart w:id="38" w:name="_Toc17905"/>
      <w:bookmarkStart w:id="39" w:name="_Toc3558"/>
      <w:bookmarkStart w:id="40" w:name="_Toc6803"/>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7135"/>
      <w:bookmarkStart w:id="42" w:name="_Toc2989"/>
      <w:bookmarkStart w:id="43" w:name="_Toc27526"/>
      <w:bookmarkStart w:id="44" w:name="_Toc5996"/>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7233"/>
      <w:bookmarkStart w:id="46" w:name="_Toc5056"/>
      <w:bookmarkStart w:id="47" w:name="_Toc2031"/>
      <w:bookmarkStart w:id="48" w:name="_Toc19987"/>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14829"/>
      <w:bookmarkStart w:id="51" w:name="_Toc6482"/>
      <w:bookmarkStart w:id="52" w:name="_Toc16029"/>
      <w:bookmarkStart w:id="53" w:name="_Toc21519"/>
      <w:bookmarkStart w:id="54" w:name="_Toc11352"/>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22676"/>
      <w:bookmarkStart w:id="56" w:name="_Toc30971"/>
      <w:bookmarkStart w:id="57" w:name="_Toc17857"/>
      <w:bookmarkStart w:id="58" w:name="_Toc4305"/>
      <w:bookmarkStart w:id="59" w:name="_Toc31838"/>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13904"/>
      <w:bookmarkStart w:id="64" w:name="_Toc13706"/>
      <w:bookmarkStart w:id="65" w:name="_Toc25357"/>
    </w:p>
    <w:p>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27661"/>
      <w:bookmarkStart w:id="69" w:name="_Toc25638"/>
      <w:bookmarkStart w:id="70" w:name="_Toc11351"/>
      <w:bookmarkStart w:id="71" w:name="_Toc20589"/>
      <w:bookmarkStart w:id="72" w:name="_Toc15526"/>
      <w:bookmarkStart w:id="73" w:name="_Toc12015"/>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12967"/>
      <w:bookmarkStart w:id="75" w:name="_Toc26969"/>
      <w:bookmarkStart w:id="76" w:name="_Toc1074"/>
      <w:bookmarkStart w:id="77" w:name="_Toc23967"/>
      <w:bookmarkStart w:id="78" w:name="_Toc16435"/>
      <w:bookmarkStart w:id="79" w:name="_Toc2041"/>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24806"/>
      <w:bookmarkStart w:id="81" w:name="_Toc28634"/>
      <w:bookmarkStart w:id="82" w:name="_Toc1369"/>
      <w:bookmarkStart w:id="83" w:name="_Toc26839"/>
      <w:bookmarkStart w:id="84" w:name="_Toc31686"/>
      <w:bookmarkStart w:id="85" w:name="_Toc21082"/>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24494"/>
      <w:bookmarkStart w:id="87" w:name="_Toc32605"/>
      <w:bookmarkStart w:id="88" w:name="_Toc3871"/>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2"/>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13"/>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0" w:name="_Toc18900"/>
            <w:r>
              <w:rPr>
                <w:rFonts w:hint="eastAsia"/>
                <w:b/>
                <w:kern w:val="0"/>
                <w:szCs w:val="21"/>
              </w:rPr>
              <w:t>序号</w:t>
            </w:r>
            <w:bookmarkEnd w:id="90"/>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1" w:name="_Toc10106"/>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21630"/>
            <w:r>
              <w:rPr>
                <w:rFonts w:hint="eastAsia"/>
                <w:b/>
                <w:kern w:val="0"/>
                <w:szCs w:val="21"/>
              </w:rPr>
              <w:t>规格型号</w:t>
            </w:r>
            <w:bookmarkEnd w:id="92"/>
          </w:p>
        </w:tc>
        <w:tc>
          <w:tcPr>
            <w:tcW w:w="908" w:type="pct"/>
            <w:vAlign w:val="center"/>
          </w:tcPr>
          <w:p>
            <w:pPr>
              <w:spacing w:line="460" w:lineRule="exact"/>
              <w:jc w:val="center"/>
              <w:outlineLvl w:val="0"/>
              <w:rPr>
                <w:b/>
                <w:kern w:val="0"/>
                <w:szCs w:val="21"/>
              </w:rPr>
            </w:pPr>
            <w:bookmarkStart w:id="93" w:name="_Toc31424"/>
            <w:r>
              <w:rPr>
                <w:rFonts w:hint="eastAsia"/>
                <w:b/>
                <w:kern w:val="0"/>
                <w:szCs w:val="21"/>
              </w:rPr>
              <w:t>制造商</w:t>
            </w:r>
            <w:bookmarkEnd w:id="93"/>
          </w:p>
        </w:tc>
        <w:tc>
          <w:tcPr>
            <w:tcW w:w="518" w:type="pct"/>
            <w:vAlign w:val="center"/>
          </w:tcPr>
          <w:p>
            <w:pPr>
              <w:spacing w:line="460" w:lineRule="exact"/>
              <w:jc w:val="center"/>
              <w:outlineLvl w:val="0"/>
              <w:rPr>
                <w:b/>
                <w:kern w:val="0"/>
                <w:szCs w:val="21"/>
              </w:rPr>
            </w:pPr>
            <w:bookmarkStart w:id="94" w:name="_Toc17023"/>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13405"/>
            <w:r>
              <w:rPr>
                <w:rFonts w:hint="eastAsia"/>
                <w:b/>
                <w:kern w:val="0"/>
                <w:szCs w:val="21"/>
              </w:rPr>
              <w:t>单价（元）</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6" w:name="_Toc22879"/>
            <w:r>
              <w:rPr>
                <w:rFonts w:hint="eastAsia"/>
                <w:kern w:val="0"/>
                <w:szCs w:val="21"/>
              </w:rPr>
              <w:t>1</w:t>
            </w:r>
            <w:bookmarkEnd w:id="96"/>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97" w:name="_Toc14524"/>
            <w:r>
              <w:rPr>
                <w:rFonts w:hint="eastAsia"/>
                <w:kern w:val="0"/>
                <w:sz w:val="20"/>
                <w:szCs w:val="21"/>
              </w:rPr>
              <w:t>2</w:t>
            </w:r>
            <w:bookmarkEnd w:id="97"/>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98" w:name="_Toc13547"/>
            <w:r>
              <w:rPr>
                <w:kern w:val="0"/>
                <w:sz w:val="20"/>
                <w:szCs w:val="21"/>
              </w:rPr>
              <w:t>…</w:t>
            </w:r>
            <w:bookmarkEnd w:id="98"/>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99" w:name="_Toc8502"/>
            <w:r>
              <w:rPr>
                <w:rFonts w:hint="eastAsia"/>
                <w:b/>
                <w:kern w:val="0"/>
                <w:szCs w:val="21"/>
              </w:rPr>
              <w:t>序号</w:t>
            </w:r>
            <w:bookmarkEnd w:id="99"/>
          </w:p>
        </w:tc>
        <w:tc>
          <w:tcPr>
            <w:tcW w:w="850" w:type="pct"/>
            <w:vAlign w:val="center"/>
          </w:tcPr>
          <w:p>
            <w:pPr>
              <w:spacing w:line="460" w:lineRule="exact"/>
              <w:jc w:val="center"/>
              <w:outlineLvl w:val="0"/>
              <w:rPr>
                <w:b/>
                <w:kern w:val="0"/>
                <w:szCs w:val="21"/>
              </w:rPr>
            </w:pPr>
            <w:bookmarkStart w:id="100" w:name="_Toc27328"/>
            <w:r>
              <w:rPr>
                <w:rFonts w:hint="eastAsia"/>
                <w:b/>
                <w:kern w:val="0"/>
                <w:szCs w:val="21"/>
              </w:rPr>
              <w:t>产品名称</w:t>
            </w:r>
            <w:bookmarkEnd w:id="100"/>
          </w:p>
        </w:tc>
        <w:tc>
          <w:tcPr>
            <w:tcW w:w="791" w:type="pct"/>
            <w:vAlign w:val="center"/>
          </w:tcPr>
          <w:p>
            <w:pPr>
              <w:spacing w:line="460" w:lineRule="exact"/>
              <w:jc w:val="center"/>
              <w:outlineLvl w:val="0"/>
              <w:rPr>
                <w:b/>
                <w:kern w:val="0"/>
                <w:szCs w:val="21"/>
              </w:rPr>
            </w:pPr>
            <w:bookmarkStart w:id="101" w:name="_Toc4118"/>
            <w:r>
              <w:rPr>
                <w:rFonts w:hint="eastAsia"/>
                <w:b/>
                <w:kern w:val="0"/>
                <w:szCs w:val="21"/>
              </w:rPr>
              <w:t>规格型号</w:t>
            </w:r>
            <w:bookmarkEnd w:id="101"/>
          </w:p>
        </w:tc>
        <w:tc>
          <w:tcPr>
            <w:tcW w:w="907" w:type="pct"/>
            <w:vAlign w:val="center"/>
          </w:tcPr>
          <w:p>
            <w:pPr>
              <w:spacing w:line="460" w:lineRule="exact"/>
              <w:jc w:val="center"/>
              <w:outlineLvl w:val="0"/>
              <w:rPr>
                <w:b/>
                <w:kern w:val="0"/>
                <w:szCs w:val="21"/>
              </w:rPr>
            </w:pPr>
            <w:bookmarkStart w:id="102" w:name="_Toc21162"/>
            <w:r>
              <w:rPr>
                <w:rFonts w:hint="eastAsia"/>
                <w:b/>
                <w:kern w:val="0"/>
                <w:szCs w:val="21"/>
              </w:rPr>
              <w:t>制造商</w:t>
            </w:r>
            <w:bookmarkEnd w:id="102"/>
          </w:p>
        </w:tc>
        <w:tc>
          <w:tcPr>
            <w:tcW w:w="516" w:type="pct"/>
            <w:vAlign w:val="center"/>
          </w:tcPr>
          <w:p>
            <w:pPr>
              <w:spacing w:line="460" w:lineRule="exact"/>
              <w:jc w:val="center"/>
              <w:outlineLvl w:val="0"/>
              <w:rPr>
                <w:b/>
                <w:kern w:val="0"/>
                <w:szCs w:val="21"/>
              </w:rPr>
            </w:pPr>
            <w:bookmarkStart w:id="103" w:name="_Toc2524"/>
            <w:r>
              <w:rPr>
                <w:rFonts w:hint="eastAsia"/>
                <w:b/>
                <w:kern w:val="0"/>
                <w:szCs w:val="21"/>
              </w:rPr>
              <w:t>单位</w:t>
            </w:r>
            <w:bookmarkEnd w:id="103"/>
          </w:p>
        </w:tc>
        <w:tc>
          <w:tcPr>
            <w:tcW w:w="747" w:type="pct"/>
            <w:vAlign w:val="center"/>
          </w:tcPr>
          <w:p>
            <w:pPr>
              <w:spacing w:line="460" w:lineRule="exact"/>
              <w:jc w:val="center"/>
              <w:outlineLvl w:val="0"/>
              <w:rPr>
                <w:b/>
                <w:kern w:val="0"/>
                <w:szCs w:val="21"/>
              </w:rPr>
            </w:pPr>
            <w:bookmarkStart w:id="104" w:name="_Toc25451"/>
            <w:r>
              <w:rPr>
                <w:rFonts w:hint="eastAsia"/>
                <w:b/>
                <w:kern w:val="0"/>
                <w:szCs w:val="21"/>
              </w:rPr>
              <w:t>单价（元）</w:t>
            </w:r>
            <w:bookmarkEnd w:id="104"/>
          </w:p>
        </w:tc>
        <w:tc>
          <w:tcPr>
            <w:tcW w:w="747" w:type="pct"/>
            <w:vAlign w:val="center"/>
          </w:tcPr>
          <w:p>
            <w:pPr>
              <w:spacing w:line="460" w:lineRule="exact"/>
              <w:jc w:val="center"/>
              <w:outlineLvl w:val="0"/>
              <w:rPr>
                <w:b/>
                <w:kern w:val="0"/>
                <w:szCs w:val="21"/>
              </w:rPr>
            </w:pPr>
            <w:bookmarkStart w:id="105" w:name="_Toc9598"/>
            <w:r>
              <w:rPr>
                <w:rFonts w:hint="eastAsia"/>
                <w:b/>
                <w:kern w:val="0"/>
                <w:szCs w:val="21"/>
              </w:rPr>
              <w:t>备注</w:t>
            </w:r>
            <w:bookmark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6" w:name="_Toc20085"/>
            <w:r>
              <w:rPr>
                <w:rFonts w:hint="eastAsia"/>
                <w:kern w:val="0"/>
                <w:szCs w:val="21"/>
              </w:rPr>
              <w:t>1</w:t>
            </w:r>
            <w:bookmarkEnd w:id="106"/>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07" w:name="_Toc13232"/>
            <w:r>
              <w:rPr>
                <w:rFonts w:hint="eastAsia"/>
                <w:kern w:val="0"/>
                <w:sz w:val="20"/>
                <w:szCs w:val="21"/>
              </w:rPr>
              <w:t>2</w:t>
            </w:r>
            <w:bookmarkEnd w:id="107"/>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08" w:name="_Toc6795"/>
            <w:r>
              <w:rPr>
                <w:kern w:val="0"/>
                <w:sz w:val="20"/>
                <w:szCs w:val="21"/>
              </w:rPr>
              <w:t>…</w:t>
            </w:r>
            <w:bookmarkEnd w:id="10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109" w:name="_Toc30002"/>
      <w:bookmarkStart w:id="110" w:name="_Toc29032"/>
      <w:bookmarkStart w:id="111"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4"/>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109"/>
      <w:bookmarkEnd w:id="110"/>
      <w:bookmarkEnd w:id="11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5447"/>
      <w:bookmarkStart w:id="113"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bookmarkStart w:id="115" w:name="OLE_LINK18"/>
      <w:bookmarkStart w:id="116"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E3FAD21-D193-4F70-BC8B-893DCBE3228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DB29E7B-C73C-4FFF-828A-EB73FDAB05C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3C77274-B59B-4C8D-B7A8-42FBB3B3BB2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C3F75C2-C2E0-4486-A1E3-241EEFD6A914}"/>
  </w:font>
  <w:font w:name="Segoe UI Symbol">
    <w:panose1 w:val="020B0502040204020203"/>
    <w:charset w:val="00"/>
    <w:family w:val="swiss"/>
    <w:pitch w:val="default"/>
    <w:sig w:usb0="800001E3" w:usb1="1200FFEF" w:usb2="00040000" w:usb3="04000000" w:csb0="00000001" w:csb1="40000000"/>
    <w:embedRegular r:id="rId5" w:fontKey="{52E1EF40-71CD-410B-A84B-582D0049274E}"/>
  </w:font>
  <w:font w:name="Wingdings 2">
    <w:altName w:val="Wingdings"/>
    <w:panose1 w:val="05020102010507070707"/>
    <w:charset w:val="4D"/>
    <w:family w:val="decorative"/>
    <w:pitch w:val="default"/>
    <w:sig w:usb0="00000000" w:usb1="00000000" w:usb2="00000000" w:usb3="00000000" w:csb0="80000000" w:csb1="00000000"/>
    <w:embedRegular r:id="rId6" w:fontKey="{66DA36A1-C73C-40F6-A12D-14E14860686C}"/>
  </w:font>
  <w:font w:name="Songti SC">
    <w:altName w:val="宋体"/>
    <w:panose1 w:val="02010600040101010101"/>
    <w:charset w:val="86"/>
    <w:family w:val="auto"/>
    <w:pitch w:val="default"/>
    <w:sig w:usb0="00000000" w:usb1="00000000" w:usb2="00000010" w:usb3="00000000" w:csb0="0004009F" w:csb1="00000000"/>
    <w:embedRegular r:id="rId7" w:fontKey="{DB260FFB-AE59-4760-BA4E-B64A2CE90709}"/>
  </w:font>
  <w:font w:name="微软雅黑">
    <w:panose1 w:val="020B0503020204020204"/>
    <w:charset w:val="86"/>
    <w:family w:val="auto"/>
    <w:pitch w:val="default"/>
    <w:sig w:usb0="80000287" w:usb1="2ACF3C50" w:usb2="00000016" w:usb3="00000000" w:csb0="0004001F" w:csb1="00000000"/>
    <w:embedRegular r:id="rId8" w:fontKey="{9980FA60-F31C-4B7E-9242-FF224E8709F1}"/>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5207F64"/>
    <w:multiLevelType w:val="singleLevel"/>
    <w:tmpl w:val="25207F64"/>
    <w:lvl w:ilvl="0" w:tentative="0">
      <w:start w:val="3"/>
      <w:numFmt w:val="decimal"/>
      <w:lvlText w:val="%1."/>
      <w:lvlJc w:val="left"/>
      <w:pPr>
        <w:tabs>
          <w:tab w:val="left" w:pos="312"/>
        </w:tabs>
      </w:pPr>
    </w:lvl>
  </w:abstractNum>
  <w:abstractNum w:abstractNumId="15">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2">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7">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2">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7"/>
  </w:num>
  <w:num w:numId="2">
    <w:abstractNumId w:val="4"/>
  </w:num>
  <w:num w:numId="3">
    <w:abstractNumId w:val="21"/>
  </w:num>
  <w:num w:numId="4">
    <w:abstractNumId w:val="31"/>
  </w:num>
  <w:num w:numId="5">
    <w:abstractNumId w:val="13"/>
  </w:num>
  <w:num w:numId="6">
    <w:abstractNumId w:val="26"/>
  </w:num>
  <w:num w:numId="7">
    <w:abstractNumId w:val="20"/>
  </w:num>
  <w:num w:numId="8">
    <w:abstractNumId w:val="3"/>
  </w:num>
  <w:num w:numId="9">
    <w:abstractNumId w:val="2"/>
  </w:num>
  <w:num w:numId="10">
    <w:abstractNumId w:val="0"/>
  </w:num>
  <w:num w:numId="11">
    <w:abstractNumId w:val="5"/>
  </w:num>
  <w:num w:numId="12">
    <w:abstractNumId w:val="1"/>
  </w:num>
  <w:num w:numId="13">
    <w:abstractNumId w:val="14"/>
  </w:num>
  <w:num w:numId="14">
    <w:abstractNumId w:val="11"/>
  </w:num>
  <w:num w:numId="15">
    <w:abstractNumId w:val="18"/>
  </w:num>
  <w:num w:numId="16">
    <w:abstractNumId w:val="7"/>
  </w:num>
  <w:num w:numId="17">
    <w:abstractNumId w:val="32"/>
  </w:num>
  <w:num w:numId="18">
    <w:abstractNumId w:val="30"/>
  </w:num>
  <w:num w:numId="19">
    <w:abstractNumId w:val="24"/>
  </w:num>
  <w:num w:numId="20">
    <w:abstractNumId w:val="9"/>
  </w:num>
  <w:num w:numId="21">
    <w:abstractNumId w:val="15"/>
  </w:num>
  <w:num w:numId="22">
    <w:abstractNumId w:val="8"/>
  </w:num>
  <w:num w:numId="23">
    <w:abstractNumId w:val="16"/>
  </w:num>
  <w:num w:numId="24">
    <w:abstractNumId w:val="28"/>
  </w:num>
  <w:num w:numId="25">
    <w:abstractNumId w:val="27"/>
  </w:num>
  <w:num w:numId="26">
    <w:abstractNumId w:val="22"/>
  </w:num>
  <w:num w:numId="27">
    <w:abstractNumId w:val="19"/>
  </w:num>
  <w:num w:numId="28">
    <w:abstractNumId w:val="10"/>
  </w:num>
  <w:num w:numId="29">
    <w:abstractNumId w:val="6"/>
  </w:num>
  <w:num w:numId="30">
    <w:abstractNumId w:val="12"/>
  </w:num>
  <w:num w:numId="31">
    <w:abstractNumId w:val="25"/>
  </w:num>
  <w:num w:numId="32">
    <w:abstractNumId w:val="29"/>
  </w:num>
  <w:num w:numId="33">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186A33"/>
    <w:rsid w:val="058C78B0"/>
    <w:rsid w:val="05E13064"/>
    <w:rsid w:val="078A573C"/>
    <w:rsid w:val="093A3733"/>
    <w:rsid w:val="0B4508AE"/>
    <w:rsid w:val="0CA62C24"/>
    <w:rsid w:val="0CF161C9"/>
    <w:rsid w:val="0D2F228D"/>
    <w:rsid w:val="0E0B7FF0"/>
    <w:rsid w:val="0E320E7D"/>
    <w:rsid w:val="0F904004"/>
    <w:rsid w:val="117A5014"/>
    <w:rsid w:val="127F05A0"/>
    <w:rsid w:val="136D78F8"/>
    <w:rsid w:val="15CC4977"/>
    <w:rsid w:val="162A4F7D"/>
    <w:rsid w:val="16A82A66"/>
    <w:rsid w:val="1994787E"/>
    <w:rsid w:val="1ADC0421"/>
    <w:rsid w:val="1BA318B5"/>
    <w:rsid w:val="1BCC54CD"/>
    <w:rsid w:val="1DD000AF"/>
    <w:rsid w:val="1E09745A"/>
    <w:rsid w:val="1E176351"/>
    <w:rsid w:val="22935D1D"/>
    <w:rsid w:val="23D4489F"/>
    <w:rsid w:val="262001B9"/>
    <w:rsid w:val="27B87AF9"/>
    <w:rsid w:val="27BE001F"/>
    <w:rsid w:val="27E80EA9"/>
    <w:rsid w:val="280414A1"/>
    <w:rsid w:val="28570368"/>
    <w:rsid w:val="29C5318E"/>
    <w:rsid w:val="2B502F98"/>
    <w:rsid w:val="2C9A0A9E"/>
    <w:rsid w:val="2DA70D65"/>
    <w:rsid w:val="33BB64B3"/>
    <w:rsid w:val="3427766B"/>
    <w:rsid w:val="343706EB"/>
    <w:rsid w:val="351A08D0"/>
    <w:rsid w:val="35CC78FE"/>
    <w:rsid w:val="36177EDE"/>
    <w:rsid w:val="36334CE5"/>
    <w:rsid w:val="3A551407"/>
    <w:rsid w:val="3B033C36"/>
    <w:rsid w:val="3E5D4E8E"/>
    <w:rsid w:val="3FE25336"/>
    <w:rsid w:val="41076015"/>
    <w:rsid w:val="42075FF8"/>
    <w:rsid w:val="42842020"/>
    <w:rsid w:val="468567BB"/>
    <w:rsid w:val="4782487D"/>
    <w:rsid w:val="4B31068E"/>
    <w:rsid w:val="4BA55220"/>
    <w:rsid w:val="4BAD0151"/>
    <w:rsid w:val="4C184E09"/>
    <w:rsid w:val="4C8F75A2"/>
    <w:rsid w:val="4DAD4403"/>
    <w:rsid w:val="4E0B0B8B"/>
    <w:rsid w:val="4E8C008E"/>
    <w:rsid w:val="4FEF758C"/>
    <w:rsid w:val="50771A9C"/>
    <w:rsid w:val="51C47F6D"/>
    <w:rsid w:val="520879A0"/>
    <w:rsid w:val="5455382C"/>
    <w:rsid w:val="5D0A3490"/>
    <w:rsid w:val="5D7E0D39"/>
    <w:rsid w:val="5E9D3F29"/>
    <w:rsid w:val="60384CD1"/>
    <w:rsid w:val="60655808"/>
    <w:rsid w:val="60F86CEE"/>
    <w:rsid w:val="63A9427A"/>
    <w:rsid w:val="63D462B1"/>
    <w:rsid w:val="641A3596"/>
    <w:rsid w:val="64D96647"/>
    <w:rsid w:val="64ED255E"/>
    <w:rsid w:val="655B51E5"/>
    <w:rsid w:val="65E40ADA"/>
    <w:rsid w:val="66330B86"/>
    <w:rsid w:val="66E22203"/>
    <w:rsid w:val="68AA6162"/>
    <w:rsid w:val="68B812C9"/>
    <w:rsid w:val="69D50CF4"/>
    <w:rsid w:val="6C487AFD"/>
    <w:rsid w:val="6CB24363"/>
    <w:rsid w:val="6EA93466"/>
    <w:rsid w:val="6FCF0795"/>
    <w:rsid w:val="71381023"/>
    <w:rsid w:val="71696852"/>
    <w:rsid w:val="73714961"/>
    <w:rsid w:val="74B2063B"/>
    <w:rsid w:val="754D1D92"/>
    <w:rsid w:val="758350A9"/>
    <w:rsid w:val="79260424"/>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1230</Words>
  <Characters>1300</Characters>
  <Lines>72</Lines>
  <Paragraphs>20</Paragraphs>
  <TotalTime>3</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2026-11-02T03:23:24Z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1193203CED8843DDA42639C1AE4F130D_13</vt:lpwstr>
  </property>
  <property fmtid="{D5CDD505-2E9C-101B-9397-08002B2CF9AE}" pid="4" name="KSOTemplateDocerSaveRecord">
    <vt:lpwstr>eyJoZGlkIjoiZTE3YzY5ZGRmMGZjYjE3ZTA2OTZlNGYxY2RlMGIzMDkiLCJ1c2VySWQiOiI3MDMxOTM4MzkifQ==</vt:lpwstr>
  </property>
</Properties>
</file>