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C2668">
      <w:pPr>
        <w:spacing w:before="1109" w:beforeLines="350" w:after="1109" w:afterLines="350" w:line="800" w:lineRule="exact"/>
        <w:jc w:val="center"/>
        <w:rPr>
          <w:rFonts w:hint="eastAsia"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rPr>
        <w:t>四川省人民医院人事档案代理服务采购项目（2）</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471310326"/>
      <w:bookmarkStart w:id="3" w:name="_Toc20358"/>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24"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四川省人民医院人事档案代理服务采购项目（2）</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CGZX-RLZ20251346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526F90A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支付上限</w:t>
            </w:r>
            <w:r>
              <w:rPr>
                <w:rFonts w:ascii="Times New Roman" w:hAnsi="Times New Roman" w:eastAsia="仿宋" w:cs="Times New Roman"/>
                <w:sz w:val="22"/>
              </w:rPr>
              <w:t>人民币</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490000</w:t>
            </w:r>
            <w:r>
              <w:rPr>
                <w:rFonts w:ascii="Times New Roman" w:hAnsi="Times New Roman" w:eastAsia="仿宋" w:cs="Times New Roman"/>
                <w:sz w:val="22"/>
                <w:u w:val="single"/>
              </w:rPr>
              <w:t xml:space="preserve"> </w:t>
            </w:r>
            <w:r>
              <w:rPr>
                <w:rFonts w:ascii="Times New Roman" w:hAnsi="Times New Roman" w:eastAsia="仿宋" w:cs="Times New Roman"/>
                <w:sz w:val="22"/>
              </w:rPr>
              <w:t>元</w:t>
            </w:r>
          </w:p>
          <w:p w14:paraId="2ACA9E8D">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highlight w:val="none"/>
                <w:u w:val="none"/>
                <w:lang w:val="en-US" w:eastAsia="zh-CN"/>
              </w:rPr>
              <w:t>单价限价详见第四章 采购需求，</w:t>
            </w:r>
            <w:r>
              <w:rPr>
                <w:rFonts w:hint="eastAsia" w:ascii="Times New Roman" w:hAnsi="Times New Roman" w:eastAsia="仿宋" w:cs="Times New Roman"/>
                <w:sz w:val="22"/>
              </w:rPr>
              <w:t>本项目报统一下浮率，下浮率＜0或者≥100%视为无效报价，其响应文件作无效处理。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261E2F8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但采购文件没有不合理条款，且采购程序符合规定的，可以继续开展采购活动。</w:t>
            </w:r>
            <w:r>
              <w:rPr>
                <w:rFonts w:ascii="Times New Roman" w:hAnsi="Times New Roman" w:eastAsia="仿宋" w:cs="Times New Roman"/>
                <w:sz w:val="22"/>
              </w:rPr>
              <w:t>谈判小组按照评审因素进行评分，</w:t>
            </w:r>
            <w:r>
              <w:rPr>
                <w:rFonts w:ascii="Times New Roman" w:hAnsi="Times New Roman" w:eastAsia="仿宋" w:cs="Times New Roman"/>
                <w:b/>
                <w:bCs/>
                <w:sz w:val="22"/>
              </w:rPr>
              <w:t>得分最高</w:t>
            </w:r>
            <w:r>
              <w:rPr>
                <w:rFonts w:ascii="Times New Roman" w:hAnsi="Times New Roman" w:eastAsia="仿宋" w:cs="Times New Roman"/>
                <w:sz w:val="22"/>
              </w:rPr>
              <w:t>的供应商为成交供应商。若得分相同则报价最低的为成交供应商，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谈判文件</w:t>
            </w:r>
            <w:r>
              <w:rPr>
                <w:rFonts w:ascii="Times New Roman" w:hAnsi="Times New Roman" w:eastAsia="仿宋" w:cs="Times New Roman"/>
                <w:sz w:val="22"/>
              </w:rPr>
              <w:t>要求的供应商达到3家以上（含3家），谈判小组按照有效报价进行评审，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冯</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87393463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人力资源部</w:t>
            </w:r>
          </w:p>
          <w:p w14:paraId="1D8AFF4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吴</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87393122</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w:t>
            </w:r>
            <w:bookmarkStart w:id="104" w:name="_GoBack"/>
            <w:bookmarkEnd w:id="104"/>
            <w:r>
              <w:rPr>
                <w:rFonts w:ascii="Times New Roman" w:hAnsi="Times New Roman" w:eastAsia="仿宋" w:cs="Times New Roman"/>
                <w:sz w:val="22"/>
              </w:rPr>
              <w:t>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6"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9E0062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（1）谈判小组根据谈判文件对供应商的响应文件进行资格审查、符合性审查及其他有效性审查。审查合格的供应商满足3家以上（含3家），谈判小组按照评审方式进行评审。</w:t>
            </w:r>
            <w:r>
              <w:rPr>
                <w:rFonts w:hint="eastAsia" w:ascii="Times New Roman" w:hAnsi="Times New Roman" w:eastAsia="仿宋" w:cs="Times New Roman"/>
                <w:sz w:val="22"/>
              </w:rPr>
              <w:t>若合格供应商只有2家，但采购文件没有不合理条款，且采购程序符合规定的，可以继续开展采购活动。</w:t>
            </w:r>
          </w:p>
          <w:p w14:paraId="42593F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450F5BE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74E1B9C3">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none"/>
                <w:lang w:val="en-US" w:eastAsia="zh-CN"/>
              </w:rPr>
              <w:t>3463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4830"/>
        <w:gridCol w:w="122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830"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122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830"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1228"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830"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1228"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830"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1228"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830" w:type="dxa"/>
            <w:vMerge w:val="continue"/>
            <w:vAlign w:val="center"/>
          </w:tcPr>
          <w:p w14:paraId="2F15E475">
            <w:pPr>
              <w:rPr>
                <w:rFonts w:ascii="Times New Roman" w:hAnsi="Times New Roman" w:eastAsia="仿宋" w:cs="Times New Roman"/>
                <w:sz w:val="22"/>
              </w:rPr>
            </w:pPr>
          </w:p>
        </w:tc>
        <w:tc>
          <w:tcPr>
            <w:tcW w:w="122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830" w:type="dxa"/>
            <w:vMerge w:val="continue"/>
            <w:vAlign w:val="center"/>
          </w:tcPr>
          <w:p w14:paraId="6B26A5A0">
            <w:pPr>
              <w:rPr>
                <w:rFonts w:ascii="Times New Roman" w:hAnsi="Times New Roman" w:eastAsia="仿宋" w:cs="Times New Roman"/>
                <w:sz w:val="22"/>
              </w:rPr>
            </w:pPr>
          </w:p>
        </w:tc>
        <w:tc>
          <w:tcPr>
            <w:tcW w:w="122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830" w:type="dxa"/>
            <w:vMerge w:val="continue"/>
            <w:vAlign w:val="center"/>
          </w:tcPr>
          <w:p w14:paraId="24CCB42C">
            <w:pPr>
              <w:rPr>
                <w:rFonts w:ascii="Times New Roman" w:hAnsi="Times New Roman" w:eastAsia="仿宋" w:cs="Times New Roman"/>
                <w:sz w:val="22"/>
              </w:rPr>
            </w:pPr>
          </w:p>
        </w:tc>
        <w:tc>
          <w:tcPr>
            <w:tcW w:w="122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830" w:type="dxa"/>
            <w:vMerge w:val="continue"/>
            <w:vAlign w:val="center"/>
          </w:tcPr>
          <w:p w14:paraId="464FB744">
            <w:pPr>
              <w:rPr>
                <w:rFonts w:ascii="Times New Roman" w:hAnsi="Times New Roman" w:eastAsia="仿宋" w:cs="Times New Roman"/>
                <w:sz w:val="22"/>
              </w:rPr>
            </w:pPr>
          </w:p>
        </w:tc>
        <w:tc>
          <w:tcPr>
            <w:tcW w:w="122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830" w:type="dxa"/>
            <w:vMerge w:val="continue"/>
            <w:vAlign w:val="center"/>
          </w:tcPr>
          <w:p w14:paraId="1AEB97E9">
            <w:pPr>
              <w:rPr>
                <w:rFonts w:ascii="Times New Roman" w:hAnsi="Times New Roman" w:eastAsia="仿宋" w:cs="Times New Roman"/>
                <w:sz w:val="22"/>
              </w:rPr>
            </w:pPr>
          </w:p>
        </w:tc>
        <w:tc>
          <w:tcPr>
            <w:tcW w:w="122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4830" w:type="dxa"/>
            <w:vAlign w:val="center"/>
          </w:tcPr>
          <w:p w14:paraId="5974F786">
            <w:pPr>
              <w:numPr>
                <w:ilvl w:val="0"/>
                <w:numId w:val="12"/>
              </w:numPr>
              <w:rPr>
                <w:rFonts w:hint="eastAsia" w:ascii="Times New Roman" w:hAnsi="Times New Roman" w:eastAsia="仿宋" w:cs="Times New Roman"/>
                <w:sz w:val="22"/>
                <w:u w:val="none"/>
              </w:rPr>
            </w:pPr>
            <w:r>
              <w:rPr>
                <w:rFonts w:hint="eastAsia" w:ascii="Times New Roman" w:hAnsi="Times New Roman" w:eastAsia="仿宋" w:cs="Times New Roman"/>
                <w:sz w:val="22"/>
                <w:u w:val="none"/>
              </w:rPr>
              <w:t>具有国家秘密载体印刷资质证书—涉密档案数字化加工（乙级）及以上</w:t>
            </w:r>
            <w:r>
              <w:rPr>
                <w:rFonts w:hint="eastAsia" w:ascii="Times New Roman" w:hAnsi="Times New Roman" w:eastAsia="仿宋" w:cs="Times New Roman"/>
                <w:sz w:val="22"/>
                <w:u w:val="none"/>
                <w:lang w:eastAsia="zh-CN"/>
              </w:rPr>
              <w:t>（</w:t>
            </w:r>
            <w:r>
              <w:rPr>
                <w:rFonts w:hint="eastAsia" w:ascii="Times New Roman" w:hAnsi="Times New Roman" w:eastAsia="仿宋" w:cs="Times New Roman"/>
                <w:sz w:val="22"/>
                <w:u w:val="none"/>
                <w:lang w:val="en-US" w:eastAsia="zh-CN"/>
              </w:rPr>
              <w:t>响应文件中提供承诺函，格式自拟。成交后</w:t>
            </w:r>
            <w:r>
              <w:rPr>
                <w:rFonts w:hint="eastAsia" w:ascii="Times New Roman" w:hAnsi="Times New Roman" w:eastAsia="仿宋" w:cs="Times New Roman"/>
                <w:bCs/>
                <w:kern w:val="0"/>
                <w:sz w:val="22"/>
              </w:rPr>
              <w:t>将证书原件提交采购人进行核验。</w:t>
            </w:r>
            <w:r>
              <w:rPr>
                <w:rFonts w:hint="eastAsia" w:ascii="Times New Roman" w:hAnsi="Times New Roman" w:eastAsia="仿宋" w:cs="Times New Roman"/>
                <w:sz w:val="22"/>
                <w:u w:val="none"/>
                <w:lang w:eastAsia="zh-CN"/>
              </w:rPr>
              <w:t>）</w:t>
            </w:r>
          </w:p>
          <w:p w14:paraId="5264186C">
            <w:pPr>
              <w:numPr>
                <w:ilvl w:val="0"/>
                <w:numId w:val="12"/>
              </w:numPr>
              <w:rPr>
                <w:rFonts w:hint="eastAsia" w:ascii="Times New Roman" w:hAnsi="Times New Roman" w:eastAsia="仿宋" w:cs="Times New Roman"/>
                <w:sz w:val="22"/>
                <w:u w:val="none"/>
              </w:rPr>
            </w:pPr>
            <w:r>
              <w:rPr>
                <w:rFonts w:hint="eastAsia" w:ascii="Times New Roman" w:hAnsi="Times New Roman" w:eastAsia="仿宋" w:cs="Times New Roman"/>
                <w:sz w:val="22"/>
                <w:u w:val="none"/>
              </w:rPr>
              <w:t>具有独立或上级单位授权的用于人事档案转递的机要通信寄递证（须提供证书扫描件；如是上级单位授权使用的须提供相关佐证材料及证书扫描件）</w:t>
            </w:r>
          </w:p>
        </w:tc>
        <w:tc>
          <w:tcPr>
            <w:tcW w:w="1228" w:type="dxa"/>
            <w:vAlign w:val="center"/>
          </w:tcPr>
          <w:p w14:paraId="071870C6">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6E8F2D6B">
      <w:pPr>
        <w:pStyle w:val="16"/>
        <w:numPr>
          <w:ilvl w:val="0"/>
          <w:numId w:val="13"/>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sz w:val="24"/>
          <w:szCs w:val="24"/>
        </w:rPr>
        <w:t>为推动干部人事档案工作科学化、制度化、规范化，根据《中共中央办公厅干部人事档案工作条例》《国家档案局机关档案管理规定》《四川省卫生健康委员会干部人事档案管理办法(试行)》等文件精神，开展职工人事档案审核及数字化工作，同时提供档案接收、保管及转递服务。</w:t>
      </w:r>
    </w:p>
    <w:p w14:paraId="062BBFFE">
      <w:pPr>
        <w:pStyle w:val="16"/>
        <w:numPr>
          <w:ilvl w:val="0"/>
          <w:numId w:val="13"/>
        </w:numPr>
        <w:ind w:firstLine="0"/>
        <w:rPr>
          <w:rFonts w:ascii="Times New Roman" w:hAnsi="Times New Roman" w:eastAsia="仿宋" w:cs="Times New Roman"/>
          <w:sz w:val="24"/>
          <w:szCs w:val="24"/>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采购内容</w:t>
      </w:r>
      <w:r>
        <w:rPr>
          <w:rFonts w:hint="eastAsia" w:ascii="Times New Roman" w:hAnsi="Times New Roman" w:eastAsia="仿宋" w:cs="Times New Roman"/>
          <w:b/>
          <w:bCs/>
          <w:sz w:val="24"/>
          <w:szCs w:val="24"/>
          <w:lang w:val="en-US" w:eastAsia="zh-CN"/>
        </w:rPr>
        <w:t>及限高价</w:t>
      </w:r>
    </w:p>
    <w:tbl>
      <w:tblPr>
        <w:tblStyle w:val="19"/>
        <w:tblW w:w="50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
        <w:gridCol w:w="2325"/>
        <w:gridCol w:w="4018"/>
        <w:gridCol w:w="1256"/>
        <w:gridCol w:w="1809"/>
      </w:tblGrid>
      <w:tr w14:paraId="1951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238" w:type="pct"/>
            <w:shd w:val="clear" w:color="auto" w:fill="auto"/>
            <w:vAlign w:val="center"/>
          </w:tcPr>
          <w:p w14:paraId="070318C7">
            <w:pPr>
              <w:pStyle w:val="7"/>
              <w:jc w:val="center"/>
              <w:rPr>
                <w:rFonts w:ascii="仿宋" w:hAnsi="仿宋" w:eastAsia="仿宋" w:cs="仿宋"/>
                <w:sz w:val="24"/>
                <w:szCs w:val="24"/>
              </w:rPr>
            </w:pPr>
            <w:r>
              <w:rPr>
                <w:rFonts w:hint="eastAsia" w:ascii="仿宋" w:hAnsi="仿宋" w:eastAsia="仿宋" w:cs="仿宋"/>
                <w:sz w:val="24"/>
                <w:szCs w:val="24"/>
              </w:rPr>
              <w:t>序号</w:t>
            </w:r>
          </w:p>
        </w:tc>
        <w:tc>
          <w:tcPr>
            <w:tcW w:w="1177" w:type="pct"/>
            <w:shd w:val="clear" w:color="auto" w:fill="auto"/>
            <w:vAlign w:val="center"/>
          </w:tcPr>
          <w:p w14:paraId="6FA63C96">
            <w:pPr>
              <w:pStyle w:val="7"/>
              <w:jc w:val="center"/>
              <w:rPr>
                <w:rFonts w:ascii="仿宋" w:hAnsi="仿宋" w:eastAsia="仿宋" w:cs="仿宋"/>
                <w:sz w:val="24"/>
                <w:szCs w:val="24"/>
              </w:rPr>
            </w:pPr>
            <w:r>
              <w:rPr>
                <w:rFonts w:hint="eastAsia" w:ascii="仿宋" w:hAnsi="仿宋" w:eastAsia="仿宋" w:cs="仿宋"/>
                <w:sz w:val="24"/>
                <w:szCs w:val="24"/>
              </w:rPr>
              <w:t>采购标的</w:t>
            </w:r>
          </w:p>
        </w:tc>
        <w:tc>
          <w:tcPr>
            <w:tcW w:w="2034" w:type="pct"/>
            <w:shd w:val="clear" w:color="auto" w:fill="auto"/>
            <w:vAlign w:val="center"/>
          </w:tcPr>
          <w:p w14:paraId="3B582C04">
            <w:pPr>
              <w:pStyle w:val="7"/>
              <w:jc w:val="center"/>
              <w:rPr>
                <w:rFonts w:ascii="仿宋" w:hAnsi="仿宋" w:eastAsia="仿宋" w:cs="仿宋"/>
                <w:sz w:val="24"/>
                <w:szCs w:val="24"/>
              </w:rPr>
            </w:pPr>
            <w:r>
              <w:rPr>
                <w:rFonts w:hint="eastAsia" w:ascii="仿宋" w:hAnsi="仿宋" w:eastAsia="仿宋" w:cs="仿宋"/>
                <w:sz w:val="24"/>
                <w:szCs w:val="24"/>
              </w:rPr>
              <w:t>具体内容</w:t>
            </w:r>
          </w:p>
        </w:tc>
        <w:tc>
          <w:tcPr>
            <w:tcW w:w="636" w:type="pct"/>
            <w:shd w:val="clear" w:color="auto" w:fill="auto"/>
            <w:vAlign w:val="center"/>
          </w:tcPr>
          <w:p w14:paraId="1E53141D">
            <w:pPr>
              <w:pStyle w:val="7"/>
              <w:jc w:val="center"/>
              <w:rPr>
                <w:rFonts w:ascii="仿宋" w:hAnsi="仿宋" w:eastAsia="仿宋" w:cs="仿宋"/>
                <w:sz w:val="24"/>
                <w:szCs w:val="24"/>
              </w:rPr>
            </w:pPr>
            <w:r>
              <w:rPr>
                <w:rFonts w:hint="eastAsia" w:ascii="仿宋" w:hAnsi="仿宋" w:eastAsia="仿宋" w:cs="仿宋"/>
                <w:sz w:val="24"/>
                <w:szCs w:val="24"/>
              </w:rPr>
              <w:t>计量单位</w:t>
            </w:r>
          </w:p>
        </w:tc>
        <w:tc>
          <w:tcPr>
            <w:tcW w:w="912" w:type="pct"/>
            <w:shd w:val="clear" w:color="auto" w:fill="auto"/>
            <w:vAlign w:val="center"/>
          </w:tcPr>
          <w:p w14:paraId="2097A526">
            <w:pPr>
              <w:pStyle w:val="7"/>
              <w:jc w:val="center"/>
              <w:rPr>
                <w:rFonts w:ascii="仿宋" w:hAnsi="仿宋" w:eastAsia="仿宋" w:cs="仿宋"/>
                <w:sz w:val="24"/>
                <w:szCs w:val="24"/>
              </w:rPr>
            </w:pPr>
            <w:r>
              <w:rPr>
                <w:rFonts w:hint="eastAsia" w:ascii="仿宋" w:hAnsi="仿宋" w:eastAsia="仿宋" w:cs="仿宋"/>
                <w:sz w:val="24"/>
                <w:szCs w:val="24"/>
              </w:rPr>
              <w:t>限高单价（元）</w:t>
            </w:r>
          </w:p>
        </w:tc>
      </w:tr>
      <w:tr w14:paraId="6293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38" w:type="pct"/>
            <w:shd w:val="clear" w:color="auto" w:fill="auto"/>
            <w:vAlign w:val="center"/>
          </w:tcPr>
          <w:p w14:paraId="33499029">
            <w:pPr>
              <w:pStyle w:val="7"/>
              <w:jc w:val="center"/>
              <w:rPr>
                <w:rFonts w:ascii="仿宋" w:hAnsi="仿宋" w:eastAsia="仿宋" w:cs="仿宋"/>
                <w:sz w:val="24"/>
                <w:szCs w:val="24"/>
              </w:rPr>
            </w:pPr>
            <w:r>
              <w:rPr>
                <w:rFonts w:hint="eastAsia" w:ascii="仿宋" w:hAnsi="仿宋" w:eastAsia="仿宋" w:cs="仿宋"/>
                <w:sz w:val="24"/>
                <w:szCs w:val="24"/>
              </w:rPr>
              <w:t>1</w:t>
            </w:r>
          </w:p>
        </w:tc>
        <w:tc>
          <w:tcPr>
            <w:tcW w:w="1177" w:type="pct"/>
            <w:vMerge w:val="restart"/>
            <w:shd w:val="clear" w:color="auto" w:fill="auto"/>
            <w:vAlign w:val="center"/>
          </w:tcPr>
          <w:p w14:paraId="697DA38F">
            <w:pPr>
              <w:pStyle w:val="7"/>
              <w:jc w:val="center"/>
              <w:rPr>
                <w:rFonts w:ascii="仿宋" w:hAnsi="仿宋" w:eastAsia="仿宋" w:cs="仿宋"/>
                <w:sz w:val="24"/>
                <w:szCs w:val="24"/>
              </w:rPr>
            </w:pPr>
            <w:r>
              <w:rPr>
                <w:rFonts w:hint="eastAsia" w:ascii="仿宋" w:hAnsi="仿宋" w:eastAsia="仿宋" w:cs="仿宋"/>
                <w:sz w:val="24"/>
                <w:szCs w:val="24"/>
              </w:rPr>
              <w:t>人事档案代理服务</w:t>
            </w:r>
          </w:p>
        </w:tc>
        <w:tc>
          <w:tcPr>
            <w:tcW w:w="2034" w:type="pct"/>
            <w:shd w:val="clear" w:color="auto" w:fill="auto"/>
            <w:vAlign w:val="center"/>
          </w:tcPr>
          <w:p w14:paraId="4CBFCF11">
            <w:pPr>
              <w:pStyle w:val="7"/>
              <w:rPr>
                <w:rFonts w:ascii="仿宋" w:hAnsi="仿宋" w:eastAsia="仿宋" w:cs="仿宋"/>
                <w:sz w:val="24"/>
                <w:szCs w:val="24"/>
                <w:highlight w:val="none"/>
              </w:rPr>
            </w:pPr>
            <w:r>
              <w:rPr>
                <w:rFonts w:hint="eastAsia" w:ascii="仿宋" w:hAnsi="仿宋" w:eastAsia="仿宋" w:cs="仿宋"/>
                <w:sz w:val="24"/>
                <w:szCs w:val="24"/>
                <w:highlight w:val="none"/>
              </w:rPr>
              <w:t>人事档案整理</w:t>
            </w:r>
          </w:p>
        </w:tc>
        <w:tc>
          <w:tcPr>
            <w:tcW w:w="636" w:type="pct"/>
            <w:shd w:val="clear" w:color="auto" w:fill="auto"/>
            <w:vAlign w:val="center"/>
          </w:tcPr>
          <w:p w14:paraId="1205637D">
            <w:pPr>
              <w:pStyle w:val="7"/>
              <w:jc w:val="center"/>
              <w:rPr>
                <w:rFonts w:ascii="仿宋" w:hAnsi="仿宋" w:eastAsia="仿宋" w:cs="仿宋"/>
                <w:sz w:val="24"/>
                <w:szCs w:val="24"/>
                <w:highlight w:val="none"/>
              </w:rPr>
            </w:pPr>
            <w:r>
              <w:rPr>
                <w:rFonts w:hint="eastAsia" w:ascii="仿宋" w:hAnsi="仿宋" w:eastAsia="仿宋" w:cs="仿宋"/>
                <w:sz w:val="24"/>
                <w:szCs w:val="24"/>
                <w:highlight w:val="none"/>
              </w:rPr>
              <w:t>册</w:t>
            </w:r>
          </w:p>
        </w:tc>
        <w:tc>
          <w:tcPr>
            <w:tcW w:w="912" w:type="pct"/>
            <w:shd w:val="clear" w:color="auto" w:fill="auto"/>
            <w:vAlign w:val="center"/>
          </w:tcPr>
          <w:p w14:paraId="2ACD7A77">
            <w:pPr>
              <w:pStyle w:val="7"/>
              <w:jc w:val="center"/>
              <w:rPr>
                <w:rFonts w:ascii="仿宋" w:hAnsi="仿宋" w:eastAsia="仿宋" w:cs="仿宋"/>
                <w:sz w:val="24"/>
                <w:szCs w:val="24"/>
                <w:highlight w:val="none"/>
              </w:rPr>
            </w:pPr>
            <w:r>
              <w:rPr>
                <w:rFonts w:hint="eastAsia" w:ascii="仿宋" w:hAnsi="仿宋" w:eastAsia="仿宋" w:cs="仿宋"/>
                <w:sz w:val="24"/>
                <w:szCs w:val="24"/>
                <w:highlight w:val="none"/>
              </w:rPr>
              <w:t>280</w:t>
            </w:r>
          </w:p>
        </w:tc>
      </w:tr>
      <w:tr w14:paraId="4683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238" w:type="pct"/>
            <w:shd w:val="clear" w:color="auto" w:fill="auto"/>
            <w:vAlign w:val="center"/>
          </w:tcPr>
          <w:p w14:paraId="24605A9E">
            <w:pPr>
              <w:pStyle w:val="7"/>
              <w:jc w:val="center"/>
              <w:rPr>
                <w:rFonts w:ascii="仿宋" w:hAnsi="仿宋" w:eastAsia="仿宋" w:cs="仿宋"/>
                <w:sz w:val="24"/>
                <w:szCs w:val="24"/>
              </w:rPr>
            </w:pPr>
            <w:r>
              <w:rPr>
                <w:rFonts w:hint="eastAsia" w:ascii="仿宋" w:hAnsi="仿宋" w:eastAsia="仿宋" w:cs="仿宋"/>
                <w:sz w:val="24"/>
                <w:szCs w:val="24"/>
              </w:rPr>
              <w:t>2</w:t>
            </w:r>
          </w:p>
        </w:tc>
        <w:tc>
          <w:tcPr>
            <w:tcW w:w="1177" w:type="pct"/>
            <w:vMerge w:val="continue"/>
            <w:shd w:val="clear" w:color="auto" w:fill="auto"/>
            <w:vAlign w:val="center"/>
          </w:tcPr>
          <w:p w14:paraId="4A6F8BAB">
            <w:pPr>
              <w:pStyle w:val="7"/>
              <w:jc w:val="center"/>
              <w:rPr>
                <w:rFonts w:ascii="仿宋" w:hAnsi="仿宋" w:eastAsia="仿宋" w:cs="仿宋"/>
                <w:sz w:val="24"/>
                <w:szCs w:val="24"/>
              </w:rPr>
            </w:pPr>
          </w:p>
        </w:tc>
        <w:tc>
          <w:tcPr>
            <w:tcW w:w="2034" w:type="pct"/>
            <w:shd w:val="clear" w:color="auto" w:fill="auto"/>
            <w:vAlign w:val="center"/>
          </w:tcPr>
          <w:p w14:paraId="0FE73D1A">
            <w:pPr>
              <w:pStyle w:val="7"/>
              <w:rPr>
                <w:rFonts w:ascii="仿宋" w:hAnsi="仿宋" w:eastAsia="仿宋" w:cs="仿宋"/>
                <w:sz w:val="24"/>
                <w:szCs w:val="24"/>
              </w:rPr>
            </w:pPr>
            <w:r>
              <w:rPr>
                <w:rFonts w:hint="eastAsia" w:ascii="仿宋" w:hAnsi="仿宋" w:eastAsia="仿宋" w:cs="仿宋"/>
                <w:sz w:val="24"/>
                <w:szCs w:val="24"/>
              </w:rPr>
              <w:t>人事档案数字化扫描</w:t>
            </w:r>
          </w:p>
        </w:tc>
        <w:tc>
          <w:tcPr>
            <w:tcW w:w="636" w:type="pct"/>
            <w:shd w:val="clear" w:color="auto" w:fill="auto"/>
            <w:vAlign w:val="center"/>
          </w:tcPr>
          <w:p w14:paraId="1635F6EE">
            <w:pPr>
              <w:pStyle w:val="7"/>
              <w:jc w:val="center"/>
              <w:rPr>
                <w:rFonts w:ascii="仿宋" w:hAnsi="仿宋" w:eastAsia="仿宋" w:cs="仿宋"/>
                <w:sz w:val="24"/>
                <w:szCs w:val="24"/>
              </w:rPr>
            </w:pPr>
            <w:r>
              <w:rPr>
                <w:rFonts w:hint="eastAsia" w:ascii="仿宋" w:hAnsi="仿宋" w:eastAsia="仿宋" w:cs="仿宋"/>
                <w:sz w:val="24"/>
                <w:szCs w:val="24"/>
              </w:rPr>
              <w:t>页</w:t>
            </w:r>
          </w:p>
        </w:tc>
        <w:tc>
          <w:tcPr>
            <w:tcW w:w="912" w:type="pct"/>
            <w:shd w:val="clear" w:color="auto" w:fill="auto"/>
            <w:vAlign w:val="center"/>
          </w:tcPr>
          <w:p w14:paraId="33AC060D">
            <w:pPr>
              <w:pStyle w:val="7"/>
              <w:jc w:val="center"/>
              <w:rPr>
                <w:rFonts w:ascii="仿宋" w:hAnsi="仿宋" w:eastAsia="仿宋" w:cs="仿宋"/>
                <w:sz w:val="24"/>
                <w:szCs w:val="24"/>
              </w:rPr>
            </w:pPr>
            <w:r>
              <w:rPr>
                <w:rFonts w:hint="eastAsia" w:ascii="仿宋" w:hAnsi="仿宋" w:eastAsia="仿宋" w:cs="仿宋"/>
                <w:sz w:val="24"/>
                <w:szCs w:val="24"/>
              </w:rPr>
              <w:t>0.8</w:t>
            </w:r>
          </w:p>
        </w:tc>
      </w:tr>
      <w:tr w14:paraId="1023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38" w:type="pct"/>
            <w:shd w:val="clear" w:color="auto" w:fill="auto"/>
            <w:vAlign w:val="center"/>
          </w:tcPr>
          <w:p w14:paraId="18351829">
            <w:pPr>
              <w:pStyle w:val="7"/>
              <w:jc w:val="center"/>
              <w:rPr>
                <w:rFonts w:ascii="仿宋" w:hAnsi="仿宋" w:eastAsia="仿宋" w:cs="仿宋"/>
                <w:sz w:val="24"/>
                <w:szCs w:val="24"/>
              </w:rPr>
            </w:pPr>
            <w:r>
              <w:rPr>
                <w:rFonts w:hint="eastAsia" w:ascii="仿宋" w:hAnsi="仿宋" w:eastAsia="仿宋" w:cs="仿宋"/>
                <w:sz w:val="24"/>
                <w:szCs w:val="24"/>
              </w:rPr>
              <w:t>3</w:t>
            </w:r>
          </w:p>
        </w:tc>
        <w:tc>
          <w:tcPr>
            <w:tcW w:w="1177" w:type="pct"/>
            <w:vMerge w:val="continue"/>
            <w:shd w:val="clear" w:color="auto" w:fill="auto"/>
            <w:vAlign w:val="center"/>
          </w:tcPr>
          <w:p w14:paraId="607EF9E3">
            <w:pPr>
              <w:pStyle w:val="7"/>
              <w:jc w:val="center"/>
              <w:rPr>
                <w:rFonts w:ascii="仿宋" w:hAnsi="仿宋" w:eastAsia="仿宋" w:cs="仿宋"/>
                <w:sz w:val="24"/>
                <w:szCs w:val="24"/>
              </w:rPr>
            </w:pPr>
          </w:p>
        </w:tc>
        <w:tc>
          <w:tcPr>
            <w:tcW w:w="2034" w:type="pct"/>
            <w:shd w:val="clear" w:color="auto" w:fill="auto"/>
            <w:vAlign w:val="center"/>
          </w:tcPr>
          <w:p w14:paraId="6F979237">
            <w:pPr>
              <w:pStyle w:val="7"/>
              <w:rPr>
                <w:rFonts w:ascii="仿宋" w:hAnsi="仿宋" w:eastAsia="仿宋" w:cs="仿宋"/>
                <w:sz w:val="24"/>
                <w:szCs w:val="24"/>
                <w:highlight w:val="none"/>
              </w:rPr>
            </w:pPr>
            <w:r>
              <w:rPr>
                <w:rFonts w:hint="eastAsia" w:ascii="仿宋" w:hAnsi="仿宋" w:eastAsia="仿宋" w:cs="仿宋"/>
                <w:sz w:val="24"/>
                <w:szCs w:val="24"/>
                <w:highlight w:val="none"/>
              </w:rPr>
              <w:t>提供档案接收、保管、转递服务</w:t>
            </w:r>
          </w:p>
        </w:tc>
        <w:tc>
          <w:tcPr>
            <w:tcW w:w="636" w:type="pct"/>
            <w:shd w:val="clear" w:color="auto" w:fill="auto"/>
            <w:vAlign w:val="center"/>
          </w:tcPr>
          <w:p w14:paraId="6194CE45">
            <w:pPr>
              <w:pStyle w:val="7"/>
              <w:jc w:val="center"/>
              <w:rPr>
                <w:rFonts w:ascii="仿宋" w:hAnsi="仿宋" w:eastAsia="仿宋" w:cs="仿宋"/>
                <w:sz w:val="24"/>
                <w:szCs w:val="24"/>
                <w:highlight w:val="none"/>
              </w:rPr>
            </w:pPr>
            <w:r>
              <w:rPr>
                <w:rFonts w:hint="eastAsia" w:ascii="仿宋" w:hAnsi="仿宋" w:eastAsia="仿宋" w:cs="仿宋"/>
                <w:sz w:val="24"/>
                <w:szCs w:val="24"/>
                <w:highlight w:val="none"/>
              </w:rPr>
              <w:t>册/年</w:t>
            </w:r>
          </w:p>
        </w:tc>
        <w:tc>
          <w:tcPr>
            <w:tcW w:w="912" w:type="pct"/>
            <w:shd w:val="clear" w:color="auto" w:fill="auto"/>
            <w:vAlign w:val="center"/>
          </w:tcPr>
          <w:p w14:paraId="053C8DD3">
            <w:pPr>
              <w:pStyle w:val="7"/>
              <w:jc w:val="center"/>
              <w:rPr>
                <w:rFonts w:ascii="仿宋" w:hAnsi="仿宋" w:eastAsia="仿宋" w:cs="仿宋"/>
                <w:sz w:val="24"/>
                <w:szCs w:val="24"/>
                <w:highlight w:val="none"/>
              </w:rPr>
            </w:pPr>
            <w:r>
              <w:rPr>
                <w:rFonts w:hint="eastAsia" w:ascii="仿宋" w:hAnsi="仿宋" w:eastAsia="仿宋" w:cs="仿宋"/>
                <w:sz w:val="24"/>
                <w:szCs w:val="24"/>
                <w:highlight w:val="none"/>
              </w:rPr>
              <w:t>170</w:t>
            </w:r>
          </w:p>
        </w:tc>
      </w:tr>
      <w:tr w14:paraId="19BF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000" w:type="pct"/>
            <w:gridSpan w:val="5"/>
            <w:shd w:val="clear" w:color="auto" w:fill="auto"/>
            <w:vAlign w:val="center"/>
          </w:tcPr>
          <w:p w14:paraId="1FC9BB40">
            <w:pPr>
              <w:pStyle w:val="7"/>
              <w:jc w:val="center"/>
              <w:rPr>
                <w:rFonts w:ascii="仿宋" w:hAnsi="仿宋" w:eastAsia="仿宋" w:cs="仿宋"/>
                <w:b/>
                <w:sz w:val="24"/>
                <w:szCs w:val="24"/>
              </w:rPr>
            </w:pPr>
            <w:r>
              <w:rPr>
                <w:rFonts w:hint="eastAsia" w:ascii="仿宋" w:hAnsi="仿宋" w:eastAsia="仿宋" w:cs="仿宋"/>
                <w:b/>
                <w:sz w:val="24"/>
                <w:szCs w:val="24"/>
              </w:rPr>
              <w:t>限高总价合计：￥490000.00</w:t>
            </w:r>
          </w:p>
        </w:tc>
      </w:tr>
    </w:tbl>
    <w:p w14:paraId="1D056D71">
      <w:pPr>
        <w:pStyle w:val="16"/>
        <w:numPr>
          <w:ilvl w:val="0"/>
          <w:numId w:val="13"/>
        </w:numPr>
        <w:ind w:firstLine="0"/>
        <w:rPr>
          <w:rFonts w:ascii="Times New Roman" w:hAnsi="Times New Roman" w:eastAsia="仿宋" w:cs="Times New Roman"/>
          <w:sz w:val="24"/>
          <w:szCs w:val="24"/>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服务要求:</w:t>
      </w:r>
    </w:p>
    <w:p w14:paraId="2C6E12AB">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（一）人事档案整理（限高单价：</w:t>
      </w:r>
      <w:r>
        <w:rPr>
          <w:rFonts w:hint="eastAsia" w:ascii="Times New Roman" w:hAnsi="Times New Roman" w:eastAsia="仿宋"/>
          <w:b/>
          <w:bCs/>
          <w:sz w:val="24"/>
          <w:szCs w:val="24"/>
          <w:lang w:val="en-US" w:eastAsia="zh-CN"/>
        </w:rPr>
        <w:t>28</w:t>
      </w:r>
      <w:r>
        <w:rPr>
          <w:rFonts w:hint="eastAsia" w:ascii="Times New Roman" w:hAnsi="Times New Roman" w:eastAsia="仿宋"/>
          <w:b/>
          <w:bCs/>
          <w:sz w:val="24"/>
          <w:szCs w:val="24"/>
        </w:rPr>
        <w:t>0元/册）</w:t>
      </w:r>
    </w:p>
    <w:p w14:paraId="7C371774">
      <w:pPr>
        <w:pStyle w:val="16"/>
        <w:ind w:firstLine="240"/>
        <w:rPr>
          <w:rFonts w:hint="eastAsia" w:ascii="Times New Roman" w:hAnsi="Times New Roman" w:eastAsia="仿宋"/>
          <w:sz w:val="24"/>
          <w:szCs w:val="24"/>
        </w:rPr>
      </w:pPr>
      <w:r>
        <w:rPr>
          <w:rFonts w:hint="eastAsia" w:ascii="Times New Roman" w:hAnsi="Times New Roman" w:eastAsia="仿宋"/>
          <w:sz w:val="24"/>
          <w:szCs w:val="24"/>
        </w:rPr>
        <w:t>1.按照《干部人事档案工作条例》及最新的干部人事档案材料收集归档规定要求对人事档案进行整理排序。按照排列顺序，逐份逐项进行编目，形成人事档案目录，且做到目录清楚，著录准确。提供符合标准的档案盒对人事档案进行装订。</w:t>
      </w:r>
    </w:p>
    <w:p w14:paraId="183F90F8">
      <w:pPr>
        <w:pStyle w:val="16"/>
        <w:ind w:firstLine="240"/>
        <w:rPr>
          <w:rFonts w:hint="eastAsia" w:ascii="Times New Roman" w:hAnsi="Times New Roman" w:eastAsia="仿宋"/>
          <w:sz w:val="24"/>
          <w:szCs w:val="24"/>
        </w:rPr>
      </w:pPr>
      <w:r>
        <w:rPr>
          <w:rFonts w:hint="eastAsia" w:ascii="Times New Roman" w:hAnsi="Times New Roman" w:eastAsia="仿宋"/>
          <w:sz w:val="24"/>
          <w:szCs w:val="24"/>
        </w:rPr>
        <w:t>2.根据人事档案相关工作的要求，对档案开展查漏补缺，并完成采购方交代的任务。</w:t>
      </w:r>
    </w:p>
    <w:p w14:paraId="3F3BF180">
      <w:pPr>
        <w:pStyle w:val="16"/>
        <w:ind w:firstLine="240"/>
        <w:rPr>
          <w:rFonts w:ascii="Times New Roman" w:hAnsi="Times New Roman" w:eastAsia="仿宋"/>
          <w:sz w:val="24"/>
          <w:szCs w:val="24"/>
        </w:rPr>
      </w:pPr>
      <w:r>
        <w:rPr>
          <w:rFonts w:hint="eastAsia" w:ascii="Times New Roman" w:hAnsi="Times New Roman" w:eastAsia="仿宋"/>
          <w:sz w:val="24"/>
          <w:szCs w:val="24"/>
        </w:rPr>
        <w:t xml:space="preserve">3.该项服务以册为单价进行报价。     </w:t>
      </w:r>
    </w:p>
    <w:p w14:paraId="054AEA88">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（二）人事档案数字化扫描（限高单价：0.8元/页）</w:t>
      </w:r>
    </w:p>
    <w:p w14:paraId="00C79C1C">
      <w:pPr>
        <w:pStyle w:val="16"/>
        <w:ind w:firstLine="240"/>
        <w:rPr>
          <w:rFonts w:ascii="Times New Roman" w:hAnsi="Times New Roman" w:eastAsia="仿宋"/>
          <w:sz w:val="24"/>
          <w:szCs w:val="24"/>
        </w:rPr>
      </w:pPr>
      <w:r>
        <w:rPr>
          <w:rFonts w:hint="eastAsia" w:ascii="Times New Roman" w:hAnsi="Times New Roman" w:eastAsia="仿宋"/>
          <w:sz w:val="24"/>
          <w:szCs w:val="24"/>
        </w:rPr>
        <w:t>1.通过扫描、处理纸质档案后形成的电子数据，由档案目录数据、档案原始图像数据和档案高清图像数据等三种类型电子数据组成数字档案。</w:t>
      </w:r>
    </w:p>
    <w:p w14:paraId="34F24D01">
      <w:pPr>
        <w:pStyle w:val="16"/>
        <w:ind w:firstLine="240"/>
        <w:rPr>
          <w:rFonts w:ascii="Times New Roman" w:hAnsi="Times New Roman" w:eastAsia="仿宋"/>
          <w:sz w:val="24"/>
          <w:szCs w:val="24"/>
        </w:rPr>
      </w:pPr>
      <w:r>
        <w:rPr>
          <w:rFonts w:hint="eastAsia" w:ascii="Times New Roman" w:hAnsi="Times New Roman" w:eastAsia="仿宋"/>
          <w:sz w:val="24"/>
          <w:szCs w:val="24"/>
        </w:rPr>
        <w:t>2.档案目录数据格式为excel，须与图像数据标识一一对应。</w:t>
      </w:r>
    </w:p>
    <w:p w14:paraId="227F7EB4">
      <w:pPr>
        <w:pStyle w:val="16"/>
        <w:ind w:firstLine="240"/>
        <w:rPr>
          <w:rFonts w:ascii="Times New Roman" w:hAnsi="Times New Roman" w:eastAsia="仿宋"/>
          <w:sz w:val="24"/>
          <w:szCs w:val="24"/>
        </w:rPr>
      </w:pPr>
      <w:r>
        <w:rPr>
          <w:rFonts w:hint="eastAsia" w:ascii="Times New Roman" w:hAnsi="Times New Roman" w:eastAsia="仿宋"/>
          <w:sz w:val="24"/>
          <w:szCs w:val="24"/>
        </w:rPr>
        <w:t>3.档案原始图像数据须与纸质档案完全对应，除图像纠偏、裁边外不做任何修饰性图像处理。</w:t>
      </w:r>
    </w:p>
    <w:p w14:paraId="424ACEE6">
      <w:pPr>
        <w:pStyle w:val="16"/>
        <w:ind w:firstLine="240"/>
        <w:rPr>
          <w:rFonts w:ascii="Times New Roman" w:hAnsi="Times New Roman" w:eastAsia="仿宋"/>
          <w:sz w:val="24"/>
          <w:szCs w:val="24"/>
        </w:rPr>
      </w:pPr>
      <w:r>
        <w:rPr>
          <w:rFonts w:hint="eastAsia" w:ascii="Times New Roman" w:hAnsi="Times New Roman" w:eastAsia="仿宋"/>
          <w:sz w:val="24"/>
          <w:szCs w:val="24"/>
        </w:rPr>
        <w:t>4.档案高清图像数据须与原始图像数据在图像方向、分辨率、页数上完全一致。对图像中出现的影响提供利用和图像美观的杂质须进行去污处理，字迹不清的须进行清晰化处理。</w:t>
      </w:r>
    </w:p>
    <w:p w14:paraId="54C900BC">
      <w:pPr>
        <w:pStyle w:val="16"/>
        <w:ind w:firstLine="240"/>
        <w:rPr>
          <w:rFonts w:ascii="Times New Roman" w:hAnsi="Times New Roman" w:eastAsia="仿宋"/>
          <w:sz w:val="24"/>
          <w:szCs w:val="24"/>
        </w:rPr>
      </w:pPr>
      <w:r>
        <w:rPr>
          <w:rFonts w:hint="eastAsia" w:ascii="Times New Roman" w:hAnsi="Times New Roman" w:eastAsia="仿宋"/>
          <w:sz w:val="24"/>
          <w:szCs w:val="24"/>
        </w:rPr>
        <w:t>5.档案图像数据格式为单页JPG，色彩模式为24位真彩色，分辨率为300dpi。</w:t>
      </w:r>
    </w:p>
    <w:p w14:paraId="21691BF0">
      <w:pPr>
        <w:pStyle w:val="16"/>
        <w:ind w:firstLine="240"/>
        <w:rPr>
          <w:rFonts w:ascii="Times New Roman" w:hAnsi="Times New Roman" w:eastAsia="仿宋"/>
          <w:sz w:val="24"/>
          <w:szCs w:val="24"/>
        </w:rPr>
      </w:pPr>
      <w:r>
        <w:rPr>
          <w:rFonts w:hint="eastAsia" w:ascii="Times New Roman" w:hAnsi="Times New Roman" w:eastAsia="仿宋"/>
          <w:sz w:val="24"/>
          <w:szCs w:val="24"/>
        </w:rPr>
        <w:t>6.该项服务以页为单价进行报价，相关软件费用包含在响应价格中。</w:t>
      </w:r>
    </w:p>
    <w:p w14:paraId="7924DBDE">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（三）提供档案接收、保管、转递服务（限高单价：</w:t>
      </w:r>
      <w:r>
        <w:rPr>
          <w:rFonts w:hint="eastAsia" w:ascii="Times New Roman" w:hAnsi="Times New Roman" w:eastAsia="仿宋"/>
          <w:b/>
          <w:bCs/>
          <w:sz w:val="24"/>
          <w:szCs w:val="24"/>
          <w:lang w:val="en-US" w:eastAsia="zh-CN"/>
        </w:rPr>
        <w:t>17</w:t>
      </w:r>
      <w:r>
        <w:rPr>
          <w:rFonts w:hint="eastAsia" w:ascii="Times New Roman" w:hAnsi="Times New Roman" w:eastAsia="仿宋"/>
          <w:b/>
          <w:bCs/>
          <w:sz w:val="24"/>
          <w:szCs w:val="24"/>
        </w:rPr>
        <w:t>0元/册/年）</w:t>
      </w:r>
    </w:p>
    <w:p w14:paraId="53B22968">
      <w:pPr>
        <w:pStyle w:val="16"/>
        <w:ind w:firstLine="240"/>
        <w:rPr>
          <w:rFonts w:ascii="Times New Roman" w:hAnsi="Times New Roman" w:eastAsia="仿宋"/>
          <w:sz w:val="24"/>
          <w:szCs w:val="24"/>
        </w:rPr>
      </w:pPr>
      <w:r>
        <w:rPr>
          <w:rFonts w:hint="eastAsia" w:ascii="Times New Roman" w:hAnsi="Times New Roman" w:eastAsia="仿宋"/>
          <w:sz w:val="24"/>
          <w:szCs w:val="24"/>
        </w:rPr>
        <w:t>1.在管理人事档案过程中为采购人建立管理专户，每季度核对存档人员名单。在办理人事档案转入转出前，须先经采购人同意。</w:t>
      </w:r>
    </w:p>
    <w:p w14:paraId="37EE51BE">
      <w:pPr>
        <w:pStyle w:val="16"/>
        <w:ind w:firstLine="240"/>
        <w:rPr>
          <w:rFonts w:ascii="Times New Roman" w:hAnsi="Times New Roman" w:eastAsia="仿宋"/>
          <w:sz w:val="24"/>
          <w:szCs w:val="24"/>
        </w:rPr>
      </w:pPr>
      <w:r>
        <w:rPr>
          <w:rFonts w:hint="eastAsia" w:ascii="Times New Roman" w:hAnsi="Times New Roman" w:eastAsia="仿宋"/>
          <w:sz w:val="24"/>
          <w:szCs w:val="24"/>
        </w:rPr>
        <w:t>2.根据采购人提供的入职、离职人员名单，督促新进及离院人员在规定时间内办理人事档案转移手续。</w:t>
      </w:r>
    </w:p>
    <w:p w14:paraId="449D5AB9">
      <w:pPr>
        <w:pStyle w:val="16"/>
        <w:ind w:firstLine="240"/>
        <w:rPr>
          <w:rFonts w:ascii="Times New Roman" w:hAnsi="Times New Roman" w:eastAsia="仿宋"/>
          <w:sz w:val="24"/>
          <w:szCs w:val="24"/>
        </w:rPr>
      </w:pPr>
      <w:r>
        <w:rPr>
          <w:rFonts w:hint="eastAsia" w:ascii="Times New Roman" w:hAnsi="Times New Roman" w:eastAsia="仿宋"/>
          <w:sz w:val="24"/>
          <w:szCs w:val="24"/>
        </w:rPr>
        <w:t>3.按照《干部人事档案工作条例》及最新的干部人事档案材料收集归档规定要求对人事档案进行分类整理、排序，按照排列顺序，逐份逐项进行编目，形成人事档案目录，且做到目录清楚，著录准确。对纸张破损、卷角、折皱的材料进行技术加工，从而使档案材料便于装订、保管和利用，延长档案的使用寿命。最后提供符合标准的档案盒对人事档案进行装订。</w:t>
      </w:r>
    </w:p>
    <w:p w14:paraId="2A997001">
      <w:pPr>
        <w:pStyle w:val="16"/>
        <w:ind w:firstLine="240"/>
        <w:rPr>
          <w:rFonts w:ascii="Times New Roman" w:hAnsi="Times New Roman" w:eastAsia="仿宋"/>
          <w:sz w:val="24"/>
          <w:szCs w:val="24"/>
        </w:rPr>
      </w:pPr>
      <w:r>
        <w:rPr>
          <w:rFonts w:hint="eastAsia" w:ascii="Times New Roman" w:hAnsi="Times New Roman" w:eastAsia="仿宋"/>
          <w:sz w:val="24"/>
          <w:szCs w:val="24"/>
        </w:rPr>
        <w:t>4.对准备归档的材料进行核查，确定是否属于归档范围，是否符合归档要求。鉴别工作的内容具体包括归档材料是否办理完毕，是否对象明确、齐全完整、文字清楚、内容真实、填写规范、手续完备。</w:t>
      </w:r>
    </w:p>
    <w:p w14:paraId="70C6B786">
      <w:pPr>
        <w:pStyle w:val="16"/>
        <w:ind w:firstLine="240"/>
        <w:rPr>
          <w:rFonts w:ascii="Times New Roman" w:hAnsi="Times New Roman" w:eastAsia="仿宋"/>
          <w:sz w:val="24"/>
          <w:szCs w:val="24"/>
        </w:rPr>
      </w:pPr>
      <w:r>
        <w:rPr>
          <w:rFonts w:hint="eastAsia" w:ascii="Times New Roman" w:hAnsi="Times New Roman" w:eastAsia="仿宋"/>
          <w:sz w:val="24"/>
          <w:szCs w:val="24"/>
        </w:rPr>
        <w:t>5.根据采购人工作需要上门收取、或机要转送人事档案及档案内相关资料。</w:t>
      </w:r>
    </w:p>
    <w:p w14:paraId="116610CC">
      <w:pPr>
        <w:pStyle w:val="16"/>
        <w:ind w:firstLine="240"/>
        <w:rPr>
          <w:rFonts w:ascii="Times New Roman" w:hAnsi="Times New Roman" w:eastAsia="仿宋"/>
          <w:sz w:val="24"/>
          <w:szCs w:val="24"/>
        </w:rPr>
      </w:pPr>
      <w:r>
        <w:rPr>
          <w:rFonts w:hint="eastAsia" w:ascii="Times New Roman" w:hAnsi="Times New Roman" w:eastAsia="仿宋"/>
          <w:sz w:val="24"/>
          <w:szCs w:val="24"/>
        </w:rPr>
        <w:t>6.常规档案内容查询业务，供应商须在1小时内解决；如遇节假日紧急任务，供应商须安排人员应急解决。</w:t>
      </w:r>
    </w:p>
    <w:p w14:paraId="7841E7FA">
      <w:pPr>
        <w:pStyle w:val="16"/>
        <w:ind w:firstLine="240"/>
        <w:rPr>
          <w:rFonts w:ascii="Times New Roman" w:hAnsi="Times New Roman" w:eastAsia="仿宋"/>
          <w:sz w:val="24"/>
          <w:szCs w:val="24"/>
        </w:rPr>
      </w:pPr>
      <w:r>
        <w:rPr>
          <w:rFonts w:hint="eastAsia" w:ascii="Times New Roman" w:hAnsi="Times New Roman" w:eastAsia="仿宋"/>
          <w:sz w:val="24"/>
          <w:szCs w:val="24"/>
        </w:rPr>
        <w:t>7.该项服务以册为单价进行报价。采购人现有档案存放于成都市高新区益州大道某处，供应商在报价时需考虑以上档案转运至供应商的相关费用，费用包含在响应价格中。</w:t>
      </w:r>
    </w:p>
    <w:p w14:paraId="19A054FB">
      <w:pPr>
        <w:pStyle w:val="16"/>
        <w:ind w:firstLine="240"/>
        <w:rPr>
          <w:rFonts w:ascii="Times New Roman" w:hAnsi="Times New Roman" w:eastAsia="仿宋"/>
          <w:sz w:val="24"/>
          <w:szCs w:val="24"/>
        </w:rPr>
      </w:pPr>
      <w:r>
        <w:rPr>
          <w:rFonts w:hint="eastAsia" w:ascii="Times New Roman" w:hAnsi="Times New Roman" w:eastAsia="仿宋"/>
          <w:sz w:val="24"/>
          <w:szCs w:val="24"/>
        </w:rPr>
        <w:t>8.采购人仅对在职职工档案进行付费。</w:t>
      </w:r>
    </w:p>
    <w:p w14:paraId="689844A4">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（四）人员驻点</w:t>
      </w:r>
    </w:p>
    <w:p w14:paraId="6EF1E9E2">
      <w:pPr>
        <w:pStyle w:val="16"/>
        <w:ind w:firstLine="240"/>
        <w:rPr>
          <w:rFonts w:ascii="Times New Roman" w:hAnsi="Times New Roman" w:eastAsia="仿宋"/>
          <w:sz w:val="24"/>
          <w:szCs w:val="24"/>
        </w:rPr>
      </w:pPr>
      <w:r>
        <w:rPr>
          <w:rFonts w:hint="eastAsia" w:ascii="Times New Roman" w:hAnsi="Times New Roman" w:eastAsia="仿宋"/>
          <w:sz w:val="24"/>
          <w:szCs w:val="24"/>
        </w:rPr>
        <w:t>1.供应商配置不少于壹名专人于工作日在采购人处提供驻点服务，负责人事档案的利用和核查、收送、档案资料查阅和材料整理、归档、装订等日常工作。</w:t>
      </w:r>
    </w:p>
    <w:p w14:paraId="3EB81308">
      <w:pPr>
        <w:pStyle w:val="16"/>
        <w:ind w:firstLine="240"/>
        <w:rPr>
          <w:rFonts w:ascii="Times New Roman" w:hAnsi="Times New Roman" w:eastAsia="仿宋"/>
          <w:sz w:val="24"/>
          <w:szCs w:val="24"/>
        </w:rPr>
      </w:pPr>
      <w:r>
        <w:rPr>
          <w:rFonts w:hint="eastAsia" w:ascii="Times New Roman" w:hAnsi="Times New Roman" w:eastAsia="仿宋"/>
          <w:sz w:val="24"/>
          <w:szCs w:val="24"/>
        </w:rPr>
        <w:t>2.驻点人员应专职服务于本项目，禁止在外从事其他兼职、经营或服务活动。驻点人员不得随意更换，如遇特殊情况需调整，在保证本项目正常运行的前提下，报经采购人同意后方可实施。</w:t>
      </w:r>
    </w:p>
    <w:p w14:paraId="54B24850">
      <w:pPr>
        <w:pStyle w:val="16"/>
        <w:ind w:firstLine="240"/>
        <w:rPr>
          <w:rFonts w:ascii="Times New Roman" w:hAnsi="Times New Roman" w:eastAsia="仿宋"/>
          <w:sz w:val="24"/>
          <w:szCs w:val="24"/>
        </w:rPr>
      </w:pPr>
      <w:r>
        <w:rPr>
          <w:rFonts w:hint="eastAsia" w:ascii="Times New Roman" w:hAnsi="Times New Roman" w:eastAsia="仿宋"/>
          <w:sz w:val="24"/>
          <w:szCs w:val="24"/>
        </w:rPr>
        <w:t>3.供应商应遵守《劳动法》和《劳动合同法》等规定，按时发放驻点人员工资，并为驻点人员缴纳社会保险、医疗保险和公积金。如发生工伤工亡等情况，供应商应采取应急处理措施，负责工伤申请认定、伤残劳动能力鉴定等后续手续办理。采购人不提供驻点人员食宿。</w:t>
      </w:r>
    </w:p>
    <w:p w14:paraId="3ADA65FA">
      <w:pPr>
        <w:pStyle w:val="16"/>
        <w:ind w:firstLine="240"/>
        <w:rPr>
          <w:rFonts w:ascii="Times New Roman" w:hAnsi="Times New Roman" w:eastAsia="仿宋"/>
          <w:sz w:val="24"/>
          <w:szCs w:val="24"/>
        </w:rPr>
      </w:pPr>
      <w:r>
        <w:rPr>
          <w:rFonts w:hint="eastAsia" w:ascii="Times New Roman" w:hAnsi="Times New Roman" w:eastAsia="仿宋"/>
          <w:sz w:val="24"/>
          <w:szCs w:val="24"/>
        </w:rPr>
        <w:t>4.驻点人员需具备有效期内的涉密人员培训证书（提供复印件并加盖公章），身体健康，无违法犯罪记录，具有2年以上工作经验（须提供劳动关系证明材料，并加盖公章）。供应商须对驻点人员法律法规、专业技能知识、沟通技巧、保密意识等方面进行培训，确保驻点人员政治合格、思想情绪稳定。</w:t>
      </w:r>
    </w:p>
    <w:p w14:paraId="1C04BCD0">
      <w:pPr>
        <w:pStyle w:val="16"/>
        <w:ind w:firstLine="240"/>
        <w:rPr>
          <w:rFonts w:ascii="Times New Roman" w:hAnsi="Times New Roman" w:eastAsia="仿宋"/>
          <w:sz w:val="24"/>
          <w:szCs w:val="24"/>
        </w:rPr>
      </w:pPr>
      <w:r>
        <w:rPr>
          <w:rFonts w:hint="eastAsia" w:ascii="Times New Roman" w:hAnsi="Times New Roman" w:eastAsia="仿宋"/>
          <w:sz w:val="24"/>
          <w:szCs w:val="24"/>
        </w:rPr>
        <w:t>5.驻点工作人员须严格保守采购人工作秘密，如造成相关信息泄露，须承担相应的法律责任。</w:t>
      </w:r>
    </w:p>
    <w:p w14:paraId="01094CC0">
      <w:pPr>
        <w:pStyle w:val="16"/>
        <w:ind w:firstLine="240"/>
        <w:rPr>
          <w:rFonts w:ascii="Times New Roman" w:hAnsi="Times New Roman" w:eastAsia="仿宋"/>
          <w:sz w:val="24"/>
          <w:szCs w:val="24"/>
        </w:rPr>
      </w:pPr>
      <w:r>
        <w:rPr>
          <w:rFonts w:hint="eastAsia" w:ascii="Times New Roman" w:hAnsi="Times New Roman" w:eastAsia="仿宋"/>
          <w:sz w:val="24"/>
          <w:szCs w:val="24"/>
        </w:rPr>
        <w:t>6.驻点人员相关费用包含在前述相关档案服务项目中，不再另行报价。</w:t>
      </w:r>
    </w:p>
    <w:p w14:paraId="5AC24D38">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（五）对供应商工作要求</w:t>
      </w:r>
    </w:p>
    <w:p w14:paraId="3A2A3ABA">
      <w:pPr>
        <w:pStyle w:val="16"/>
        <w:ind w:firstLine="240"/>
        <w:rPr>
          <w:rFonts w:ascii="Times New Roman" w:hAnsi="Times New Roman" w:eastAsia="仿宋"/>
          <w:sz w:val="24"/>
          <w:szCs w:val="24"/>
        </w:rPr>
      </w:pPr>
      <w:r>
        <w:rPr>
          <w:rFonts w:hint="eastAsia" w:ascii="Times New Roman" w:hAnsi="Times New Roman" w:eastAsia="仿宋"/>
          <w:sz w:val="24"/>
          <w:szCs w:val="24"/>
        </w:rPr>
        <w:t>1.保管场地需符合国家关于档案库房的相关要求。</w:t>
      </w:r>
    </w:p>
    <w:p w14:paraId="1BFFD48A">
      <w:pPr>
        <w:pStyle w:val="16"/>
        <w:ind w:firstLine="240"/>
        <w:rPr>
          <w:rFonts w:ascii="Times New Roman" w:hAnsi="Times New Roman" w:eastAsia="仿宋"/>
          <w:sz w:val="24"/>
          <w:szCs w:val="24"/>
        </w:rPr>
      </w:pPr>
      <w:r>
        <w:rPr>
          <w:rFonts w:hint="eastAsia" w:ascii="Times New Roman" w:hAnsi="Times New Roman" w:eastAsia="仿宋"/>
          <w:sz w:val="24"/>
          <w:szCs w:val="24"/>
        </w:rPr>
        <w:t>2.管理制度健全。具备借阅、收集、归档、转递、保管保密等方面规章制度。</w:t>
      </w:r>
    </w:p>
    <w:p w14:paraId="3A48EA4D">
      <w:pPr>
        <w:pStyle w:val="16"/>
        <w:ind w:firstLine="240"/>
        <w:rPr>
          <w:rFonts w:ascii="Times New Roman" w:hAnsi="Times New Roman" w:eastAsia="仿宋"/>
          <w:sz w:val="24"/>
          <w:szCs w:val="24"/>
        </w:rPr>
      </w:pPr>
      <w:r>
        <w:rPr>
          <w:rFonts w:hint="eastAsia" w:ascii="Times New Roman" w:hAnsi="Times New Roman" w:eastAsia="仿宋"/>
          <w:sz w:val="24"/>
          <w:szCs w:val="24"/>
        </w:rPr>
        <w:t>3.档案转递过程中保密措施恰当，严格按要求进行转递。</w:t>
      </w:r>
    </w:p>
    <w:p w14:paraId="2F056DD9">
      <w:pPr>
        <w:pStyle w:val="16"/>
        <w:ind w:firstLine="240"/>
        <w:rPr>
          <w:rFonts w:ascii="Times New Roman" w:hAnsi="Times New Roman" w:eastAsia="仿宋"/>
          <w:sz w:val="24"/>
          <w:szCs w:val="24"/>
        </w:rPr>
      </w:pPr>
      <w:r>
        <w:rPr>
          <w:rFonts w:hint="eastAsia" w:ascii="Times New Roman" w:hAnsi="Times New Roman" w:eastAsia="仿宋"/>
          <w:sz w:val="24"/>
          <w:szCs w:val="24"/>
        </w:rPr>
        <w:t>4.采购人有权制定各种保密规章制度。供应商在服务期间，必须遵守采购人的保密规定，签订《保密协议》，并应履行与其工作相应的保密职责。</w:t>
      </w:r>
    </w:p>
    <w:p w14:paraId="49043674">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（六）项目服务要求标准</w:t>
      </w:r>
    </w:p>
    <w:p w14:paraId="50A7D062">
      <w:pPr>
        <w:pStyle w:val="16"/>
        <w:ind w:firstLine="240"/>
        <w:rPr>
          <w:rFonts w:ascii="Times New Roman" w:hAnsi="Times New Roman" w:eastAsia="仿宋"/>
          <w:sz w:val="24"/>
          <w:szCs w:val="24"/>
        </w:rPr>
      </w:pPr>
      <w:r>
        <w:rPr>
          <w:rFonts w:hint="eastAsia" w:ascii="Times New Roman" w:hAnsi="Times New Roman" w:eastAsia="仿宋"/>
          <w:sz w:val="24"/>
          <w:szCs w:val="24"/>
        </w:rPr>
        <w:t>应遵守执行的主要标准规范</w:t>
      </w:r>
    </w:p>
    <w:p w14:paraId="5ED5BB0E">
      <w:pPr>
        <w:pStyle w:val="16"/>
        <w:ind w:firstLine="240"/>
        <w:rPr>
          <w:rFonts w:ascii="Times New Roman" w:hAnsi="Times New Roman" w:eastAsia="仿宋"/>
          <w:sz w:val="24"/>
          <w:szCs w:val="24"/>
        </w:rPr>
      </w:pPr>
      <w:r>
        <w:rPr>
          <w:rFonts w:hint="eastAsia" w:ascii="Times New Roman" w:hAnsi="Times New Roman" w:eastAsia="仿宋"/>
          <w:sz w:val="24"/>
          <w:szCs w:val="24"/>
        </w:rPr>
        <w:t>《中华人民共和国档案法》</w:t>
      </w:r>
    </w:p>
    <w:p w14:paraId="6DDA9262">
      <w:pPr>
        <w:pStyle w:val="16"/>
        <w:ind w:firstLine="240"/>
        <w:rPr>
          <w:rFonts w:ascii="Times New Roman" w:hAnsi="Times New Roman" w:eastAsia="仿宋"/>
          <w:sz w:val="24"/>
          <w:szCs w:val="24"/>
        </w:rPr>
      </w:pPr>
      <w:r>
        <w:rPr>
          <w:rFonts w:hint="eastAsia" w:ascii="Times New Roman" w:hAnsi="Times New Roman" w:eastAsia="仿宋"/>
          <w:sz w:val="24"/>
          <w:szCs w:val="24"/>
        </w:rPr>
        <w:t>《中华人民共和国保密法》</w:t>
      </w:r>
    </w:p>
    <w:p w14:paraId="6BC8E088">
      <w:pPr>
        <w:pStyle w:val="16"/>
        <w:ind w:firstLine="240"/>
        <w:rPr>
          <w:rFonts w:ascii="Times New Roman" w:hAnsi="Times New Roman" w:eastAsia="仿宋"/>
          <w:sz w:val="24"/>
          <w:szCs w:val="24"/>
        </w:rPr>
      </w:pPr>
      <w:r>
        <w:rPr>
          <w:rFonts w:hint="eastAsia" w:ascii="Times New Roman" w:hAnsi="Times New Roman" w:eastAsia="仿宋"/>
          <w:sz w:val="24"/>
          <w:szCs w:val="24"/>
        </w:rPr>
        <w:t>《干部人事档案工作条例》</w:t>
      </w:r>
    </w:p>
    <w:p w14:paraId="688E2804">
      <w:pPr>
        <w:pStyle w:val="16"/>
        <w:ind w:firstLine="240"/>
        <w:rPr>
          <w:rFonts w:ascii="Times New Roman" w:hAnsi="Times New Roman" w:eastAsia="仿宋"/>
          <w:sz w:val="24"/>
          <w:szCs w:val="24"/>
        </w:rPr>
      </w:pPr>
      <w:r>
        <w:rPr>
          <w:rFonts w:hint="eastAsia" w:ascii="Times New Roman" w:hAnsi="Times New Roman" w:eastAsia="仿宋"/>
          <w:sz w:val="24"/>
          <w:szCs w:val="24"/>
        </w:rPr>
        <w:t>《干部人事档案材料收集归档规定》</w:t>
      </w:r>
    </w:p>
    <w:p w14:paraId="60201EF5">
      <w:pPr>
        <w:pStyle w:val="16"/>
        <w:ind w:firstLine="240"/>
        <w:rPr>
          <w:rFonts w:ascii="Times New Roman" w:hAnsi="Times New Roman" w:eastAsia="仿宋"/>
          <w:sz w:val="24"/>
          <w:szCs w:val="24"/>
        </w:rPr>
      </w:pPr>
      <w:r>
        <w:rPr>
          <w:rFonts w:hint="eastAsia" w:ascii="Times New Roman" w:hAnsi="Times New Roman" w:eastAsia="仿宋"/>
          <w:sz w:val="24"/>
          <w:szCs w:val="24"/>
        </w:rPr>
        <w:t>《档案数字化外包安全管理规范》</w:t>
      </w:r>
    </w:p>
    <w:p w14:paraId="2FC5F897">
      <w:pPr>
        <w:pStyle w:val="16"/>
        <w:ind w:firstLine="241"/>
        <w:rPr>
          <w:rFonts w:ascii="Times New Roman" w:hAnsi="Times New Roman" w:eastAsia="仿宋"/>
          <w:b/>
          <w:bCs/>
          <w:sz w:val="24"/>
          <w:szCs w:val="24"/>
        </w:rPr>
      </w:pPr>
      <w:r>
        <w:rPr>
          <w:rFonts w:hint="eastAsia" w:ascii="Times New Roman" w:hAnsi="Times New Roman" w:eastAsia="仿宋"/>
          <w:b/>
          <w:bCs/>
          <w:sz w:val="24"/>
          <w:szCs w:val="24"/>
        </w:rPr>
        <w:t>（七）特别约定：</w:t>
      </w:r>
    </w:p>
    <w:p w14:paraId="5A06FBAA">
      <w:pPr>
        <w:pStyle w:val="16"/>
        <w:ind w:firstLine="240"/>
        <w:rPr>
          <w:rFonts w:ascii="Times New Roman" w:hAnsi="Times New Roman" w:eastAsia="仿宋"/>
          <w:sz w:val="24"/>
          <w:szCs w:val="24"/>
        </w:rPr>
      </w:pPr>
      <w:r>
        <w:rPr>
          <w:rFonts w:hint="eastAsia" w:ascii="Times New Roman" w:hAnsi="Times New Roman" w:eastAsia="仿宋"/>
          <w:sz w:val="24"/>
          <w:szCs w:val="24"/>
        </w:rPr>
        <w:t>1.供应商对采购人职工的个人信息承担保密责任，不得向任何第三方透露、不得用作商业用途、不得私自进行复制和备份。</w:t>
      </w:r>
    </w:p>
    <w:p w14:paraId="6AA313FC">
      <w:pPr>
        <w:pStyle w:val="16"/>
        <w:ind w:firstLine="240"/>
        <w:rPr>
          <w:rFonts w:ascii="Times New Roman" w:hAnsi="Times New Roman" w:eastAsia="仿宋"/>
          <w:sz w:val="24"/>
          <w:szCs w:val="24"/>
        </w:rPr>
      </w:pPr>
      <w:r>
        <w:rPr>
          <w:rFonts w:hint="eastAsia" w:ascii="Times New Roman" w:hAnsi="Times New Roman" w:eastAsia="仿宋"/>
          <w:sz w:val="24"/>
          <w:szCs w:val="24"/>
        </w:rPr>
        <w:t>2.供应商如发现采购人信息被泄露，或者供应商过错泄露了采购人信息，应当积极采取有效措施防止泄密进一步扩大，并及时向采购人报告。</w:t>
      </w:r>
    </w:p>
    <w:p w14:paraId="018CD165">
      <w:pPr>
        <w:pStyle w:val="16"/>
        <w:numPr>
          <w:ilvl w:val="0"/>
          <w:numId w:val="0"/>
        </w:numPr>
        <w:ind w:firstLine="240" w:firstLineChars="100"/>
        <w:rPr>
          <w:rFonts w:hint="eastAsia" w:ascii="Times New Roman" w:hAnsi="Times New Roman" w:eastAsia="仿宋" w:cs="Times New Roman"/>
          <w:sz w:val="24"/>
          <w:szCs w:val="24"/>
        </w:rPr>
      </w:pPr>
      <w:r>
        <w:rPr>
          <w:rFonts w:hint="eastAsia" w:ascii="Times New Roman" w:hAnsi="Times New Roman" w:eastAsia="仿宋"/>
          <w:sz w:val="24"/>
          <w:szCs w:val="24"/>
        </w:rPr>
        <w:t>3.服务期满或服务完毕后，供应商及供应商员工仍应对其在采购人工作期间接触、知悉的采购人信息，承担同服务期间同样的保密和不擅自使用的义务。保密期为永久。</w:t>
      </w:r>
    </w:p>
    <w:p w14:paraId="374543E7">
      <w:pPr>
        <w:pStyle w:val="16"/>
        <w:numPr>
          <w:ilvl w:val="0"/>
          <w:numId w:val="13"/>
        </w:numPr>
        <w:ind w:firstLine="0"/>
        <w:rPr>
          <w:rFonts w:ascii="Times New Roman" w:hAnsi="Times New Roman" w:eastAsia="仿宋" w:cs="Times New Roman"/>
          <w:sz w:val="24"/>
          <w:szCs w:val="24"/>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w:t>
      </w:r>
      <w:r>
        <w:rPr>
          <w:rFonts w:hint="eastAsia" w:ascii="Times New Roman" w:hAnsi="Times New Roman" w:eastAsia="仿宋"/>
          <w:sz w:val="24"/>
          <w:szCs w:val="24"/>
        </w:rPr>
        <w:t>服务期：自合同签订生效之日起3年，合同一年一签，经考核合格后续签下一年度合同（考核表详见附件）</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lang w:eastAsia="zh-CN"/>
        </w:rPr>
        <w:t>）</w:t>
      </w:r>
      <w:r>
        <w:rPr>
          <w:rFonts w:hint="eastAsia" w:ascii="Times New Roman" w:hAnsi="Times New Roman" w:eastAsia="仿宋"/>
          <w:sz w:val="24"/>
          <w:szCs w:val="24"/>
        </w:rPr>
        <w:t>服务地点：四川省人民医院（包括所有院区）</w:t>
      </w:r>
    </w:p>
    <w:p w14:paraId="01559248">
      <w:pPr>
        <w:pStyle w:val="16"/>
        <w:numPr>
          <w:ilvl w:val="0"/>
          <w:numId w:val="0"/>
        </w:numPr>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三</w:t>
      </w:r>
      <w:r>
        <w:rPr>
          <w:rFonts w:hint="eastAsia" w:ascii="Times New Roman" w:hAnsi="Times New Roman" w:eastAsia="仿宋" w:cs="Times New Roman"/>
          <w:sz w:val="24"/>
          <w:szCs w:val="24"/>
          <w:lang w:eastAsia="zh-CN"/>
        </w:rPr>
        <w:t>）服务类型及限高价：本项目支付上限为49万元</w:t>
      </w:r>
    </w:p>
    <w:p w14:paraId="3782607C">
      <w:pPr>
        <w:pStyle w:val="16"/>
        <w:numPr>
          <w:ilvl w:val="0"/>
          <w:numId w:val="0"/>
        </w:numPr>
        <w:rPr>
          <w:rFonts w:hint="default" w:ascii="Times New Roman" w:hAnsi="Times New Roman" w:eastAsia="仿宋" w:cs="Times New Roman"/>
          <w:sz w:val="24"/>
          <w:szCs w:val="24"/>
          <w:lang w:val="en-US"/>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四</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付款方式：</w:t>
      </w:r>
      <w:r>
        <w:rPr>
          <w:rFonts w:hint="eastAsia" w:ascii="Times New Roman" w:hAnsi="Times New Roman" w:eastAsia="仿宋"/>
          <w:sz w:val="24"/>
          <w:szCs w:val="24"/>
        </w:rPr>
        <w:t>按实结算：每年结算一次费用，支付上限为490000元/年。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如涉及违约金的，应在付款前予以扣除。</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五</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履约验收方案</w:t>
      </w:r>
    </w:p>
    <w:p w14:paraId="009C5BFC">
      <w:pPr>
        <w:pStyle w:val="16"/>
        <w:ind w:firstLine="240"/>
        <w:rPr>
          <w:rFonts w:ascii="Times New Roman" w:hAnsi="Times New Roman" w:eastAsia="仿宋"/>
          <w:sz w:val="24"/>
          <w:szCs w:val="24"/>
        </w:rPr>
      </w:pPr>
      <w:r>
        <w:rPr>
          <w:rFonts w:hint="eastAsia" w:ascii="Times New Roman" w:hAnsi="Times New Roman" w:eastAsia="仿宋"/>
          <w:sz w:val="24"/>
          <w:szCs w:val="24"/>
        </w:rPr>
        <w:t>1.验收主体：</w:t>
      </w:r>
      <w:r>
        <w:rPr>
          <w:rFonts w:hint="eastAsia" w:ascii="Times New Roman" w:hAnsi="Times New Roman" w:eastAsia="仿宋"/>
          <w:sz w:val="24"/>
          <w:szCs w:val="24"/>
        </w:rPr>
        <w:tab/>
      </w:r>
      <w:r>
        <w:rPr>
          <w:rFonts w:hint="eastAsia" w:ascii="Times New Roman" w:hAnsi="Times New Roman" w:eastAsia="仿宋"/>
          <w:sz w:val="24"/>
          <w:szCs w:val="24"/>
        </w:rPr>
        <w:t>采购人</w:t>
      </w:r>
      <w:r>
        <w:rPr>
          <w:rFonts w:hint="eastAsia" w:ascii="Times New Roman" w:hAnsi="Times New Roman" w:eastAsia="仿宋"/>
          <w:sz w:val="24"/>
          <w:szCs w:val="24"/>
        </w:rPr>
        <w:tab/>
      </w:r>
    </w:p>
    <w:p w14:paraId="5D127615">
      <w:pPr>
        <w:pStyle w:val="16"/>
        <w:ind w:firstLine="240"/>
        <w:rPr>
          <w:rFonts w:ascii="Times New Roman" w:hAnsi="Times New Roman" w:eastAsia="仿宋"/>
          <w:sz w:val="24"/>
          <w:szCs w:val="24"/>
        </w:rPr>
      </w:pPr>
      <w:r>
        <w:rPr>
          <w:rFonts w:hint="eastAsia" w:ascii="Times New Roman" w:hAnsi="Times New Roman" w:eastAsia="仿宋"/>
          <w:sz w:val="24"/>
          <w:szCs w:val="24"/>
        </w:rPr>
        <w:t>2.验收组织方式：</w:t>
      </w:r>
      <w:r>
        <w:rPr>
          <w:rFonts w:hint="eastAsia" w:ascii="Times New Roman" w:hAnsi="Times New Roman" w:eastAsia="仿宋"/>
          <w:sz w:val="24"/>
          <w:szCs w:val="24"/>
        </w:rPr>
        <w:tab/>
      </w:r>
      <w:r>
        <w:rPr>
          <w:rFonts w:hint="eastAsia" w:ascii="Times New Roman" w:hAnsi="Times New Roman" w:eastAsia="仿宋"/>
          <w:sz w:val="24"/>
          <w:szCs w:val="24"/>
        </w:rPr>
        <w:t>自行验收</w:t>
      </w:r>
    </w:p>
    <w:p w14:paraId="21E2BC1F">
      <w:pPr>
        <w:pStyle w:val="16"/>
        <w:ind w:firstLine="240"/>
        <w:rPr>
          <w:rFonts w:ascii="Times New Roman" w:hAnsi="Times New Roman" w:eastAsia="仿宋"/>
          <w:sz w:val="24"/>
          <w:szCs w:val="24"/>
        </w:rPr>
      </w:pPr>
      <w:r>
        <w:rPr>
          <w:rFonts w:hint="eastAsia" w:ascii="Times New Roman" w:hAnsi="Times New Roman" w:eastAsia="仿宋"/>
          <w:sz w:val="24"/>
          <w:szCs w:val="24"/>
        </w:rPr>
        <w:t>3.验收程序：</w:t>
      </w:r>
      <w:r>
        <w:rPr>
          <w:rFonts w:hint="eastAsia" w:ascii="Times New Roman" w:hAnsi="Times New Roman" w:eastAsia="仿宋"/>
          <w:sz w:val="24"/>
          <w:szCs w:val="24"/>
        </w:rPr>
        <w:tab/>
      </w:r>
      <w:r>
        <w:rPr>
          <w:rFonts w:hint="eastAsia" w:ascii="Times New Roman" w:hAnsi="Times New Roman" w:eastAsia="仿宋"/>
          <w:sz w:val="24"/>
          <w:szCs w:val="24"/>
        </w:rPr>
        <w:t>一次性验收</w:t>
      </w:r>
      <w:r>
        <w:rPr>
          <w:rFonts w:hint="eastAsia" w:ascii="Times New Roman" w:hAnsi="Times New Roman" w:eastAsia="仿宋"/>
          <w:sz w:val="24"/>
          <w:szCs w:val="24"/>
        </w:rPr>
        <w:tab/>
      </w:r>
    </w:p>
    <w:p w14:paraId="184A98D8">
      <w:pPr>
        <w:pStyle w:val="16"/>
        <w:ind w:firstLine="240"/>
        <w:rPr>
          <w:rFonts w:ascii="Times New Roman" w:hAnsi="Times New Roman" w:eastAsia="仿宋"/>
          <w:sz w:val="24"/>
          <w:szCs w:val="24"/>
        </w:rPr>
      </w:pPr>
      <w:r>
        <w:rPr>
          <w:rFonts w:hint="eastAsia" w:ascii="Times New Roman" w:hAnsi="Times New Roman" w:eastAsia="仿宋"/>
          <w:sz w:val="24"/>
          <w:szCs w:val="24"/>
        </w:rPr>
        <w:t>4.验收方式：</w:t>
      </w:r>
      <w:r>
        <w:rPr>
          <w:rFonts w:hint="eastAsia" w:ascii="Times New Roman" w:hAnsi="Times New Roman" w:eastAsia="仿宋"/>
          <w:sz w:val="24"/>
          <w:szCs w:val="24"/>
        </w:rPr>
        <w:tab/>
      </w:r>
      <w:r>
        <w:rPr>
          <w:rFonts w:hint="eastAsia" w:ascii="Times New Roman" w:hAnsi="Times New Roman" w:eastAsia="仿宋"/>
          <w:sz w:val="24"/>
          <w:szCs w:val="24"/>
        </w:rPr>
        <w:t xml:space="preserve">现场验收 </w:t>
      </w:r>
    </w:p>
    <w:p w14:paraId="37F15839">
      <w:pPr>
        <w:pStyle w:val="16"/>
        <w:ind w:firstLine="240"/>
        <w:rPr>
          <w:rFonts w:ascii="Times New Roman" w:hAnsi="Times New Roman" w:eastAsia="仿宋"/>
          <w:sz w:val="24"/>
          <w:szCs w:val="24"/>
        </w:rPr>
      </w:pPr>
      <w:r>
        <w:rPr>
          <w:rFonts w:hint="eastAsia" w:ascii="Times New Roman" w:hAnsi="Times New Roman" w:eastAsia="仿宋"/>
          <w:sz w:val="24"/>
          <w:szCs w:val="24"/>
        </w:rPr>
        <w:t>5.履约验收内容</w:t>
      </w:r>
      <w:r>
        <w:rPr>
          <w:rFonts w:hint="eastAsia" w:ascii="Times New Roman" w:hAnsi="Times New Roman" w:eastAsia="仿宋"/>
          <w:sz w:val="24"/>
          <w:szCs w:val="24"/>
        </w:rPr>
        <w:tab/>
      </w:r>
      <w:r>
        <w:rPr>
          <w:rFonts w:hint="eastAsia" w:ascii="Times New Roman" w:hAnsi="Times New Roman" w:eastAsia="仿宋"/>
          <w:sz w:val="24"/>
          <w:szCs w:val="24"/>
        </w:rPr>
        <w:t>：按照基于本项目采购需求编制的采购文件要求及供应商响应文件情况，由供应商向采购人提供的全部服务。</w:t>
      </w:r>
    </w:p>
    <w:p w14:paraId="1F9FDFA2">
      <w:pPr>
        <w:pStyle w:val="16"/>
        <w:ind w:firstLine="240"/>
        <w:rPr>
          <w:rFonts w:ascii="Times New Roman" w:hAnsi="Times New Roman" w:eastAsia="仿宋"/>
          <w:sz w:val="24"/>
          <w:szCs w:val="24"/>
        </w:rPr>
      </w:pPr>
      <w:r>
        <w:rPr>
          <w:rFonts w:hint="eastAsia" w:ascii="Times New Roman" w:hAnsi="Times New Roman" w:eastAsia="仿宋"/>
          <w:sz w:val="24"/>
          <w:szCs w:val="24"/>
        </w:rPr>
        <w:t>6.履约验收时间：</w:t>
      </w:r>
      <w:r>
        <w:rPr>
          <w:rFonts w:hint="eastAsia" w:ascii="Times New Roman" w:hAnsi="Times New Roman" w:eastAsia="仿宋"/>
          <w:sz w:val="24"/>
          <w:szCs w:val="24"/>
        </w:rPr>
        <w:tab/>
      </w:r>
      <w:r>
        <w:rPr>
          <w:rFonts w:hint="eastAsia" w:ascii="Times New Roman" w:hAnsi="Times New Roman" w:eastAsia="仿宋"/>
          <w:sz w:val="24"/>
          <w:szCs w:val="24"/>
        </w:rPr>
        <w:t xml:space="preserve">供应商于服务期满前30日与采购人确定整体工作内容完成进度，通知采购人验收。采购人接供应商通知后10日内组织验收。 </w:t>
      </w:r>
    </w:p>
    <w:p w14:paraId="3B44D361">
      <w:pPr>
        <w:pStyle w:val="16"/>
        <w:ind w:firstLine="240"/>
        <w:rPr>
          <w:rFonts w:ascii="Times New Roman" w:hAnsi="Times New Roman" w:eastAsia="仿宋"/>
          <w:sz w:val="24"/>
          <w:szCs w:val="24"/>
        </w:rPr>
      </w:pPr>
      <w:r>
        <w:rPr>
          <w:rFonts w:hint="eastAsia" w:ascii="Times New Roman" w:hAnsi="Times New Roman" w:eastAsia="仿宋"/>
          <w:sz w:val="24"/>
          <w:szCs w:val="24"/>
        </w:rPr>
        <w:t>7.是否邀请本项目的其他供应商：</w:t>
      </w:r>
      <w:r>
        <w:rPr>
          <w:rFonts w:hint="eastAsia" w:ascii="Times New Roman" w:hAnsi="Times New Roman" w:eastAsia="仿宋"/>
          <w:sz w:val="24"/>
          <w:szCs w:val="24"/>
        </w:rPr>
        <w:tab/>
      </w:r>
      <w:r>
        <w:rPr>
          <w:rFonts w:hint="eastAsia" w:ascii="Times New Roman" w:hAnsi="Times New Roman" w:eastAsia="仿宋"/>
          <w:sz w:val="24"/>
          <w:szCs w:val="24"/>
        </w:rPr>
        <w:t>否</w:t>
      </w:r>
      <w:r>
        <w:rPr>
          <w:rFonts w:hint="eastAsia" w:ascii="Times New Roman" w:hAnsi="Times New Roman" w:eastAsia="仿宋"/>
          <w:sz w:val="24"/>
          <w:szCs w:val="24"/>
        </w:rPr>
        <w:tab/>
      </w:r>
      <w:r>
        <w:rPr>
          <w:rFonts w:hint="eastAsia" w:ascii="Times New Roman" w:hAnsi="Times New Roman" w:eastAsia="仿宋"/>
          <w:sz w:val="24"/>
          <w:szCs w:val="24"/>
        </w:rPr>
        <w:t xml:space="preserve"> </w:t>
      </w:r>
    </w:p>
    <w:p w14:paraId="68A2675D">
      <w:pPr>
        <w:pStyle w:val="16"/>
        <w:ind w:firstLine="240"/>
        <w:rPr>
          <w:rFonts w:ascii="Times New Roman" w:hAnsi="Times New Roman" w:eastAsia="仿宋"/>
          <w:sz w:val="24"/>
          <w:szCs w:val="24"/>
        </w:rPr>
      </w:pPr>
      <w:r>
        <w:rPr>
          <w:rFonts w:hint="eastAsia" w:ascii="Times New Roman" w:hAnsi="Times New Roman" w:eastAsia="仿宋"/>
          <w:sz w:val="24"/>
          <w:szCs w:val="24"/>
        </w:rPr>
        <w:t>8.是否邀请专家</w:t>
      </w:r>
      <w:r>
        <w:rPr>
          <w:rFonts w:hint="eastAsia" w:ascii="Times New Roman" w:hAnsi="Times New Roman" w:eastAsia="仿宋"/>
          <w:sz w:val="24"/>
          <w:szCs w:val="24"/>
        </w:rPr>
        <w:tab/>
      </w:r>
      <w:r>
        <w:rPr>
          <w:rFonts w:hint="eastAsia" w:ascii="Times New Roman" w:hAnsi="Times New Roman" w:eastAsia="仿宋"/>
          <w:sz w:val="24"/>
          <w:szCs w:val="24"/>
        </w:rPr>
        <w:t>：否</w:t>
      </w:r>
    </w:p>
    <w:p w14:paraId="2F5DDEFF">
      <w:pPr>
        <w:pStyle w:val="16"/>
        <w:ind w:firstLine="240"/>
        <w:rPr>
          <w:rFonts w:ascii="Times New Roman" w:hAnsi="Times New Roman" w:eastAsia="仿宋"/>
          <w:sz w:val="24"/>
          <w:szCs w:val="24"/>
        </w:rPr>
      </w:pPr>
      <w:r>
        <w:rPr>
          <w:rFonts w:hint="eastAsia" w:ascii="Times New Roman" w:hAnsi="Times New Roman" w:eastAsia="仿宋"/>
          <w:sz w:val="24"/>
          <w:szCs w:val="24"/>
        </w:rPr>
        <w:t>9.是否邀请服务对象：</w:t>
      </w:r>
      <w:r>
        <w:rPr>
          <w:rFonts w:hint="eastAsia" w:ascii="Times New Roman" w:hAnsi="Times New Roman" w:eastAsia="仿宋"/>
          <w:sz w:val="24"/>
          <w:szCs w:val="24"/>
        </w:rPr>
        <w:tab/>
      </w:r>
      <w:r>
        <w:rPr>
          <w:rFonts w:hint="eastAsia" w:ascii="Times New Roman" w:hAnsi="Times New Roman" w:eastAsia="仿宋"/>
          <w:sz w:val="24"/>
          <w:szCs w:val="24"/>
        </w:rPr>
        <w:t>否</w:t>
      </w:r>
      <w:r>
        <w:rPr>
          <w:rFonts w:hint="eastAsia" w:ascii="Times New Roman" w:hAnsi="Times New Roman" w:eastAsia="仿宋"/>
          <w:sz w:val="24"/>
          <w:szCs w:val="24"/>
        </w:rPr>
        <w:tab/>
      </w:r>
    </w:p>
    <w:p w14:paraId="48A8E338">
      <w:pPr>
        <w:pStyle w:val="16"/>
        <w:ind w:firstLine="240"/>
        <w:rPr>
          <w:rFonts w:ascii="Times New Roman" w:hAnsi="Times New Roman" w:eastAsia="仿宋"/>
          <w:sz w:val="24"/>
          <w:szCs w:val="24"/>
        </w:rPr>
      </w:pPr>
      <w:r>
        <w:rPr>
          <w:rFonts w:hint="eastAsia" w:ascii="Times New Roman" w:hAnsi="Times New Roman" w:eastAsia="仿宋"/>
          <w:sz w:val="24"/>
          <w:szCs w:val="24"/>
        </w:rPr>
        <w:t>10.是否邀请第三方检测机构</w:t>
      </w:r>
      <w:r>
        <w:rPr>
          <w:rFonts w:hint="eastAsia" w:ascii="Times New Roman" w:hAnsi="Times New Roman" w:eastAsia="仿宋"/>
          <w:sz w:val="24"/>
          <w:szCs w:val="24"/>
        </w:rPr>
        <w:tab/>
      </w:r>
      <w:r>
        <w:rPr>
          <w:rFonts w:hint="eastAsia" w:ascii="Times New Roman" w:hAnsi="Times New Roman" w:eastAsia="仿宋"/>
          <w:sz w:val="24"/>
          <w:szCs w:val="24"/>
        </w:rPr>
        <w:t>：否</w:t>
      </w:r>
    </w:p>
    <w:p w14:paraId="5E417F23">
      <w:pPr>
        <w:pStyle w:val="16"/>
        <w:ind w:firstLine="240"/>
        <w:rPr>
          <w:rFonts w:ascii="Times New Roman" w:hAnsi="Times New Roman" w:eastAsia="仿宋"/>
          <w:sz w:val="24"/>
          <w:szCs w:val="24"/>
        </w:rPr>
      </w:pPr>
      <w:r>
        <w:rPr>
          <w:rFonts w:hint="eastAsia" w:ascii="Times New Roman" w:hAnsi="Times New Roman" w:eastAsia="仿宋"/>
          <w:sz w:val="24"/>
          <w:szCs w:val="24"/>
        </w:rPr>
        <w:t>11.验收标准</w:t>
      </w:r>
    </w:p>
    <w:p w14:paraId="5440029C">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（1）国家相关法律法规、行业标准、技术规范。</w:t>
      </w:r>
    </w:p>
    <w:p w14:paraId="10ECD92F">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（2）基于本项目采购需求编制的采购文件相关技术、服务要求、供应商响应文件相关响应内容。</w:t>
      </w:r>
      <w:r>
        <w:rPr>
          <w:rFonts w:hint="eastAsia" w:ascii="Times New Roman" w:hAnsi="Times New Roman" w:eastAsia="仿宋"/>
          <w:sz w:val="24"/>
          <w:szCs w:val="24"/>
        </w:rPr>
        <w:tab/>
      </w:r>
      <w:r>
        <w:rPr>
          <w:rFonts w:hint="eastAsia" w:ascii="Times New Roman" w:hAnsi="Times New Roman" w:eastAsia="仿宋"/>
          <w:sz w:val="24"/>
          <w:szCs w:val="24"/>
        </w:rPr>
        <w:t xml:space="preserve"> </w:t>
      </w:r>
    </w:p>
    <w:p w14:paraId="646C8680">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（3）产品生产厂家出具的产品说明书、技术白皮书、医疗器械注册证或备案凭证等官方技术资料（如涉及）。</w:t>
      </w:r>
    </w:p>
    <w:p w14:paraId="1DE5B51E">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（4）如验收时，采购人与供应商认为本项目验收标准中的技术指标、质量要求等内容存在相互抵触或对其理解存在异议，应按照其中更严格的要求、标准等进行验收。</w:t>
      </w:r>
      <w:r>
        <w:rPr>
          <w:rFonts w:hint="eastAsia" w:ascii="Times New Roman" w:hAnsi="Times New Roman" w:eastAsia="仿宋"/>
          <w:sz w:val="24"/>
          <w:szCs w:val="24"/>
        </w:rPr>
        <w:tab/>
      </w:r>
      <w:r>
        <w:rPr>
          <w:rFonts w:hint="eastAsia" w:ascii="Times New Roman" w:hAnsi="Times New Roman" w:eastAsia="仿宋"/>
          <w:sz w:val="24"/>
          <w:szCs w:val="24"/>
        </w:rPr>
        <w:t xml:space="preserve"> </w:t>
      </w:r>
    </w:p>
    <w:p w14:paraId="561793EC">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（5）参照《财政部关于进一步加强政府采购需求和履约验收管理的指导意见》（财库〔2016〕205号）的要求进行验收。</w:t>
      </w:r>
      <w:r>
        <w:rPr>
          <w:rFonts w:hint="eastAsia" w:ascii="Times New Roman" w:hAnsi="Times New Roman" w:eastAsia="仿宋"/>
          <w:sz w:val="24"/>
          <w:szCs w:val="24"/>
        </w:rPr>
        <w:tab/>
      </w:r>
      <w:r>
        <w:rPr>
          <w:rFonts w:hint="eastAsia" w:ascii="Times New Roman" w:hAnsi="Times New Roman" w:eastAsia="仿宋"/>
          <w:sz w:val="24"/>
          <w:szCs w:val="24"/>
        </w:rPr>
        <w:t xml:space="preserve"> </w:t>
      </w:r>
    </w:p>
    <w:p w14:paraId="0C6874AF">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（6）如本项目验收方式为考核验收，则考核结果须为合格。</w:t>
      </w:r>
      <w:r>
        <w:rPr>
          <w:rFonts w:hint="eastAsia" w:ascii="Times New Roman" w:hAnsi="Times New Roman" w:eastAsia="仿宋"/>
          <w:sz w:val="24"/>
          <w:szCs w:val="24"/>
        </w:rPr>
        <w:tab/>
      </w:r>
      <w:r>
        <w:rPr>
          <w:rFonts w:hint="eastAsia" w:ascii="Times New Roman" w:hAnsi="Times New Roman" w:eastAsia="仿宋"/>
          <w:sz w:val="24"/>
          <w:szCs w:val="24"/>
        </w:rPr>
        <w:t xml:space="preserve"> </w:t>
      </w:r>
    </w:p>
    <w:p w14:paraId="60DBAC55">
      <w:pPr>
        <w:pStyle w:val="16"/>
        <w:ind w:firstLine="218" w:firstLineChars="91"/>
        <w:rPr>
          <w:rFonts w:ascii="Times New Roman" w:hAnsi="Times New Roman" w:eastAsia="仿宋"/>
          <w:sz w:val="24"/>
          <w:szCs w:val="24"/>
        </w:rPr>
      </w:pPr>
      <w:r>
        <w:rPr>
          <w:rFonts w:hint="eastAsia" w:ascii="Times New Roman" w:hAnsi="Times New Roman" w:eastAsia="仿宋"/>
          <w:sz w:val="24"/>
          <w:szCs w:val="24"/>
        </w:rPr>
        <w:t>（7）其它标准</w:t>
      </w:r>
      <w:r>
        <w:rPr>
          <w:rFonts w:hint="eastAsia" w:ascii="Times New Roman" w:hAnsi="Times New Roman" w:eastAsia="仿宋"/>
          <w:sz w:val="24"/>
          <w:szCs w:val="24"/>
        </w:rPr>
        <w:tab/>
      </w:r>
      <w:r>
        <w:rPr>
          <w:rFonts w:hint="eastAsia" w:ascii="Times New Roman" w:hAnsi="Times New Roman" w:eastAsia="仿宋"/>
          <w:sz w:val="24"/>
          <w:szCs w:val="24"/>
        </w:rPr>
        <w:tab/>
      </w:r>
      <w:r>
        <w:rPr>
          <w:rFonts w:hint="eastAsia" w:ascii="Times New Roman" w:hAnsi="Times New Roman" w:eastAsia="仿宋"/>
          <w:sz w:val="24"/>
          <w:szCs w:val="24"/>
        </w:rPr>
        <w:t>：无</w:t>
      </w:r>
    </w:p>
    <w:p w14:paraId="5C95AA55">
      <w:pPr>
        <w:pStyle w:val="16"/>
        <w:numPr>
          <w:ilvl w:val="0"/>
          <w:numId w:val="14"/>
        </w:numPr>
        <w:snapToGrid w:val="0"/>
        <w:spacing w:before="40" w:after="40" w:line="288" w:lineRule="auto"/>
        <w:ind w:firstLine="0" w:firstLineChars="0"/>
        <w:rPr>
          <w:rFonts w:ascii="Times New Roman" w:hAnsi="Times New Roman" w:eastAsia="仿宋"/>
          <w:sz w:val="24"/>
          <w:szCs w:val="24"/>
        </w:rPr>
      </w:pPr>
      <w:r>
        <w:rPr>
          <w:rFonts w:hint="eastAsia" w:ascii="Times New Roman" w:hAnsi="Times New Roman" w:eastAsia="仿宋"/>
          <w:sz w:val="24"/>
          <w:szCs w:val="24"/>
        </w:rPr>
        <w:t>履约验收其它事项</w:t>
      </w:r>
      <w:r>
        <w:rPr>
          <w:rFonts w:hint="eastAsia" w:ascii="Times New Roman" w:hAnsi="Times New Roman" w:eastAsia="仿宋"/>
          <w:sz w:val="24"/>
          <w:szCs w:val="24"/>
        </w:rPr>
        <w:tab/>
      </w:r>
    </w:p>
    <w:p w14:paraId="5DDEDFF2">
      <w:pPr>
        <w:pStyle w:val="16"/>
        <w:numPr>
          <w:ilvl w:val="0"/>
          <w:numId w:val="15"/>
        </w:numPr>
        <w:snapToGrid w:val="0"/>
        <w:spacing w:before="40" w:after="40" w:line="288" w:lineRule="auto"/>
        <w:ind w:firstLine="0" w:firstLineChars="0"/>
        <w:rPr>
          <w:rFonts w:hint="eastAsia" w:ascii="Times New Roman" w:hAnsi="Times New Roman" w:eastAsia="仿宋" w:cs="Times New Roman"/>
          <w:sz w:val="24"/>
          <w:szCs w:val="24"/>
          <w:lang w:val="en-US" w:eastAsia="zh-CN"/>
        </w:rPr>
      </w:pPr>
      <w:r>
        <w:rPr>
          <w:rFonts w:hint="eastAsia" w:ascii="Times New Roman" w:hAnsi="Times New Roman" w:eastAsia="仿宋"/>
          <w:sz w:val="24"/>
          <w:szCs w:val="24"/>
        </w:rPr>
        <w:t>根据本项目的工作内容实际完成情况进行验收；</w:t>
      </w:r>
    </w:p>
    <w:p w14:paraId="28456ACE">
      <w:pPr>
        <w:pStyle w:val="16"/>
        <w:numPr>
          <w:ilvl w:val="0"/>
          <w:numId w:val="15"/>
        </w:numPr>
        <w:snapToGrid w:val="0"/>
        <w:spacing w:before="40" w:after="40" w:line="288" w:lineRule="auto"/>
        <w:ind w:firstLine="0" w:firstLineChars="0"/>
        <w:rPr>
          <w:rFonts w:hint="eastAsia" w:ascii="Times New Roman" w:hAnsi="Times New Roman" w:eastAsia="仿宋" w:cs="Times New Roman"/>
          <w:sz w:val="24"/>
          <w:szCs w:val="24"/>
          <w:lang w:val="en-US" w:eastAsia="zh-CN"/>
        </w:rPr>
      </w:pPr>
      <w:r>
        <w:rPr>
          <w:rFonts w:hint="eastAsia" w:ascii="Times New Roman" w:hAnsi="Times New Roman" w:eastAsia="仿宋"/>
          <w:sz w:val="24"/>
          <w:szCs w:val="24"/>
        </w:rPr>
        <w:t>验收标准参照国家《干部人事档案工作条例》及最新的干部人事档案材料收集归档规定以及中共四川省委组织部关于干部人事档案数字化工作的要求进行。</w:t>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lang w:val="en-US" w:eastAsia="zh-CN"/>
        </w:rPr>
        <w:tab/>
      </w:r>
      <w:r>
        <w:rPr>
          <w:rFonts w:hint="eastAsia" w:ascii="Times New Roman" w:hAnsi="Times New Roman" w:eastAsia="仿宋" w:cs="Times New Roman"/>
          <w:sz w:val="24"/>
          <w:szCs w:val="24"/>
          <w:lang w:val="en-US" w:eastAsia="zh-CN"/>
        </w:rPr>
        <w:t xml:space="preserve"> </w:t>
      </w:r>
    </w:p>
    <w:p w14:paraId="108C78E3">
      <w:pPr>
        <w:pStyle w:val="16"/>
        <w:ind w:firstLine="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六</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违约责任</w:t>
      </w:r>
    </w:p>
    <w:p w14:paraId="6B6DAAB8">
      <w:pPr>
        <w:pStyle w:val="16"/>
        <w:ind w:left="0" w:leftChars="0" w:firstLine="0" w:firstLineChars="0"/>
        <w:rPr>
          <w:rFonts w:ascii="Times New Roman" w:hAnsi="Times New Roman" w:eastAsia="仿宋"/>
          <w:sz w:val="24"/>
          <w:szCs w:val="24"/>
        </w:rPr>
      </w:pPr>
      <w:r>
        <w:rPr>
          <w:rFonts w:hint="eastAsia" w:ascii="Times New Roman" w:hAnsi="Times New Roman" w:eastAsia="仿宋"/>
          <w:sz w:val="24"/>
          <w:szCs w:val="24"/>
        </w:rPr>
        <w:t>1.供应商未经采购人允许，擅自转移采购人职工个人档案，采购人有权解除合同。</w:t>
      </w:r>
    </w:p>
    <w:p w14:paraId="2A1E9677">
      <w:pPr>
        <w:pStyle w:val="16"/>
        <w:ind w:left="0" w:leftChars="0" w:firstLine="0" w:firstLineChars="0"/>
        <w:rPr>
          <w:rFonts w:ascii="Times New Roman" w:hAnsi="Times New Roman" w:eastAsia="仿宋"/>
          <w:sz w:val="24"/>
          <w:szCs w:val="24"/>
        </w:rPr>
      </w:pPr>
      <w:r>
        <w:rPr>
          <w:rFonts w:hint="eastAsia" w:ascii="Times New Roman" w:hAnsi="Times New Roman" w:eastAsia="仿宋"/>
          <w:sz w:val="24"/>
          <w:szCs w:val="24"/>
        </w:rPr>
        <w:t>2.由于供应商原因造成采购人档案及档案数据损坏、丢失、采购人有权解除合同；构成犯罪的，移交司法机关，追究刑事责任。</w:t>
      </w:r>
    </w:p>
    <w:p w14:paraId="3AE1064F">
      <w:pPr>
        <w:pStyle w:val="16"/>
        <w:ind w:left="0" w:leftChars="0" w:firstLine="0" w:firstLineChars="0"/>
        <w:rPr>
          <w:rFonts w:ascii="Times New Roman" w:hAnsi="Times New Roman" w:eastAsia="仿宋"/>
          <w:sz w:val="24"/>
          <w:szCs w:val="24"/>
        </w:rPr>
      </w:pPr>
      <w:r>
        <w:rPr>
          <w:rFonts w:hint="eastAsia" w:ascii="Times New Roman" w:hAnsi="Times New Roman" w:eastAsia="仿宋"/>
          <w:sz w:val="24"/>
          <w:szCs w:val="24"/>
        </w:rPr>
        <w:t>3.由于供应商造成采购人信息外泄的，供应商应向采购人赔偿因此造成的经济损失，包括但不限于实际损失、可得利益损失及为此支付的律师代理费用等。</w:t>
      </w:r>
    </w:p>
    <w:p w14:paraId="5F3E5AEF">
      <w:pPr>
        <w:pStyle w:val="16"/>
        <w:ind w:left="0" w:leftChars="0" w:firstLine="0" w:firstLineChars="0"/>
        <w:rPr>
          <w:rFonts w:ascii="Times New Roman" w:hAnsi="Times New Roman" w:eastAsia="仿宋"/>
          <w:sz w:val="24"/>
          <w:szCs w:val="24"/>
        </w:rPr>
      </w:pPr>
      <w:r>
        <w:rPr>
          <w:rFonts w:hint="eastAsia" w:ascii="Times New Roman" w:hAnsi="Times New Roman" w:eastAsia="仿宋"/>
          <w:sz w:val="24"/>
          <w:szCs w:val="24"/>
        </w:rPr>
        <w:t>4.供应商在履行合同期间出现以下情况，采购人将视情况予以合同金额扣除，具体考核标准详见考核表。</w:t>
      </w:r>
    </w:p>
    <w:p w14:paraId="0E596146">
      <w:pPr>
        <w:pStyle w:val="16"/>
        <w:ind w:firstLine="240"/>
        <w:rPr>
          <w:rFonts w:ascii="Times New Roman" w:hAnsi="Times New Roman" w:eastAsia="仿宋"/>
          <w:sz w:val="24"/>
          <w:szCs w:val="24"/>
        </w:rPr>
      </w:pPr>
      <w:r>
        <w:rPr>
          <w:rFonts w:hint="eastAsia" w:ascii="Times New Roman" w:hAnsi="Times New Roman" w:eastAsia="仿宋"/>
          <w:sz w:val="24"/>
          <w:szCs w:val="24"/>
        </w:rPr>
        <w:t>（1）驻点人员出现违反劳动纪律，迟到早退，擅离工作岗位等情况；</w:t>
      </w:r>
    </w:p>
    <w:p w14:paraId="1CE00763">
      <w:pPr>
        <w:pStyle w:val="16"/>
        <w:ind w:firstLine="240"/>
        <w:rPr>
          <w:rFonts w:ascii="Times New Roman" w:hAnsi="Times New Roman" w:eastAsia="仿宋"/>
          <w:sz w:val="24"/>
          <w:szCs w:val="24"/>
        </w:rPr>
      </w:pPr>
      <w:r>
        <w:rPr>
          <w:rFonts w:hint="eastAsia" w:ascii="Times New Roman" w:hAnsi="Times New Roman" w:eastAsia="仿宋"/>
          <w:sz w:val="24"/>
          <w:szCs w:val="24"/>
        </w:rPr>
        <w:t>（2）供应商未及时兑现驻点人员薪酬及福利待遇；</w:t>
      </w:r>
    </w:p>
    <w:p w14:paraId="17D8BF4F">
      <w:pPr>
        <w:pStyle w:val="16"/>
        <w:ind w:firstLine="240"/>
        <w:rPr>
          <w:rFonts w:ascii="Times New Roman" w:hAnsi="Times New Roman" w:eastAsia="仿宋"/>
          <w:sz w:val="24"/>
          <w:szCs w:val="24"/>
        </w:rPr>
      </w:pPr>
      <w:r>
        <w:rPr>
          <w:rFonts w:hint="eastAsia" w:ascii="Times New Roman" w:hAnsi="Times New Roman" w:eastAsia="仿宋"/>
          <w:sz w:val="24"/>
          <w:szCs w:val="24"/>
        </w:rPr>
        <w:t>（3）供应商未及时对驻点人员加强培训；</w:t>
      </w:r>
    </w:p>
    <w:p w14:paraId="0011BA19">
      <w:pPr>
        <w:pStyle w:val="16"/>
        <w:ind w:firstLine="240"/>
        <w:rPr>
          <w:rFonts w:ascii="Times New Roman" w:hAnsi="Times New Roman" w:eastAsia="仿宋"/>
          <w:sz w:val="24"/>
          <w:szCs w:val="24"/>
        </w:rPr>
      </w:pPr>
      <w:r>
        <w:rPr>
          <w:rFonts w:hint="eastAsia" w:ascii="Times New Roman" w:hAnsi="Times New Roman" w:eastAsia="仿宋"/>
          <w:sz w:val="24"/>
          <w:szCs w:val="24"/>
        </w:rPr>
        <w:t>（4）工作内容出现未建立查借阅、档案资料归档整理时发生错误、审核发生错误、编码装订错误、目录内容错误等情况</w:t>
      </w:r>
    </w:p>
    <w:p w14:paraId="38669236">
      <w:pPr>
        <w:pStyle w:val="16"/>
        <w:ind w:firstLine="240"/>
        <w:rPr>
          <w:rFonts w:ascii="Times New Roman" w:hAnsi="Times New Roman" w:eastAsia="仿宋"/>
          <w:sz w:val="24"/>
          <w:szCs w:val="24"/>
        </w:rPr>
      </w:pPr>
      <w:r>
        <w:rPr>
          <w:rFonts w:hint="eastAsia" w:ascii="Times New Roman" w:hAnsi="Times New Roman" w:eastAsia="仿宋"/>
          <w:sz w:val="24"/>
          <w:szCs w:val="24"/>
        </w:rPr>
        <w:t>（5）未能按采购人规定时限完成常规档案内容查询、驻点人员未能按规定时限完成常规工作任务。</w:t>
      </w:r>
    </w:p>
    <w:p w14:paraId="4939A012">
      <w:pPr>
        <w:pStyle w:val="16"/>
        <w:ind w:firstLine="240" w:firstLineChars="100"/>
        <w:rPr>
          <w:rFonts w:hint="eastAsia" w:ascii="Times New Roman" w:hAnsi="Times New Roman" w:eastAsia="仿宋" w:cs="Times New Roman"/>
          <w:sz w:val="24"/>
          <w:szCs w:val="24"/>
          <w:lang w:val="en-US" w:eastAsia="zh-CN"/>
        </w:rPr>
      </w:pPr>
      <w:r>
        <w:rPr>
          <w:rFonts w:hint="eastAsia" w:ascii="Times New Roman" w:hAnsi="Times New Roman" w:eastAsia="仿宋"/>
          <w:sz w:val="24"/>
          <w:szCs w:val="24"/>
        </w:rPr>
        <w:t>（6）发生投诉情况</w:t>
      </w:r>
    </w:p>
    <w:p w14:paraId="02851FE8">
      <w:pPr>
        <w:spacing w:line="360" w:lineRule="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w:t>
      </w:r>
      <w:r>
        <w:rPr>
          <w:rFonts w:ascii="Times New Roman" w:hAnsi="Times New Roman" w:eastAsia="仿宋" w:cs="Times New Roman"/>
          <w:b/>
          <w:bCs/>
          <w:sz w:val="24"/>
          <w:szCs w:val="24"/>
        </w:rPr>
        <w:t>、</w:t>
      </w:r>
      <w:r>
        <w:rPr>
          <w:rFonts w:hint="eastAsia" w:ascii="Times New Roman" w:hAnsi="Times New Roman" w:eastAsia="仿宋" w:cs="Times New Roman"/>
          <w:b/>
          <w:bCs/>
          <w:sz w:val="24"/>
          <w:szCs w:val="24"/>
          <w:lang w:val="en-US" w:eastAsia="zh-CN"/>
        </w:rPr>
        <w:t>其他要求：</w:t>
      </w:r>
    </w:p>
    <w:p w14:paraId="2EBCB7F5">
      <w:pPr>
        <w:spacing w:line="360" w:lineRule="auto"/>
        <w:rPr>
          <w:rFonts w:ascii="Times New Roman" w:hAnsi="Times New Roman" w:eastAsia="仿宋"/>
          <w:sz w:val="24"/>
          <w:szCs w:val="24"/>
        </w:rPr>
      </w:pPr>
      <w:r>
        <w:rPr>
          <w:rFonts w:hint="eastAsia" w:ascii="Times New Roman" w:hAnsi="Times New Roman" w:eastAsia="仿宋"/>
          <w:sz w:val="24"/>
          <w:szCs w:val="24"/>
        </w:rPr>
        <w:t>1.供应商具备质量管理体系认证证书、环境管理体系认证证书、职业健康安全管理体系认证证书、档案信息和文件/记录管理体系认证证书-ISO15489、档案数字化软件著作权证书。</w:t>
      </w:r>
    </w:p>
    <w:p w14:paraId="5B63AB04">
      <w:pPr>
        <w:spacing w:line="360" w:lineRule="auto"/>
        <w:rPr>
          <w:rFonts w:ascii="Times New Roman" w:hAnsi="Times New Roman" w:eastAsia="仿宋"/>
          <w:sz w:val="24"/>
          <w:szCs w:val="24"/>
        </w:rPr>
      </w:pPr>
      <w:r>
        <w:rPr>
          <w:rFonts w:hint="eastAsia" w:ascii="Times New Roman" w:hAnsi="Times New Roman" w:eastAsia="仿宋"/>
          <w:sz w:val="24"/>
          <w:szCs w:val="24"/>
        </w:rPr>
        <w:t>2.供应商独立承担过类似人事档案项目。</w:t>
      </w:r>
    </w:p>
    <w:p w14:paraId="76A220DD">
      <w:pPr>
        <w:spacing w:line="360" w:lineRule="auto"/>
        <w:rPr>
          <w:rFonts w:ascii="Times New Roman" w:hAnsi="Times New Roman" w:eastAsia="仿宋"/>
          <w:sz w:val="24"/>
          <w:szCs w:val="24"/>
        </w:rPr>
      </w:pPr>
      <w:r>
        <w:rPr>
          <w:rFonts w:hint="eastAsia" w:ascii="Times New Roman" w:hAnsi="Times New Roman" w:eastAsia="仿宋"/>
          <w:sz w:val="24"/>
          <w:szCs w:val="24"/>
        </w:rPr>
        <w:t>3.本项目拟配人员：</w:t>
      </w:r>
    </w:p>
    <w:p w14:paraId="6CF83583">
      <w:pPr>
        <w:spacing w:line="360" w:lineRule="auto"/>
        <w:rPr>
          <w:rFonts w:ascii="Times New Roman" w:hAnsi="Times New Roman" w:eastAsia="仿宋"/>
          <w:sz w:val="24"/>
          <w:szCs w:val="24"/>
        </w:rPr>
      </w:pPr>
      <w:r>
        <w:rPr>
          <w:rFonts w:hint="eastAsia" w:ascii="Times New Roman" w:hAnsi="Times New Roman" w:eastAsia="仿宋"/>
          <w:sz w:val="24"/>
          <w:szCs w:val="24"/>
        </w:rPr>
        <w:t>（1）项目经理：档案学专业，档案专业初级及以上职称，具有档案岗位资格培训证书，</w:t>
      </w:r>
      <w:r>
        <w:rPr>
          <w:rFonts w:hint="eastAsia" w:ascii="Times New Roman" w:hAnsi="Times New Roman" w:eastAsia="仿宋"/>
          <w:sz w:val="24"/>
          <w:szCs w:val="24"/>
          <w:lang w:val="en-US" w:eastAsia="zh-CN"/>
        </w:rPr>
        <w:t>需</w:t>
      </w:r>
      <w:r>
        <w:rPr>
          <w:rFonts w:hint="eastAsia" w:ascii="Times New Roman" w:hAnsi="Times New Roman" w:eastAsia="仿宋" w:cs="Times New Roman"/>
          <w:b w:val="0"/>
          <w:bCs w:val="0"/>
          <w:sz w:val="24"/>
          <w:szCs w:val="24"/>
          <w:lang w:val="en-US" w:eastAsia="zh-CN"/>
        </w:rPr>
        <w:t>具备保密部门颁发的有效期内的涉密人员培训证书</w:t>
      </w:r>
      <w:r>
        <w:rPr>
          <w:rFonts w:hint="eastAsia" w:ascii="Times New Roman" w:hAnsi="Times New Roman" w:eastAsia="仿宋"/>
          <w:sz w:val="24"/>
          <w:szCs w:val="24"/>
        </w:rPr>
        <w:t>，具有省本级及以上类似项目管理经验。</w:t>
      </w:r>
    </w:p>
    <w:p w14:paraId="1F4DFE7D">
      <w:pPr>
        <w:spacing w:line="360" w:lineRule="auto"/>
        <w:rPr>
          <w:rFonts w:ascii="Times New Roman" w:hAnsi="Times New Roman" w:eastAsia="仿宋"/>
          <w:sz w:val="24"/>
          <w:szCs w:val="24"/>
        </w:rPr>
      </w:pPr>
      <w:r>
        <w:rPr>
          <w:rFonts w:hint="eastAsia" w:ascii="Times New Roman" w:hAnsi="Times New Roman" w:eastAsia="仿宋"/>
          <w:sz w:val="24"/>
          <w:szCs w:val="24"/>
        </w:rPr>
        <w:t>（2）项目主管:档案专业初级及以上职称，具有档案岗位资格培训证书，</w:t>
      </w:r>
      <w:r>
        <w:rPr>
          <w:rFonts w:hint="eastAsia" w:ascii="Times New Roman" w:hAnsi="Times New Roman" w:eastAsia="仿宋" w:cs="Times New Roman"/>
          <w:b w:val="0"/>
          <w:bCs w:val="0"/>
          <w:sz w:val="24"/>
          <w:szCs w:val="24"/>
          <w:lang w:val="en-US" w:eastAsia="zh-CN"/>
        </w:rPr>
        <w:t>需具备保密部门颁发的有效期内的涉密人员培训证书</w:t>
      </w:r>
      <w:r>
        <w:rPr>
          <w:rFonts w:hint="eastAsia" w:ascii="Times New Roman" w:hAnsi="Times New Roman" w:eastAsia="仿宋"/>
          <w:sz w:val="24"/>
          <w:szCs w:val="24"/>
        </w:rPr>
        <w:t>。</w:t>
      </w:r>
    </w:p>
    <w:p w14:paraId="4AD54C7F">
      <w:pPr>
        <w:spacing w:line="360" w:lineRule="auto"/>
        <w:rPr>
          <w:rFonts w:ascii="Times New Roman" w:hAnsi="Times New Roman" w:eastAsia="仿宋"/>
          <w:sz w:val="24"/>
          <w:szCs w:val="24"/>
        </w:rPr>
      </w:pPr>
      <w:r>
        <w:rPr>
          <w:rFonts w:hint="eastAsia" w:ascii="Times New Roman" w:hAnsi="Times New Roman" w:eastAsia="仿宋"/>
          <w:sz w:val="24"/>
          <w:szCs w:val="24"/>
        </w:rPr>
        <w:t>（3）专职数据管理员：计算机或信息管理相关专业，具有档案岗位资格培训证书，</w:t>
      </w:r>
      <w:r>
        <w:rPr>
          <w:rFonts w:hint="eastAsia" w:ascii="Times New Roman" w:hAnsi="Times New Roman" w:eastAsia="仿宋" w:cs="Times New Roman"/>
          <w:b w:val="0"/>
          <w:bCs w:val="0"/>
          <w:sz w:val="24"/>
          <w:szCs w:val="24"/>
          <w:lang w:val="en-US" w:eastAsia="zh-CN"/>
        </w:rPr>
        <w:t>需具备保密部门颁发的有效期内的涉密人员培训证书</w:t>
      </w:r>
      <w:r>
        <w:rPr>
          <w:rFonts w:hint="eastAsia" w:ascii="Times New Roman" w:hAnsi="Times New Roman" w:eastAsia="仿宋"/>
          <w:sz w:val="24"/>
          <w:szCs w:val="24"/>
        </w:rPr>
        <w:t>。</w:t>
      </w:r>
    </w:p>
    <w:p w14:paraId="51BD73FB">
      <w:pPr>
        <w:spacing w:line="360" w:lineRule="auto"/>
        <w:rPr>
          <w:rFonts w:ascii="Times New Roman" w:hAnsi="Times New Roman" w:eastAsia="仿宋"/>
          <w:sz w:val="24"/>
          <w:szCs w:val="24"/>
        </w:rPr>
      </w:pPr>
      <w:r>
        <w:rPr>
          <w:rFonts w:hint="eastAsia" w:ascii="Times New Roman" w:hAnsi="Times New Roman" w:eastAsia="仿宋"/>
          <w:sz w:val="24"/>
          <w:szCs w:val="24"/>
        </w:rPr>
        <w:t>（4）项目组人员(不含项目经理、项目主管和专职数据管理员)： 服务方需提供拟派遣项目组人员身份证、</w:t>
      </w:r>
      <w:r>
        <w:rPr>
          <w:rFonts w:hint="eastAsia" w:ascii="Times New Roman" w:hAnsi="Times New Roman" w:eastAsia="仿宋" w:cs="Times New Roman"/>
          <w:b w:val="0"/>
          <w:bCs w:val="0"/>
          <w:sz w:val="24"/>
          <w:szCs w:val="24"/>
          <w:lang w:val="en-US" w:eastAsia="zh-CN"/>
        </w:rPr>
        <w:t>需具备保密部门颁发的有效期内的涉密人员培训证书</w:t>
      </w:r>
      <w:r>
        <w:rPr>
          <w:rFonts w:hint="eastAsia" w:ascii="Times New Roman" w:hAnsi="Times New Roman" w:eastAsia="仿宋"/>
          <w:sz w:val="24"/>
          <w:szCs w:val="24"/>
        </w:rPr>
        <w:t>。</w:t>
      </w:r>
    </w:p>
    <w:p w14:paraId="672FE149">
      <w:pPr>
        <w:spacing w:line="360" w:lineRule="auto"/>
        <w:rPr>
          <w:rFonts w:hint="eastAsia" w:ascii="Times New Roman" w:hAnsi="Times New Roman" w:eastAsia="仿宋"/>
          <w:sz w:val="24"/>
          <w:szCs w:val="24"/>
          <w:highlight w:val="none"/>
          <w:lang w:eastAsia="zh-CN"/>
        </w:rPr>
      </w:pPr>
      <w:r>
        <w:rPr>
          <w:rFonts w:hint="eastAsia" w:ascii="Times New Roman" w:hAnsi="Times New Roman" w:eastAsia="仿宋"/>
          <w:sz w:val="24"/>
          <w:szCs w:val="24"/>
        </w:rPr>
        <w:t>4.</w:t>
      </w:r>
      <w:r>
        <w:rPr>
          <w:rFonts w:hint="eastAsia" w:ascii="Times New Roman" w:hAnsi="Times New Roman" w:eastAsia="仿宋"/>
          <w:sz w:val="24"/>
          <w:szCs w:val="24"/>
          <w:lang w:val="en-US" w:eastAsia="zh-CN"/>
        </w:rPr>
        <w:t>供应商</w:t>
      </w:r>
      <w:r>
        <w:rPr>
          <w:rFonts w:hint="eastAsia" w:ascii="Times New Roman" w:hAnsi="Times New Roman" w:eastAsia="仿宋"/>
          <w:sz w:val="24"/>
          <w:szCs w:val="24"/>
        </w:rPr>
        <w:t>针对本项目提供详尽的整体服务方案，方案包含但不限于：（1）项目整体分析（2）服务内容及流程（包括进度计划）（3）设备配</w:t>
      </w:r>
      <w:r>
        <w:rPr>
          <w:rFonts w:hint="eastAsia" w:ascii="Times New Roman" w:hAnsi="Times New Roman" w:eastAsia="仿宋"/>
          <w:sz w:val="24"/>
          <w:szCs w:val="24"/>
          <w:highlight w:val="none"/>
        </w:rPr>
        <w:t>置、进度及质量保障措施（</w:t>
      </w:r>
      <w:r>
        <w:rPr>
          <w:rFonts w:hint="eastAsia" w:ascii="Times New Roman" w:hAnsi="Times New Roman" w:eastAsia="仿宋"/>
          <w:sz w:val="24"/>
          <w:szCs w:val="24"/>
          <w:highlight w:val="none"/>
          <w:lang w:val="en-US" w:eastAsia="zh-CN"/>
        </w:rPr>
        <w:t>4</w:t>
      </w:r>
      <w:r>
        <w:rPr>
          <w:rFonts w:hint="eastAsia" w:ascii="Times New Roman" w:hAnsi="Times New Roman" w:eastAsia="仿宋"/>
          <w:sz w:val="24"/>
          <w:szCs w:val="24"/>
          <w:highlight w:val="none"/>
        </w:rPr>
        <w:t>）安全保密方案</w:t>
      </w:r>
      <w:r>
        <w:rPr>
          <w:rFonts w:hint="eastAsia" w:ascii="Times New Roman" w:hAnsi="Times New Roman" w:eastAsia="仿宋"/>
          <w:sz w:val="24"/>
          <w:szCs w:val="24"/>
          <w:highlight w:val="none"/>
          <w:lang w:eastAsia="zh-CN"/>
        </w:rPr>
        <w:t>（</w:t>
      </w:r>
      <w:r>
        <w:rPr>
          <w:rFonts w:hint="eastAsia" w:ascii="Times New Roman" w:hAnsi="Times New Roman" w:eastAsia="仿宋"/>
          <w:sz w:val="24"/>
          <w:szCs w:val="24"/>
          <w:highlight w:val="none"/>
          <w:lang w:val="en-US" w:eastAsia="zh-CN"/>
        </w:rPr>
        <w:t>5</w:t>
      </w:r>
      <w:r>
        <w:rPr>
          <w:rFonts w:hint="eastAsia" w:ascii="Times New Roman" w:hAnsi="Times New Roman" w:eastAsia="仿宋"/>
          <w:sz w:val="24"/>
          <w:szCs w:val="24"/>
          <w:highlight w:val="none"/>
          <w:lang w:eastAsia="zh-CN"/>
        </w:rPr>
        <w:t>）</w:t>
      </w:r>
      <w:r>
        <w:rPr>
          <w:rFonts w:hint="eastAsia" w:ascii="Times New Roman" w:hAnsi="Times New Roman" w:eastAsia="仿宋"/>
          <w:sz w:val="24"/>
          <w:szCs w:val="24"/>
          <w:highlight w:val="none"/>
        </w:rPr>
        <w:t>售后方案</w:t>
      </w:r>
      <w:r>
        <w:rPr>
          <w:rFonts w:hint="eastAsia" w:ascii="Times New Roman" w:hAnsi="Times New Roman" w:eastAsia="仿宋"/>
          <w:sz w:val="24"/>
          <w:szCs w:val="24"/>
          <w:highlight w:val="none"/>
          <w:lang w:eastAsia="zh-CN"/>
        </w:rPr>
        <w:t>（</w:t>
      </w:r>
      <w:r>
        <w:rPr>
          <w:rFonts w:hint="eastAsia" w:ascii="Times New Roman" w:hAnsi="Times New Roman" w:eastAsia="仿宋"/>
          <w:sz w:val="24"/>
          <w:szCs w:val="24"/>
          <w:highlight w:val="none"/>
          <w:lang w:val="en-US" w:eastAsia="zh-CN"/>
        </w:rPr>
        <w:t>6</w:t>
      </w:r>
      <w:r>
        <w:rPr>
          <w:rFonts w:hint="eastAsia" w:ascii="Times New Roman" w:hAnsi="Times New Roman" w:eastAsia="仿宋"/>
          <w:sz w:val="24"/>
          <w:szCs w:val="24"/>
          <w:highlight w:val="none"/>
          <w:lang w:eastAsia="zh-CN"/>
        </w:rPr>
        <w:t>）</w:t>
      </w:r>
      <w:r>
        <w:rPr>
          <w:rFonts w:hint="eastAsia" w:ascii="Times New Roman" w:hAnsi="Times New Roman" w:eastAsia="仿宋"/>
          <w:sz w:val="24"/>
          <w:szCs w:val="24"/>
          <w:highlight w:val="none"/>
        </w:rPr>
        <w:t>场地环境介绍</w:t>
      </w:r>
      <w:r>
        <w:rPr>
          <w:rFonts w:hint="eastAsia" w:ascii="Times New Roman" w:hAnsi="Times New Roman" w:eastAsia="仿宋"/>
          <w:sz w:val="24"/>
          <w:szCs w:val="24"/>
          <w:highlight w:val="none"/>
          <w:lang w:eastAsia="zh-CN"/>
        </w:rPr>
        <w:t>（</w:t>
      </w:r>
      <w:r>
        <w:rPr>
          <w:rFonts w:hint="eastAsia" w:ascii="Times New Roman" w:hAnsi="Times New Roman" w:eastAsia="仿宋"/>
          <w:sz w:val="24"/>
          <w:szCs w:val="24"/>
          <w:highlight w:val="none"/>
          <w:lang w:val="en-US" w:eastAsia="zh-CN"/>
        </w:rPr>
        <w:t>7</w:t>
      </w:r>
      <w:r>
        <w:rPr>
          <w:rFonts w:hint="eastAsia" w:ascii="Times New Roman" w:hAnsi="Times New Roman" w:eastAsia="仿宋"/>
          <w:sz w:val="24"/>
          <w:szCs w:val="24"/>
          <w:highlight w:val="none"/>
          <w:lang w:eastAsia="zh-CN"/>
        </w:rPr>
        <w:t>）</w:t>
      </w:r>
      <w:r>
        <w:rPr>
          <w:rFonts w:hint="eastAsia" w:ascii="Times New Roman" w:hAnsi="Times New Roman" w:eastAsia="仿宋"/>
          <w:sz w:val="24"/>
          <w:szCs w:val="24"/>
          <w:highlight w:val="none"/>
        </w:rPr>
        <w:t>消防应急方案</w:t>
      </w:r>
      <w:r>
        <w:rPr>
          <w:rFonts w:hint="eastAsia" w:ascii="Times New Roman" w:hAnsi="Times New Roman" w:eastAsia="仿宋"/>
          <w:sz w:val="24"/>
          <w:szCs w:val="24"/>
          <w:highlight w:val="none"/>
          <w:lang w:eastAsia="zh-CN"/>
        </w:rPr>
        <w:t>。</w:t>
      </w:r>
    </w:p>
    <w:p w14:paraId="75DEEC7C">
      <w:pPr>
        <w:spacing w:line="360" w:lineRule="auto"/>
        <w:rPr>
          <w:rFonts w:hint="eastAsia" w:ascii="Times New Roman" w:hAnsi="Times New Roman" w:eastAsia="仿宋" w:cs="Times New Roman"/>
          <w:sz w:val="24"/>
          <w:szCs w:val="24"/>
          <w:highlight w:val="none"/>
        </w:rPr>
      </w:pPr>
      <w:r>
        <w:rPr>
          <w:rFonts w:hint="eastAsia" w:ascii="Times New Roman" w:hAnsi="Times New Roman" w:eastAsia="仿宋"/>
          <w:sz w:val="24"/>
          <w:szCs w:val="24"/>
          <w:highlight w:val="none"/>
        </w:rPr>
        <w:t>5.</w:t>
      </w:r>
      <w:r>
        <w:rPr>
          <w:rFonts w:hint="eastAsia" w:ascii="Times New Roman" w:hAnsi="Times New Roman" w:eastAsia="仿宋" w:cs="Times New Roman"/>
          <w:sz w:val="24"/>
          <w:szCs w:val="24"/>
          <w:highlight w:val="none"/>
        </w:rPr>
        <w:t>档案库房地址在成都市五城区或大成都范围内</w:t>
      </w:r>
      <w:r>
        <w:rPr>
          <w:rFonts w:hint="eastAsia" w:ascii="Times New Roman" w:hAnsi="Times New Roman" w:eastAsia="仿宋" w:cs="Times New Roman"/>
          <w:sz w:val="24"/>
          <w:szCs w:val="24"/>
          <w:highlight w:val="none"/>
          <w:lang w:eastAsia="zh-CN"/>
        </w:rPr>
        <w:t>，</w:t>
      </w:r>
      <w:r>
        <w:rPr>
          <w:rFonts w:hint="eastAsia" w:ascii="Times New Roman" w:hAnsi="Times New Roman" w:eastAsia="仿宋" w:cs="Times New Roman"/>
          <w:sz w:val="24"/>
          <w:szCs w:val="24"/>
          <w:highlight w:val="none"/>
        </w:rPr>
        <w:t>提供自有库房的提供库房的不动产权证和实景照片;租赁库房的提供租赁合同以及实景照片。</w:t>
      </w:r>
    </w:p>
    <w:p w14:paraId="702E685D">
      <w:pPr>
        <w:spacing w:line="360" w:lineRule="auto"/>
        <w:rPr>
          <w:rFonts w:hint="eastAsia" w:ascii="Times New Roman" w:hAnsi="Times New Roman" w:eastAsia="仿宋" w:cs="Times New Roman"/>
          <w:sz w:val="24"/>
          <w:szCs w:val="24"/>
          <w:highlight w:val="none"/>
        </w:rPr>
      </w:pPr>
      <w:r>
        <w:rPr>
          <w:rFonts w:hint="eastAsia" w:ascii="Times New Roman" w:hAnsi="Times New Roman" w:eastAsia="仿宋"/>
          <w:sz w:val="24"/>
          <w:szCs w:val="24"/>
          <w:highlight w:val="none"/>
          <w:lang w:val="en-US" w:eastAsia="zh-CN"/>
        </w:rPr>
        <w:t>6</w:t>
      </w:r>
      <w:r>
        <w:rPr>
          <w:rFonts w:hint="eastAsia" w:ascii="Times New Roman" w:hAnsi="Times New Roman" w:eastAsia="仿宋"/>
          <w:sz w:val="24"/>
          <w:szCs w:val="24"/>
          <w:highlight w:val="none"/>
        </w:rPr>
        <w:t>.</w:t>
      </w:r>
      <w:r>
        <w:rPr>
          <w:rFonts w:hint="eastAsia" w:ascii="Times New Roman" w:hAnsi="Times New Roman" w:eastAsia="仿宋" w:cs="Times New Roman"/>
          <w:sz w:val="24"/>
          <w:szCs w:val="24"/>
          <w:highlight w:val="none"/>
        </w:rPr>
        <w:t>对数字化系统进行演示，演示内容包含人事档案转入、转出登记，人事档案查阅，人事档案借出/归还登记，人事档案数字化成果展示。</w:t>
      </w:r>
    </w:p>
    <w:p w14:paraId="576EE2B9">
      <w:pPr>
        <w:spacing w:line="360" w:lineRule="auto"/>
        <w:rPr>
          <w:rFonts w:hint="eastAsia" w:ascii="Times New Roman" w:hAnsi="Times New Roman" w:eastAsia="仿宋" w:cs="Times New Roman"/>
          <w:sz w:val="24"/>
          <w:szCs w:val="24"/>
          <w:highlight w:val="yellow"/>
        </w:rPr>
      </w:pPr>
    </w:p>
    <w:p w14:paraId="53586BF2">
      <w:pPr>
        <w:pStyle w:val="16"/>
        <w:spacing w:line="360" w:lineRule="auto"/>
        <w:ind w:firstLine="0"/>
        <w:rPr>
          <w:rFonts w:ascii="Times New Roman" w:hAnsi="Times New Roman" w:cs="Times New Roman"/>
        </w:rPr>
      </w:pPr>
      <w:r>
        <w:rPr>
          <w:rFonts w:ascii="Times New Roman" w:hAnsi="Times New Roman" w:eastAsia="仿宋"/>
          <w:sz w:val="24"/>
          <w:szCs w:val="24"/>
        </w:rPr>
        <w:t>注：本章中带“</w:t>
      </w:r>
      <w:r>
        <w:rPr>
          <w:rFonts w:ascii="Segoe UI Symbol" w:hAnsi="Segoe UI Symbol" w:eastAsia="仿宋" w:cs="Segoe UI Symbol"/>
          <w:b/>
          <w:bCs/>
          <w:sz w:val="24"/>
          <w:szCs w:val="22"/>
        </w:rPr>
        <w:t>★</w:t>
      </w:r>
      <w:r>
        <w:rPr>
          <w:rFonts w:ascii="Times New Roman" w:hAnsi="Times New Roman" w:eastAsia="仿宋"/>
          <w:sz w:val="24"/>
          <w:szCs w:val="24"/>
        </w:rPr>
        <w:t>”的条款为实质性要求，不满足将被作为无效响应处理。</w:t>
      </w:r>
    </w:p>
    <w:p w14:paraId="6EE27E95">
      <w:pPr>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val="0"/>
          <w:bCs w:val="0"/>
          <w:sz w:val="24"/>
          <w:szCs w:val="24"/>
          <w:lang w:val="en-US" w:eastAsia="zh-CN"/>
        </w:rPr>
        <w:br w:type="page"/>
      </w:r>
    </w:p>
    <w:p w14:paraId="4E907458">
      <w:pPr>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val="0"/>
          <w:bCs w:val="0"/>
          <w:sz w:val="24"/>
          <w:szCs w:val="24"/>
          <w:lang w:val="en-US" w:eastAsia="zh-CN"/>
        </w:rPr>
        <w:t>附件：考核表</w:t>
      </w:r>
    </w:p>
    <w:tbl>
      <w:tblPr>
        <w:tblStyle w:val="18"/>
        <w:tblW w:w="99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8"/>
        <w:gridCol w:w="1760"/>
        <w:gridCol w:w="779"/>
        <w:gridCol w:w="4183"/>
        <w:gridCol w:w="2498"/>
      </w:tblGrid>
      <w:tr w14:paraId="05235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58" w:type="dxa"/>
            <w:noWrap/>
            <w:vAlign w:val="center"/>
          </w:tcPr>
          <w:p w14:paraId="3DB7692D">
            <w:pPr>
              <w:widowControl/>
              <w:spacing w:line="360" w:lineRule="auto"/>
              <w:jc w:val="center"/>
              <w:textAlignment w:val="center"/>
              <w:rPr>
                <w:rFonts w:hint="eastAsia"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760" w:type="dxa"/>
            <w:noWrap/>
            <w:vAlign w:val="center"/>
          </w:tcPr>
          <w:p w14:paraId="7BA5C3A7">
            <w:pPr>
              <w:widowControl/>
              <w:spacing w:line="360" w:lineRule="auto"/>
              <w:jc w:val="center"/>
              <w:textAlignment w:val="center"/>
              <w:rPr>
                <w:rFonts w:hint="eastAsia" w:ascii="仿宋" w:hAnsi="仿宋" w:eastAsia="仿宋" w:cs="仿宋"/>
                <w:b/>
                <w:bCs/>
                <w:color w:val="000000"/>
                <w:szCs w:val="21"/>
              </w:rPr>
            </w:pPr>
            <w:r>
              <w:rPr>
                <w:rFonts w:hint="eastAsia" w:ascii="仿宋" w:hAnsi="仿宋" w:eastAsia="仿宋" w:cs="仿宋"/>
                <w:b/>
                <w:bCs/>
                <w:color w:val="000000"/>
                <w:kern w:val="0"/>
                <w:szCs w:val="21"/>
                <w:lang w:bidi="ar"/>
              </w:rPr>
              <w:t>考核模块</w:t>
            </w:r>
          </w:p>
        </w:tc>
        <w:tc>
          <w:tcPr>
            <w:tcW w:w="779" w:type="dxa"/>
            <w:noWrap/>
            <w:vAlign w:val="center"/>
          </w:tcPr>
          <w:p w14:paraId="68C6BFB9">
            <w:pPr>
              <w:widowControl/>
              <w:spacing w:line="360" w:lineRule="auto"/>
              <w:jc w:val="center"/>
              <w:textAlignment w:val="center"/>
              <w:rPr>
                <w:rFonts w:hint="eastAsia" w:ascii="仿宋" w:hAnsi="仿宋" w:eastAsia="仿宋" w:cs="仿宋"/>
                <w:b/>
                <w:bCs/>
                <w:color w:val="000000"/>
                <w:szCs w:val="21"/>
              </w:rPr>
            </w:pPr>
            <w:r>
              <w:rPr>
                <w:rFonts w:hint="eastAsia" w:ascii="仿宋" w:hAnsi="仿宋" w:eastAsia="仿宋" w:cs="仿宋"/>
                <w:b/>
                <w:bCs/>
                <w:color w:val="000000"/>
                <w:kern w:val="0"/>
                <w:szCs w:val="21"/>
                <w:lang w:bidi="ar"/>
              </w:rPr>
              <w:t>分值</w:t>
            </w:r>
          </w:p>
        </w:tc>
        <w:tc>
          <w:tcPr>
            <w:tcW w:w="4183" w:type="dxa"/>
            <w:noWrap/>
            <w:vAlign w:val="center"/>
          </w:tcPr>
          <w:p w14:paraId="1EB94DD6">
            <w:pPr>
              <w:widowControl/>
              <w:spacing w:line="360" w:lineRule="auto"/>
              <w:jc w:val="center"/>
              <w:textAlignment w:val="center"/>
              <w:rPr>
                <w:rFonts w:hint="eastAsia" w:ascii="仿宋" w:hAnsi="仿宋" w:eastAsia="仿宋" w:cs="仿宋"/>
                <w:b/>
                <w:bCs/>
                <w:color w:val="000000"/>
                <w:szCs w:val="21"/>
              </w:rPr>
            </w:pPr>
            <w:r>
              <w:rPr>
                <w:rFonts w:hint="eastAsia" w:ascii="仿宋" w:hAnsi="仿宋" w:eastAsia="仿宋" w:cs="仿宋"/>
                <w:b/>
                <w:bCs/>
                <w:color w:val="000000"/>
                <w:kern w:val="0"/>
                <w:szCs w:val="21"/>
                <w:lang w:bidi="ar"/>
              </w:rPr>
              <w:t>考核标准</w:t>
            </w:r>
          </w:p>
        </w:tc>
        <w:tc>
          <w:tcPr>
            <w:tcW w:w="2498" w:type="dxa"/>
            <w:noWrap/>
            <w:vAlign w:val="center"/>
          </w:tcPr>
          <w:p w14:paraId="4004DA88">
            <w:pPr>
              <w:widowControl/>
              <w:spacing w:line="360" w:lineRule="auto"/>
              <w:jc w:val="center"/>
              <w:textAlignment w:val="center"/>
              <w:rPr>
                <w:rFonts w:hint="eastAsia" w:ascii="仿宋" w:hAnsi="仿宋" w:eastAsia="仿宋" w:cs="仿宋"/>
                <w:b/>
                <w:bCs/>
                <w:color w:val="000000"/>
                <w:szCs w:val="21"/>
              </w:rPr>
            </w:pPr>
            <w:r>
              <w:rPr>
                <w:rFonts w:hint="eastAsia" w:ascii="仿宋" w:hAnsi="仿宋" w:eastAsia="仿宋" w:cs="仿宋"/>
                <w:b/>
                <w:bCs/>
                <w:color w:val="000000"/>
                <w:kern w:val="0"/>
                <w:szCs w:val="21"/>
                <w:lang w:bidi="ar"/>
              </w:rPr>
              <w:t>扣分</w:t>
            </w:r>
          </w:p>
        </w:tc>
      </w:tr>
      <w:tr w14:paraId="23B7C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trPr>
        <w:tc>
          <w:tcPr>
            <w:tcW w:w="758" w:type="dxa"/>
            <w:noWrap/>
            <w:vAlign w:val="center"/>
          </w:tcPr>
          <w:p w14:paraId="67DFD146">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w:t>
            </w:r>
          </w:p>
        </w:tc>
        <w:tc>
          <w:tcPr>
            <w:tcW w:w="1760" w:type="dxa"/>
            <w:noWrap/>
            <w:vAlign w:val="center"/>
          </w:tcPr>
          <w:p w14:paraId="7A11F2FC">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驻点人员要求</w:t>
            </w:r>
          </w:p>
        </w:tc>
        <w:tc>
          <w:tcPr>
            <w:tcW w:w="779" w:type="dxa"/>
            <w:noWrap/>
            <w:vAlign w:val="center"/>
          </w:tcPr>
          <w:p w14:paraId="078C1F98">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w:t>
            </w:r>
          </w:p>
        </w:tc>
        <w:tc>
          <w:tcPr>
            <w:tcW w:w="4183" w:type="dxa"/>
            <w:noWrap/>
            <w:vAlign w:val="center"/>
          </w:tcPr>
          <w:p w14:paraId="3D04E7B3">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遵守劳动纪律，不迟到早退，工作期间不擅离工作岗位，不做与岗位无关的事情</w:t>
            </w:r>
          </w:p>
        </w:tc>
        <w:tc>
          <w:tcPr>
            <w:tcW w:w="2498" w:type="dxa"/>
            <w:noWrap/>
            <w:vAlign w:val="center"/>
          </w:tcPr>
          <w:p w14:paraId="3142DF9C">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每发生一次扣1分，扣完为止</w:t>
            </w:r>
          </w:p>
        </w:tc>
      </w:tr>
      <w:tr w14:paraId="3E6D3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758" w:type="dxa"/>
            <w:noWrap/>
            <w:vAlign w:val="center"/>
          </w:tcPr>
          <w:p w14:paraId="26BB0682">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2</w:t>
            </w:r>
          </w:p>
        </w:tc>
        <w:tc>
          <w:tcPr>
            <w:tcW w:w="1760" w:type="dxa"/>
            <w:noWrap/>
            <w:vAlign w:val="center"/>
          </w:tcPr>
          <w:p w14:paraId="2DF9763F">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驻点人员薪酬福利</w:t>
            </w:r>
          </w:p>
        </w:tc>
        <w:tc>
          <w:tcPr>
            <w:tcW w:w="779" w:type="dxa"/>
            <w:noWrap/>
            <w:vAlign w:val="center"/>
          </w:tcPr>
          <w:p w14:paraId="17723588">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12</w:t>
            </w:r>
          </w:p>
        </w:tc>
        <w:tc>
          <w:tcPr>
            <w:tcW w:w="4183" w:type="dxa"/>
            <w:noWrap/>
            <w:vAlign w:val="center"/>
          </w:tcPr>
          <w:p w14:paraId="444F19E8">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val="en-US" w:eastAsia="zh-CN" w:bidi="ar"/>
              </w:rPr>
              <w:t>供应商</w:t>
            </w:r>
            <w:r>
              <w:rPr>
                <w:rFonts w:hint="eastAsia" w:ascii="仿宋" w:hAnsi="仿宋" w:eastAsia="仿宋" w:cs="仿宋"/>
                <w:color w:val="000000"/>
                <w:kern w:val="0"/>
                <w:szCs w:val="21"/>
                <w:lang w:bidi="ar"/>
              </w:rPr>
              <w:t>每月定期向驻点人员发放薪酬，按时为驻点人员缴纳社会保险、医疗保险和公积金。</w:t>
            </w:r>
          </w:p>
        </w:tc>
        <w:tc>
          <w:tcPr>
            <w:tcW w:w="2498" w:type="dxa"/>
            <w:noWrap/>
            <w:vAlign w:val="center"/>
          </w:tcPr>
          <w:p w14:paraId="2C371A1F">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每发生一次扣1分，扣完为止</w:t>
            </w:r>
          </w:p>
        </w:tc>
      </w:tr>
      <w:tr w14:paraId="14591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trPr>
        <w:tc>
          <w:tcPr>
            <w:tcW w:w="758" w:type="dxa"/>
            <w:noWrap/>
            <w:vAlign w:val="center"/>
          </w:tcPr>
          <w:p w14:paraId="416D62B8">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3</w:t>
            </w:r>
          </w:p>
        </w:tc>
        <w:tc>
          <w:tcPr>
            <w:tcW w:w="1760" w:type="dxa"/>
            <w:noWrap/>
            <w:vAlign w:val="center"/>
          </w:tcPr>
          <w:p w14:paraId="41968F57">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驻点人员培训</w:t>
            </w:r>
          </w:p>
        </w:tc>
        <w:tc>
          <w:tcPr>
            <w:tcW w:w="779" w:type="dxa"/>
            <w:noWrap/>
            <w:vAlign w:val="center"/>
          </w:tcPr>
          <w:p w14:paraId="421FEEDF">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3</w:t>
            </w:r>
          </w:p>
        </w:tc>
        <w:tc>
          <w:tcPr>
            <w:tcW w:w="4183" w:type="dxa"/>
            <w:noWrap/>
            <w:vAlign w:val="center"/>
          </w:tcPr>
          <w:p w14:paraId="32F60CBA">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每年对驻点人员法律法规、专业技能知识、沟通技巧、保密意识等方面进行培训</w:t>
            </w:r>
          </w:p>
        </w:tc>
        <w:tc>
          <w:tcPr>
            <w:tcW w:w="2498" w:type="dxa"/>
            <w:noWrap/>
            <w:vAlign w:val="center"/>
          </w:tcPr>
          <w:p w14:paraId="5970D6FD">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每发生一次扣1分，扣完为止</w:t>
            </w:r>
          </w:p>
        </w:tc>
      </w:tr>
      <w:tr w14:paraId="432CA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3" w:hRule="atLeast"/>
        </w:trPr>
        <w:tc>
          <w:tcPr>
            <w:tcW w:w="758" w:type="dxa"/>
            <w:noWrap/>
            <w:vAlign w:val="center"/>
          </w:tcPr>
          <w:p w14:paraId="3F6FA6A7">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4</w:t>
            </w:r>
          </w:p>
        </w:tc>
        <w:tc>
          <w:tcPr>
            <w:tcW w:w="1760" w:type="dxa"/>
            <w:noWrap/>
            <w:vAlign w:val="center"/>
          </w:tcPr>
          <w:p w14:paraId="4DBA17EC">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工作内容考核</w:t>
            </w:r>
          </w:p>
        </w:tc>
        <w:tc>
          <w:tcPr>
            <w:tcW w:w="779" w:type="dxa"/>
            <w:noWrap/>
            <w:vAlign w:val="center"/>
          </w:tcPr>
          <w:p w14:paraId="2BD04433">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50</w:t>
            </w:r>
          </w:p>
        </w:tc>
        <w:tc>
          <w:tcPr>
            <w:tcW w:w="4183" w:type="dxa"/>
            <w:noWrap w:val="0"/>
            <w:vAlign w:val="center"/>
          </w:tcPr>
          <w:p w14:paraId="6310A141">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1.未建立专门的查借阅、转递台账；</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2.档案资料归档整理时发生错装、漏装；</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3.人事档案审核时发生信息审核错误； </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4.档案材料发生编码、装订错误；</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5.目录与档案内容未对应匹配。</w:t>
            </w:r>
          </w:p>
        </w:tc>
        <w:tc>
          <w:tcPr>
            <w:tcW w:w="2498" w:type="dxa"/>
            <w:noWrap/>
            <w:vAlign w:val="center"/>
          </w:tcPr>
          <w:p w14:paraId="6C85D342">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每发生一次扣1分，扣完为止</w:t>
            </w:r>
          </w:p>
        </w:tc>
      </w:tr>
      <w:tr w14:paraId="204E0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6" w:hRule="atLeast"/>
        </w:trPr>
        <w:tc>
          <w:tcPr>
            <w:tcW w:w="758" w:type="dxa"/>
            <w:noWrap/>
            <w:vAlign w:val="center"/>
          </w:tcPr>
          <w:p w14:paraId="05C9153E">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5</w:t>
            </w:r>
          </w:p>
        </w:tc>
        <w:tc>
          <w:tcPr>
            <w:tcW w:w="1760" w:type="dxa"/>
            <w:noWrap/>
            <w:vAlign w:val="center"/>
          </w:tcPr>
          <w:p w14:paraId="0EF0AEC8">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服务响应及时</w:t>
            </w:r>
          </w:p>
        </w:tc>
        <w:tc>
          <w:tcPr>
            <w:tcW w:w="779" w:type="dxa"/>
            <w:noWrap/>
            <w:vAlign w:val="center"/>
          </w:tcPr>
          <w:p w14:paraId="394469E3">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15</w:t>
            </w:r>
          </w:p>
        </w:tc>
        <w:tc>
          <w:tcPr>
            <w:tcW w:w="4183" w:type="dxa"/>
            <w:noWrap w:val="0"/>
            <w:vAlign w:val="center"/>
          </w:tcPr>
          <w:p w14:paraId="30793839">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1.未能按采购人规定时限完成常规档案内容查询；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2.驻点人员未能按规定时限完成常规工作任务。</w:t>
            </w:r>
          </w:p>
        </w:tc>
        <w:tc>
          <w:tcPr>
            <w:tcW w:w="2498" w:type="dxa"/>
            <w:noWrap/>
            <w:vAlign w:val="center"/>
          </w:tcPr>
          <w:p w14:paraId="61CDF508">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每发生一次扣1分，扣完为止</w:t>
            </w:r>
          </w:p>
        </w:tc>
      </w:tr>
      <w:tr w14:paraId="19EFD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trPr>
        <w:tc>
          <w:tcPr>
            <w:tcW w:w="758" w:type="dxa"/>
            <w:noWrap/>
            <w:vAlign w:val="center"/>
          </w:tcPr>
          <w:p w14:paraId="3B2F22E0">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6</w:t>
            </w:r>
          </w:p>
        </w:tc>
        <w:tc>
          <w:tcPr>
            <w:tcW w:w="1760" w:type="dxa"/>
            <w:noWrap/>
            <w:vAlign w:val="center"/>
          </w:tcPr>
          <w:p w14:paraId="7FCEE77A">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服务态度</w:t>
            </w:r>
          </w:p>
        </w:tc>
        <w:tc>
          <w:tcPr>
            <w:tcW w:w="779" w:type="dxa"/>
            <w:noWrap/>
            <w:vAlign w:val="center"/>
          </w:tcPr>
          <w:p w14:paraId="2948B197">
            <w:pPr>
              <w:widowControl/>
              <w:spacing w:line="360" w:lineRule="auto"/>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w:t>
            </w:r>
          </w:p>
        </w:tc>
        <w:tc>
          <w:tcPr>
            <w:tcW w:w="4183" w:type="dxa"/>
            <w:noWrap/>
            <w:vAlign w:val="center"/>
          </w:tcPr>
          <w:p w14:paraId="70E1DEF6">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职工有效投诉</w:t>
            </w:r>
          </w:p>
        </w:tc>
        <w:tc>
          <w:tcPr>
            <w:tcW w:w="2498" w:type="dxa"/>
            <w:noWrap/>
            <w:vAlign w:val="center"/>
          </w:tcPr>
          <w:p w14:paraId="51A5D355">
            <w:pPr>
              <w:widowControl/>
              <w:spacing w:line="360" w:lineRule="auto"/>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每发生一次扣1分，扣完为止</w:t>
            </w:r>
          </w:p>
        </w:tc>
      </w:tr>
      <w:tr w14:paraId="3F852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0" w:hRule="atLeast"/>
        </w:trPr>
        <w:tc>
          <w:tcPr>
            <w:tcW w:w="9978" w:type="dxa"/>
            <w:gridSpan w:val="5"/>
            <w:noWrap w:val="0"/>
            <w:vAlign w:val="center"/>
          </w:tcPr>
          <w:p w14:paraId="4D0C3DF5">
            <w:pPr>
              <w:widowControl/>
              <w:spacing w:line="360" w:lineRule="auto"/>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备注：1.若考核得分≥80分，视为考核合格，予以续签下一年合同；若考核得分＜80分，视为考核不合格，将不予续签合同。</w:t>
            </w:r>
          </w:p>
          <w:p w14:paraId="362DABEE">
            <w:pPr>
              <w:widowControl/>
              <w:spacing w:line="360" w:lineRule="auto"/>
              <w:ind w:firstLine="630" w:firstLineChars="300"/>
              <w:jc w:val="left"/>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2.若考核得分＜90分，采购人扣除合同限高总价（支付上限）的5%的合同款。</w:t>
            </w:r>
          </w:p>
        </w:tc>
      </w:tr>
    </w:tbl>
    <w:p w14:paraId="0DC87781">
      <w:pPr>
        <w:rPr>
          <w:rFonts w:ascii="Times New Roman" w:hAnsi="Times New Roman" w:cs="Times New Roman"/>
        </w:rPr>
      </w:pPr>
      <w:r>
        <w:rPr>
          <w:rFonts w:ascii="Times New Roman" w:hAnsi="Times New Roman" w:cs="Times New Roman"/>
        </w:rPr>
        <w:br w:type="page"/>
      </w:r>
    </w:p>
    <w:p w14:paraId="7FB5E780">
      <w:pPr>
        <w:rPr>
          <w:rFonts w:ascii="Times New Roman" w:hAnsi="Times New Roman" w:cs="Times New Roman"/>
        </w:rPr>
      </w:pPr>
    </w:p>
    <w:p w14:paraId="6053E5C9">
      <w:pPr>
        <w:rPr>
          <w:rFonts w:ascii="Times New Roman" w:hAnsi="Times New Roman" w:cs="Times New Roman"/>
        </w:rPr>
      </w:pP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tbl>
      <w:tblPr>
        <w:tblStyle w:val="42"/>
        <w:tblW w:w="484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58"/>
        <w:gridCol w:w="1225"/>
        <w:gridCol w:w="1270"/>
        <w:gridCol w:w="6292"/>
      </w:tblGrid>
      <w:tr w14:paraId="2BE83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06" w:hRule="atLeast"/>
          <w:jc w:val="center"/>
        </w:trPr>
        <w:tc>
          <w:tcPr>
            <w:tcW w:w="299" w:type="pct"/>
            <w:vAlign w:val="center"/>
          </w:tcPr>
          <w:p w14:paraId="5D365D0F">
            <w:pPr>
              <w:pStyle w:val="43"/>
              <w:spacing w:before="286" w:line="360" w:lineRule="auto"/>
              <w:jc w:val="center"/>
              <w:rPr>
                <w:rFonts w:hint="eastAsia" w:ascii="仿宋" w:hAnsi="仿宋" w:eastAsia="仿宋" w:cs="仿宋"/>
                <w:sz w:val="21"/>
                <w:szCs w:val="21"/>
                <w:lang w:eastAsia="zh-CN"/>
              </w:rPr>
            </w:pPr>
            <w:r>
              <w:rPr>
                <w:rFonts w:hint="eastAsia" w:ascii="仿宋" w:hAnsi="仿宋" w:eastAsia="仿宋" w:cs="仿宋"/>
                <w:b/>
                <w:bCs/>
                <w:spacing w:val="1"/>
                <w:position w:val="1"/>
                <w:sz w:val="21"/>
                <w:szCs w:val="21"/>
                <w:lang w:val="en-US" w:eastAsia="zh-CN"/>
              </w:rPr>
              <w:t>序号</w:t>
            </w:r>
          </w:p>
        </w:tc>
        <w:tc>
          <w:tcPr>
            <w:tcW w:w="655" w:type="pct"/>
            <w:vAlign w:val="center"/>
          </w:tcPr>
          <w:p w14:paraId="40F1ED6E">
            <w:pPr>
              <w:pStyle w:val="43"/>
              <w:spacing w:before="129" w:line="360" w:lineRule="auto"/>
              <w:ind w:left="0" w:right="198" w:firstLine="0"/>
              <w:jc w:val="center"/>
              <w:rPr>
                <w:rFonts w:hint="eastAsia" w:ascii="仿宋" w:hAnsi="仿宋" w:eastAsia="仿宋" w:cs="仿宋"/>
                <w:sz w:val="21"/>
                <w:szCs w:val="21"/>
              </w:rPr>
            </w:pPr>
            <w:r>
              <w:rPr>
                <w:rFonts w:hint="eastAsia" w:ascii="仿宋" w:hAnsi="仿宋" w:eastAsia="仿宋" w:cs="仿宋"/>
                <w:b/>
                <w:bCs/>
                <w:spacing w:val="5"/>
                <w:sz w:val="21"/>
                <w:szCs w:val="21"/>
              </w:rPr>
              <w:t>评分因素</w:t>
            </w:r>
          </w:p>
        </w:tc>
        <w:tc>
          <w:tcPr>
            <w:tcW w:w="679" w:type="pct"/>
            <w:shd w:val="clear" w:color="auto" w:fill="auto"/>
            <w:vAlign w:val="center"/>
          </w:tcPr>
          <w:p w14:paraId="6584F337">
            <w:pPr>
              <w:pStyle w:val="43"/>
              <w:spacing w:before="286" w:line="360" w:lineRule="auto"/>
              <w:jc w:val="center"/>
              <w:rPr>
                <w:rFonts w:hint="eastAsia" w:ascii="仿宋" w:hAnsi="仿宋" w:eastAsia="仿宋" w:cs="仿宋"/>
                <w:kern w:val="2"/>
                <w:sz w:val="21"/>
                <w:szCs w:val="21"/>
                <w:lang w:val="en-US" w:eastAsia="en-US" w:bidi="ar-SA"/>
              </w:rPr>
            </w:pPr>
            <w:r>
              <w:rPr>
                <w:rFonts w:hint="eastAsia" w:ascii="仿宋" w:hAnsi="仿宋" w:eastAsia="仿宋" w:cs="仿宋"/>
                <w:b/>
                <w:bCs/>
                <w:spacing w:val="1"/>
                <w:position w:val="1"/>
                <w:sz w:val="21"/>
                <w:szCs w:val="21"/>
              </w:rPr>
              <w:t>分值</w:t>
            </w:r>
          </w:p>
        </w:tc>
        <w:tc>
          <w:tcPr>
            <w:tcW w:w="3365" w:type="pct"/>
            <w:vAlign w:val="center"/>
          </w:tcPr>
          <w:p w14:paraId="1BBBC422">
            <w:pPr>
              <w:pStyle w:val="43"/>
              <w:spacing w:before="286" w:line="360" w:lineRule="auto"/>
              <w:ind w:left="2058"/>
              <w:jc w:val="center"/>
              <w:rPr>
                <w:rFonts w:hint="eastAsia" w:ascii="仿宋" w:hAnsi="仿宋" w:eastAsia="仿宋" w:cs="仿宋"/>
                <w:sz w:val="21"/>
                <w:szCs w:val="21"/>
              </w:rPr>
            </w:pPr>
            <w:r>
              <w:rPr>
                <w:rFonts w:hint="eastAsia" w:ascii="仿宋" w:hAnsi="仿宋" w:eastAsia="仿宋" w:cs="仿宋"/>
                <w:b/>
                <w:bCs/>
                <w:spacing w:val="5"/>
                <w:position w:val="1"/>
                <w:sz w:val="21"/>
                <w:szCs w:val="21"/>
              </w:rPr>
              <w:t>评分标准</w:t>
            </w:r>
          </w:p>
        </w:tc>
      </w:tr>
      <w:tr w14:paraId="30464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jc w:val="center"/>
        </w:trPr>
        <w:tc>
          <w:tcPr>
            <w:tcW w:w="299" w:type="pct"/>
            <w:vAlign w:val="center"/>
          </w:tcPr>
          <w:p w14:paraId="5BB5BAC8">
            <w:pPr>
              <w:pStyle w:val="43"/>
              <w:spacing w:before="58" w:line="360" w:lineRule="auto"/>
              <w:jc w:val="center"/>
              <w:rPr>
                <w:rFonts w:hint="eastAsia" w:ascii="仿宋" w:hAnsi="仿宋" w:eastAsia="仿宋" w:cs="仿宋"/>
                <w:sz w:val="21"/>
                <w:szCs w:val="21"/>
              </w:rPr>
            </w:pPr>
            <w:r>
              <w:rPr>
                <w:rFonts w:hint="eastAsia" w:ascii="仿宋" w:hAnsi="仿宋" w:eastAsia="仿宋" w:cs="仿宋"/>
                <w:spacing w:val="-4"/>
                <w:sz w:val="21"/>
                <w:szCs w:val="21"/>
                <w:lang w:val="en-US" w:eastAsia="zh-CN"/>
              </w:rPr>
              <w:t>1</w:t>
            </w:r>
          </w:p>
        </w:tc>
        <w:tc>
          <w:tcPr>
            <w:tcW w:w="655" w:type="pct"/>
            <w:vAlign w:val="center"/>
          </w:tcPr>
          <w:p w14:paraId="580499CE">
            <w:pPr>
              <w:pStyle w:val="43"/>
              <w:spacing w:before="59" w:line="360" w:lineRule="auto"/>
              <w:jc w:val="center"/>
              <w:rPr>
                <w:rFonts w:hint="eastAsia" w:ascii="仿宋" w:hAnsi="仿宋" w:eastAsia="仿宋" w:cs="仿宋"/>
                <w:sz w:val="21"/>
                <w:szCs w:val="21"/>
              </w:rPr>
            </w:pPr>
            <w:r>
              <w:rPr>
                <w:rFonts w:hint="eastAsia" w:ascii="仿宋" w:hAnsi="仿宋" w:eastAsia="仿宋" w:cs="仿宋"/>
                <w:spacing w:val="-1"/>
                <w:sz w:val="21"/>
                <w:szCs w:val="21"/>
              </w:rPr>
              <w:t>价格</w:t>
            </w:r>
          </w:p>
        </w:tc>
        <w:tc>
          <w:tcPr>
            <w:tcW w:w="679" w:type="pct"/>
            <w:shd w:val="clear" w:color="auto" w:fill="auto"/>
            <w:vAlign w:val="center"/>
          </w:tcPr>
          <w:p w14:paraId="22E2CB2D">
            <w:pPr>
              <w:pStyle w:val="43"/>
              <w:spacing w:before="58" w:line="360" w:lineRule="auto"/>
              <w:jc w:val="center"/>
              <w:rPr>
                <w:rFonts w:hint="eastAsia" w:ascii="仿宋" w:hAnsi="仿宋" w:eastAsia="仿宋" w:cs="仿宋"/>
                <w:kern w:val="2"/>
                <w:sz w:val="21"/>
                <w:szCs w:val="21"/>
                <w:lang w:val="en-US" w:eastAsia="en-US" w:bidi="ar-SA"/>
              </w:rPr>
            </w:pPr>
            <w:r>
              <w:rPr>
                <w:rFonts w:hint="eastAsia" w:ascii="仿宋" w:hAnsi="仿宋" w:eastAsia="仿宋" w:cs="仿宋"/>
                <w:spacing w:val="-4"/>
                <w:sz w:val="21"/>
                <w:szCs w:val="21"/>
                <w:lang w:val="en-US" w:eastAsia="zh-CN"/>
              </w:rPr>
              <w:t>10</w:t>
            </w:r>
            <w:r>
              <w:rPr>
                <w:rFonts w:hint="eastAsia" w:ascii="仿宋" w:hAnsi="仿宋" w:eastAsia="仿宋" w:cs="仿宋"/>
                <w:spacing w:val="-4"/>
                <w:sz w:val="21"/>
                <w:szCs w:val="21"/>
              </w:rPr>
              <w:t>分</w:t>
            </w:r>
          </w:p>
        </w:tc>
        <w:tc>
          <w:tcPr>
            <w:tcW w:w="3365" w:type="pct"/>
            <w:vAlign w:val="center"/>
          </w:tcPr>
          <w:p w14:paraId="2B6D28E0">
            <w:pPr>
              <w:spacing w:after="120" w:afterLines="50" w:line="360" w:lineRule="auto"/>
              <w:jc w:val="both"/>
              <w:rPr>
                <w:rFonts w:hint="eastAsia" w:ascii="仿宋" w:hAnsi="仿宋" w:eastAsia="仿宋" w:cs="仿宋"/>
                <w:sz w:val="21"/>
                <w:szCs w:val="21"/>
              </w:rPr>
            </w:pPr>
            <w:r>
              <w:rPr>
                <w:rFonts w:hint="eastAsia" w:ascii="仿宋" w:hAnsi="仿宋" w:eastAsia="仿宋" w:cs="仿宋"/>
                <w:sz w:val="21"/>
                <w:szCs w:val="21"/>
              </w:rPr>
              <w:t>1.经</w:t>
            </w:r>
            <w:r>
              <w:rPr>
                <w:rFonts w:hint="eastAsia" w:ascii="仿宋" w:hAnsi="仿宋" w:eastAsia="仿宋" w:cs="仿宋"/>
                <w:sz w:val="21"/>
                <w:szCs w:val="21"/>
                <w:lang w:val="en-US" w:eastAsia="zh-CN"/>
              </w:rPr>
              <w:t>谈判</w:t>
            </w:r>
            <w:r>
              <w:rPr>
                <w:rFonts w:hint="eastAsia" w:ascii="仿宋" w:hAnsi="仿宋" w:eastAsia="仿宋" w:cs="仿宋"/>
                <w:sz w:val="21"/>
                <w:szCs w:val="21"/>
              </w:rPr>
              <w:t>小组评审，通过资格性和符合性审查，以满足采购文件要求且</w:t>
            </w:r>
            <w:r>
              <w:rPr>
                <w:rFonts w:hint="eastAsia" w:ascii="仿宋" w:hAnsi="仿宋" w:eastAsia="仿宋" w:cs="仿宋"/>
                <w:sz w:val="21"/>
                <w:szCs w:val="21"/>
                <w:lang w:val="en-US" w:eastAsia="zh-CN"/>
              </w:rPr>
              <w:t>响应下浮率最高</w:t>
            </w:r>
            <w:r>
              <w:rPr>
                <w:rFonts w:hint="eastAsia" w:ascii="仿宋" w:hAnsi="仿宋" w:eastAsia="仿宋" w:cs="仿宋"/>
                <w:sz w:val="21"/>
                <w:szCs w:val="21"/>
              </w:rPr>
              <w:t>的供应商的报价为基准报价。</w:t>
            </w:r>
          </w:p>
          <w:p w14:paraId="670A404D">
            <w:pPr>
              <w:pStyle w:val="43"/>
              <w:spacing w:before="37" w:line="360" w:lineRule="auto"/>
              <w:ind w:right="241"/>
              <w:jc w:val="both"/>
              <w:rPr>
                <w:rFonts w:hint="eastAsia" w:ascii="仿宋" w:hAnsi="仿宋" w:eastAsia="仿宋" w:cs="仿宋"/>
                <w:sz w:val="21"/>
                <w:szCs w:val="21"/>
              </w:rPr>
            </w:pPr>
            <w:r>
              <w:rPr>
                <w:rFonts w:hint="eastAsia" w:ascii="仿宋" w:hAnsi="仿宋" w:eastAsia="仿宋" w:cs="仿宋"/>
                <w:sz w:val="21"/>
                <w:szCs w:val="21"/>
              </w:rPr>
              <w:t>2.报价得分=（</w:t>
            </w:r>
            <w:r>
              <w:rPr>
                <w:rFonts w:hint="eastAsia" w:ascii="仿宋" w:hAnsi="仿宋" w:eastAsia="仿宋" w:cs="仿宋"/>
                <w:sz w:val="21"/>
                <w:szCs w:val="21"/>
                <w:lang w:val="en-US" w:eastAsia="zh-CN"/>
              </w:rPr>
              <w:t>1-</w:t>
            </w:r>
            <w:r>
              <w:rPr>
                <w:rFonts w:hint="eastAsia" w:ascii="仿宋" w:hAnsi="仿宋" w:eastAsia="仿宋" w:cs="仿宋"/>
                <w:sz w:val="21"/>
                <w:szCs w:val="21"/>
              </w:rPr>
              <w:t>基准价</w:t>
            </w:r>
            <w:r>
              <w:rPr>
                <w:rFonts w:hint="eastAsia" w:ascii="仿宋" w:hAnsi="仿宋" w:eastAsia="仿宋" w:cs="仿宋"/>
                <w:sz w:val="21"/>
                <w:szCs w:val="21"/>
                <w:lang w:eastAsia="zh-CN"/>
              </w:rPr>
              <w:t>）</w:t>
            </w:r>
            <w:r>
              <w:rPr>
                <w:rFonts w:hint="eastAsia" w:ascii="仿宋" w:hAnsi="仿宋" w:eastAsia="仿宋" w:cs="仿宋"/>
                <w:sz w:val="21"/>
                <w:szCs w:val="21"/>
              </w:rPr>
              <w:t>/</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1-下浮率</w:t>
            </w:r>
            <w:r>
              <w:rPr>
                <w:rFonts w:hint="eastAsia" w:ascii="仿宋" w:hAnsi="仿宋" w:eastAsia="仿宋" w:cs="仿宋"/>
                <w:sz w:val="21"/>
                <w:szCs w:val="21"/>
              </w:rPr>
              <w:t>）*</w:t>
            </w:r>
            <w:r>
              <w:rPr>
                <w:rFonts w:hint="eastAsia" w:ascii="仿宋" w:hAnsi="仿宋" w:eastAsia="仿宋" w:cs="仿宋"/>
                <w:sz w:val="21"/>
                <w:szCs w:val="21"/>
                <w:lang w:val="en-US" w:eastAsia="zh-CN"/>
              </w:rPr>
              <w:t>10</w:t>
            </w:r>
            <w:r>
              <w:rPr>
                <w:rFonts w:hint="eastAsia" w:ascii="仿宋" w:hAnsi="仿宋" w:eastAsia="仿宋" w:cs="仿宋"/>
                <w:sz w:val="21"/>
                <w:szCs w:val="21"/>
              </w:rPr>
              <w:t>。</w:t>
            </w:r>
          </w:p>
        </w:tc>
      </w:tr>
      <w:tr w14:paraId="7AA16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299" w:type="pct"/>
            <w:vAlign w:val="center"/>
          </w:tcPr>
          <w:p w14:paraId="67894BF4">
            <w:pPr>
              <w:pStyle w:val="43"/>
              <w:spacing w:before="59" w:line="360" w:lineRule="auto"/>
              <w:jc w:val="center"/>
              <w:rPr>
                <w:rFonts w:hint="eastAsia" w:ascii="仿宋" w:hAnsi="仿宋" w:eastAsia="仿宋" w:cs="仿宋"/>
                <w:sz w:val="21"/>
                <w:szCs w:val="21"/>
              </w:rPr>
            </w:pPr>
            <w:r>
              <w:rPr>
                <w:rFonts w:hint="eastAsia" w:ascii="仿宋" w:hAnsi="仿宋" w:eastAsia="仿宋" w:cs="仿宋"/>
                <w:spacing w:val="-5"/>
                <w:sz w:val="21"/>
                <w:szCs w:val="21"/>
                <w:lang w:val="en-US" w:eastAsia="zh-CN"/>
              </w:rPr>
              <w:t>2</w:t>
            </w:r>
          </w:p>
        </w:tc>
        <w:tc>
          <w:tcPr>
            <w:tcW w:w="655" w:type="pct"/>
            <w:vAlign w:val="center"/>
          </w:tcPr>
          <w:p w14:paraId="5177DF45">
            <w:pPr>
              <w:pStyle w:val="43"/>
              <w:spacing w:before="59" w:line="360" w:lineRule="auto"/>
              <w:ind w:right="170"/>
              <w:jc w:val="center"/>
              <w:rPr>
                <w:rFonts w:hint="eastAsia" w:ascii="仿宋" w:hAnsi="仿宋" w:eastAsia="仿宋" w:cs="仿宋"/>
                <w:sz w:val="21"/>
                <w:szCs w:val="21"/>
              </w:rPr>
            </w:pPr>
            <w:r>
              <w:rPr>
                <w:rFonts w:hint="eastAsia" w:ascii="仿宋" w:hAnsi="仿宋" w:eastAsia="仿宋" w:cs="仿宋"/>
                <w:spacing w:val="-3"/>
                <w:sz w:val="21"/>
                <w:szCs w:val="21"/>
                <w:lang w:val="en-US" w:eastAsia="zh-CN"/>
              </w:rPr>
              <w:t>综合实力</w:t>
            </w:r>
          </w:p>
        </w:tc>
        <w:tc>
          <w:tcPr>
            <w:tcW w:w="679" w:type="pct"/>
            <w:shd w:val="clear" w:color="auto" w:fill="auto"/>
            <w:vAlign w:val="center"/>
          </w:tcPr>
          <w:p w14:paraId="50748142">
            <w:pPr>
              <w:pStyle w:val="43"/>
              <w:spacing w:before="59"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pacing w:val="-5"/>
                <w:sz w:val="21"/>
                <w:szCs w:val="21"/>
                <w:lang w:val="en-US" w:eastAsia="zh-CN"/>
              </w:rPr>
              <w:t>10</w:t>
            </w:r>
            <w:r>
              <w:rPr>
                <w:rFonts w:hint="eastAsia" w:ascii="仿宋" w:hAnsi="仿宋" w:eastAsia="仿宋" w:cs="仿宋"/>
                <w:spacing w:val="-5"/>
                <w:sz w:val="21"/>
                <w:szCs w:val="21"/>
              </w:rPr>
              <w:t>分</w:t>
            </w:r>
          </w:p>
        </w:tc>
        <w:tc>
          <w:tcPr>
            <w:tcW w:w="3365" w:type="pct"/>
            <w:vAlign w:val="center"/>
          </w:tcPr>
          <w:p w14:paraId="43E5D3E7">
            <w:pPr>
              <w:pStyle w:val="43"/>
              <w:spacing w:before="58" w:line="360" w:lineRule="auto"/>
              <w:jc w:val="both"/>
              <w:rPr>
                <w:rFonts w:hint="eastAsia" w:ascii="仿宋" w:hAnsi="仿宋" w:eastAsia="仿宋" w:cs="仿宋"/>
                <w:sz w:val="21"/>
                <w:szCs w:val="21"/>
              </w:rPr>
            </w:pPr>
            <w:r>
              <w:rPr>
                <w:rFonts w:hint="eastAsia" w:ascii="仿宋" w:hAnsi="仿宋" w:eastAsia="仿宋" w:cs="仿宋"/>
                <w:spacing w:val="-2"/>
                <w:kern w:val="2"/>
                <w:sz w:val="21"/>
                <w:szCs w:val="21"/>
                <w:lang w:val="en-US" w:eastAsia="zh-CN" w:bidi="ar-SA"/>
              </w:rPr>
              <w:t>供应</w:t>
            </w:r>
            <w:r>
              <w:rPr>
                <w:rFonts w:hint="eastAsia" w:ascii="仿宋" w:hAnsi="仿宋" w:eastAsia="仿宋" w:cs="仿宋"/>
                <w:spacing w:val="-2"/>
                <w:kern w:val="2"/>
                <w:sz w:val="21"/>
                <w:szCs w:val="21"/>
                <w:lang w:val="en-US" w:eastAsia="en-US" w:bidi="ar-SA"/>
              </w:rPr>
              <w:t>商</w:t>
            </w:r>
            <w:r>
              <w:rPr>
                <w:rFonts w:hint="eastAsia" w:ascii="仿宋" w:hAnsi="仿宋" w:eastAsia="仿宋" w:cs="仿宋"/>
                <w:spacing w:val="-2"/>
                <w:kern w:val="2"/>
                <w:sz w:val="21"/>
                <w:szCs w:val="21"/>
                <w:lang w:val="en-US" w:eastAsia="zh-CN" w:bidi="ar-SA"/>
              </w:rPr>
              <w:t>具备①质量管理体系认证证书、②环境管理体系认证证书、③职业健康安全管理体系认证证书、④档案信息和文件/记录管理体系认证证书-ISO15489、⑤档案数字化软件著作权证书，以上证书每提供一个得2分，最高得10分</w:t>
            </w:r>
            <w:r>
              <w:rPr>
                <w:rFonts w:hint="eastAsia" w:ascii="仿宋" w:hAnsi="仿宋" w:eastAsia="仿宋" w:cs="仿宋"/>
                <w:spacing w:val="-1"/>
                <w:sz w:val="21"/>
                <w:szCs w:val="21"/>
              </w:rPr>
              <w:t xml:space="preserve">，未提供不得分。 </w:t>
            </w:r>
            <w:r>
              <w:rPr>
                <w:rFonts w:hint="eastAsia" w:ascii="仿宋" w:hAnsi="仿宋" w:eastAsia="仿宋" w:cs="仿宋"/>
                <w:b/>
                <w:bCs/>
                <w:spacing w:val="-1"/>
                <w:sz w:val="21"/>
                <w:szCs w:val="21"/>
              </w:rPr>
              <w:t>注：上述所列证书均须在有效期内，否则无效。</w:t>
            </w:r>
          </w:p>
        </w:tc>
      </w:tr>
      <w:tr w14:paraId="74094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jc w:val="center"/>
        </w:trPr>
        <w:tc>
          <w:tcPr>
            <w:tcW w:w="299" w:type="pct"/>
            <w:vAlign w:val="center"/>
          </w:tcPr>
          <w:p w14:paraId="77A55D8B">
            <w:pPr>
              <w:pStyle w:val="43"/>
              <w:spacing w:before="58" w:line="360" w:lineRule="auto"/>
              <w:jc w:val="center"/>
              <w:rPr>
                <w:rFonts w:hint="eastAsia" w:ascii="仿宋" w:hAnsi="仿宋" w:eastAsia="仿宋" w:cs="仿宋"/>
                <w:sz w:val="21"/>
                <w:szCs w:val="21"/>
              </w:rPr>
            </w:pPr>
            <w:r>
              <w:rPr>
                <w:rFonts w:hint="eastAsia" w:ascii="仿宋" w:hAnsi="仿宋" w:eastAsia="仿宋" w:cs="仿宋"/>
                <w:spacing w:val="-4"/>
                <w:sz w:val="21"/>
                <w:szCs w:val="21"/>
                <w:lang w:val="en-US" w:eastAsia="zh-CN"/>
              </w:rPr>
              <w:t>3</w:t>
            </w:r>
          </w:p>
        </w:tc>
        <w:tc>
          <w:tcPr>
            <w:tcW w:w="655" w:type="pct"/>
            <w:vAlign w:val="center"/>
          </w:tcPr>
          <w:p w14:paraId="7AE66DDA">
            <w:pPr>
              <w:jc w:val="center"/>
              <w:rPr>
                <w:rFonts w:hint="eastAsia" w:ascii="仿宋" w:hAnsi="仿宋" w:eastAsia="仿宋" w:cs="仿宋"/>
                <w:sz w:val="21"/>
                <w:szCs w:val="21"/>
              </w:rPr>
            </w:pPr>
            <w:r>
              <w:rPr>
                <w:rFonts w:hint="eastAsia" w:ascii="仿宋" w:hAnsi="仿宋" w:eastAsia="仿宋" w:cs="仿宋"/>
                <w:spacing w:val="-5"/>
                <w:sz w:val="21"/>
                <w:szCs w:val="21"/>
              </w:rPr>
              <w:t>业绩</w:t>
            </w:r>
          </w:p>
        </w:tc>
        <w:tc>
          <w:tcPr>
            <w:tcW w:w="679" w:type="pct"/>
            <w:shd w:val="clear" w:color="auto" w:fill="auto"/>
            <w:vAlign w:val="center"/>
          </w:tcPr>
          <w:p w14:paraId="0E949875">
            <w:pPr>
              <w:pStyle w:val="43"/>
              <w:spacing w:before="58"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pacing w:val="-4"/>
                <w:sz w:val="21"/>
                <w:szCs w:val="21"/>
                <w:lang w:val="en-US" w:eastAsia="zh-CN"/>
              </w:rPr>
              <w:t>18</w:t>
            </w:r>
            <w:r>
              <w:rPr>
                <w:rFonts w:hint="eastAsia" w:ascii="仿宋" w:hAnsi="仿宋" w:eastAsia="仿宋" w:cs="仿宋"/>
                <w:spacing w:val="-4"/>
                <w:sz w:val="21"/>
                <w:szCs w:val="21"/>
              </w:rPr>
              <w:t>分</w:t>
            </w:r>
          </w:p>
        </w:tc>
        <w:tc>
          <w:tcPr>
            <w:tcW w:w="3365" w:type="pct"/>
            <w:vAlign w:val="center"/>
          </w:tcPr>
          <w:p w14:paraId="07ADD4DC">
            <w:pPr>
              <w:pStyle w:val="43"/>
              <w:spacing w:before="198" w:line="360" w:lineRule="auto"/>
              <w:ind w:left="115" w:right="107" w:hanging="1"/>
              <w:jc w:val="both"/>
              <w:rPr>
                <w:rFonts w:hint="eastAsia" w:ascii="仿宋" w:hAnsi="仿宋" w:eastAsia="仿宋" w:cs="仿宋"/>
                <w:sz w:val="21"/>
                <w:szCs w:val="21"/>
              </w:rPr>
            </w:pPr>
            <w:r>
              <w:rPr>
                <w:rFonts w:hint="eastAsia" w:ascii="仿宋" w:hAnsi="仿宋" w:eastAsia="仿宋" w:cs="仿宋"/>
                <w:spacing w:val="-2"/>
                <w:kern w:val="2"/>
                <w:sz w:val="21"/>
                <w:szCs w:val="21"/>
                <w:lang w:val="en-US" w:eastAsia="zh-CN" w:bidi="ar-SA"/>
              </w:rPr>
              <w:t>供应</w:t>
            </w:r>
            <w:r>
              <w:rPr>
                <w:rFonts w:hint="eastAsia" w:ascii="仿宋" w:hAnsi="仿宋" w:eastAsia="仿宋" w:cs="仿宋"/>
                <w:spacing w:val="-2"/>
                <w:kern w:val="2"/>
                <w:sz w:val="21"/>
                <w:szCs w:val="21"/>
                <w:lang w:val="en-US" w:eastAsia="en-US" w:bidi="ar-SA"/>
              </w:rPr>
              <w:t>商</w:t>
            </w:r>
            <w:r>
              <w:rPr>
                <w:rFonts w:hint="eastAsia" w:ascii="仿宋" w:hAnsi="仿宋" w:eastAsia="仿宋" w:cs="仿宋"/>
                <w:spacing w:val="-4"/>
                <w:sz w:val="21"/>
                <w:szCs w:val="21"/>
              </w:rPr>
              <w:t>独立承担类似</w:t>
            </w:r>
            <w:r>
              <w:rPr>
                <w:rFonts w:hint="eastAsia" w:ascii="仿宋" w:hAnsi="仿宋" w:eastAsia="仿宋" w:cs="仿宋"/>
                <w:spacing w:val="-4"/>
                <w:sz w:val="21"/>
                <w:szCs w:val="21"/>
                <w:lang w:val="en-US" w:eastAsia="zh-CN"/>
              </w:rPr>
              <w:t>人事档案</w:t>
            </w:r>
            <w:r>
              <w:rPr>
                <w:rFonts w:hint="eastAsia" w:ascii="仿宋" w:hAnsi="仿宋" w:eastAsia="仿宋" w:cs="仿宋"/>
                <w:spacing w:val="-4"/>
                <w:sz w:val="21"/>
                <w:szCs w:val="21"/>
              </w:rPr>
              <w:t>项目业绩的</w:t>
            </w:r>
            <w:r>
              <w:rPr>
                <w:rFonts w:hint="eastAsia" w:ascii="仿宋" w:hAnsi="仿宋" w:eastAsia="仿宋" w:cs="仿宋"/>
                <w:spacing w:val="-17"/>
                <w:sz w:val="21"/>
                <w:szCs w:val="21"/>
              </w:rPr>
              <w:t>，</w:t>
            </w:r>
            <w:r>
              <w:rPr>
                <w:rFonts w:hint="eastAsia" w:ascii="仿宋" w:hAnsi="仿宋" w:eastAsia="仿宋" w:cs="仿宋"/>
                <w:spacing w:val="-3"/>
                <w:sz w:val="21"/>
                <w:szCs w:val="21"/>
              </w:rPr>
              <w:t>并提供</w:t>
            </w:r>
            <w:r>
              <w:rPr>
                <w:rFonts w:hint="eastAsia" w:ascii="仿宋" w:hAnsi="仿宋" w:eastAsia="仿宋" w:cs="仿宋"/>
                <w:spacing w:val="-3"/>
                <w:sz w:val="21"/>
                <w:szCs w:val="21"/>
                <w:lang w:val="en-US" w:eastAsia="zh-CN"/>
              </w:rPr>
              <w:t>合同</w:t>
            </w:r>
            <w:r>
              <w:rPr>
                <w:rFonts w:hint="eastAsia" w:ascii="仿宋" w:hAnsi="仿宋" w:eastAsia="仿宋" w:cs="仿宋"/>
                <w:spacing w:val="-3"/>
                <w:sz w:val="21"/>
                <w:szCs w:val="21"/>
              </w:rPr>
              <w:t>证明材料，每提供一个得</w:t>
            </w:r>
            <w:r>
              <w:rPr>
                <w:rFonts w:hint="eastAsia" w:ascii="仿宋" w:hAnsi="仿宋" w:eastAsia="仿宋" w:cs="仿宋"/>
                <w:spacing w:val="-37"/>
                <w:sz w:val="21"/>
                <w:szCs w:val="21"/>
              </w:rPr>
              <w:t xml:space="preserve"> </w:t>
            </w:r>
            <w:r>
              <w:rPr>
                <w:rFonts w:hint="eastAsia" w:ascii="仿宋" w:hAnsi="仿宋" w:eastAsia="仿宋" w:cs="仿宋"/>
                <w:spacing w:val="-3"/>
                <w:sz w:val="21"/>
                <w:szCs w:val="21"/>
                <w:lang w:val="en-US" w:eastAsia="zh-CN"/>
              </w:rPr>
              <w:t>4.5</w:t>
            </w:r>
            <w:r>
              <w:rPr>
                <w:rFonts w:hint="eastAsia" w:ascii="仿宋" w:hAnsi="仿宋" w:eastAsia="仿宋" w:cs="仿宋"/>
                <w:spacing w:val="1"/>
                <w:sz w:val="21"/>
                <w:szCs w:val="21"/>
              </w:rPr>
              <w:t>分</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最多得</w:t>
            </w:r>
            <w:r>
              <w:rPr>
                <w:rFonts w:hint="eastAsia" w:ascii="仿宋" w:hAnsi="仿宋" w:eastAsia="仿宋" w:cs="仿宋"/>
                <w:spacing w:val="1"/>
                <w:sz w:val="21"/>
                <w:szCs w:val="21"/>
                <w:lang w:val="en-US" w:eastAsia="zh-CN"/>
              </w:rPr>
              <w:t>18</w:t>
            </w:r>
            <w:r>
              <w:rPr>
                <w:rFonts w:hint="eastAsia" w:ascii="仿宋" w:hAnsi="仿宋" w:eastAsia="仿宋" w:cs="仿宋"/>
                <w:spacing w:val="1"/>
                <w:sz w:val="21"/>
                <w:szCs w:val="21"/>
              </w:rPr>
              <w:t>分。</w:t>
            </w:r>
          </w:p>
        </w:tc>
      </w:tr>
      <w:tr w14:paraId="5BA20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299" w:type="pct"/>
            <w:vAlign w:val="center"/>
          </w:tcPr>
          <w:p w14:paraId="55BABF62">
            <w:pPr>
              <w:pStyle w:val="43"/>
              <w:spacing w:before="58" w:line="360" w:lineRule="auto"/>
              <w:jc w:val="center"/>
              <w:rPr>
                <w:rFonts w:hint="eastAsia" w:ascii="仿宋" w:hAnsi="仿宋" w:eastAsia="仿宋" w:cs="仿宋"/>
                <w:sz w:val="21"/>
                <w:szCs w:val="21"/>
              </w:rPr>
            </w:pPr>
            <w:r>
              <w:rPr>
                <w:rFonts w:hint="eastAsia" w:ascii="仿宋" w:hAnsi="仿宋" w:eastAsia="仿宋" w:cs="仿宋"/>
                <w:spacing w:val="-4"/>
                <w:sz w:val="21"/>
                <w:szCs w:val="21"/>
                <w:lang w:val="en-US" w:eastAsia="zh-CN"/>
              </w:rPr>
              <w:t>4</w:t>
            </w:r>
          </w:p>
        </w:tc>
        <w:tc>
          <w:tcPr>
            <w:tcW w:w="655" w:type="pct"/>
            <w:vAlign w:val="center"/>
          </w:tcPr>
          <w:p w14:paraId="2E817E79">
            <w:pPr>
              <w:pStyle w:val="43"/>
              <w:spacing w:before="58" w:line="360" w:lineRule="auto"/>
              <w:ind w:left="299" w:right="170" w:hanging="116"/>
              <w:jc w:val="center"/>
              <w:rPr>
                <w:rFonts w:hint="eastAsia" w:ascii="仿宋" w:hAnsi="仿宋" w:eastAsia="仿宋" w:cs="仿宋"/>
                <w:sz w:val="21"/>
                <w:szCs w:val="21"/>
              </w:rPr>
            </w:pPr>
            <w:r>
              <w:rPr>
                <w:rFonts w:hint="eastAsia" w:ascii="仿宋" w:hAnsi="仿宋" w:eastAsia="仿宋" w:cs="仿宋"/>
                <w:spacing w:val="-3"/>
                <w:sz w:val="21"/>
                <w:szCs w:val="21"/>
              </w:rPr>
              <w:t>拟配备人员</w:t>
            </w:r>
          </w:p>
        </w:tc>
        <w:tc>
          <w:tcPr>
            <w:tcW w:w="679" w:type="pct"/>
            <w:shd w:val="clear" w:color="auto" w:fill="auto"/>
            <w:vAlign w:val="center"/>
          </w:tcPr>
          <w:p w14:paraId="09A97625">
            <w:pPr>
              <w:pStyle w:val="43"/>
              <w:spacing w:before="58"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pacing w:val="-4"/>
                <w:sz w:val="21"/>
                <w:szCs w:val="21"/>
                <w:lang w:val="en-US" w:eastAsia="zh-CN"/>
              </w:rPr>
              <w:t>38</w:t>
            </w:r>
            <w:r>
              <w:rPr>
                <w:rFonts w:hint="eastAsia" w:ascii="仿宋" w:hAnsi="仿宋" w:eastAsia="仿宋" w:cs="仿宋"/>
                <w:spacing w:val="-4"/>
                <w:sz w:val="21"/>
                <w:szCs w:val="21"/>
              </w:rPr>
              <w:t>分</w:t>
            </w:r>
          </w:p>
        </w:tc>
        <w:tc>
          <w:tcPr>
            <w:tcW w:w="3365" w:type="pct"/>
            <w:vAlign w:val="center"/>
          </w:tcPr>
          <w:p w14:paraId="2EE8ADE1">
            <w:pPr>
              <w:pStyle w:val="43"/>
              <w:numPr>
                <w:ilvl w:val="0"/>
                <w:numId w:val="16"/>
              </w:numPr>
              <w:spacing w:before="208" w:line="360" w:lineRule="auto"/>
              <w:ind w:left="111" w:right="130" w:firstLine="2"/>
              <w:jc w:val="both"/>
              <w:rPr>
                <w:rFonts w:hint="eastAsia" w:ascii="仿宋" w:hAnsi="仿宋" w:eastAsia="仿宋" w:cs="仿宋"/>
                <w:spacing w:val="-1"/>
                <w:sz w:val="21"/>
                <w:szCs w:val="21"/>
                <w:lang w:val="en-US" w:eastAsia="zh-CN"/>
              </w:rPr>
            </w:pPr>
            <w:r>
              <w:rPr>
                <w:rFonts w:hint="eastAsia" w:ascii="仿宋" w:hAnsi="仿宋" w:eastAsia="仿宋" w:cs="仿宋"/>
                <w:spacing w:val="-4"/>
                <w:sz w:val="21"/>
                <w:szCs w:val="21"/>
              </w:rPr>
              <w:t xml:space="preserve">项目经理：档案学专业，档案专业初级及以上职称，具有档案岗位资格培训证书得 </w:t>
            </w:r>
            <w:r>
              <w:rPr>
                <w:rFonts w:hint="eastAsia" w:ascii="仿宋" w:hAnsi="仿宋" w:eastAsia="仿宋" w:cs="仿宋"/>
                <w:spacing w:val="-4"/>
                <w:sz w:val="21"/>
                <w:szCs w:val="21"/>
                <w:lang w:val="en-US" w:eastAsia="zh-CN"/>
              </w:rPr>
              <w:t>4</w:t>
            </w:r>
            <w:r>
              <w:rPr>
                <w:rFonts w:hint="eastAsia" w:ascii="仿宋" w:hAnsi="仿宋" w:eastAsia="仿宋" w:cs="仿宋"/>
                <w:spacing w:val="-4"/>
                <w:sz w:val="21"/>
                <w:szCs w:val="21"/>
              </w:rPr>
              <w:t xml:space="preserve"> 分</w:t>
            </w:r>
            <w:r>
              <w:rPr>
                <w:rFonts w:hint="eastAsia" w:ascii="仿宋" w:hAnsi="仿宋" w:eastAsia="仿宋" w:cs="仿宋"/>
                <w:spacing w:val="-4"/>
                <w:sz w:val="21"/>
                <w:szCs w:val="21"/>
                <w:lang w:val="en-US" w:eastAsia="zh-CN"/>
              </w:rPr>
              <w:t>；具备保密部门颁发的有效期内的涉密人员培训证书</w:t>
            </w:r>
            <w:r>
              <w:rPr>
                <w:rFonts w:hint="eastAsia" w:ascii="仿宋" w:hAnsi="仿宋" w:eastAsia="仿宋" w:cs="仿宋"/>
                <w:spacing w:val="-4"/>
                <w:sz w:val="21"/>
                <w:szCs w:val="21"/>
              </w:rPr>
              <w:t xml:space="preserve">得 </w:t>
            </w:r>
            <w:r>
              <w:rPr>
                <w:rFonts w:hint="eastAsia" w:ascii="仿宋" w:hAnsi="仿宋" w:eastAsia="仿宋" w:cs="仿宋"/>
                <w:spacing w:val="-4"/>
                <w:sz w:val="21"/>
                <w:szCs w:val="21"/>
                <w:lang w:val="en-US" w:eastAsia="zh-CN"/>
              </w:rPr>
              <w:t>4</w:t>
            </w:r>
            <w:r>
              <w:rPr>
                <w:rFonts w:hint="eastAsia" w:ascii="仿宋" w:hAnsi="仿宋" w:eastAsia="仿宋" w:cs="仿宋"/>
                <w:spacing w:val="-4"/>
                <w:sz w:val="21"/>
                <w:szCs w:val="21"/>
              </w:rPr>
              <w:t xml:space="preserve"> 分</w:t>
            </w:r>
            <w:r>
              <w:rPr>
                <w:rFonts w:hint="eastAsia" w:ascii="仿宋" w:hAnsi="仿宋" w:eastAsia="仿宋" w:cs="仿宋"/>
                <w:spacing w:val="-4"/>
                <w:sz w:val="21"/>
                <w:szCs w:val="21"/>
                <w:lang w:val="en-US" w:eastAsia="zh-CN"/>
              </w:rPr>
              <w:t>；</w:t>
            </w:r>
            <w:r>
              <w:rPr>
                <w:rFonts w:hint="eastAsia" w:ascii="仿宋" w:hAnsi="仿宋" w:eastAsia="仿宋" w:cs="仿宋"/>
                <w:spacing w:val="-4"/>
                <w:sz w:val="21"/>
                <w:szCs w:val="21"/>
              </w:rPr>
              <w:t xml:space="preserve">具有省本级及以上类似项目管理经验 </w:t>
            </w:r>
            <w:r>
              <w:rPr>
                <w:rFonts w:hint="eastAsia" w:ascii="仿宋" w:hAnsi="仿宋" w:eastAsia="仿宋" w:cs="仿宋"/>
                <w:spacing w:val="-4"/>
                <w:sz w:val="21"/>
                <w:szCs w:val="21"/>
                <w:lang w:val="en-US" w:eastAsia="zh-CN"/>
              </w:rPr>
              <w:t>4</w:t>
            </w:r>
            <w:r>
              <w:rPr>
                <w:rFonts w:hint="eastAsia" w:ascii="仿宋" w:hAnsi="仿宋" w:eastAsia="仿宋" w:cs="仿宋"/>
                <w:spacing w:val="-4"/>
                <w:sz w:val="21"/>
                <w:szCs w:val="21"/>
              </w:rPr>
              <w:t xml:space="preserve"> 分</w:t>
            </w:r>
            <w:r>
              <w:rPr>
                <w:rFonts w:hint="eastAsia" w:ascii="仿宋" w:hAnsi="仿宋" w:eastAsia="仿宋" w:cs="仿宋"/>
                <w:spacing w:val="-4"/>
                <w:sz w:val="21"/>
                <w:szCs w:val="21"/>
                <w:lang w:val="en-US" w:eastAsia="zh-CN"/>
              </w:rPr>
              <w:t>。本项满分12分。</w:t>
            </w:r>
          </w:p>
          <w:p w14:paraId="6F335335">
            <w:pPr>
              <w:pStyle w:val="43"/>
              <w:numPr>
                <w:ilvl w:val="0"/>
                <w:numId w:val="0"/>
              </w:numPr>
              <w:spacing w:before="208" w:line="360" w:lineRule="auto"/>
              <w:ind w:left="113" w:leftChars="0" w:right="130" w:rightChars="0"/>
              <w:jc w:val="both"/>
              <w:rPr>
                <w:rFonts w:hint="eastAsia" w:ascii="仿宋" w:hAnsi="仿宋" w:eastAsia="仿宋" w:cs="仿宋"/>
                <w:sz w:val="21"/>
                <w:szCs w:val="21"/>
              </w:rPr>
            </w:pPr>
            <w:r>
              <w:rPr>
                <w:rFonts w:hint="eastAsia" w:ascii="仿宋" w:hAnsi="仿宋" w:eastAsia="仿宋" w:cs="仿宋"/>
                <w:spacing w:val="-3"/>
                <w:sz w:val="21"/>
                <w:szCs w:val="21"/>
              </w:rPr>
              <w:t>2.项目主管</w:t>
            </w:r>
            <w:r>
              <w:rPr>
                <w:rFonts w:hint="eastAsia" w:ascii="仿宋" w:hAnsi="仿宋" w:eastAsia="仿宋" w:cs="仿宋"/>
                <w:spacing w:val="-3"/>
                <w:sz w:val="21"/>
                <w:szCs w:val="21"/>
                <w:lang w:eastAsia="zh-CN"/>
              </w:rPr>
              <w:t>：档案专业初级及以上职称，具有档案岗位资格培训证书</w:t>
            </w:r>
            <w:r>
              <w:rPr>
                <w:rFonts w:hint="eastAsia" w:ascii="仿宋" w:hAnsi="仿宋" w:eastAsia="仿宋" w:cs="仿宋"/>
                <w:spacing w:val="-4"/>
                <w:sz w:val="21"/>
                <w:szCs w:val="21"/>
              </w:rPr>
              <w:t>得</w:t>
            </w:r>
            <w:r>
              <w:rPr>
                <w:rFonts w:hint="eastAsia" w:ascii="仿宋" w:hAnsi="仿宋" w:eastAsia="仿宋" w:cs="仿宋"/>
                <w:spacing w:val="-20"/>
                <w:sz w:val="21"/>
                <w:szCs w:val="21"/>
              </w:rPr>
              <w:t xml:space="preserve"> </w:t>
            </w:r>
            <w:r>
              <w:rPr>
                <w:rFonts w:hint="eastAsia" w:ascii="仿宋" w:hAnsi="仿宋" w:eastAsia="仿宋" w:cs="仿宋"/>
                <w:spacing w:val="-4"/>
                <w:sz w:val="21"/>
                <w:szCs w:val="21"/>
                <w:lang w:val="en-US" w:eastAsia="zh-CN"/>
              </w:rPr>
              <w:t>4</w:t>
            </w:r>
            <w:r>
              <w:rPr>
                <w:rFonts w:hint="eastAsia" w:ascii="仿宋" w:hAnsi="仿宋" w:eastAsia="仿宋" w:cs="仿宋"/>
                <w:spacing w:val="-4"/>
                <w:sz w:val="21"/>
                <w:szCs w:val="21"/>
              </w:rPr>
              <w:t>分</w:t>
            </w:r>
            <w:r>
              <w:rPr>
                <w:rFonts w:hint="eastAsia" w:ascii="仿宋" w:hAnsi="仿宋" w:eastAsia="仿宋" w:cs="仿宋"/>
                <w:spacing w:val="-4"/>
                <w:sz w:val="21"/>
                <w:szCs w:val="21"/>
                <w:lang w:eastAsia="zh-CN"/>
              </w:rPr>
              <w:t>；具备保密部门颁发的有效期内的涉密人员培训证书</w:t>
            </w:r>
            <w:r>
              <w:rPr>
                <w:rFonts w:hint="eastAsia" w:ascii="仿宋" w:hAnsi="仿宋" w:eastAsia="仿宋" w:cs="仿宋"/>
                <w:spacing w:val="-4"/>
                <w:sz w:val="21"/>
                <w:szCs w:val="21"/>
              </w:rPr>
              <w:t>得</w:t>
            </w:r>
            <w:r>
              <w:rPr>
                <w:rFonts w:hint="eastAsia" w:ascii="仿宋" w:hAnsi="仿宋" w:eastAsia="仿宋" w:cs="仿宋"/>
                <w:spacing w:val="-20"/>
                <w:sz w:val="21"/>
                <w:szCs w:val="21"/>
              </w:rPr>
              <w:t xml:space="preserve"> </w:t>
            </w:r>
            <w:r>
              <w:rPr>
                <w:rFonts w:hint="eastAsia" w:ascii="仿宋" w:hAnsi="仿宋" w:eastAsia="仿宋" w:cs="仿宋"/>
                <w:spacing w:val="-4"/>
                <w:sz w:val="21"/>
                <w:szCs w:val="21"/>
                <w:lang w:val="en-US" w:eastAsia="zh-CN"/>
              </w:rPr>
              <w:t>4</w:t>
            </w:r>
            <w:r>
              <w:rPr>
                <w:rFonts w:hint="eastAsia" w:ascii="仿宋" w:hAnsi="仿宋" w:eastAsia="仿宋" w:cs="仿宋"/>
                <w:spacing w:val="-4"/>
                <w:sz w:val="21"/>
                <w:szCs w:val="21"/>
              </w:rPr>
              <w:t>分</w:t>
            </w:r>
            <w:r>
              <w:rPr>
                <w:rFonts w:hint="eastAsia" w:ascii="仿宋" w:hAnsi="仿宋" w:eastAsia="仿宋" w:cs="仿宋"/>
                <w:spacing w:val="-3"/>
                <w:sz w:val="21"/>
                <w:szCs w:val="21"/>
              </w:rPr>
              <w:t>。本项满分</w:t>
            </w:r>
            <w:r>
              <w:rPr>
                <w:rFonts w:hint="eastAsia" w:ascii="仿宋" w:hAnsi="仿宋" w:eastAsia="仿宋" w:cs="仿宋"/>
                <w:spacing w:val="-29"/>
                <w:sz w:val="21"/>
                <w:szCs w:val="21"/>
              </w:rPr>
              <w:t xml:space="preserve"> </w:t>
            </w:r>
            <w:r>
              <w:rPr>
                <w:rFonts w:hint="eastAsia" w:ascii="仿宋" w:hAnsi="仿宋" w:eastAsia="仿宋" w:cs="仿宋"/>
                <w:spacing w:val="-3"/>
                <w:sz w:val="21"/>
                <w:szCs w:val="21"/>
                <w:lang w:val="en-US" w:eastAsia="zh-CN"/>
              </w:rPr>
              <w:t>8</w:t>
            </w:r>
            <w:r>
              <w:rPr>
                <w:rFonts w:hint="eastAsia" w:ascii="仿宋" w:hAnsi="仿宋" w:eastAsia="仿宋" w:cs="仿宋"/>
                <w:spacing w:val="-34"/>
                <w:sz w:val="21"/>
                <w:szCs w:val="21"/>
              </w:rPr>
              <w:t xml:space="preserve"> </w:t>
            </w:r>
            <w:r>
              <w:rPr>
                <w:rFonts w:hint="eastAsia" w:ascii="仿宋" w:hAnsi="仿宋" w:eastAsia="仿宋" w:cs="仿宋"/>
                <w:spacing w:val="-3"/>
                <w:sz w:val="21"/>
                <w:szCs w:val="21"/>
              </w:rPr>
              <w:t>分。</w:t>
            </w:r>
          </w:p>
          <w:p w14:paraId="3A666A89">
            <w:pPr>
              <w:pStyle w:val="43"/>
              <w:spacing w:before="40" w:line="360" w:lineRule="auto"/>
              <w:ind w:left="114" w:right="152" w:hanging="4"/>
              <w:jc w:val="both"/>
              <w:rPr>
                <w:rFonts w:hint="eastAsia" w:ascii="仿宋" w:hAnsi="仿宋" w:eastAsia="仿宋" w:cs="仿宋"/>
                <w:spacing w:val="-2"/>
                <w:sz w:val="21"/>
                <w:szCs w:val="21"/>
                <w:lang w:eastAsia="zh-CN"/>
              </w:rPr>
            </w:pPr>
            <w:r>
              <w:rPr>
                <w:rFonts w:hint="eastAsia" w:ascii="仿宋" w:hAnsi="仿宋" w:eastAsia="仿宋" w:cs="仿宋"/>
                <w:spacing w:val="-2"/>
                <w:sz w:val="21"/>
                <w:szCs w:val="21"/>
              </w:rPr>
              <w:t>3.专职数据管理员：计算机或信息管理相关专业，</w:t>
            </w:r>
            <w:r>
              <w:rPr>
                <w:rFonts w:hint="eastAsia" w:ascii="仿宋" w:hAnsi="仿宋" w:eastAsia="仿宋" w:cs="仿宋"/>
                <w:spacing w:val="-2"/>
                <w:sz w:val="21"/>
                <w:szCs w:val="21"/>
                <w:lang w:val="en-US" w:eastAsia="zh-CN"/>
              </w:rPr>
              <w:t>提供相关证明材料，得4分；具有档案岗位资格培训证书</w:t>
            </w:r>
            <w:r>
              <w:rPr>
                <w:rFonts w:hint="eastAsia" w:ascii="仿宋" w:hAnsi="仿宋" w:eastAsia="仿宋" w:cs="仿宋"/>
                <w:spacing w:val="-2"/>
                <w:sz w:val="21"/>
                <w:szCs w:val="21"/>
              </w:rPr>
              <w:t xml:space="preserve">得 </w:t>
            </w:r>
            <w:r>
              <w:rPr>
                <w:rFonts w:hint="eastAsia" w:ascii="仿宋" w:hAnsi="仿宋" w:eastAsia="仿宋" w:cs="仿宋"/>
                <w:spacing w:val="-2"/>
                <w:sz w:val="21"/>
                <w:szCs w:val="21"/>
                <w:lang w:val="en-US" w:eastAsia="zh-CN"/>
              </w:rPr>
              <w:t>4</w:t>
            </w:r>
            <w:r>
              <w:rPr>
                <w:rFonts w:hint="eastAsia" w:ascii="仿宋" w:hAnsi="仿宋" w:eastAsia="仿宋" w:cs="仿宋"/>
                <w:spacing w:val="-2"/>
                <w:sz w:val="21"/>
                <w:szCs w:val="21"/>
              </w:rPr>
              <w:t>分</w:t>
            </w:r>
            <w:r>
              <w:rPr>
                <w:rFonts w:hint="eastAsia" w:ascii="仿宋" w:hAnsi="仿宋" w:eastAsia="仿宋" w:cs="仿宋"/>
                <w:spacing w:val="-2"/>
                <w:sz w:val="21"/>
                <w:szCs w:val="21"/>
                <w:lang w:eastAsia="zh-CN"/>
              </w:rPr>
              <w:t>；</w:t>
            </w:r>
            <w:r>
              <w:rPr>
                <w:rFonts w:hint="eastAsia" w:ascii="仿宋" w:hAnsi="仿宋" w:eastAsia="仿宋" w:cs="仿宋"/>
                <w:spacing w:val="-4"/>
                <w:sz w:val="21"/>
                <w:szCs w:val="21"/>
                <w:lang w:eastAsia="zh-CN"/>
              </w:rPr>
              <w:t>具备保密部门颁发的有效期内的涉密人员培训证书</w:t>
            </w:r>
            <w:r>
              <w:rPr>
                <w:rFonts w:hint="eastAsia" w:ascii="仿宋" w:hAnsi="仿宋" w:eastAsia="仿宋" w:cs="仿宋"/>
                <w:spacing w:val="-2"/>
                <w:sz w:val="21"/>
                <w:szCs w:val="21"/>
              </w:rPr>
              <w:t xml:space="preserve">得 </w:t>
            </w:r>
            <w:r>
              <w:rPr>
                <w:rFonts w:hint="eastAsia" w:ascii="仿宋" w:hAnsi="仿宋" w:eastAsia="仿宋" w:cs="仿宋"/>
                <w:spacing w:val="-2"/>
                <w:sz w:val="21"/>
                <w:szCs w:val="21"/>
                <w:lang w:val="en-US" w:eastAsia="zh-CN"/>
              </w:rPr>
              <w:t>4</w:t>
            </w:r>
            <w:r>
              <w:rPr>
                <w:rFonts w:hint="eastAsia" w:ascii="仿宋" w:hAnsi="仿宋" w:eastAsia="仿宋" w:cs="仿宋"/>
                <w:spacing w:val="-2"/>
                <w:sz w:val="21"/>
                <w:szCs w:val="21"/>
              </w:rPr>
              <w:t xml:space="preserve"> 分，本项满分</w:t>
            </w:r>
            <w:r>
              <w:rPr>
                <w:rFonts w:hint="eastAsia" w:ascii="仿宋" w:hAnsi="仿宋" w:eastAsia="仿宋" w:cs="仿宋"/>
                <w:spacing w:val="-2"/>
                <w:sz w:val="21"/>
                <w:szCs w:val="21"/>
                <w:lang w:val="en-US" w:eastAsia="zh-CN"/>
              </w:rPr>
              <w:t>12</w:t>
            </w:r>
            <w:r>
              <w:rPr>
                <w:rFonts w:hint="eastAsia" w:ascii="仿宋" w:hAnsi="仿宋" w:eastAsia="仿宋" w:cs="仿宋"/>
                <w:spacing w:val="-2"/>
                <w:sz w:val="21"/>
                <w:szCs w:val="21"/>
              </w:rPr>
              <w:t>分</w:t>
            </w:r>
            <w:r>
              <w:rPr>
                <w:rFonts w:hint="eastAsia" w:ascii="仿宋" w:hAnsi="仿宋" w:eastAsia="仿宋" w:cs="仿宋"/>
                <w:spacing w:val="-2"/>
                <w:sz w:val="21"/>
                <w:szCs w:val="21"/>
                <w:lang w:eastAsia="zh-CN"/>
              </w:rPr>
              <w:t>。</w:t>
            </w:r>
          </w:p>
          <w:p w14:paraId="19BFDCD8">
            <w:pPr>
              <w:pStyle w:val="43"/>
              <w:spacing w:before="47" w:line="360" w:lineRule="auto"/>
              <w:ind w:left="115" w:right="108" w:hanging="3"/>
              <w:jc w:val="both"/>
              <w:rPr>
                <w:rFonts w:hint="eastAsia" w:ascii="仿宋" w:hAnsi="仿宋" w:eastAsia="仿宋" w:cs="仿宋"/>
                <w:sz w:val="21"/>
                <w:szCs w:val="21"/>
              </w:rPr>
            </w:pPr>
            <w:r>
              <w:rPr>
                <w:rFonts w:hint="eastAsia" w:ascii="仿宋" w:hAnsi="仿宋" w:eastAsia="仿宋" w:cs="仿宋"/>
                <w:spacing w:val="-5"/>
                <w:sz w:val="21"/>
                <w:szCs w:val="21"/>
              </w:rPr>
              <w:t>4.项目组人员(不含项目经理、项目主管和专职数据管理员)：</w:t>
            </w:r>
            <w:r>
              <w:rPr>
                <w:rFonts w:hint="eastAsia" w:ascii="仿宋" w:hAnsi="仿宋" w:eastAsia="仿宋" w:cs="仿宋"/>
                <w:sz w:val="21"/>
                <w:szCs w:val="21"/>
              </w:rPr>
              <w:t xml:space="preserve"> </w:t>
            </w:r>
            <w:r>
              <w:rPr>
                <w:rFonts w:hint="eastAsia" w:ascii="仿宋" w:hAnsi="仿宋" w:eastAsia="仿宋" w:cs="仿宋"/>
                <w:spacing w:val="-2"/>
                <w:sz w:val="21"/>
                <w:szCs w:val="21"/>
              </w:rPr>
              <w:t>服务方需提供拟派遣项目组人员身份证、</w:t>
            </w:r>
            <w:r>
              <w:rPr>
                <w:rFonts w:hint="eastAsia" w:ascii="仿宋" w:hAnsi="仿宋" w:eastAsia="仿宋" w:cs="仿宋"/>
                <w:spacing w:val="-4"/>
                <w:sz w:val="21"/>
                <w:szCs w:val="21"/>
                <w:lang w:eastAsia="zh-CN"/>
              </w:rPr>
              <w:t>具备保密部门颁发的有效期内的涉密人员培训证书</w:t>
            </w:r>
            <w:r>
              <w:rPr>
                <w:rFonts w:hint="eastAsia" w:ascii="仿宋" w:hAnsi="仿宋" w:eastAsia="仿宋" w:cs="仿宋"/>
                <w:spacing w:val="1"/>
                <w:sz w:val="21"/>
                <w:szCs w:val="21"/>
                <w:lang w:eastAsia="zh-CN"/>
              </w:rPr>
              <w:t>，</w:t>
            </w:r>
            <w:r>
              <w:rPr>
                <w:rFonts w:hint="eastAsia" w:ascii="仿宋" w:hAnsi="仿宋" w:eastAsia="仿宋" w:cs="仿宋"/>
                <w:spacing w:val="-4"/>
                <w:sz w:val="21"/>
                <w:szCs w:val="21"/>
              </w:rPr>
              <w:t>每提供</w:t>
            </w:r>
            <w:r>
              <w:rPr>
                <w:rFonts w:hint="eastAsia" w:ascii="仿宋" w:hAnsi="仿宋" w:eastAsia="仿宋" w:cs="仿宋"/>
                <w:spacing w:val="-36"/>
                <w:sz w:val="21"/>
                <w:szCs w:val="21"/>
              </w:rPr>
              <w:t xml:space="preserve"> </w:t>
            </w:r>
            <w:r>
              <w:rPr>
                <w:rFonts w:hint="eastAsia" w:ascii="仿宋" w:hAnsi="仿宋" w:eastAsia="仿宋" w:cs="仿宋"/>
                <w:spacing w:val="-4"/>
                <w:sz w:val="21"/>
                <w:szCs w:val="21"/>
              </w:rPr>
              <w:t>1</w:t>
            </w:r>
            <w:r>
              <w:rPr>
                <w:rFonts w:hint="eastAsia" w:ascii="仿宋" w:hAnsi="仿宋" w:eastAsia="仿宋" w:cs="仿宋"/>
                <w:spacing w:val="-33"/>
                <w:sz w:val="21"/>
                <w:szCs w:val="21"/>
              </w:rPr>
              <w:t xml:space="preserve"> </w:t>
            </w:r>
            <w:r>
              <w:rPr>
                <w:rFonts w:hint="eastAsia" w:ascii="仿宋" w:hAnsi="仿宋" w:eastAsia="仿宋" w:cs="仿宋"/>
                <w:spacing w:val="-4"/>
                <w:sz w:val="21"/>
                <w:szCs w:val="21"/>
              </w:rPr>
              <w:t>人得</w:t>
            </w:r>
            <w:r>
              <w:rPr>
                <w:rFonts w:hint="eastAsia" w:ascii="仿宋" w:hAnsi="仿宋" w:eastAsia="仿宋" w:cs="仿宋"/>
                <w:spacing w:val="-36"/>
                <w:sz w:val="21"/>
                <w:szCs w:val="21"/>
                <w:lang w:val="en-US" w:eastAsia="zh-CN"/>
              </w:rPr>
              <w:t>2</w:t>
            </w:r>
            <w:r>
              <w:rPr>
                <w:rFonts w:hint="eastAsia" w:ascii="仿宋" w:hAnsi="仿宋" w:eastAsia="仿宋" w:cs="仿宋"/>
                <w:spacing w:val="-4"/>
                <w:sz w:val="21"/>
                <w:szCs w:val="21"/>
              </w:rPr>
              <w:t>分</w:t>
            </w:r>
            <w:r>
              <w:rPr>
                <w:rFonts w:hint="eastAsia" w:ascii="仿宋" w:hAnsi="仿宋" w:eastAsia="仿宋" w:cs="仿宋"/>
                <w:spacing w:val="-5"/>
                <w:sz w:val="21"/>
                <w:szCs w:val="21"/>
              </w:rPr>
              <w:t>，本项满</w:t>
            </w:r>
            <w:r>
              <w:rPr>
                <w:rFonts w:hint="eastAsia" w:ascii="仿宋" w:hAnsi="仿宋" w:eastAsia="仿宋" w:cs="仿宋"/>
                <w:spacing w:val="-8"/>
                <w:sz w:val="21"/>
                <w:szCs w:val="21"/>
              </w:rPr>
              <w:t>分</w:t>
            </w:r>
            <w:r>
              <w:rPr>
                <w:rFonts w:hint="eastAsia" w:ascii="仿宋" w:hAnsi="仿宋" w:eastAsia="仿宋" w:cs="仿宋"/>
                <w:spacing w:val="-8"/>
                <w:sz w:val="21"/>
                <w:szCs w:val="21"/>
                <w:lang w:val="en-US" w:eastAsia="zh-CN"/>
              </w:rPr>
              <w:t>6</w:t>
            </w:r>
            <w:r>
              <w:rPr>
                <w:rFonts w:hint="eastAsia" w:ascii="仿宋" w:hAnsi="仿宋" w:eastAsia="仿宋" w:cs="仿宋"/>
                <w:spacing w:val="-8"/>
                <w:sz w:val="21"/>
                <w:szCs w:val="21"/>
              </w:rPr>
              <w:t>分。</w:t>
            </w:r>
          </w:p>
          <w:p w14:paraId="4CF1BC68">
            <w:pPr>
              <w:pStyle w:val="43"/>
              <w:spacing w:before="44" w:line="360" w:lineRule="auto"/>
              <w:ind w:left="118" w:right="64" w:hanging="6"/>
              <w:jc w:val="both"/>
              <w:rPr>
                <w:rFonts w:hint="eastAsia" w:ascii="仿宋" w:hAnsi="仿宋" w:eastAsia="仿宋" w:cs="仿宋"/>
                <w:sz w:val="21"/>
                <w:szCs w:val="21"/>
              </w:rPr>
            </w:pPr>
            <w:r>
              <w:rPr>
                <w:rFonts w:hint="eastAsia" w:ascii="仿宋" w:hAnsi="仿宋" w:eastAsia="仿宋" w:cs="仿宋"/>
                <w:sz w:val="21"/>
                <w:szCs w:val="21"/>
                <w:lang w:val="en-US" w:eastAsia="zh-CN"/>
              </w:rPr>
              <w:t>注：提供人员清单、有效的证书复印件及在职证明材料并加盖供应商公章。</w:t>
            </w:r>
          </w:p>
        </w:tc>
      </w:tr>
      <w:tr w14:paraId="0D00D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7" w:hRule="atLeast"/>
          <w:jc w:val="center"/>
        </w:trPr>
        <w:tc>
          <w:tcPr>
            <w:tcW w:w="299" w:type="pct"/>
            <w:tcBorders>
              <w:top w:val="single" w:color="auto" w:sz="4" w:space="0"/>
              <w:left w:val="single" w:color="auto" w:sz="4" w:space="0"/>
              <w:bottom w:val="single" w:color="auto" w:sz="4" w:space="0"/>
              <w:right w:val="single" w:color="auto" w:sz="4" w:space="0"/>
            </w:tcBorders>
            <w:vAlign w:val="center"/>
          </w:tcPr>
          <w:p w14:paraId="21DB2E82">
            <w:pPr>
              <w:pStyle w:val="43"/>
              <w:spacing w:before="59" w:line="360" w:lineRule="auto"/>
              <w:jc w:val="center"/>
              <w:rPr>
                <w:rFonts w:hint="eastAsia" w:ascii="仿宋" w:hAnsi="仿宋" w:eastAsia="仿宋" w:cs="仿宋"/>
                <w:color w:val="auto"/>
                <w:sz w:val="21"/>
                <w:szCs w:val="21"/>
              </w:rPr>
            </w:pPr>
            <w:r>
              <w:rPr>
                <w:rFonts w:hint="eastAsia" w:ascii="仿宋" w:hAnsi="仿宋" w:eastAsia="仿宋" w:cs="仿宋"/>
                <w:color w:val="auto"/>
                <w:spacing w:val="-5"/>
                <w:sz w:val="21"/>
                <w:szCs w:val="21"/>
                <w:lang w:val="en-US" w:eastAsia="zh-CN"/>
              </w:rPr>
              <w:t>5</w:t>
            </w:r>
          </w:p>
        </w:tc>
        <w:tc>
          <w:tcPr>
            <w:tcW w:w="655" w:type="pct"/>
            <w:tcBorders>
              <w:left w:val="single" w:color="auto" w:sz="4" w:space="0"/>
            </w:tcBorders>
            <w:vAlign w:val="center"/>
          </w:tcPr>
          <w:p w14:paraId="5D22F5AE">
            <w:pPr>
              <w:pStyle w:val="43"/>
              <w:spacing w:before="59"/>
              <w:ind w:right="170"/>
              <w:jc w:val="center"/>
              <w:rPr>
                <w:rFonts w:hint="eastAsia" w:ascii="仿宋" w:hAnsi="仿宋" w:eastAsia="仿宋" w:cs="仿宋"/>
                <w:color w:val="auto"/>
                <w:spacing w:val="-3"/>
                <w:sz w:val="21"/>
                <w:szCs w:val="21"/>
                <w:lang w:val="en-US" w:eastAsia="zh-CN"/>
              </w:rPr>
            </w:pPr>
            <w:r>
              <w:rPr>
                <w:rFonts w:hint="eastAsia" w:ascii="仿宋" w:hAnsi="仿宋" w:eastAsia="仿宋" w:cs="仿宋"/>
                <w:color w:val="auto"/>
                <w:spacing w:val="-3"/>
                <w:sz w:val="21"/>
                <w:szCs w:val="21"/>
                <w:lang w:val="en-US" w:eastAsia="zh-CN"/>
              </w:rPr>
              <w:t>整体服务方案</w:t>
            </w:r>
          </w:p>
        </w:tc>
        <w:tc>
          <w:tcPr>
            <w:tcW w:w="679" w:type="pct"/>
            <w:vAlign w:val="center"/>
          </w:tcPr>
          <w:p w14:paraId="7A0D7BA7">
            <w:pPr>
              <w:keepNext w:val="0"/>
              <w:keepLines w:val="0"/>
              <w:pageBreakBefore w:val="0"/>
              <w:widowControl/>
              <w:kinsoku/>
              <w:wordWrap/>
              <w:overflowPunct/>
              <w:topLinePunct w:val="0"/>
              <w:autoSpaceDE/>
              <w:autoSpaceDN/>
              <w:bidi w:val="0"/>
              <w:adjustRightInd/>
              <w:snapToGrid/>
              <w:spacing w:before="0" w:line="360" w:lineRule="auto"/>
              <w:ind w:right="0"/>
              <w:jc w:val="center"/>
              <w:textAlignment w:val="auto"/>
              <w:rPr>
                <w:rFonts w:hint="default"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14分</w:t>
            </w:r>
          </w:p>
        </w:tc>
        <w:tc>
          <w:tcPr>
            <w:tcW w:w="3365" w:type="pct"/>
            <w:vAlign w:val="center"/>
          </w:tcPr>
          <w:p w14:paraId="031CEC7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供应商针对本项目提供详尽的整体服务方案，方案包含但不限于：（1）项目整体分析（2）服务内容及流程（包括进度计划）（3）设备配置、进度及质量保障措施（4）安全保密方案（5）售后方案（6）场地环境介绍（7）消防应急方案，内容完整且符合采购人实际的得14分，每有一项内容缺失或缺陷扣2分，扣完为止。</w:t>
            </w:r>
          </w:p>
          <w:p w14:paraId="4FEA94E9">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（缺陷指不符合</w:t>
            </w:r>
            <w:r>
              <w:rPr>
                <w:rFonts w:hint="eastAsia" w:ascii="仿宋" w:hAnsi="仿宋" w:eastAsia="仿宋" w:cs="仿宋"/>
                <w:color w:val="auto"/>
                <w:spacing w:val="-2"/>
                <w:kern w:val="2"/>
                <w:sz w:val="21"/>
                <w:szCs w:val="21"/>
                <w:lang w:val="zh-CN" w:eastAsia="zh-CN" w:bidi="ar-SA"/>
              </w:rPr>
              <w:t>以下情形中的任意一项：</w:t>
            </w:r>
            <w:r>
              <w:rPr>
                <w:rFonts w:hint="eastAsia" w:ascii="仿宋" w:hAnsi="仿宋" w:eastAsia="仿宋" w:cs="仿宋"/>
                <w:color w:val="auto"/>
                <w:spacing w:val="-2"/>
                <w:kern w:val="2"/>
                <w:sz w:val="21"/>
                <w:szCs w:val="21"/>
                <w:lang w:val="en-US" w:eastAsia="zh-CN" w:bidi="ar-SA"/>
              </w:rPr>
              <w:t>无具体实施措施、凭空编造、逻辑漏洞、与采购人实际情况不符）</w:t>
            </w:r>
          </w:p>
        </w:tc>
      </w:tr>
      <w:tr w14:paraId="3E93D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7" w:hRule="atLeast"/>
          <w:jc w:val="center"/>
        </w:trPr>
        <w:tc>
          <w:tcPr>
            <w:tcW w:w="299" w:type="pct"/>
            <w:tcBorders>
              <w:top w:val="single" w:color="auto" w:sz="4" w:space="0"/>
              <w:left w:val="single" w:color="auto" w:sz="4" w:space="0"/>
              <w:bottom w:val="single" w:color="auto" w:sz="4" w:space="0"/>
              <w:right w:val="single" w:color="auto" w:sz="4" w:space="0"/>
            </w:tcBorders>
            <w:vAlign w:val="center"/>
          </w:tcPr>
          <w:p w14:paraId="5886FD8A">
            <w:pPr>
              <w:pStyle w:val="43"/>
              <w:spacing w:before="59" w:line="360" w:lineRule="auto"/>
              <w:jc w:val="center"/>
              <w:rPr>
                <w:rFonts w:hint="default" w:ascii="仿宋" w:hAnsi="仿宋" w:eastAsia="仿宋" w:cs="仿宋"/>
                <w:color w:val="auto"/>
                <w:spacing w:val="-5"/>
                <w:sz w:val="21"/>
                <w:szCs w:val="21"/>
                <w:lang w:val="en-US" w:eastAsia="zh-CN"/>
              </w:rPr>
            </w:pPr>
            <w:r>
              <w:rPr>
                <w:rFonts w:hint="eastAsia" w:ascii="仿宋" w:hAnsi="仿宋" w:eastAsia="仿宋" w:cs="仿宋"/>
                <w:color w:val="auto"/>
                <w:spacing w:val="-5"/>
                <w:sz w:val="21"/>
                <w:szCs w:val="21"/>
                <w:lang w:val="en-US" w:eastAsia="zh-CN"/>
              </w:rPr>
              <w:t>6</w:t>
            </w:r>
          </w:p>
        </w:tc>
        <w:tc>
          <w:tcPr>
            <w:tcW w:w="655" w:type="pct"/>
            <w:tcBorders>
              <w:left w:val="single" w:color="auto" w:sz="4" w:space="0"/>
            </w:tcBorders>
            <w:vAlign w:val="center"/>
          </w:tcPr>
          <w:p w14:paraId="5AE01063">
            <w:pPr>
              <w:pStyle w:val="43"/>
              <w:spacing w:before="59"/>
              <w:ind w:right="170"/>
              <w:jc w:val="center"/>
              <w:rPr>
                <w:rFonts w:hint="eastAsia" w:ascii="仿宋" w:hAnsi="仿宋" w:eastAsia="仿宋" w:cs="仿宋"/>
                <w:color w:val="auto"/>
                <w:spacing w:val="-3"/>
                <w:sz w:val="21"/>
                <w:szCs w:val="21"/>
                <w:lang w:val="en-US" w:eastAsia="zh-CN"/>
              </w:rPr>
            </w:pPr>
            <w:r>
              <w:rPr>
                <w:rFonts w:hint="eastAsia" w:ascii="仿宋" w:hAnsi="仿宋" w:eastAsia="仿宋" w:cs="仿宋"/>
                <w:color w:val="auto"/>
                <w:spacing w:val="-3"/>
                <w:sz w:val="21"/>
                <w:szCs w:val="21"/>
                <w:lang w:val="en-US" w:eastAsia="zh-CN"/>
              </w:rPr>
              <w:t>档案库房地址</w:t>
            </w:r>
          </w:p>
        </w:tc>
        <w:tc>
          <w:tcPr>
            <w:tcW w:w="679" w:type="pct"/>
            <w:vAlign w:val="center"/>
          </w:tcPr>
          <w:p w14:paraId="3061EE15">
            <w:pPr>
              <w:keepNext w:val="0"/>
              <w:keepLines w:val="0"/>
              <w:pageBreakBefore w:val="0"/>
              <w:widowControl/>
              <w:kinsoku/>
              <w:wordWrap/>
              <w:overflowPunct/>
              <w:topLinePunct w:val="0"/>
              <w:autoSpaceDE/>
              <w:autoSpaceDN/>
              <w:bidi w:val="0"/>
              <w:adjustRightInd/>
              <w:snapToGrid/>
              <w:spacing w:before="0" w:line="360" w:lineRule="auto"/>
              <w:ind w:right="0"/>
              <w:jc w:val="center"/>
              <w:textAlignment w:val="auto"/>
              <w:rPr>
                <w:rFonts w:hint="default"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5分</w:t>
            </w:r>
          </w:p>
        </w:tc>
        <w:tc>
          <w:tcPr>
            <w:tcW w:w="3365" w:type="pct"/>
            <w:vAlign w:val="center"/>
          </w:tcPr>
          <w:p w14:paraId="1C0ACF9A">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库房地址在成都市五城区（指金牛区、成华区、锦江区、武侯区、青羊区）内的得5分；在大成都范围内（除五城区外的龙泉驿、青白江、新都、温江、双流、郫都、新津、简阳、都江堰、彭州、邛崃、崇州、金堂、大邑、蒲江、成都高新技术产业开发区、成都经济技术开发区、四川天府新区成都直管区、成都东部新区）的，得3分。其余地区不得分（自有库房的提供库房的不动产权证和实景照片；租赁库房的提供租赁合同以及实景照片。）</w:t>
            </w:r>
          </w:p>
        </w:tc>
      </w:tr>
      <w:tr w14:paraId="56B60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7" w:hRule="atLeast"/>
          <w:jc w:val="center"/>
        </w:trPr>
        <w:tc>
          <w:tcPr>
            <w:tcW w:w="299" w:type="pct"/>
            <w:tcBorders>
              <w:top w:val="single" w:color="auto" w:sz="4" w:space="0"/>
              <w:left w:val="single" w:color="auto" w:sz="4" w:space="0"/>
              <w:bottom w:val="single" w:color="auto" w:sz="4" w:space="0"/>
              <w:right w:val="single" w:color="auto" w:sz="4" w:space="0"/>
            </w:tcBorders>
            <w:vAlign w:val="center"/>
          </w:tcPr>
          <w:p w14:paraId="3596DDA8">
            <w:pPr>
              <w:pStyle w:val="43"/>
              <w:spacing w:before="59" w:line="360" w:lineRule="auto"/>
              <w:jc w:val="center"/>
              <w:rPr>
                <w:rFonts w:hint="default" w:ascii="仿宋" w:hAnsi="仿宋" w:eastAsia="仿宋" w:cs="仿宋"/>
                <w:color w:val="auto"/>
                <w:spacing w:val="-5"/>
                <w:sz w:val="21"/>
                <w:szCs w:val="21"/>
                <w:lang w:val="en-US" w:eastAsia="zh-CN"/>
              </w:rPr>
            </w:pPr>
            <w:r>
              <w:rPr>
                <w:rFonts w:hint="eastAsia" w:ascii="仿宋" w:hAnsi="仿宋" w:eastAsia="仿宋" w:cs="仿宋"/>
                <w:color w:val="auto"/>
                <w:spacing w:val="-5"/>
                <w:sz w:val="21"/>
                <w:szCs w:val="21"/>
                <w:lang w:val="en-US" w:eastAsia="zh-CN"/>
              </w:rPr>
              <w:t>7</w:t>
            </w:r>
          </w:p>
        </w:tc>
        <w:tc>
          <w:tcPr>
            <w:tcW w:w="655" w:type="pct"/>
            <w:tcBorders>
              <w:left w:val="single" w:color="auto" w:sz="4" w:space="0"/>
            </w:tcBorders>
            <w:vAlign w:val="center"/>
          </w:tcPr>
          <w:p w14:paraId="578B91D8">
            <w:pPr>
              <w:pStyle w:val="43"/>
              <w:spacing w:before="59"/>
              <w:ind w:right="170"/>
              <w:jc w:val="center"/>
              <w:rPr>
                <w:rFonts w:hint="eastAsia" w:ascii="仿宋" w:hAnsi="仿宋" w:eastAsia="仿宋" w:cs="仿宋"/>
                <w:color w:val="auto"/>
                <w:spacing w:val="-3"/>
                <w:sz w:val="21"/>
                <w:szCs w:val="21"/>
                <w:lang w:val="en-US" w:eastAsia="zh-CN"/>
              </w:rPr>
            </w:pPr>
            <w:r>
              <w:rPr>
                <w:rFonts w:hint="eastAsia" w:ascii="仿宋" w:hAnsi="仿宋" w:eastAsia="仿宋" w:cs="仿宋"/>
                <w:color w:val="auto"/>
                <w:spacing w:val="-3"/>
                <w:sz w:val="21"/>
                <w:szCs w:val="21"/>
                <w:lang w:val="en-US" w:eastAsia="zh-CN"/>
              </w:rPr>
              <w:t>系统演示</w:t>
            </w:r>
          </w:p>
        </w:tc>
        <w:tc>
          <w:tcPr>
            <w:tcW w:w="679" w:type="pct"/>
            <w:vAlign w:val="center"/>
          </w:tcPr>
          <w:p w14:paraId="7F35783D">
            <w:pPr>
              <w:keepNext w:val="0"/>
              <w:keepLines w:val="0"/>
              <w:pageBreakBefore w:val="0"/>
              <w:widowControl/>
              <w:kinsoku/>
              <w:wordWrap/>
              <w:overflowPunct/>
              <w:topLinePunct w:val="0"/>
              <w:autoSpaceDE/>
              <w:autoSpaceDN/>
              <w:bidi w:val="0"/>
              <w:adjustRightInd/>
              <w:snapToGrid/>
              <w:spacing w:before="0" w:line="360" w:lineRule="auto"/>
              <w:ind w:right="0"/>
              <w:jc w:val="center"/>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5分</w:t>
            </w:r>
          </w:p>
        </w:tc>
        <w:tc>
          <w:tcPr>
            <w:tcW w:w="3365" w:type="pct"/>
            <w:vAlign w:val="center"/>
          </w:tcPr>
          <w:p w14:paraId="278B6DDB">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对数字化系统进行演示，演示内容包含（1）人事档案转入（2）转出登记（3）人事档案查阅（4）人事档案借出/归还登记（5）人事档案数字化成果展示，每个得1分，最多得5分，不演示的得0分；</w:t>
            </w:r>
          </w:p>
          <w:p w14:paraId="0D1F6F8C">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注：（1）演示时间：2026年1月26日14:30；</w:t>
            </w:r>
          </w:p>
          <w:p w14:paraId="6FD812EB">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（2）演示时长：10-15分钟（不含提问时间）；</w:t>
            </w:r>
          </w:p>
          <w:p w14:paraId="06B80A84">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（3）演示方式：线上演示（腾讯视频会议号： 881-553-529）；</w:t>
            </w:r>
          </w:p>
          <w:p w14:paraId="7FAEF34C">
            <w:pPr>
              <w:keepNext w:val="0"/>
              <w:keepLines w:val="0"/>
              <w:pageBreakBefore w:val="0"/>
              <w:widowControl/>
              <w:kinsoku/>
              <w:wordWrap/>
              <w:overflowPunct/>
              <w:topLinePunct w:val="0"/>
              <w:autoSpaceDE/>
              <w:autoSpaceDN/>
              <w:bidi w:val="0"/>
              <w:adjustRightInd/>
              <w:snapToGrid/>
              <w:spacing w:before="0" w:line="360" w:lineRule="auto"/>
              <w:ind w:right="0"/>
              <w:jc w:val="both"/>
              <w:textAlignment w:val="auto"/>
              <w:rPr>
                <w:rFonts w:hint="eastAsia" w:ascii="仿宋" w:hAnsi="仿宋" w:eastAsia="仿宋" w:cs="仿宋"/>
                <w:color w:val="auto"/>
                <w:spacing w:val="-2"/>
                <w:kern w:val="2"/>
                <w:sz w:val="21"/>
                <w:szCs w:val="21"/>
                <w:lang w:val="en-US" w:eastAsia="zh-CN" w:bidi="ar-SA"/>
              </w:rPr>
            </w:pPr>
            <w:r>
              <w:rPr>
                <w:rFonts w:hint="eastAsia" w:ascii="仿宋" w:hAnsi="仿宋" w:eastAsia="仿宋" w:cs="仿宋"/>
                <w:color w:val="auto"/>
                <w:spacing w:val="-2"/>
                <w:kern w:val="2"/>
                <w:sz w:val="21"/>
                <w:szCs w:val="21"/>
                <w:lang w:val="en-US" w:eastAsia="zh-CN" w:bidi="ar-SA"/>
              </w:rPr>
              <w:t>（4）供应商应自备演示所需设备，自行搭建演示环境进行演示。</w:t>
            </w:r>
          </w:p>
        </w:tc>
      </w:tr>
    </w:tbl>
    <w:p w14:paraId="7ECA7FEB">
      <w:pPr>
        <w:rPr>
          <w:lang w:val="zh-CN"/>
        </w:rPr>
      </w:pPr>
    </w:p>
    <w:p w14:paraId="7D00ED63">
      <w:r>
        <w:br w:type="page"/>
      </w:r>
    </w:p>
    <w:p w14:paraId="792B7A07"/>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32749"/>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6803"/>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3A124904">
      <w:pPr>
        <w:jc w:val="left"/>
        <w:rPr>
          <w:rFonts w:hint="eastAsia" w:ascii="Times New Roman" w:hAnsi="Times New Roman" w:eastAsia="仿宋" w:cs="Times New Roman"/>
          <w:sz w:val="28"/>
          <w:szCs w:val="24"/>
          <w:lang w:val="en-US" w:eastAsia="zh-CN"/>
        </w:rPr>
      </w:pPr>
      <w:r>
        <w:rPr>
          <w:rFonts w:hint="eastAsia" w:ascii="Times New Roman" w:hAnsi="Times New Roman" w:eastAsia="仿宋" w:cs="Times New Roman"/>
          <w:sz w:val="28"/>
          <w:szCs w:val="24"/>
          <w:lang w:val="en-US" w:eastAsia="zh-CN"/>
        </w:rPr>
        <w:t>邮箱：</w:t>
      </w:r>
    </w:p>
    <w:p w14:paraId="0746BDF5">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6029"/>
      <w:bookmarkStart w:id="51" w:name="_Toc21519"/>
      <w:bookmarkStart w:id="52" w:name="_Toc14829"/>
      <w:bookmarkStart w:id="53" w:name="_Toc11352"/>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4305"/>
      <w:bookmarkStart w:id="56" w:name="_Toc30971"/>
      <w:bookmarkStart w:id="57" w:name="_Toc31838"/>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0589"/>
      <w:bookmarkStart w:id="69" w:name="_Toc27661"/>
      <w:bookmarkStart w:id="70" w:name="_Toc25638"/>
      <w:bookmarkStart w:id="71" w:name="_Toc15526"/>
      <w:bookmarkStart w:id="72" w:name="_Toc11351"/>
      <w:r>
        <w:rPr>
          <w:rStyle w:val="40"/>
          <w:b/>
        </w:rPr>
        <w:t>法定代表人身份证明书</w:t>
      </w:r>
      <w:bookmarkEnd w:id="67"/>
      <w:bookmarkEnd w:id="68"/>
      <w:bookmarkEnd w:id="69"/>
      <w:bookmarkEnd w:id="70"/>
      <w:bookmarkEnd w:id="71"/>
      <w:bookmarkEnd w:id="72"/>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3967"/>
      <w:bookmarkStart w:id="75" w:name="_Toc26969"/>
      <w:bookmarkStart w:id="76" w:name="_Toc12967"/>
      <w:bookmarkStart w:id="77" w:name="_Toc2041"/>
      <w:bookmarkStart w:id="78" w:name="_Toc1074"/>
      <w:r>
        <w:rPr>
          <w:rStyle w:val="40"/>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8634"/>
      <w:bookmarkStart w:id="81" w:name="_Toc31686"/>
      <w:bookmarkStart w:id="82" w:name="_Toc26839"/>
      <w:bookmarkStart w:id="83" w:name="_Toc1369"/>
      <w:bookmarkStart w:id="84" w:name="_Toc21082"/>
      <w:r>
        <w:rPr>
          <w:rStyle w:val="40"/>
          <w:b/>
        </w:rPr>
        <w:t>评分需要提供的证明材料</w:t>
      </w:r>
      <w:bookmarkEnd w:id="79"/>
      <w:bookmarkEnd w:id="80"/>
      <w:bookmarkEnd w:id="81"/>
      <w:bookmarkEnd w:id="82"/>
      <w:bookmarkEnd w:id="83"/>
      <w:bookmarkEnd w:id="84"/>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rPr>
      </w:pPr>
    </w:p>
    <w:tbl>
      <w:tblPr>
        <w:tblStyle w:val="19"/>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058"/>
        <w:gridCol w:w="3510"/>
        <w:gridCol w:w="2373"/>
        <w:gridCol w:w="1660"/>
      </w:tblGrid>
      <w:tr w14:paraId="5999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1" w:hRule="atLeast"/>
          <w:jc w:val="center"/>
        </w:trPr>
        <w:tc>
          <w:tcPr>
            <w:tcW w:w="572" w:type="dxa"/>
            <w:vAlign w:val="center"/>
          </w:tcPr>
          <w:p w14:paraId="19DA5BE8">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2058" w:type="dxa"/>
            <w:vAlign w:val="center"/>
          </w:tcPr>
          <w:p w14:paraId="690483FC">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w:t>
            </w:r>
          </w:p>
        </w:tc>
        <w:tc>
          <w:tcPr>
            <w:tcW w:w="3510" w:type="dxa"/>
            <w:vAlign w:val="center"/>
          </w:tcPr>
          <w:p w14:paraId="6D4836EE">
            <w:pPr>
              <w:pStyle w:val="7"/>
              <w:widowControl w:val="0"/>
              <w:numPr>
                <w:ilvl w:val="0"/>
                <w:numId w:val="0"/>
              </w:numPr>
              <w:ind w:left="0" w:leftChars="0" w:firstLine="0" w:firstLineChars="0"/>
              <w:jc w:val="center"/>
              <w:rPr>
                <w:rFonts w:ascii="Times New Roman" w:hAnsi="Times New Roman" w:eastAsia="仿宋" w:cs="Times New Roman"/>
                <w:kern w:val="0"/>
                <w:szCs w:val="21"/>
                <w:lang w:val="zh-TW" w:eastAsia="zh-TW"/>
              </w:rPr>
            </w:pPr>
            <w:r>
              <w:rPr>
                <w:rFonts w:hint="eastAsia" w:ascii="仿宋" w:hAnsi="仿宋" w:eastAsia="仿宋" w:cs="仿宋"/>
                <w:sz w:val="24"/>
                <w:szCs w:val="24"/>
                <w:vertAlign w:val="baseline"/>
                <w:lang w:val="en-US" w:eastAsia="zh-CN"/>
              </w:rPr>
              <w:t>具体内容</w:t>
            </w:r>
          </w:p>
        </w:tc>
        <w:tc>
          <w:tcPr>
            <w:tcW w:w="2373" w:type="dxa"/>
            <w:vAlign w:val="center"/>
          </w:tcPr>
          <w:p w14:paraId="6B8C0B79">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单价限价统一下浮率</w:t>
            </w:r>
          </w:p>
        </w:tc>
        <w:tc>
          <w:tcPr>
            <w:tcW w:w="1660" w:type="dxa"/>
            <w:vAlign w:val="center"/>
          </w:tcPr>
          <w:p w14:paraId="4952D440">
            <w:pPr>
              <w:spacing w:line="200" w:lineRule="exact"/>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37A9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jc w:val="center"/>
        </w:trPr>
        <w:tc>
          <w:tcPr>
            <w:tcW w:w="572" w:type="dxa"/>
            <w:vAlign w:val="center"/>
          </w:tcPr>
          <w:p w14:paraId="1D9BFDFD">
            <w:pPr>
              <w:pStyle w:val="7"/>
              <w:jc w:val="center"/>
              <w:rPr>
                <w:rFonts w:ascii="Times New Roman" w:hAnsi="Times New Roman" w:eastAsia="仿宋" w:cs="Times New Roman"/>
                <w:szCs w:val="21"/>
              </w:rPr>
            </w:pPr>
            <w:r>
              <w:rPr>
                <w:rFonts w:ascii="Times New Roman" w:hAnsi="Times New Roman" w:eastAsia="仿宋" w:cs="Times New Roman"/>
                <w:szCs w:val="21"/>
              </w:rPr>
              <w:t>1</w:t>
            </w:r>
          </w:p>
        </w:tc>
        <w:tc>
          <w:tcPr>
            <w:tcW w:w="2058" w:type="dxa"/>
            <w:vMerge w:val="restart"/>
            <w:vAlign w:val="center"/>
          </w:tcPr>
          <w:p w14:paraId="046BA3C3">
            <w:pPr>
              <w:pStyle w:val="7"/>
              <w:jc w:val="center"/>
              <w:rPr>
                <w:rFonts w:ascii="Times New Roman" w:hAnsi="Times New Roman" w:eastAsia="仿宋" w:cs="Times New Roman"/>
                <w:szCs w:val="21"/>
              </w:rPr>
            </w:pPr>
            <w:r>
              <w:rPr>
                <w:rFonts w:hint="eastAsia" w:ascii="仿宋" w:hAnsi="仿宋" w:eastAsia="仿宋" w:cs="仿宋"/>
                <w:sz w:val="24"/>
                <w:szCs w:val="24"/>
                <w:vertAlign w:val="baseline"/>
                <w:lang w:val="en-US" w:eastAsia="zh-CN"/>
              </w:rPr>
              <w:t>人事档案代理服务</w:t>
            </w:r>
          </w:p>
        </w:tc>
        <w:tc>
          <w:tcPr>
            <w:tcW w:w="3510" w:type="dxa"/>
            <w:vAlign w:val="center"/>
          </w:tcPr>
          <w:p w14:paraId="307622F1">
            <w:pPr>
              <w:pStyle w:val="7"/>
              <w:rPr>
                <w:rFonts w:ascii="Times New Roman" w:hAnsi="Times New Roman" w:eastAsia="仿宋" w:cs="Times New Roman"/>
                <w:szCs w:val="21"/>
              </w:rPr>
            </w:pPr>
            <w:r>
              <w:rPr>
                <w:rFonts w:hint="eastAsia" w:ascii="仿宋" w:hAnsi="仿宋" w:eastAsia="仿宋" w:cs="仿宋"/>
                <w:sz w:val="24"/>
                <w:szCs w:val="24"/>
                <w:highlight w:val="none"/>
              </w:rPr>
              <w:t>人事档案整理</w:t>
            </w:r>
          </w:p>
        </w:tc>
        <w:tc>
          <w:tcPr>
            <w:tcW w:w="2373" w:type="dxa"/>
            <w:vMerge w:val="restart"/>
            <w:vAlign w:val="center"/>
          </w:tcPr>
          <w:p w14:paraId="24B8D476">
            <w:pPr>
              <w:pStyle w:val="7"/>
              <w:jc w:val="center"/>
              <w:rPr>
                <w:rFonts w:hint="eastAsia" w:ascii="Times New Roman" w:hAnsi="Times New Roman" w:eastAsia="仿宋" w:cs="Times New Roman"/>
                <w:szCs w:val="21"/>
                <w:lang w:val="en-US" w:eastAsia="zh-CN"/>
              </w:rPr>
            </w:pPr>
            <w:r>
              <w:rPr>
                <w:rFonts w:hint="eastAsia" w:ascii="Times New Roman" w:hAnsi="Times New Roman" w:eastAsia="仿宋" w:cs="Times New Roman"/>
                <w:szCs w:val="21"/>
                <w:u w:val="single"/>
                <w:lang w:val="en-US" w:eastAsia="zh-CN"/>
              </w:rPr>
              <w:t xml:space="preserve">       </w:t>
            </w:r>
            <w:r>
              <w:rPr>
                <w:rFonts w:hint="eastAsia" w:ascii="Times New Roman" w:hAnsi="Times New Roman" w:eastAsia="仿宋" w:cs="Times New Roman"/>
                <w:szCs w:val="21"/>
                <w:lang w:val="en-US" w:eastAsia="zh-CN"/>
              </w:rPr>
              <w:t>%</w:t>
            </w:r>
          </w:p>
        </w:tc>
        <w:tc>
          <w:tcPr>
            <w:tcW w:w="1660" w:type="dxa"/>
            <w:vMerge w:val="restart"/>
            <w:vAlign w:val="center"/>
          </w:tcPr>
          <w:p w14:paraId="2EF82F96">
            <w:pPr>
              <w:pStyle w:val="7"/>
              <w:jc w:val="center"/>
              <w:rPr>
                <w:rFonts w:hint="eastAsia" w:ascii="Times New Roman" w:hAnsi="Times New Roman" w:eastAsia="仿宋" w:cs="Times New Roman"/>
                <w:szCs w:val="21"/>
                <w:u w:val="single"/>
                <w:lang w:val="en-US" w:eastAsia="zh-CN"/>
              </w:rPr>
            </w:pPr>
            <w:r>
              <w:rPr>
                <w:rFonts w:hint="eastAsia" w:ascii="Times New Roman" w:hAnsi="Times New Roman" w:eastAsia="仿宋" w:cs="Times New Roman"/>
                <w:sz w:val="24"/>
                <w:szCs w:val="24"/>
                <w:u w:val="none"/>
                <w:lang w:val="en-US" w:eastAsia="zh-CN"/>
              </w:rPr>
              <w:t>下浮率即折扣率，是指价格减让与原价的百分率。如下浮率20%，成交价格=限价×（1-20%）</w:t>
            </w:r>
          </w:p>
        </w:tc>
      </w:tr>
      <w:tr w14:paraId="05CB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3" w:hRule="atLeast"/>
          <w:jc w:val="center"/>
        </w:trPr>
        <w:tc>
          <w:tcPr>
            <w:tcW w:w="572" w:type="dxa"/>
            <w:vAlign w:val="center"/>
          </w:tcPr>
          <w:p w14:paraId="72B8B16F">
            <w:pPr>
              <w:pStyle w:val="7"/>
              <w:jc w:val="center"/>
              <w:rPr>
                <w:rFonts w:ascii="Times New Roman" w:hAnsi="Times New Roman" w:eastAsia="仿宋" w:cs="Times New Roman"/>
                <w:szCs w:val="21"/>
              </w:rPr>
            </w:pPr>
            <w:r>
              <w:rPr>
                <w:rFonts w:ascii="Times New Roman" w:hAnsi="Times New Roman" w:eastAsia="仿宋" w:cs="Times New Roman"/>
                <w:szCs w:val="21"/>
              </w:rPr>
              <w:t>2</w:t>
            </w:r>
          </w:p>
        </w:tc>
        <w:tc>
          <w:tcPr>
            <w:tcW w:w="2058" w:type="dxa"/>
            <w:vMerge w:val="continue"/>
            <w:vAlign w:val="center"/>
          </w:tcPr>
          <w:p w14:paraId="327BD561">
            <w:pPr>
              <w:pStyle w:val="7"/>
              <w:jc w:val="center"/>
              <w:rPr>
                <w:rFonts w:ascii="Times New Roman" w:hAnsi="Times New Roman" w:eastAsia="仿宋" w:cs="Times New Roman"/>
                <w:szCs w:val="21"/>
              </w:rPr>
            </w:pPr>
          </w:p>
        </w:tc>
        <w:tc>
          <w:tcPr>
            <w:tcW w:w="3510" w:type="dxa"/>
            <w:vAlign w:val="center"/>
          </w:tcPr>
          <w:p w14:paraId="53B5ACD9">
            <w:pPr>
              <w:pStyle w:val="7"/>
              <w:rPr>
                <w:rFonts w:ascii="Times New Roman" w:hAnsi="Times New Roman" w:eastAsia="仿宋" w:cs="Times New Roman"/>
                <w:szCs w:val="21"/>
              </w:rPr>
            </w:pPr>
            <w:r>
              <w:rPr>
                <w:rFonts w:hint="eastAsia" w:ascii="仿宋" w:hAnsi="仿宋" w:eastAsia="仿宋" w:cs="仿宋"/>
                <w:sz w:val="24"/>
                <w:szCs w:val="24"/>
              </w:rPr>
              <w:t>人事档案数字化扫描</w:t>
            </w:r>
          </w:p>
        </w:tc>
        <w:tc>
          <w:tcPr>
            <w:tcW w:w="2373" w:type="dxa"/>
            <w:vMerge w:val="continue"/>
            <w:vAlign w:val="center"/>
          </w:tcPr>
          <w:p w14:paraId="74AA9069">
            <w:pPr>
              <w:pStyle w:val="7"/>
              <w:jc w:val="center"/>
              <w:rPr>
                <w:rFonts w:ascii="Times New Roman" w:hAnsi="Times New Roman" w:eastAsia="仿宋" w:cs="Times New Roman"/>
                <w:szCs w:val="21"/>
              </w:rPr>
            </w:pPr>
          </w:p>
        </w:tc>
        <w:tc>
          <w:tcPr>
            <w:tcW w:w="1660" w:type="dxa"/>
            <w:vMerge w:val="continue"/>
            <w:vAlign w:val="center"/>
          </w:tcPr>
          <w:p w14:paraId="5A7B7A65">
            <w:pPr>
              <w:pStyle w:val="7"/>
              <w:jc w:val="center"/>
              <w:rPr>
                <w:rFonts w:ascii="Times New Roman" w:hAnsi="Times New Roman" w:eastAsia="仿宋" w:cs="Times New Roman"/>
                <w:szCs w:val="21"/>
              </w:rPr>
            </w:pPr>
          </w:p>
        </w:tc>
      </w:tr>
      <w:tr w14:paraId="4CE91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4" w:hRule="atLeast"/>
          <w:jc w:val="center"/>
        </w:trPr>
        <w:tc>
          <w:tcPr>
            <w:tcW w:w="572" w:type="dxa"/>
            <w:vAlign w:val="center"/>
          </w:tcPr>
          <w:p w14:paraId="2F03C033">
            <w:pPr>
              <w:pStyle w:val="7"/>
              <w:jc w:val="center"/>
              <w:rPr>
                <w:rFonts w:ascii="Times New Roman" w:hAnsi="Times New Roman" w:eastAsia="仿宋" w:cs="Times New Roman"/>
                <w:szCs w:val="21"/>
              </w:rPr>
            </w:pPr>
            <w:r>
              <w:rPr>
                <w:rFonts w:ascii="Times New Roman" w:hAnsi="Times New Roman" w:eastAsia="仿宋" w:cs="Times New Roman"/>
                <w:szCs w:val="21"/>
              </w:rPr>
              <w:t>3</w:t>
            </w:r>
          </w:p>
        </w:tc>
        <w:tc>
          <w:tcPr>
            <w:tcW w:w="2058" w:type="dxa"/>
            <w:vMerge w:val="continue"/>
            <w:vAlign w:val="center"/>
          </w:tcPr>
          <w:p w14:paraId="3DF13C58">
            <w:pPr>
              <w:pStyle w:val="7"/>
              <w:jc w:val="center"/>
              <w:rPr>
                <w:rFonts w:ascii="Times New Roman" w:hAnsi="Times New Roman" w:eastAsia="仿宋" w:cs="Times New Roman"/>
                <w:szCs w:val="21"/>
              </w:rPr>
            </w:pPr>
          </w:p>
        </w:tc>
        <w:tc>
          <w:tcPr>
            <w:tcW w:w="3510" w:type="dxa"/>
            <w:vAlign w:val="center"/>
          </w:tcPr>
          <w:p w14:paraId="6AA4D14F">
            <w:pPr>
              <w:pStyle w:val="7"/>
              <w:rPr>
                <w:rFonts w:ascii="Times New Roman" w:hAnsi="Times New Roman" w:eastAsia="仿宋" w:cs="Times New Roman"/>
                <w:szCs w:val="21"/>
              </w:rPr>
            </w:pPr>
            <w:r>
              <w:rPr>
                <w:rFonts w:hint="eastAsia" w:ascii="仿宋" w:hAnsi="仿宋" w:eastAsia="仿宋" w:cs="仿宋"/>
                <w:sz w:val="24"/>
                <w:szCs w:val="24"/>
                <w:highlight w:val="none"/>
              </w:rPr>
              <w:t>提供档案接收、保管、转递服务</w:t>
            </w:r>
          </w:p>
        </w:tc>
        <w:tc>
          <w:tcPr>
            <w:tcW w:w="2373" w:type="dxa"/>
            <w:vMerge w:val="continue"/>
            <w:vAlign w:val="center"/>
          </w:tcPr>
          <w:p w14:paraId="0EB43B42">
            <w:pPr>
              <w:pStyle w:val="7"/>
              <w:jc w:val="center"/>
              <w:rPr>
                <w:rFonts w:ascii="Times New Roman" w:hAnsi="Times New Roman" w:eastAsia="仿宋" w:cs="Times New Roman"/>
                <w:szCs w:val="21"/>
              </w:rPr>
            </w:pPr>
          </w:p>
        </w:tc>
        <w:tc>
          <w:tcPr>
            <w:tcW w:w="1660" w:type="dxa"/>
            <w:vMerge w:val="continue"/>
            <w:vAlign w:val="center"/>
          </w:tcPr>
          <w:p w14:paraId="54CBEA87">
            <w:pPr>
              <w:pStyle w:val="7"/>
              <w:jc w:val="center"/>
              <w:rPr>
                <w:rFonts w:ascii="Times New Roman" w:hAnsi="Times New Roman" w:eastAsia="仿宋" w:cs="Times New Roman"/>
                <w:szCs w:val="21"/>
              </w:rPr>
            </w:pPr>
          </w:p>
        </w:tc>
      </w:tr>
    </w:tbl>
    <w:p w14:paraId="0638EA0A">
      <w:pPr>
        <w:pStyle w:val="7"/>
        <w:rPr>
          <w:rFonts w:ascii="Times New Roman" w:hAnsi="Times New Roman" w:eastAsia="仿宋" w:cs="Times New Roman"/>
          <w:szCs w:val="21"/>
        </w:rPr>
      </w:pPr>
    </w:p>
    <w:p w14:paraId="2542FB3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09EBCE2A">
      <w:pPr>
        <w:rPr>
          <w:rFonts w:ascii="Times New Roman" w:hAnsi="Times New Roman" w:cs="Times New Roman"/>
          <w:b/>
          <w:bCs/>
          <w:sz w:val="44"/>
          <w:szCs w:val="52"/>
        </w:rPr>
      </w:pPr>
      <w:r>
        <w:rPr>
          <w:rFonts w:ascii="Times New Roman" w:hAnsi="Times New Roman" w:cs="Times New Roman"/>
          <w:b/>
          <w:bCs/>
          <w:sz w:val="44"/>
          <w:szCs w:val="52"/>
        </w:rPr>
        <w:t>...</w:t>
      </w:r>
    </w:p>
    <w:p w14:paraId="2D744FF1">
      <w:pPr>
        <w:pStyle w:val="41"/>
        <w:rPr>
          <w:sz w:val="48"/>
          <w:szCs w:val="48"/>
        </w:rPr>
      </w:pPr>
      <w:r>
        <w:rPr>
          <w:rFonts w:ascii="Times New Roman" w:hAnsi="Times New Roman" w:cs="Times New Roman"/>
          <w:b/>
          <w:bCs/>
          <w:sz w:val="44"/>
          <w:szCs w:val="52"/>
        </w:rPr>
        <w:br w:type="page"/>
      </w:r>
      <w:r>
        <w:rPr>
          <w:rFonts w:hint="eastAsia"/>
          <w:sz w:val="48"/>
          <w:szCs w:val="48"/>
        </w:rPr>
        <w:t>*</w:t>
      </w:r>
      <w:r>
        <w:rPr>
          <w:sz w:val="48"/>
          <w:szCs w:val="48"/>
        </w:rPr>
        <w:t>**</w:t>
      </w:r>
      <w:r>
        <w:rPr>
          <w:rFonts w:hint="eastAsia"/>
          <w:sz w:val="48"/>
          <w:szCs w:val="48"/>
        </w:rPr>
        <w:t>服务项目</w:t>
      </w:r>
    </w:p>
    <w:p w14:paraId="622B975B">
      <w:pPr>
        <w:pStyle w:val="41"/>
        <w:rPr>
          <w:sz w:val="48"/>
          <w:szCs w:val="48"/>
        </w:rPr>
      </w:pPr>
      <w:r>
        <w:rPr>
          <w:rFonts w:hint="eastAsia"/>
          <w:sz w:val="48"/>
          <w:szCs w:val="48"/>
        </w:rPr>
        <w:t>采购</w:t>
      </w:r>
      <w:r>
        <w:rPr>
          <w:sz w:val="48"/>
          <w:szCs w:val="48"/>
        </w:rPr>
        <w:t>合同</w:t>
      </w:r>
    </w:p>
    <w:p w14:paraId="3987C57D">
      <w:pPr>
        <w:rPr>
          <w:sz w:val="24"/>
        </w:rPr>
        <w:sectPr>
          <w:headerReference r:id="rId6" w:type="default"/>
          <w:footerReference r:id="rId7" w:type="default"/>
          <w:footerReference r:id="rId8" w:type="even"/>
          <w:pgSz w:w="11906" w:h="16838"/>
          <w:pgMar w:top="1134" w:right="1134" w:bottom="1134" w:left="1134" w:header="850" w:footer="567" w:gutter="0"/>
          <w:cols w:space="425" w:num="1"/>
          <w:docGrid w:linePitch="312" w:charSpace="0"/>
        </w:sectPr>
      </w:pP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7"/>
        </w:numPr>
        <w:ind w:left="0" w:firstLine="0" w:firstLineChars="0"/>
        <w:contextualSpacing/>
        <w:jc w:val="left"/>
        <w:rPr>
          <w:b/>
          <w:szCs w:val="21"/>
        </w:rPr>
      </w:pPr>
      <w:r>
        <w:rPr>
          <w:b/>
          <w:szCs w:val="21"/>
        </w:rPr>
        <w:t>合同标的</w:t>
      </w:r>
    </w:p>
    <w:p w14:paraId="2E385537">
      <w:pPr>
        <w:pStyle w:val="9"/>
        <w:numPr>
          <w:ilvl w:val="0"/>
          <w:numId w:val="18"/>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8"/>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8"/>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7"/>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7"/>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7"/>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7"/>
        </w:numPr>
        <w:ind w:left="0" w:firstLine="0" w:firstLineChars="0"/>
        <w:contextualSpacing/>
        <w:jc w:val="left"/>
        <w:rPr>
          <w:b/>
          <w:szCs w:val="21"/>
        </w:rPr>
      </w:pPr>
      <w:r>
        <w:rPr>
          <w:b/>
          <w:szCs w:val="21"/>
        </w:rPr>
        <w:t>验收</w:t>
      </w:r>
    </w:p>
    <w:p w14:paraId="57707485">
      <w:pPr>
        <w:pStyle w:val="29"/>
        <w:numPr>
          <w:ilvl w:val="0"/>
          <w:numId w:val="19"/>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9"/>
        </w:numPr>
        <w:ind w:left="0" w:firstLine="0" w:firstLineChars="0"/>
        <w:contextualSpacing/>
        <w:rPr>
          <w:szCs w:val="21"/>
        </w:rPr>
      </w:pPr>
      <w:r>
        <w:rPr>
          <w:szCs w:val="21"/>
        </w:rPr>
        <w:t>验收方案：</w:t>
      </w:r>
    </w:p>
    <w:p w14:paraId="10719FFA">
      <w:pPr>
        <w:pStyle w:val="29"/>
        <w:numPr>
          <w:ilvl w:val="0"/>
          <w:numId w:val="20"/>
        </w:numPr>
        <w:ind w:firstLineChars="0"/>
        <w:contextualSpacing/>
        <w:rPr>
          <w:color w:val="000000"/>
          <w:szCs w:val="21"/>
        </w:rPr>
      </w:pPr>
      <w:r>
        <w:rPr>
          <w:rFonts w:hint="eastAsia"/>
          <w:color w:val="000000"/>
          <w:szCs w:val="21"/>
        </w:rPr>
        <w:t>验收主体：甲方</w:t>
      </w:r>
    </w:p>
    <w:p w14:paraId="7212F6E2">
      <w:pPr>
        <w:pStyle w:val="29"/>
        <w:numPr>
          <w:ilvl w:val="0"/>
          <w:numId w:val="20"/>
        </w:numPr>
        <w:ind w:firstLineChars="0"/>
        <w:contextualSpacing/>
        <w:rPr>
          <w:color w:val="000000"/>
          <w:szCs w:val="21"/>
        </w:rPr>
      </w:pPr>
      <w:r>
        <w:rPr>
          <w:rFonts w:hint="eastAsia"/>
          <w:color w:val="000000"/>
          <w:szCs w:val="21"/>
        </w:rPr>
        <w:t>验收组织方式：自行验收</w:t>
      </w:r>
    </w:p>
    <w:p w14:paraId="5C963DBA">
      <w:pPr>
        <w:pStyle w:val="29"/>
        <w:numPr>
          <w:ilvl w:val="0"/>
          <w:numId w:val="20"/>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20"/>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20"/>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20"/>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20"/>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20"/>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20"/>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20"/>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20"/>
        </w:numPr>
        <w:ind w:firstLineChars="0"/>
        <w:contextualSpacing/>
        <w:rPr>
          <w:szCs w:val="21"/>
        </w:rPr>
      </w:pPr>
      <w:r>
        <w:rPr>
          <w:szCs w:val="21"/>
        </w:rPr>
        <w:t>验收标准：</w:t>
      </w:r>
    </w:p>
    <w:p w14:paraId="24757C73">
      <w:pPr>
        <w:pStyle w:val="16"/>
        <w:numPr>
          <w:ilvl w:val="0"/>
          <w:numId w:val="21"/>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21"/>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21"/>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21"/>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21"/>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21"/>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20"/>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9"/>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7"/>
        </w:numPr>
        <w:ind w:left="0" w:firstLine="0" w:firstLineChars="0"/>
        <w:contextualSpacing/>
        <w:jc w:val="left"/>
        <w:rPr>
          <w:b/>
          <w:szCs w:val="21"/>
        </w:rPr>
      </w:pPr>
      <w:r>
        <w:rPr>
          <w:b/>
          <w:szCs w:val="21"/>
        </w:rPr>
        <w:t>付款方式</w:t>
      </w:r>
    </w:p>
    <w:p w14:paraId="5CC20725">
      <w:pPr>
        <w:pStyle w:val="9"/>
        <w:numPr>
          <w:ilvl w:val="0"/>
          <w:numId w:val="22"/>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22"/>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22"/>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22"/>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7"/>
        </w:numPr>
        <w:ind w:left="0" w:firstLine="0" w:firstLineChars="0"/>
        <w:contextualSpacing/>
        <w:jc w:val="left"/>
        <w:rPr>
          <w:b/>
          <w:szCs w:val="21"/>
        </w:rPr>
      </w:pPr>
      <w:r>
        <w:rPr>
          <w:b/>
          <w:szCs w:val="21"/>
        </w:rPr>
        <w:t>双方权利与义务</w:t>
      </w:r>
    </w:p>
    <w:p w14:paraId="581F8AA0">
      <w:pPr>
        <w:pStyle w:val="9"/>
        <w:numPr>
          <w:ilvl w:val="0"/>
          <w:numId w:val="23"/>
        </w:numPr>
        <w:spacing w:after="0" w:line="240" w:lineRule="auto"/>
        <w:ind w:left="227" w:leftChars="0" w:hanging="227"/>
        <w:contextualSpacing/>
        <w:jc w:val="left"/>
        <w:rPr>
          <w:szCs w:val="21"/>
        </w:rPr>
      </w:pPr>
      <w:r>
        <w:rPr>
          <w:szCs w:val="21"/>
        </w:rPr>
        <w:t>甲方权利与义务</w:t>
      </w:r>
    </w:p>
    <w:p w14:paraId="4D16113D">
      <w:pPr>
        <w:pStyle w:val="29"/>
        <w:numPr>
          <w:ilvl w:val="0"/>
          <w:numId w:val="24"/>
        </w:numPr>
        <w:adjustRightInd w:val="0"/>
        <w:ind w:left="525" w:hanging="525" w:hangingChars="250"/>
        <w:contextualSpacing/>
        <w:jc w:val="left"/>
        <w:rPr>
          <w:szCs w:val="21"/>
        </w:rPr>
      </w:pPr>
      <w:r>
        <w:rPr>
          <w:szCs w:val="21"/>
        </w:rPr>
        <w:t>按合同约定向乙方支付费用。</w:t>
      </w:r>
    </w:p>
    <w:p w14:paraId="62A02753">
      <w:pPr>
        <w:pStyle w:val="29"/>
        <w:numPr>
          <w:ilvl w:val="0"/>
          <w:numId w:val="24"/>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24"/>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24"/>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23"/>
        </w:numPr>
        <w:spacing w:after="0" w:line="240" w:lineRule="auto"/>
        <w:ind w:left="227" w:leftChars="0" w:hanging="227"/>
        <w:contextualSpacing/>
        <w:jc w:val="left"/>
        <w:rPr>
          <w:szCs w:val="21"/>
        </w:rPr>
      </w:pPr>
      <w:r>
        <w:rPr>
          <w:szCs w:val="21"/>
        </w:rPr>
        <w:t>乙方权利与义务</w:t>
      </w:r>
    </w:p>
    <w:p w14:paraId="319B30B1">
      <w:pPr>
        <w:pStyle w:val="9"/>
        <w:numPr>
          <w:ilvl w:val="0"/>
          <w:numId w:val="25"/>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5"/>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5"/>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5"/>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5"/>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7"/>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6"/>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6"/>
        </w:numPr>
        <w:ind w:left="0" w:firstLine="0" w:firstLineChars="0"/>
        <w:rPr>
          <w:szCs w:val="21"/>
        </w:rPr>
      </w:pPr>
      <w:r>
        <w:rPr>
          <w:szCs w:val="21"/>
        </w:rPr>
        <w:t>乙方违约责任：</w:t>
      </w:r>
    </w:p>
    <w:p w14:paraId="354B31C5">
      <w:pPr>
        <w:pStyle w:val="9"/>
        <w:numPr>
          <w:ilvl w:val="0"/>
          <w:numId w:val="27"/>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7"/>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7"/>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7"/>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7"/>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7"/>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7"/>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7"/>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7"/>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7"/>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7"/>
        </w:numPr>
        <w:ind w:left="0" w:firstLine="0" w:firstLineChars="0"/>
        <w:contextualSpacing/>
        <w:jc w:val="left"/>
        <w:rPr>
          <w:b/>
          <w:szCs w:val="21"/>
        </w:rPr>
      </w:pPr>
      <w:r>
        <w:rPr>
          <w:b/>
          <w:szCs w:val="21"/>
        </w:rPr>
        <w:t>合同终止及解除</w:t>
      </w:r>
    </w:p>
    <w:p w14:paraId="275C61D9">
      <w:pPr>
        <w:pStyle w:val="29"/>
        <w:numPr>
          <w:ilvl w:val="0"/>
          <w:numId w:val="28"/>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8"/>
        </w:numPr>
        <w:ind w:left="0" w:firstLine="0" w:firstLineChars="0"/>
        <w:rPr>
          <w:szCs w:val="21"/>
        </w:rPr>
      </w:pPr>
      <w:r>
        <w:rPr>
          <w:szCs w:val="21"/>
        </w:rPr>
        <w:t>在甲、乙任何一方有严重违约行为时，另一方有权单方解除合同。</w:t>
      </w:r>
    </w:p>
    <w:p w14:paraId="2BA7B89E">
      <w:pPr>
        <w:pStyle w:val="29"/>
        <w:numPr>
          <w:ilvl w:val="0"/>
          <w:numId w:val="17"/>
        </w:numPr>
        <w:ind w:left="0" w:firstLine="0" w:firstLineChars="0"/>
        <w:contextualSpacing/>
        <w:jc w:val="left"/>
        <w:rPr>
          <w:b/>
          <w:szCs w:val="21"/>
        </w:rPr>
      </w:pPr>
      <w:r>
        <w:rPr>
          <w:b/>
          <w:szCs w:val="21"/>
        </w:rPr>
        <w:t>争议解决办法</w:t>
      </w:r>
    </w:p>
    <w:p w14:paraId="5C6244A3">
      <w:pPr>
        <w:pStyle w:val="29"/>
        <w:numPr>
          <w:ilvl w:val="0"/>
          <w:numId w:val="29"/>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9"/>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7"/>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30"/>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30"/>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30"/>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7"/>
        </w:numPr>
        <w:ind w:left="0" w:firstLine="0" w:firstLineChars="0"/>
        <w:contextualSpacing/>
        <w:jc w:val="left"/>
        <w:rPr>
          <w:b/>
          <w:szCs w:val="21"/>
        </w:rPr>
      </w:pPr>
      <w:r>
        <w:rPr>
          <w:b/>
          <w:szCs w:val="21"/>
        </w:rPr>
        <w:t>其他</w:t>
      </w:r>
    </w:p>
    <w:p w14:paraId="162904B6">
      <w:pPr>
        <w:pStyle w:val="29"/>
        <w:numPr>
          <w:ilvl w:val="0"/>
          <w:numId w:val="31"/>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31"/>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7"/>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1A128CAE">
      <w:pPr>
        <w:widowControl/>
        <w:jc w:val="left"/>
        <w:rPr>
          <w:szCs w:val="21"/>
        </w:rPr>
        <w:sectPr>
          <w:type w:val="continuous"/>
          <w:pgSz w:w="11906" w:h="16838"/>
          <w:pgMar w:top="851" w:right="1134" w:bottom="851" w:left="1134" w:header="0" w:footer="567" w:gutter="0"/>
          <w:cols w:space="425" w:num="1"/>
          <w:docGrid w:linePitch="312" w:charSpace="0"/>
        </w:sectPr>
      </w:pPr>
    </w:p>
    <w:p w14:paraId="7B4B943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rPr>
            </w:pPr>
            <w:r>
              <w:rPr>
                <w:rFonts w:hint="eastAsia"/>
                <w:b/>
                <w:bCs/>
                <w:szCs w:val="21"/>
              </w:rPr>
              <w:t>序号</w:t>
            </w:r>
          </w:p>
        </w:tc>
        <w:tc>
          <w:tcPr>
            <w:tcW w:w="3686" w:type="dxa"/>
            <w:vAlign w:val="center"/>
          </w:tcPr>
          <w:p w14:paraId="6C23FD50">
            <w:pPr>
              <w:widowControl/>
              <w:jc w:val="center"/>
              <w:rPr>
                <w:b/>
                <w:bCs/>
                <w:szCs w:val="21"/>
              </w:rPr>
            </w:pPr>
            <w:r>
              <w:rPr>
                <w:rFonts w:hint="eastAsia"/>
                <w:b/>
                <w:bCs/>
                <w:szCs w:val="21"/>
              </w:rPr>
              <w:t>结算项目名称</w:t>
            </w:r>
          </w:p>
        </w:tc>
        <w:tc>
          <w:tcPr>
            <w:tcW w:w="3402" w:type="dxa"/>
            <w:vAlign w:val="center"/>
          </w:tcPr>
          <w:p w14:paraId="3BB9E94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jc w:val="center"/>
              <w:rPr>
                <w:b/>
                <w:bCs/>
                <w:szCs w:val="21"/>
              </w:rPr>
            </w:pPr>
            <w:r>
              <w:rPr>
                <w:rFonts w:hint="eastAsia"/>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rPr>
            </w:pPr>
            <w:r>
              <w:rPr>
                <w:rFonts w:hint="eastAsia"/>
                <w:szCs w:val="21"/>
              </w:rPr>
              <w:t>1</w:t>
            </w:r>
          </w:p>
        </w:tc>
        <w:tc>
          <w:tcPr>
            <w:tcW w:w="3686" w:type="dxa"/>
            <w:vAlign w:val="center"/>
          </w:tcPr>
          <w:p w14:paraId="4A635D96">
            <w:pPr>
              <w:widowControl/>
              <w:jc w:val="left"/>
              <w:rPr>
                <w:szCs w:val="21"/>
              </w:rPr>
            </w:pPr>
          </w:p>
        </w:tc>
        <w:tc>
          <w:tcPr>
            <w:tcW w:w="3402" w:type="dxa"/>
            <w:vAlign w:val="center"/>
          </w:tcPr>
          <w:p w14:paraId="610A0DF8">
            <w:pPr>
              <w:widowControl/>
              <w:jc w:val="left"/>
              <w:rPr>
                <w:szCs w:val="21"/>
              </w:rPr>
            </w:pPr>
          </w:p>
        </w:tc>
        <w:tc>
          <w:tcPr>
            <w:tcW w:w="992" w:type="dxa"/>
            <w:vAlign w:val="center"/>
          </w:tcPr>
          <w:p w14:paraId="59C6D210">
            <w:pPr>
              <w:widowControl/>
              <w:jc w:val="center"/>
              <w:rPr>
                <w:szCs w:val="21"/>
              </w:rPr>
            </w:pPr>
          </w:p>
        </w:tc>
        <w:tc>
          <w:tcPr>
            <w:tcW w:w="986" w:type="dxa"/>
            <w:vAlign w:val="center"/>
          </w:tcPr>
          <w:p w14:paraId="3B758A07">
            <w:pPr>
              <w:widowControl/>
              <w:jc w:val="center"/>
              <w:rPr>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rPr>
            </w:pPr>
            <w:r>
              <w:rPr>
                <w:rFonts w:hint="eastAsia"/>
                <w:szCs w:val="21"/>
              </w:rPr>
              <w:t>2</w:t>
            </w:r>
          </w:p>
        </w:tc>
        <w:tc>
          <w:tcPr>
            <w:tcW w:w="3686" w:type="dxa"/>
            <w:vAlign w:val="center"/>
          </w:tcPr>
          <w:p w14:paraId="2C25F4E1">
            <w:pPr>
              <w:widowControl/>
              <w:jc w:val="left"/>
              <w:rPr>
                <w:szCs w:val="21"/>
              </w:rPr>
            </w:pPr>
          </w:p>
        </w:tc>
        <w:tc>
          <w:tcPr>
            <w:tcW w:w="3402" w:type="dxa"/>
            <w:vAlign w:val="center"/>
          </w:tcPr>
          <w:p w14:paraId="473015E2">
            <w:pPr>
              <w:widowControl/>
              <w:jc w:val="left"/>
              <w:rPr>
                <w:szCs w:val="21"/>
              </w:rPr>
            </w:pPr>
          </w:p>
        </w:tc>
        <w:tc>
          <w:tcPr>
            <w:tcW w:w="992" w:type="dxa"/>
            <w:vAlign w:val="center"/>
          </w:tcPr>
          <w:p w14:paraId="1AC45725">
            <w:pPr>
              <w:widowControl/>
              <w:jc w:val="center"/>
              <w:rPr>
                <w:szCs w:val="21"/>
              </w:rPr>
            </w:pPr>
          </w:p>
        </w:tc>
        <w:tc>
          <w:tcPr>
            <w:tcW w:w="986" w:type="dxa"/>
            <w:vAlign w:val="center"/>
          </w:tcPr>
          <w:p w14:paraId="794FEA53">
            <w:pPr>
              <w:widowControl/>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rPr>
            </w:pPr>
            <w:r>
              <w:rPr>
                <w:szCs w:val="21"/>
              </w:rPr>
              <w:t>…</w:t>
            </w:r>
          </w:p>
        </w:tc>
        <w:tc>
          <w:tcPr>
            <w:tcW w:w="3686" w:type="dxa"/>
            <w:vAlign w:val="center"/>
          </w:tcPr>
          <w:p w14:paraId="09F89178">
            <w:pPr>
              <w:widowControl/>
              <w:jc w:val="left"/>
              <w:rPr>
                <w:szCs w:val="21"/>
              </w:rPr>
            </w:pPr>
          </w:p>
        </w:tc>
        <w:tc>
          <w:tcPr>
            <w:tcW w:w="3402" w:type="dxa"/>
            <w:vAlign w:val="center"/>
          </w:tcPr>
          <w:p w14:paraId="1FF16C42">
            <w:pPr>
              <w:widowControl/>
              <w:jc w:val="left"/>
              <w:rPr>
                <w:szCs w:val="21"/>
              </w:rPr>
            </w:pPr>
          </w:p>
        </w:tc>
        <w:tc>
          <w:tcPr>
            <w:tcW w:w="992" w:type="dxa"/>
            <w:vAlign w:val="center"/>
          </w:tcPr>
          <w:p w14:paraId="0BD2D448">
            <w:pPr>
              <w:widowControl/>
              <w:jc w:val="center"/>
              <w:rPr>
                <w:szCs w:val="21"/>
              </w:rPr>
            </w:pPr>
          </w:p>
        </w:tc>
        <w:tc>
          <w:tcPr>
            <w:tcW w:w="986" w:type="dxa"/>
            <w:vAlign w:val="center"/>
          </w:tcPr>
          <w:p w14:paraId="32267964">
            <w:pPr>
              <w:widowControl/>
              <w:jc w:val="center"/>
              <w:rPr>
                <w:szCs w:val="21"/>
              </w:rPr>
            </w:pPr>
          </w:p>
        </w:tc>
      </w:tr>
    </w:tbl>
    <w:p w14:paraId="799425E9">
      <w:pPr>
        <w:widowControl/>
        <w:jc w:val="left"/>
        <w:rPr>
          <w:szCs w:val="21"/>
        </w:rPr>
        <w:sectPr>
          <w:footerReference r:id="rId9" w:type="default"/>
          <w:pgSz w:w="11906" w:h="16838"/>
          <w:pgMar w:top="851" w:right="1134" w:bottom="851" w:left="1134" w:header="0" w:footer="567" w:gutter="0"/>
          <w:cols w:space="425" w:num="1"/>
          <w:docGrid w:linePitch="312" w:charSpace="0"/>
        </w:sectPr>
      </w:pPr>
    </w:p>
    <w:p w14:paraId="6BEFDD75">
      <w:pPr>
        <w:widowControl/>
        <w:jc w:val="left"/>
        <w:rPr>
          <w:rFonts w:ascii="宋体" w:hAnsi="宋体"/>
          <w:b/>
          <w:bCs/>
          <w:szCs w:val="21"/>
        </w:rPr>
      </w:pPr>
      <w:r>
        <w:rPr>
          <w:rFonts w:hint="eastAsia" w:ascii="宋体" w:hAnsi="宋体"/>
          <w:b/>
          <w:bCs/>
          <w:szCs w:val="21"/>
        </w:rPr>
        <w:t>附件2：考核标准</w:t>
      </w:r>
    </w:p>
    <w:p w14:paraId="6C0FC75D"/>
    <w:p w14:paraId="5A024B68">
      <w:pPr>
        <w:sectPr>
          <w:pgSz w:w="11906" w:h="16838"/>
          <w:pgMar w:top="851" w:right="1134" w:bottom="851" w:left="1134" w:header="0" w:footer="567" w:gutter="0"/>
          <w:cols w:space="425" w:num="1"/>
          <w:docGrid w:linePitch="312" w:charSpace="0"/>
        </w:sectPr>
      </w:pPr>
      <w:r>
        <w:rPr>
          <w:rFonts w:hint="eastAsia"/>
        </w:rPr>
        <w:t>*</w:t>
      </w:r>
      <w:r>
        <w:t>**</w:t>
      </w:r>
    </w:p>
    <w:p w14:paraId="692BA005">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37105BDB">
      <w:pPr>
        <w:rPr>
          <w:rFonts w:ascii="Times New Roman" w:hAnsi="Times New Roman" w:cs="Times New Roman"/>
          <w:b/>
          <w:bCs/>
          <w:sz w:val="44"/>
          <w:szCs w:val="52"/>
        </w:rPr>
      </w:pP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7B74785">
      <w:pPr>
        <w:pStyle w:val="26"/>
        <w:rPr>
          <w:rFonts w:ascii="Times New Roman" w:hAnsi="Times New Roman"/>
        </w:rPr>
      </w:pPr>
    </w:p>
    <w:sectPr>
      <w:headerReference r:id="rId10" w:type="default"/>
      <w:footerReference r:id="rId11"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487E082-B34F-4435-9F77-1AE5FCBD33F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377CEE8-D79E-4D9C-98F1-DF6B011BD8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8F9A9CF-F778-42CF-8227-9C68F060B07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267C7086-2657-43BE-A474-D9E8BA20B129}"/>
  </w:font>
  <w:font w:name="Wingdings 2">
    <w:altName w:val="Wingdings"/>
    <w:panose1 w:val="05020102010507070707"/>
    <w:charset w:val="4D"/>
    <w:family w:val="decorative"/>
    <w:pitch w:val="default"/>
    <w:sig w:usb0="00000000" w:usb1="00000000" w:usb2="00000000" w:usb3="00000000" w:csb0="80000001" w:csb1="00000000"/>
    <w:embedRegular r:id="rId5" w:fontKey="{DFA615B2-A6D9-4C11-AA7B-CCD0B621CB5E}"/>
  </w:font>
  <w:font w:name="微软雅黑">
    <w:panose1 w:val="020B0503020204020204"/>
    <w:charset w:val="86"/>
    <w:family w:val="auto"/>
    <w:pitch w:val="default"/>
    <w:sig w:usb0="80000287" w:usb1="2ACF3C50" w:usb2="00000016" w:usb3="00000000" w:csb0="0004001F" w:csb1="00000000"/>
    <w:embedRegular r:id="rId6" w:fontKey="{1D811043-6BE9-4309-831F-48D3ED07EB0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Tahoma">
    <w:panose1 w:val="020B0604030504040204"/>
    <w:charset w:val="00"/>
    <w:family w:val="auto"/>
    <w:pitch w:val="default"/>
    <w:sig w:usb0="E1002EFF" w:usb1="C000605B" w:usb2="00000029" w:usb3="00000000" w:csb0="200101FF" w:csb1="20280000"/>
  </w:font>
  <w:font w:name="方正楷体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jc w:val="center"/>
    </w:pPr>
    <w:r>
      <w:rPr>
        <w:rStyle w:val="22"/>
        <w:rFonts w:hint="eastAsia"/>
      </w:rPr>
      <w:t>第</w:t>
    </w:r>
    <w:r>
      <w:rPr>
        <w:rStyle w:val="22"/>
      </w:rPr>
      <w:fldChar w:fldCharType="begin"/>
    </w:r>
    <w:r>
      <w:rPr>
        <w:rStyle w:val="22"/>
      </w:rPr>
      <w:instrText xml:space="preserve"> PAGE  \* MERGEFORMAT </w:instrText>
    </w:r>
    <w:r>
      <w:rPr>
        <w:rStyle w:val="22"/>
      </w:rPr>
      <w:fldChar w:fldCharType="separate"/>
    </w:r>
    <w:r>
      <w:rPr>
        <w:rStyle w:val="22"/>
      </w:rPr>
      <w:t>6</w:t>
    </w:r>
    <w:r>
      <w:rPr>
        <w:rStyle w:val="22"/>
      </w:rPr>
      <w:fldChar w:fldCharType="end"/>
    </w:r>
    <w:r>
      <w:rPr>
        <w:rStyle w:val="22"/>
        <w:rFonts w:hint="eastAsia"/>
      </w:rPr>
      <w:t>页</w:t>
    </w:r>
    <w:r>
      <w:rPr>
        <w:rStyle w:val="22"/>
      </w:rPr>
      <w:t>/</w:t>
    </w:r>
    <w:r>
      <w:rPr>
        <w:rStyle w:val="22"/>
        <w:rFonts w:hint="eastAsia"/>
      </w:rPr>
      <w:t>共</w:t>
    </w:r>
    <w:r>
      <w:rPr>
        <w:rStyle w:val="22"/>
        <w:rFonts w:hint="eastAsia"/>
        <w:lang w:val="en-US" w:eastAsia="zh-CN"/>
      </w:rPr>
      <w:t>38</w:t>
    </w:r>
    <w:r>
      <w:rPr>
        <w:rStyle w:val="22"/>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jc w:val="center"/>
    </w:pPr>
    <w:r>
      <w:rPr>
        <w:rStyle w:val="22"/>
        <w:rFonts w:hint="eastAsia"/>
      </w:rPr>
      <w:t>第</w:t>
    </w:r>
    <w:r>
      <w:rPr>
        <w:rStyle w:val="22"/>
      </w:rPr>
      <w:fldChar w:fldCharType="begin"/>
    </w:r>
    <w:r>
      <w:rPr>
        <w:rStyle w:val="22"/>
      </w:rPr>
      <w:instrText xml:space="preserve"> </w:instrText>
    </w:r>
    <w:r>
      <w:rPr>
        <w:rStyle w:val="22"/>
        <w:rFonts w:hint="eastAsia"/>
      </w:rPr>
      <w:instrText xml:space="preserve">PAGE  \* MERGEFORMAT</w:instrText>
    </w:r>
    <w:r>
      <w:rPr>
        <w:rStyle w:val="22"/>
      </w:rPr>
      <w:instrText xml:space="preserve"> </w:instrText>
    </w:r>
    <w:r>
      <w:rPr>
        <w:rStyle w:val="22"/>
      </w:rPr>
      <w:fldChar w:fldCharType="separate"/>
    </w:r>
    <w:r>
      <w:rPr>
        <w:rStyle w:val="22"/>
      </w:rPr>
      <w:t>5</w:t>
    </w:r>
    <w:r>
      <w:rPr>
        <w:rStyle w:val="22"/>
      </w:rPr>
      <w:fldChar w:fldCharType="end"/>
    </w:r>
    <w:r>
      <w:rPr>
        <w:rStyle w:val="22"/>
        <w:rFonts w:hint="eastAsia"/>
      </w:rPr>
      <w:t>页/共</w:t>
    </w:r>
    <w:r>
      <w:rPr>
        <w:rStyle w:val="22"/>
        <w:rFonts w:hint="eastAsia"/>
        <w:lang w:val="en-US" w:eastAsia="zh-CN"/>
      </w:rPr>
      <w:t>38</w:t>
    </w:r>
    <w:r>
      <w:rPr>
        <w:rStyle w:val="22"/>
        <w:rFonts w:hint="eastAsi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835C4"/>
    <w:multiLevelType w:val="singleLevel"/>
    <w:tmpl w:val="86E835C4"/>
    <w:lvl w:ilvl="0" w:tentative="0">
      <w:start w:val="1"/>
      <w:numFmt w:val="decimal"/>
      <w:lvlText w:val="%1."/>
      <w:lvlJc w:val="left"/>
      <w:pPr>
        <w:tabs>
          <w:tab w:val="left" w:pos="312"/>
        </w:tabs>
      </w:pPr>
    </w:lvl>
  </w:abstractNum>
  <w:abstractNum w:abstractNumId="1">
    <w:nsid w:val="8BE0B05C"/>
    <w:multiLevelType w:val="singleLevel"/>
    <w:tmpl w:val="8BE0B05C"/>
    <w:lvl w:ilvl="0" w:tentative="0">
      <w:start w:val="1"/>
      <w:numFmt w:val="chineseCounting"/>
      <w:suff w:val="nothing"/>
      <w:lvlText w:val="%1、"/>
      <w:lvlJc w:val="left"/>
      <w:rPr>
        <w:rFonts w:hint="eastAsia"/>
      </w:rPr>
    </w:lvl>
  </w:abstractNum>
  <w:abstractNum w:abstractNumId="2">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B9791044"/>
    <w:multiLevelType w:val="singleLevel"/>
    <w:tmpl w:val="B9791044"/>
    <w:lvl w:ilvl="0" w:tentative="0">
      <w:start w:val="12"/>
      <w:numFmt w:val="decimal"/>
      <w:lvlText w:val="%1."/>
      <w:lvlJc w:val="left"/>
      <w:pPr>
        <w:tabs>
          <w:tab w:val="left" w:pos="312"/>
        </w:tabs>
      </w:pPr>
    </w:lvl>
  </w:abstractNum>
  <w:abstractNum w:abstractNumId="5">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6">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7">
    <w:nsid w:val="FCA5E3A8"/>
    <w:multiLevelType w:val="singleLevel"/>
    <w:tmpl w:val="FCA5E3A8"/>
    <w:lvl w:ilvl="0" w:tentative="0">
      <w:start w:val="1"/>
      <w:numFmt w:val="decimal"/>
      <w:suff w:val="nothing"/>
      <w:lvlText w:val="（%1）"/>
      <w:lvlJc w:val="left"/>
      <w:pPr>
        <w:ind w:left="-210"/>
      </w:pPr>
    </w:lvl>
  </w:abstractNum>
  <w:abstractNum w:abstractNumId="8">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88A339D"/>
    <w:multiLevelType w:val="singleLevel"/>
    <w:tmpl w:val="088A339D"/>
    <w:lvl w:ilvl="0" w:tentative="0">
      <w:start w:val="1"/>
      <w:numFmt w:val="decimal"/>
      <w:suff w:val="nothing"/>
      <w:lvlText w:val="（%1）"/>
      <w:lvlJc w:val="left"/>
    </w:lvl>
  </w:abstractNum>
  <w:abstractNum w:abstractNumId="12">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3">
    <w:nsid w:val="0C6B5117"/>
    <w:multiLevelType w:val="singleLevel"/>
    <w:tmpl w:val="0C6B5117"/>
    <w:lvl w:ilvl="0" w:tentative="0">
      <w:start w:val="1"/>
      <w:numFmt w:val="decimal"/>
      <w:lvlText w:val="%1."/>
      <w:lvlJc w:val="left"/>
      <w:pPr>
        <w:tabs>
          <w:tab w:val="left" w:pos="312"/>
        </w:tabs>
      </w:pPr>
    </w:lvl>
  </w:abstractNum>
  <w:abstractNum w:abstractNumId="14">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6">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7">
    <w:nsid w:val="1F712D09"/>
    <w:multiLevelType w:val="singleLevel"/>
    <w:tmpl w:val="1F712D09"/>
    <w:lvl w:ilvl="0" w:tentative="0">
      <w:start w:val="1"/>
      <w:numFmt w:val="decimal"/>
      <w:lvlText w:val="(%1)"/>
      <w:lvlJc w:val="left"/>
      <w:pPr>
        <w:ind w:left="218" w:hanging="425"/>
      </w:pPr>
      <w:rPr>
        <w:rFonts w:hint="default"/>
      </w:rPr>
    </w:lvl>
  </w:abstractNum>
  <w:abstractNum w:abstractNumId="18">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9"/>
  </w:num>
  <w:num w:numId="2">
    <w:abstractNumId w:val="6"/>
  </w:num>
  <w:num w:numId="3">
    <w:abstractNumId w:val="21"/>
  </w:num>
  <w:num w:numId="4">
    <w:abstractNumId w:val="30"/>
  </w:num>
  <w:num w:numId="5">
    <w:abstractNumId w:val="17"/>
  </w:num>
  <w:num w:numId="6">
    <w:abstractNumId w:val="25"/>
  </w:num>
  <w:num w:numId="7">
    <w:abstractNumId w:val="20"/>
  </w:num>
  <w:num w:numId="8">
    <w:abstractNumId w:val="5"/>
  </w:num>
  <w:num w:numId="9">
    <w:abstractNumId w:val="3"/>
  </w:num>
  <w:num w:numId="10">
    <w:abstractNumId w:val="2"/>
  </w:num>
  <w:num w:numId="11">
    <w:abstractNumId w:val="7"/>
  </w:num>
  <w:num w:numId="12">
    <w:abstractNumId w:val="0"/>
  </w:num>
  <w:num w:numId="13">
    <w:abstractNumId w:val="1"/>
  </w:num>
  <w:num w:numId="14">
    <w:abstractNumId w:val="4"/>
  </w:num>
  <w:num w:numId="15">
    <w:abstractNumId w:val="11"/>
  </w:num>
  <w:num w:numId="16">
    <w:abstractNumId w:val="13"/>
  </w:num>
  <w:num w:numId="17">
    <w:abstractNumId w:val="16"/>
  </w:num>
  <w:num w:numId="18">
    <w:abstractNumId w:val="26"/>
  </w:num>
  <w:num w:numId="19">
    <w:abstractNumId w:val="29"/>
  </w:num>
  <w:num w:numId="20">
    <w:abstractNumId w:val="23"/>
  </w:num>
  <w:num w:numId="21">
    <w:abstractNumId w:val="12"/>
  </w:num>
  <w:num w:numId="22">
    <w:abstractNumId w:val="9"/>
  </w:num>
  <w:num w:numId="23">
    <w:abstractNumId w:val="27"/>
  </w:num>
  <w:num w:numId="24">
    <w:abstractNumId w:val="22"/>
  </w:num>
  <w:num w:numId="25">
    <w:abstractNumId w:val="10"/>
  </w:num>
  <w:num w:numId="26">
    <w:abstractNumId w:val="15"/>
  </w:num>
  <w:num w:numId="27">
    <w:abstractNumId w:val="28"/>
  </w:num>
  <w:num w:numId="28">
    <w:abstractNumId w:val="8"/>
  </w:num>
  <w:num w:numId="29">
    <w:abstractNumId w:val="24"/>
  </w:num>
  <w:num w:numId="30">
    <w:abstractNumId w:val="1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61936"/>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2494E"/>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26A22F8"/>
    <w:rsid w:val="030A6CC4"/>
    <w:rsid w:val="058C78B0"/>
    <w:rsid w:val="05DF1A84"/>
    <w:rsid w:val="05E13064"/>
    <w:rsid w:val="06307888"/>
    <w:rsid w:val="06E635A4"/>
    <w:rsid w:val="06FB30E1"/>
    <w:rsid w:val="078A573C"/>
    <w:rsid w:val="086417FB"/>
    <w:rsid w:val="08DC1E32"/>
    <w:rsid w:val="093A3733"/>
    <w:rsid w:val="0B4508AE"/>
    <w:rsid w:val="0C9D1F01"/>
    <w:rsid w:val="0CA57A5D"/>
    <w:rsid w:val="0CF161C9"/>
    <w:rsid w:val="0E0B7FF0"/>
    <w:rsid w:val="0E954039"/>
    <w:rsid w:val="0F67728A"/>
    <w:rsid w:val="113373E5"/>
    <w:rsid w:val="117A5014"/>
    <w:rsid w:val="127F05A0"/>
    <w:rsid w:val="136D78F8"/>
    <w:rsid w:val="13B011C1"/>
    <w:rsid w:val="14AD74AF"/>
    <w:rsid w:val="15445EE3"/>
    <w:rsid w:val="15CC4977"/>
    <w:rsid w:val="162A4F7D"/>
    <w:rsid w:val="16A82A66"/>
    <w:rsid w:val="16E178E4"/>
    <w:rsid w:val="181B5077"/>
    <w:rsid w:val="18856C48"/>
    <w:rsid w:val="1917583F"/>
    <w:rsid w:val="19662322"/>
    <w:rsid w:val="1994787E"/>
    <w:rsid w:val="1A192BFB"/>
    <w:rsid w:val="1B0C480A"/>
    <w:rsid w:val="1BE539D2"/>
    <w:rsid w:val="1C4921B3"/>
    <w:rsid w:val="1DD000AF"/>
    <w:rsid w:val="1E09745A"/>
    <w:rsid w:val="212B6D89"/>
    <w:rsid w:val="21CF315A"/>
    <w:rsid w:val="22D87DED"/>
    <w:rsid w:val="22FF181D"/>
    <w:rsid w:val="23D4489F"/>
    <w:rsid w:val="24AF2DCF"/>
    <w:rsid w:val="2596232D"/>
    <w:rsid w:val="261E6D67"/>
    <w:rsid w:val="262001B9"/>
    <w:rsid w:val="26A85D28"/>
    <w:rsid w:val="26B741BD"/>
    <w:rsid w:val="2732478D"/>
    <w:rsid w:val="27B87AF9"/>
    <w:rsid w:val="27E80EA9"/>
    <w:rsid w:val="280414A1"/>
    <w:rsid w:val="28570368"/>
    <w:rsid w:val="288612B9"/>
    <w:rsid w:val="297F65C0"/>
    <w:rsid w:val="298011DE"/>
    <w:rsid w:val="29C5318E"/>
    <w:rsid w:val="2B502F98"/>
    <w:rsid w:val="2C9A0A9E"/>
    <w:rsid w:val="2CC82306"/>
    <w:rsid w:val="2D12039F"/>
    <w:rsid w:val="2DA70D65"/>
    <w:rsid w:val="2DB41456"/>
    <w:rsid w:val="340F1379"/>
    <w:rsid w:val="3427766B"/>
    <w:rsid w:val="343706EB"/>
    <w:rsid w:val="345E5ED9"/>
    <w:rsid w:val="34C957E7"/>
    <w:rsid w:val="351A08D0"/>
    <w:rsid w:val="35363BD7"/>
    <w:rsid w:val="353C06AF"/>
    <w:rsid w:val="36334CE5"/>
    <w:rsid w:val="37555A58"/>
    <w:rsid w:val="39BB3AC3"/>
    <w:rsid w:val="3A0379ED"/>
    <w:rsid w:val="3A551407"/>
    <w:rsid w:val="3B033C36"/>
    <w:rsid w:val="3CF67395"/>
    <w:rsid w:val="3E5D4E8E"/>
    <w:rsid w:val="3F204B9E"/>
    <w:rsid w:val="3FE25336"/>
    <w:rsid w:val="400A3D6D"/>
    <w:rsid w:val="404552A0"/>
    <w:rsid w:val="4114428E"/>
    <w:rsid w:val="42075FF8"/>
    <w:rsid w:val="4216154E"/>
    <w:rsid w:val="42842020"/>
    <w:rsid w:val="43C006FD"/>
    <w:rsid w:val="44B00F6F"/>
    <w:rsid w:val="44D73F50"/>
    <w:rsid w:val="450B3BFA"/>
    <w:rsid w:val="454C3E11"/>
    <w:rsid w:val="468567BB"/>
    <w:rsid w:val="4782487D"/>
    <w:rsid w:val="47A125F4"/>
    <w:rsid w:val="48285669"/>
    <w:rsid w:val="495913D8"/>
    <w:rsid w:val="49823E64"/>
    <w:rsid w:val="4A437992"/>
    <w:rsid w:val="4A835FE1"/>
    <w:rsid w:val="4B31068E"/>
    <w:rsid w:val="4B645E12"/>
    <w:rsid w:val="4BA55220"/>
    <w:rsid w:val="4BAD0151"/>
    <w:rsid w:val="4C123AC0"/>
    <w:rsid w:val="4C8F75A2"/>
    <w:rsid w:val="4DAD4403"/>
    <w:rsid w:val="4E8C008E"/>
    <w:rsid w:val="4EB5692F"/>
    <w:rsid w:val="4FE439C5"/>
    <w:rsid w:val="4FEF758C"/>
    <w:rsid w:val="4FFF25AD"/>
    <w:rsid w:val="50771A9C"/>
    <w:rsid w:val="51430D00"/>
    <w:rsid w:val="51C47F6D"/>
    <w:rsid w:val="530C18E3"/>
    <w:rsid w:val="54422A68"/>
    <w:rsid w:val="5455382C"/>
    <w:rsid w:val="54C55B73"/>
    <w:rsid w:val="5521161C"/>
    <w:rsid w:val="55B87E9F"/>
    <w:rsid w:val="55D65B5E"/>
    <w:rsid w:val="571C3A45"/>
    <w:rsid w:val="575F1D66"/>
    <w:rsid w:val="5B4236BA"/>
    <w:rsid w:val="5D0A3490"/>
    <w:rsid w:val="5D7E0D39"/>
    <w:rsid w:val="5E9D3F29"/>
    <w:rsid w:val="5FA51ED1"/>
    <w:rsid w:val="5FB24F46"/>
    <w:rsid w:val="5FED5708"/>
    <w:rsid w:val="60384CD1"/>
    <w:rsid w:val="60593614"/>
    <w:rsid w:val="60655808"/>
    <w:rsid w:val="63734FC4"/>
    <w:rsid w:val="63A9427A"/>
    <w:rsid w:val="63D462B1"/>
    <w:rsid w:val="63DB67AA"/>
    <w:rsid w:val="641A3596"/>
    <w:rsid w:val="64D96647"/>
    <w:rsid w:val="655B51E5"/>
    <w:rsid w:val="65D14EBC"/>
    <w:rsid w:val="65E40ADA"/>
    <w:rsid w:val="66330B86"/>
    <w:rsid w:val="6647649F"/>
    <w:rsid w:val="66E22203"/>
    <w:rsid w:val="675E17AA"/>
    <w:rsid w:val="68B812C9"/>
    <w:rsid w:val="69D50CF4"/>
    <w:rsid w:val="6AB204F0"/>
    <w:rsid w:val="6B6F63E1"/>
    <w:rsid w:val="6C0C1E82"/>
    <w:rsid w:val="6C487AFD"/>
    <w:rsid w:val="6C8A0D06"/>
    <w:rsid w:val="6CB24363"/>
    <w:rsid w:val="6D21370B"/>
    <w:rsid w:val="6E9817AB"/>
    <w:rsid w:val="6EA93466"/>
    <w:rsid w:val="6FCF0795"/>
    <w:rsid w:val="6FEC0000"/>
    <w:rsid w:val="70952446"/>
    <w:rsid w:val="71381023"/>
    <w:rsid w:val="73714961"/>
    <w:rsid w:val="754D1D92"/>
    <w:rsid w:val="758350A9"/>
    <w:rsid w:val="76261D92"/>
    <w:rsid w:val="762B73A9"/>
    <w:rsid w:val="788334CC"/>
    <w:rsid w:val="792B7DEB"/>
    <w:rsid w:val="7AAB1B4F"/>
    <w:rsid w:val="7AD63D87"/>
    <w:rsid w:val="7B560FD7"/>
    <w:rsid w:val="7B5F74F8"/>
    <w:rsid w:val="7B6017B1"/>
    <w:rsid w:val="7B690630"/>
    <w:rsid w:val="7C5123F4"/>
    <w:rsid w:val="7CB023B6"/>
    <w:rsid w:val="7D040AB6"/>
    <w:rsid w:val="7D4119E6"/>
    <w:rsid w:val="7DAF162B"/>
    <w:rsid w:val="7DC42B41"/>
    <w:rsid w:val="7F2F264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1210</Words>
  <Characters>1295</Characters>
  <Lines>67</Lines>
  <Paragraphs>19</Paragraphs>
  <TotalTime>8</TotalTime>
  <ScaleCrop>false</ScaleCrop>
  <LinksUpToDate>false</LinksUpToDate>
  <CharactersWithSpaces>1379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Present</cp:lastModifiedBy>
  <dcterms:modified xsi:type="dcterms:W3CDTF">2026-01-15T06:45:51Z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eyJoZGlkIjoiN2E2MmRjNTk4ZWJlYjY5ODUyYmFjYWQwYjFmMTU2MjgiLCJ1c2VySWQiOiIxNDQzMjY4NTA4In0=</vt:lpwstr>
  </property>
</Properties>
</file>