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综合科研大楼手术室餐厅厨房设备</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bookmarkStart w:id="98" w:name="_GoBack"/>
      <w:bookmarkEnd w:id="98"/>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471310326"/>
      <w:bookmarkStart w:id="1" w:name="_Toc21919"/>
      <w:bookmarkStart w:id="2" w:name="_Toc1907"/>
      <w:bookmarkStart w:id="3" w:name="_Toc3240"/>
      <w:bookmarkStart w:id="4" w:name="_Toc6283240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14636B5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四川省人民医院综合科研大楼手术室餐厅厨房设备采购项目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CGZX-HQB20261313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96020.00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highlight w:val="none"/>
                <w:u w:color="000000"/>
                <w:lang w:val="en-US" w:eastAsia="zh-CN"/>
              </w:rPr>
              <w:t>2026年10月12日</w:t>
            </w:r>
            <w:r>
              <w:rPr>
                <w:rFonts w:hint="eastAsia" w:ascii="Times New Roman" w:hAnsi="Times New Roman" w:eastAsia="仿宋" w:cs="Times New Roman"/>
                <w:sz w:val="22"/>
                <w:u w:color="000000"/>
                <w:lang w:val="en-US" w:eastAsia="zh-CN"/>
              </w:rPr>
              <w:t>上午9：00-9：30</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2"/>
              <w:numPr>
                <w:ilvl w:val="0"/>
                <w:numId w:val="5"/>
              </w:numPr>
              <w:spacing w:after="0" w:line="360" w:lineRule="auto"/>
              <w:ind w:left="216" w:leftChars="103" w:firstLine="202" w:firstLineChars="92"/>
              <w:rPr>
                <w:rFonts w:hint="eastAsia"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开始时间：</w:t>
            </w:r>
            <w:r>
              <w:rPr>
                <w:rFonts w:hint="eastAsia" w:ascii="Times New Roman" w:hAnsi="Times New Roman" w:eastAsia="仿宋" w:cs="Times New Roman"/>
                <w:sz w:val="22"/>
                <w:highlight w:val="none"/>
                <w:u w:color="000000"/>
                <w:lang w:val="en-US" w:eastAsia="zh-CN"/>
              </w:rPr>
              <w:t>2026年10月12日</w:t>
            </w:r>
            <w:r>
              <w:rPr>
                <w:rFonts w:hint="eastAsia" w:ascii="Times New Roman" w:hAnsi="Times New Roman" w:eastAsia="仿宋" w:cs="Times New Roman"/>
                <w:sz w:val="22"/>
                <w:u w:color="000000"/>
                <w:lang w:val="en-US" w:eastAsia="zh-CN"/>
              </w:rPr>
              <w:t>10：00</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r>
              <w:rPr>
                <w:rFonts w:hint="eastAsia" w:ascii="Times New Roman" w:hAnsi="Times New Roman" w:eastAsia="仿宋" w:cs="Times New Roman"/>
                <w:sz w:val="22"/>
                <w:u w:color="000000"/>
                <w:lang w:val="en-US" w:eastAsia="zh-CN"/>
              </w:rPr>
              <w:t>四川省人民医院青羊院区综合科研大楼（四川省成都市青羊区一环路西二段32号）</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lang w:val="en-US" w:eastAsia="zh-CN"/>
              </w:rPr>
              <w:t>刘老师</w:t>
            </w:r>
          </w:p>
          <w:p w14:paraId="462DCA6B">
            <w:pPr>
              <w:pStyle w:val="2"/>
              <w:numPr>
                <w:ilvl w:val="0"/>
                <w:numId w:val="5"/>
              </w:numPr>
              <w:spacing w:after="0" w:line="360" w:lineRule="auto"/>
              <w:ind w:left="216" w:leftChars="103" w:firstLine="202" w:firstLineChars="92"/>
              <w:rPr>
                <w:rFonts w:hint="eastAsia" w:ascii="Times New Roman" w:hAnsi="Times New Roman" w:eastAsia="仿宋" w:cs="Times New Roman"/>
                <w:sz w:val="22"/>
                <w:u w:color="000000"/>
                <w:lang w:val="en-US" w:eastAsia="zh-CN"/>
              </w:rPr>
            </w:pPr>
            <w:r>
              <w:rPr>
                <w:rFonts w:ascii="Times New Roman" w:hAnsi="Times New Roman" w:eastAsia="仿宋" w:cs="Times New Roman"/>
                <w:sz w:val="22"/>
                <w:u w:color="000000"/>
              </w:rPr>
              <w:t>联系</w:t>
            </w:r>
            <w:r>
              <w:rPr>
                <w:rFonts w:hint="eastAsia" w:ascii="Times New Roman" w:hAnsi="Times New Roman" w:eastAsia="仿宋" w:cs="Times New Roman"/>
                <w:sz w:val="22"/>
                <w:u w:color="000000"/>
                <w:lang w:val="en-US" w:eastAsia="zh-CN"/>
              </w:rPr>
              <w:t>电话：13558850681</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u w:val="none"/>
              </w:rPr>
              <w:t>报价最低</w:t>
            </w:r>
            <w:r>
              <w:rPr>
                <w:rFonts w:hint="eastAsia" w:ascii="Times New Roman" w:hAnsi="Times New Roman" w:eastAsia="仿宋" w:cs="Times New Roman"/>
                <w:sz w:val="22"/>
                <w:highlight w:val="none"/>
              </w:rPr>
              <w:t>的</w:t>
            </w:r>
            <w:r>
              <w:rPr>
                <w:rFonts w:hint="eastAsia" w:ascii="Times New Roman" w:hAnsi="Times New Roman" w:eastAsia="仿宋" w:cs="Times New Roman"/>
                <w:sz w:val="22"/>
              </w:rPr>
              <w:t>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6C033F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52FD566E">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何</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87394783</w:t>
            </w:r>
          </w:p>
          <w:p w14:paraId="4D1A83D6">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后勤保障部</w:t>
            </w:r>
          </w:p>
          <w:p w14:paraId="059DF6E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李</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lang w:val="en-US" w:eastAsia="zh-CN"/>
              </w:rPr>
              <w:t>无</w:t>
            </w:r>
          </w:p>
        </w:tc>
        <w:tc>
          <w:tcPr>
            <w:tcW w:w="2846" w:type="pct"/>
            <w:vAlign w:val="center"/>
          </w:tcPr>
          <w:p w14:paraId="7D3D2FEC">
            <w:pPr>
              <w:jc w:val="cente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669635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textAlignment w:val="auto"/>
        <w:rPr>
          <w:rFonts w:ascii="Times New Roman" w:hAnsi="Times New Roman" w:eastAsia="仿宋" w:cs="Times New Roman"/>
          <w:b/>
          <w:bCs/>
          <w:color w:val="auto"/>
          <w:sz w:val="24"/>
          <w:szCs w:val="24"/>
          <w:highlight w:val="none"/>
        </w:rPr>
      </w:pPr>
      <w:r>
        <w:rPr>
          <w:rFonts w:hint="eastAsia" w:ascii="Times New Roman" w:hAnsi="Times New Roman" w:eastAsia="仿宋" w:cs="Times New Roman"/>
          <w:color w:val="auto"/>
          <w:kern w:val="2"/>
          <w:sz w:val="24"/>
          <w:szCs w:val="24"/>
          <w:highlight w:val="none"/>
          <w:lang w:val="en-US" w:eastAsia="zh-CN" w:bidi="ar-SA"/>
        </w:rPr>
        <w:t>一、</w:t>
      </w:r>
      <w:r>
        <w:rPr>
          <w:rFonts w:ascii="Times New Roman" w:hAnsi="Times New Roman" w:eastAsia="仿宋" w:cs="Times New Roman"/>
          <w:b/>
          <w:bCs/>
          <w:color w:val="auto"/>
          <w:sz w:val="24"/>
          <w:szCs w:val="24"/>
          <w:highlight w:val="none"/>
        </w:rPr>
        <w:t>项目简介</w:t>
      </w:r>
    </w:p>
    <w:p w14:paraId="6AB476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textAlignment w:val="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因采购人实际工作需要，本项目拟确定一家供应商为四川省人民医院综合科研大楼提供手术室餐厅厨房设备。</w:t>
      </w:r>
    </w:p>
    <w:p w14:paraId="5DBFA8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textAlignment w:val="auto"/>
        <w:rPr>
          <w:rFonts w:ascii="Times New Roman" w:hAnsi="Times New Roman" w:eastAsia="仿宋" w:cs="Times New Roman"/>
          <w:color w:val="auto"/>
          <w:sz w:val="24"/>
          <w:szCs w:val="24"/>
          <w:highlight w:val="none"/>
        </w:rPr>
      </w:pPr>
      <w:r>
        <w:rPr>
          <w:rFonts w:ascii="Times New Roman" w:hAnsi="Times New Roman" w:eastAsia="仿宋" w:cs="Times New Roman"/>
          <w:b/>
          <w:bCs/>
          <w:color w:val="auto"/>
          <w:sz w:val="24"/>
          <w:szCs w:val="24"/>
          <w:highlight w:val="none"/>
        </w:rPr>
        <w:t>★二、采购内容</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698"/>
        <w:gridCol w:w="1219"/>
        <w:gridCol w:w="1577"/>
        <w:gridCol w:w="1707"/>
        <w:gridCol w:w="684"/>
        <w:gridCol w:w="684"/>
        <w:gridCol w:w="3278"/>
      </w:tblGrid>
      <w:tr w14:paraId="12139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23" w:hRule="atLeast"/>
        </w:trPr>
        <w:tc>
          <w:tcPr>
            <w:tcW w:w="9956" w:type="dxa"/>
            <w:gridSpan w:val="7"/>
            <w:shd w:val="clear" w:color="auto" w:fill="auto"/>
            <w:tcMar>
              <w:top w:w="0" w:type="dxa"/>
              <w:left w:w="105" w:type="dxa"/>
              <w:bottom w:w="0" w:type="dxa"/>
              <w:right w:w="105" w:type="dxa"/>
            </w:tcMar>
            <w:vAlign w:val="center"/>
          </w:tcPr>
          <w:p w14:paraId="7709E60E">
            <w:pPr>
              <w:pStyle w:val="14"/>
              <w:keepNext w:val="0"/>
              <w:keepLines w:val="0"/>
              <w:pageBreakBefore w:val="0"/>
              <w:widowControl/>
              <w:suppressLineNumbers w:val="0"/>
              <w:kinsoku/>
              <w:wordWrap w:val="0"/>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厨房设备清单</w:t>
            </w:r>
          </w:p>
        </w:tc>
      </w:tr>
      <w:tr w14:paraId="7FA2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2" w:hRule="atLeast"/>
        </w:trPr>
        <w:tc>
          <w:tcPr>
            <w:tcW w:w="706" w:type="dxa"/>
            <w:shd w:val="clear" w:color="auto" w:fill="auto"/>
            <w:tcMar>
              <w:top w:w="0" w:type="dxa"/>
              <w:left w:w="105" w:type="dxa"/>
              <w:bottom w:w="0" w:type="dxa"/>
              <w:right w:w="105" w:type="dxa"/>
            </w:tcMar>
            <w:vAlign w:val="center"/>
          </w:tcPr>
          <w:p w14:paraId="6515900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lang w:eastAsia="zh-CN"/>
              </w:rPr>
            </w:pPr>
            <w:r>
              <w:rPr>
                <w:rStyle w:val="21"/>
                <w:rFonts w:hint="eastAsia" w:ascii="仿宋" w:hAnsi="仿宋" w:eastAsia="仿宋" w:cs="仿宋"/>
                <w:color w:val="auto"/>
                <w:sz w:val="24"/>
                <w:szCs w:val="24"/>
                <w:highlight w:val="none"/>
                <w:lang w:val="en-US" w:eastAsia="zh-CN"/>
              </w:rPr>
              <w:t>序号</w:t>
            </w:r>
          </w:p>
        </w:tc>
        <w:tc>
          <w:tcPr>
            <w:tcW w:w="1232" w:type="dxa"/>
            <w:shd w:val="clear" w:color="auto" w:fill="auto"/>
            <w:tcMar>
              <w:top w:w="0" w:type="dxa"/>
              <w:left w:w="105" w:type="dxa"/>
              <w:bottom w:w="0" w:type="dxa"/>
              <w:right w:w="105" w:type="dxa"/>
            </w:tcMar>
            <w:vAlign w:val="center"/>
          </w:tcPr>
          <w:p w14:paraId="1C42105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设备名称</w:t>
            </w:r>
          </w:p>
        </w:tc>
        <w:tc>
          <w:tcPr>
            <w:tcW w:w="1594" w:type="dxa"/>
            <w:shd w:val="clear" w:color="auto" w:fill="auto"/>
            <w:tcMar>
              <w:top w:w="0" w:type="dxa"/>
              <w:left w:w="105" w:type="dxa"/>
              <w:bottom w:w="0" w:type="dxa"/>
              <w:right w:w="105" w:type="dxa"/>
            </w:tcMar>
            <w:vAlign w:val="center"/>
          </w:tcPr>
          <w:p w14:paraId="1E7814D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尺寸(WxDxH)</w:t>
            </w:r>
          </w:p>
        </w:tc>
        <w:tc>
          <w:tcPr>
            <w:tcW w:w="1726" w:type="dxa"/>
            <w:shd w:val="clear" w:color="auto" w:fill="auto"/>
            <w:tcMar>
              <w:top w:w="0" w:type="dxa"/>
              <w:left w:w="105" w:type="dxa"/>
              <w:bottom w:w="0" w:type="dxa"/>
              <w:right w:w="105" w:type="dxa"/>
            </w:tcMar>
            <w:vAlign w:val="center"/>
          </w:tcPr>
          <w:p w14:paraId="037CB96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限高单价（元）</w:t>
            </w:r>
          </w:p>
        </w:tc>
        <w:tc>
          <w:tcPr>
            <w:tcW w:w="692" w:type="dxa"/>
            <w:shd w:val="clear" w:color="auto" w:fill="auto"/>
            <w:tcMar>
              <w:top w:w="0" w:type="dxa"/>
              <w:left w:w="105" w:type="dxa"/>
              <w:bottom w:w="0" w:type="dxa"/>
              <w:right w:w="105" w:type="dxa"/>
            </w:tcMar>
            <w:vAlign w:val="center"/>
          </w:tcPr>
          <w:p w14:paraId="520D088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数量</w:t>
            </w:r>
          </w:p>
        </w:tc>
        <w:tc>
          <w:tcPr>
            <w:tcW w:w="692" w:type="dxa"/>
            <w:shd w:val="clear" w:color="auto" w:fill="auto"/>
            <w:tcMar>
              <w:top w:w="0" w:type="dxa"/>
              <w:left w:w="105" w:type="dxa"/>
              <w:bottom w:w="0" w:type="dxa"/>
              <w:right w:w="105" w:type="dxa"/>
            </w:tcMar>
            <w:vAlign w:val="center"/>
          </w:tcPr>
          <w:p w14:paraId="5659A87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单位</w:t>
            </w:r>
          </w:p>
        </w:tc>
        <w:tc>
          <w:tcPr>
            <w:tcW w:w="3314" w:type="dxa"/>
            <w:shd w:val="clear" w:color="auto" w:fill="auto"/>
            <w:tcMar>
              <w:top w:w="0" w:type="dxa"/>
              <w:left w:w="105" w:type="dxa"/>
              <w:bottom w:w="0" w:type="dxa"/>
              <w:right w:w="105" w:type="dxa"/>
            </w:tcMar>
            <w:vAlign w:val="center"/>
          </w:tcPr>
          <w:p w14:paraId="2383FF3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技术参数</w:t>
            </w:r>
          </w:p>
        </w:tc>
      </w:tr>
      <w:tr w14:paraId="0BDE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95" w:hRule="atLeast"/>
        </w:trPr>
        <w:tc>
          <w:tcPr>
            <w:tcW w:w="706" w:type="dxa"/>
            <w:shd w:val="clear" w:color="auto" w:fill="auto"/>
            <w:tcMar>
              <w:top w:w="0" w:type="dxa"/>
              <w:left w:w="105" w:type="dxa"/>
              <w:bottom w:w="0" w:type="dxa"/>
              <w:right w:w="105" w:type="dxa"/>
            </w:tcMar>
            <w:vAlign w:val="center"/>
          </w:tcPr>
          <w:p w14:paraId="0943F8D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32" w:type="dxa"/>
            <w:shd w:val="clear" w:color="auto" w:fill="auto"/>
            <w:tcMar>
              <w:top w:w="0" w:type="dxa"/>
              <w:left w:w="105" w:type="dxa"/>
              <w:bottom w:w="0" w:type="dxa"/>
              <w:right w:w="105" w:type="dxa"/>
            </w:tcMar>
            <w:vAlign w:val="center"/>
          </w:tcPr>
          <w:p w14:paraId="0517B18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保温汤桶柜</w:t>
            </w:r>
          </w:p>
        </w:tc>
        <w:tc>
          <w:tcPr>
            <w:tcW w:w="1594" w:type="dxa"/>
            <w:shd w:val="clear" w:color="auto" w:fill="auto"/>
            <w:tcMar>
              <w:top w:w="0" w:type="dxa"/>
              <w:left w:w="105" w:type="dxa"/>
              <w:bottom w:w="0" w:type="dxa"/>
              <w:right w:w="105" w:type="dxa"/>
            </w:tcMar>
            <w:vAlign w:val="center"/>
          </w:tcPr>
          <w:p w14:paraId="6128B99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650*650*800±5%(mm)</w:t>
            </w:r>
          </w:p>
        </w:tc>
        <w:tc>
          <w:tcPr>
            <w:tcW w:w="1726" w:type="dxa"/>
            <w:shd w:val="clear" w:color="auto" w:fill="auto"/>
            <w:tcMar>
              <w:top w:w="0" w:type="dxa"/>
              <w:left w:w="105" w:type="dxa"/>
              <w:bottom w:w="0" w:type="dxa"/>
              <w:right w:w="105" w:type="dxa"/>
            </w:tcMar>
            <w:vAlign w:val="center"/>
          </w:tcPr>
          <w:p w14:paraId="6FEBB8D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2400</w:t>
            </w:r>
          </w:p>
        </w:tc>
        <w:tc>
          <w:tcPr>
            <w:tcW w:w="692" w:type="dxa"/>
            <w:shd w:val="clear" w:color="auto" w:fill="auto"/>
            <w:tcMar>
              <w:top w:w="0" w:type="dxa"/>
              <w:left w:w="105" w:type="dxa"/>
              <w:bottom w:w="0" w:type="dxa"/>
              <w:right w:w="105" w:type="dxa"/>
            </w:tcMar>
            <w:vAlign w:val="center"/>
          </w:tcPr>
          <w:p w14:paraId="7AFCC90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692" w:type="dxa"/>
            <w:shd w:val="clear" w:color="auto" w:fill="auto"/>
            <w:tcMar>
              <w:top w:w="0" w:type="dxa"/>
              <w:left w:w="105" w:type="dxa"/>
              <w:bottom w:w="0" w:type="dxa"/>
              <w:right w:w="105" w:type="dxa"/>
            </w:tcMar>
            <w:vAlign w:val="center"/>
          </w:tcPr>
          <w:p w14:paraId="6EE7FAC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6A17991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材质：采用1.2mm不锈钢板磨砂板，配四个重型脚轮。</w:t>
            </w:r>
          </w:p>
          <w:p w14:paraId="4690B30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配Ø500*500mm汤桶1套，微电脑控制，带缺水保护，配不锈钢无缝发热管。</w:t>
            </w:r>
          </w:p>
        </w:tc>
      </w:tr>
      <w:tr w14:paraId="57EC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30" w:hRule="atLeast"/>
        </w:trPr>
        <w:tc>
          <w:tcPr>
            <w:tcW w:w="706" w:type="dxa"/>
            <w:shd w:val="clear" w:color="auto" w:fill="auto"/>
            <w:tcMar>
              <w:top w:w="0" w:type="dxa"/>
              <w:left w:w="105" w:type="dxa"/>
              <w:bottom w:w="0" w:type="dxa"/>
              <w:right w:w="105" w:type="dxa"/>
            </w:tcMar>
            <w:vAlign w:val="center"/>
          </w:tcPr>
          <w:p w14:paraId="37D169E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32" w:type="dxa"/>
            <w:shd w:val="clear" w:color="auto" w:fill="auto"/>
            <w:tcMar>
              <w:top w:w="0" w:type="dxa"/>
              <w:left w:w="105" w:type="dxa"/>
              <w:bottom w:w="0" w:type="dxa"/>
              <w:right w:w="105" w:type="dxa"/>
            </w:tcMar>
            <w:vAlign w:val="center"/>
          </w:tcPr>
          <w:p w14:paraId="74A809F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双孔收残台</w:t>
            </w:r>
          </w:p>
        </w:tc>
        <w:tc>
          <w:tcPr>
            <w:tcW w:w="1594" w:type="dxa"/>
            <w:shd w:val="clear" w:color="auto" w:fill="auto"/>
            <w:tcMar>
              <w:top w:w="0" w:type="dxa"/>
              <w:left w:w="105" w:type="dxa"/>
              <w:bottom w:w="0" w:type="dxa"/>
              <w:right w:w="105" w:type="dxa"/>
            </w:tcMar>
            <w:vAlign w:val="center"/>
          </w:tcPr>
          <w:p w14:paraId="11419AD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1500*700*800±5%(mm)</w:t>
            </w:r>
          </w:p>
        </w:tc>
        <w:tc>
          <w:tcPr>
            <w:tcW w:w="1726" w:type="dxa"/>
            <w:shd w:val="clear" w:color="auto" w:fill="auto"/>
            <w:tcMar>
              <w:top w:w="0" w:type="dxa"/>
              <w:left w:w="105" w:type="dxa"/>
              <w:bottom w:w="0" w:type="dxa"/>
              <w:right w:w="105" w:type="dxa"/>
            </w:tcMar>
            <w:vAlign w:val="center"/>
          </w:tcPr>
          <w:p w14:paraId="0BF9DFB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1580</w:t>
            </w:r>
          </w:p>
        </w:tc>
        <w:tc>
          <w:tcPr>
            <w:tcW w:w="692" w:type="dxa"/>
            <w:shd w:val="clear" w:color="auto" w:fill="auto"/>
            <w:tcMar>
              <w:top w:w="0" w:type="dxa"/>
              <w:left w:w="105" w:type="dxa"/>
              <w:bottom w:w="0" w:type="dxa"/>
              <w:right w:w="105" w:type="dxa"/>
            </w:tcMar>
            <w:vAlign w:val="center"/>
          </w:tcPr>
          <w:p w14:paraId="4AF5B5F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692" w:type="dxa"/>
            <w:shd w:val="clear" w:color="auto" w:fill="auto"/>
            <w:tcMar>
              <w:top w:w="0" w:type="dxa"/>
              <w:left w:w="105" w:type="dxa"/>
              <w:bottom w:w="0" w:type="dxa"/>
              <w:right w:w="105" w:type="dxa"/>
            </w:tcMar>
            <w:vAlign w:val="center"/>
          </w:tcPr>
          <w:p w14:paraId="03A0808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56BE1C8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1、整体采用304不锈钢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台面为厚度≥1.2mm不锈钢板，脚管采用≥38*38*1.0mm不锈钢方通，配4个子弹脚。</w:t>
            </w:r>
          </w:p>
          <w:p w14:paraId="484827CD">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2、台面开收餐孔，以便将剩菜剩饭倒入柜内残渣桶。</w:t>
            </w:r>
          </w:p>
        </w:tc>
      </w:tr>
      <w:tr w14:paraId="3570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15" w:hRule="atLeast"/>
        </w:trPr>
        <w:tc>
          <w:tcPr>
            <w:tcW w:w="706" w:type="dxa"/>
            <w:shd w:val="clear" w:color="auto" w:fill="auto"/>
            <w:tcMar>
              <w:top w:w="0" w:type="dxa"/>
              <w:left w:w="105" w:type="dxa"/>
              <w:bottom w:w="0" w:type="dxa"/>
              <w:right w:w="105" w:type="dxa"/>
            </w:tcMar>
            <w:vAlign w:val="center"/>
          </w:tcPr>
          <w:p w14:paraId="0BAEDD3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32" w:type="dxa"/>
            <w:shd w:val="clear" w:color="auto" w:fill="auto"/>
            <w:tcMar>
              <w:top w:w="0" w:type="dxa"/>
              <w:left w:w="105" w:type="dxa"/>
              <w:bottom w:w="0" w:type="dxa"/>
              <w:right w:w="105" w:type="dxa"/>
            </w:tcMar>
            <w:vAlign w:val="center"/>
          </w:tcPr>
          <w:p w14:paraId="383980C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双层工作台</w:t>
            </w:r>
          </w:p>
        </w:tc>
        <w:tc>
          <w:tcPr>
            <w:tcW w:w="1594" w:type="dxa"/>
            <w:shd w:val="clear" w:color="auto" w:fill="auto"/>
            <w:tcMar>
              <w:top w:w="0" w:type="dxa"/>
              <w:left w:w="105" w:type="dxa"/>
              <w:bottom w:w="0" w:type="dxa"/>
              <w:right w:w="105" w:type="dxa"/>
            </w:tcMar>
            <w:vAlign w:val="center"/>
          </w:tcPr>
          <w:p w14:paraId="2DB67B7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1800*700*800±5%(mm)</w:t>
            </w:r>
          </w:p>
        </w:tc>
        <w:tc>
          <w:tcPr>
            <w:tcW w:w="1726" w:type="dxa"/>
            <w:shd w:val="clear" w:color="auto" w:fill="auto"/>
            <w:tcMar>
              <w:top w:w="0" w:type="dxa"/>
              <w:left w:w="105" w:type="dxa"/>
              <w:bottom w:w="0" w:type="dxa"/>
              <w:right w:w="105" w:type="dxa"/>
            </w:tcMar>
            <w:vAlign w:val="center"/>
          </w:tcPr>
          <w:p w14:paraId="5DC4370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1280</w:t>
            </w:r>
          </w:p>
        </w:tc>
        <w:tc>
          <w:tcPr>
            <w:tcW w:w="692" w:type="dxa"/>
            <w:shd w:val="clear" w:color="auto" w:fill="auto"/>
            <w:tcMar>
              <w:top w:w="0" w:type="dxa"/>
              <w:left w:w="105" w:type="dxa"/>
              <w:bottom w:w="0" w:type="dxa"/>
              <w:right w:w="105" w:type="dxa"/>
            </w:tcMar>
            <w:vAlign w:val="center"/>
          </w:tcPr>
          <w:p w14:paraId="090DA3C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692" w:type="dxa"/>
            <w:shd w:val="clear" w:color="auto" w:fill="auto"/>
            <w:tcMar>
              <w:top w:w="0" w:type="dxa"/>
              <w:left w:w="105" w:type="dxa"/>
              <w:bottom w:w="0" w:type="dxa"/>
              <w:right w:w="105" w:type="dxa"/>
            </w:tcMar>
            <w:vAlign w:val="center"/>
          </w:tcPr>
          <w:p w14:paraId="79977A2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26916CE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1、整体采用304不锈钢材质。台面采用厚度≥1.2mm304不锈钢板；底板厚度≥0.9mm不锈钢板。</w:t>
            </w:r>
          </w:p>
          <w:p w14:paraId="1F59913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2、配四个不锈钢可调子弹脚。</w:t>
            </w:r>
          </w:p>
        </w:tc>
      </w:tr>
      <w:tr w14:paraId="2419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665" w:hRule="atLeast"/>
        </w:trPr>
        <w:tc>
          <w:tcPr>
            <w:tcW w:w="706" w:type="dxa"/>
            <w:shd w:val="clear" w:color="auto" w:fill="auto"/>
            <w:tcMar>
              <w:top w:w="0" w:type="dxa"/>
              <w:left w:w="105" w:type="dxa"/>
              <w:bottom w:w="0" w:type="dxa"/>
              <w:right w:w="105" w:type="dxa"/>
            </w:tcMar>
            <w:vAlign w:val="center"/>
          </w:tcPr>
          <w:p w14:paraId="507A3AB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232" w:type="dxa"/>
            <w:shd w:val="clear" w:color="auto" w:fill="auto"/>
            <w:tcMar>
              <w:top w:w="0" w:type="dxa"/>
              <w:left w:w="105" w:type="dxa"/>
              <w:bottom w:w="0" w:type="dxa"/>
              <w:right w:w="105" w:type="dxa"/>
            </w:tcMar>
            <w:vAlign w:val="center"/>
          </w:tcPr>
          <w:p w14:paraId="286CE9E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九头煮面炉</w:t>
            </w:r>
          </w:p>
        </w:tc>
        <w:tc>
          <w:tcPr>
            <w:tcW w:w="1594" w:type="dxa"/>
            <w:shd w:val="clear" w:color="auto" w:fill="auto"/>
            <w:tcMar>
              <w:top w:w="0" w:type="dxa"/>
              <w:left w:w="105" w:type="dxa"/>
              <w:bottom w:w="0" w:type="dxa"/>
              <w:right w:w="105" w:type="dxa"/>
            </w:tcMar>
            <w:vAlign w:val="center"/>
          </w:tcPr>
          <w:p w14:paraId="5E428B2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800*800*1150±5%(mm)</w:t>
            </w:r>
          </w:p>
        </w:tc>
        <w:tc>
          <w:tcPr>
            <w:tcW w:w="1726" w:type="dxa"/>
            <w:shd w:val="clear" w:color="auto" w:fill="auto"/>
            <w:tcMar>
              <w:top w:w="0" w:type="dxa"/>
              <w:left w:w="105" w:type="dxa"/>
              <w:bottom w:w="0" w:type="dxa"/>
              <w:right w:w="105" w:type="dxa"/>
            </w:tcMar>
            <w:vAlign w:val="center"/>
          </w:tcPr>
          <w:p w14:paraId="2048B00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7300</w:t>
            </w:r>
          </w:p>
        </w:tc>
        <w:tc>
          <w:tcPr>
            <w:tcW w:w="692" w:type="dxa"/>
            <w:shd w:val="clear" w:color="auto" w:fill="auto"/>
            <w:tcMar>
              <w:top w:w="0" w:type="dxa"/>
              <w:left w:w="105" w:type="dxa"/>
              <w:bottom w:w="0" w:type="dxa"/>
              <w:right w:w="105" w:type="dxa"/>
            </w:tcMar>
            <w:vAlign w:val="center"/>
          </w:tcPr>
          <w:p w14:paraId="0CB8BC6D">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692" w:type="dxa"/>
            <w:shd w:val="clear" w:color="auto" w:fill="auto"/>
            <w:tcMar>
              <w:top w:w="0" w:type="dxa"/>
              <w:left w:w="105" w:type="dxa"/>
              <w:bottom w:w="0" w:type="dxa"/>
              <w:right w:w="105" w:type="dxa"/>
            </w:tcMar>
            <w:vAlign w:val="center"/>
          </w:tcPr>
          <w:p w14:paraId="03002B2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369DFD0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材质：采用1.2mm不锈钢磨砂板；</w:t>
            </w:r>
          </w:p>
          <w:p w14:paraId="1E2C0547">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电压：380V</w:t>
            </w:r>
          </w:p>
          <w:p w14:paraId="09E6948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功率：</w:t>
            </w:r>
            <w:r>
              <w:rPr>
                <w:rFonts w:hint="eastAsia" w:ascii="仿宋" w:hAnsi="仿宋" w:eastAsia="仿宋" w:cs="仿宋"/>
                <w:color w:val="auto"/>
                <w:sz w:val="24"/>
                <w:szCs w:val="24"/>
                <w:highlight w:val="none"/>
                <w:lang w:val="en-US" w:eastAsia="zh-CN"/>
              </w:rPr>
              <w:t>≥15kW</w:t>
            </w:r>
          </w:p>
        </w:tc>
      </w:tr>
      <w:tr w14:paraId="3933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06" w:type="dxa"/>
            <w:shd w:val="clear" w:color="auto" w:fill="auto"/>
            <w:tcMar>
              <w:top w:w="0" w:type="dxa"/>
              <w:left w:w="105" w:type="dxa"/>
              <w:bottom w:w="0" w:type="dxa"/>
              <w:right w:w="105" w:type="dxa"/>
            </w:tcMar>
            <w:vAlign w:val="center"/>
          </w:tcPr>
          <w:p w14:paraId="44C62DE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232" w:type="dxa"/>
            <w:shd w:val="clear" w:color="auto" w:fill="auto"/>
            <w:tcMar>
              <w:top w:w="0" w:type="dxa"/>
              <w:left w:w="105" w:type="dxa"/>
              <w:bottom w:w="0" w:type="dxa"/>
              <w:right w:w="105" w:type="dxa"/>
            </w:tcMar>
            <w:vAlign w:val="center"/>
          </w:tcPr>
          <w:p w14:paraId="63621E4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保温炉</w:t>
            </w:r>
          </w:p>
        </w:tc>
        <w:tc>
          <w:tcPr>
            <w:tcW w:w="1594" w:type="dxa"/>
            <w:shd w:val="clear" w:color="auto" w:fill="auto"/>
            <w:tcMar>
              <w:top w:w="0" w:type="dxa"/>
              <w:left w:w="105" w:type="dxa"/>
              <w:bottom w:w="0" w:type="dxa"/>
              <w:right w:w="105" w:type="dxa"/>
            </w:tcMar>
            <w:vAlign w:val="center"/>
          </w:tcPr>
          <w:p w14:paraId="6AD4FFE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800*800*1150±5%(mm)</w:t>
            </w:r>
          </w:p>
        </w:tc>
        <w:tc>
          <w:tcPr>
            <w:tcW w:w="1726" w:type="dxa"/>
            <w:shd w:val="clear" w:color="auto" w:fill="auto"/>
            <w:tcMar>
              <w:top w:w="0" w:type="dxa"/>
              <w:left w:w="105" w:type="dxa"/>
              <w:bottom w:w="0" w:type="dxa"/>
              <w:right w:w="105" w:type="dxa"/>
            </w:tcMar>
            <w:vAlign w:val="center"/>
          </w:tcPr>
          <w:p w14:paraId="766B4BB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6000</w:t>
            </w:r>
          </w:p>
        </w:tc>
        <w:tc>
          <w:tcPr>
            <w:tcW w:w="692" w:type="dxa"/>
            <w:shd w:val="clear" w:color="auto" w:fill="auto"/>
            <w:tcMar>
              <w:top w:w="0" w:type="dxa"/>
              <w:left w:w="105" w:type="dxa"/>
              <w:bottom w:w="0" w:type="dxa"/>
              <w:right w:w="105" w:type="dxa"/>
            </w:tcMar>
            <w:vAlign w:val="center"/>
          </w:tcPr>
          <w:p w14:paraId="77723E1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92" w:type="dxa"/>
            <w:shd w:val="clear" w:color="auto" w:fill="auto"/>
            <w:tcMar>
              <w:top w:w="0" w:type="dxa"/>
              <w:left w:w="105" w:type="dxa"/>
              <w:bottom w:w="0" w:type="dxa"/>
              <w:right w:w="105" w:type="dxa"/>
            </w:tcMar>
            <w:vAlign w:val="center"/>
          </w:tcPr>
          <w:p w14:paraId="2571A137">
            <w:pPr>
              <w:keepNext w:val="0"/>
              <w:keepLines w:val="0"/>
              <w:pageBreakBefore w:val="0"/>
              <w:widowControl/>
              <w:suppressLineNumbers w:val="0"/>
              <w:kinsoku/>
              <w:overflowPunct/>
              <w:topLinePunct w:val="0"/>
              <w:autoSpaceDE/>
              <w:autoSpaceDN/>
              <w:bidi w:val="0"/>
              <w:adjustRightInd/>
              <w:spacing w:beforeAutospacing="0" w:afterAutospacing="0"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3314" w:type="dxa"/>
            <w:shd w:val="clear" w:color="auto" w:fill="auto"/>
            <w:tcMar>
              <w:top w:w="0" w:type="dxa"/>
              <w:left w:w="105" w:type="dxa"/>
              <w:bottom w:w="0" w:type="dxa"/>
              <w:right w:w="105" w:type="dxa"/>
            </w:tcMar>
            <w:vAlign w:val="center"/>
          </w:tcPr>
          <w:p w14:paraId="789B15F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材质：采用1.2mm不锈钢磨砂板；</w:t>
            </w:r>
          </w:p>
          <w:p w14:paraId="1B9783D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电压：380V</w:t>
            </w:r>
          </w:p>
          <w:p w14:paraId="5D52C55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功率：</w:t>
            </w:r>
            <w:r>
              <w:rPr>
                <w:rFonts w:hint="eastAsia" w:ascii="仿宋" w:hAnsi="仿宋" w:eastAsia="仿宋" w:cs="仿宋"/>
                <w:color w:val="auto"/>
                <w:sz w:val="24"/>
                <w:szCs w:val="24"/>
                <w:highlight w:val="none"/>
                <w:lang w:val="en-US" w:eastAsia="zh-CN"/>
              </w:rPr>
              <w:t>≥6kW</w:t>
            </w:r>
          </w:p>
        </w:tc>
      </w:tr>
      <w:tr w14:paraId="37C4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706" w:type="dxa"/>
            <w:shd w:val="clear" w:color="auto" w:fill="auto"/>
            <w:tcMar>
              <w:top w:w="0" w:type="dxa"/>
              <w:left w:w="105" w:type="dxa"/>
              <w:bottom w:w="0" w:type="dxa"/>
              <w:right w:w="105" w:type="dxa"/>
            </w:tcMar>
            <w:vAlign w:val="center"/>
          </w:tcPr>
          <w:p w14:paraId="0258095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232" w:type="dxa"/>
            <w:shd w:val="clear" w:color="auto" w:fill="auto"/>
            <w:tcMar>
              <w:top w:w="0" w:type="dxa"/>
              <w:left w:w="105" w:type="dxa"/>
              <w:bottom w:w="0" w:type="dxa"/>
              <w:right w:w="105" w:type="dxa"/>
            </w:tcMar>
            <w:vAlign w:val="center"/>
          </w:tcPr>
          <w:p w14:paraId="148721D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四层冲孔货架</w:t>
            </w:r>
          </w:p>
        </w:tc>
        <w:tc>
          <w:tcPr>
            <w:tcW w:w="1594" w:type="dxa"/>
            <w:shd w:val="clear" w:color="auto" w:fill="auto"/>
            <w:tcMar>
              <w:top w:w="0" w:type="dxa"/>
              <w:left w:w="105" w:type="dxa"/>
              <w:bottom w:w="0" w:type="dxa"/>
              <w:right w:w="105" w:type="dxa"/>
            </w:tcMar>
            <w:vAlign w:val="center"/>
          </w:tcPr>
          <w:p w14:paraId="67CF6C9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1500*500*1550±5%(mm)</w:t>
            </w:r>
          </w:p>
        </w:tc>
        <w:tc>
          <w:tcPr>
            <w:tcW w:w="1726" w:type="dxa"/>
            <w:shd w:val="clear" w:color="auto" w:fill="auto"/>
            <w:tcMar>
              <w:top w:w="0" w:type="dxa"/>
              <w:left w:w="105" w:type="dxa"/>
              <w:bottom w:w="0" w:type="dxa"/>
              <w:right w:w="105" w:type="dxa"/>
            </w:tcMar>
            <w:vAlign w:val="center"/>
          </w:tcPr>
          <w:p w14:paraId="0A5CD00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1230</w:t>
            </w:r>
          </w:p>
        </w:tc>
        <w:tc>
          <w:tcPr>
            <w:tcW w:w="692" w:type="dxa"/>
            <w:shd w:val="clear" w:color="auto" w:fill="auto"/>
            <w:tcMar>
              <w:top w:w="0" w:type="dxa"/>
              <w:left w:w="105" w:type="dxa"/>
              <w:bottom w:w="0" w:type="dxa"/>
              <w:right w:w="105" w:type="dxa"/>
            </w:tcMar>
            <w:vAlign w:val="center"/>
          </w:tcPr>
          <w:p w14:paraId="2DBF674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92" w:type="dxa"/>
            <w:shd w:val="clear" w:color="auto" w:fill="auto"/>
            <w:tcMar>
              <w:top w:w="0" w:type="dxa"/>
              <w:left w:w="105" w:type="dxa"/>
              <w:bottom w:w="0" w:type="dxa"/>
              <w:right w:w="105" w:type="dxa"/>
            </w:tcMar>
            <w:vAlign w:val="center"/>
          </w:tcPr>
          <w:p w14:paraId="245617C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048DFC8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1、整体采用不锈钢制作，面板厚度≥1.0mm不锈钢板，冲孔层板厚≥1.0mm；</w:t>
            </w:r>
          </w:p>
          <w:p w14:paraId="4BA3B63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2、立柱采用≥38*38*1.0mm厚不锈钢方管；</w:t>
            </w:r>
          </w:p>
          <w:p w14:paraId="392F540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3、配不锈钢可调子弹脚。</w:t>
            </w:r>
          </w:p>
        </w:tc>
      </w:tr>
      <w:tr w14:paraId="14DA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845" w:hRule="atLeast"/>
        </w:trPr>
        <w:tc>
          <w:tcPr>
            <w:tcW w:w="706" w:type="dxa"/>
            <w:shd w:val="clear" w:color="auto" w:fill="auto"/>
            <w:tcMar>
              <w:top w:w="0" w:type="dxa"/>
              <w:left w:w="105" w:type="dxa"/>
              <w:bottom w:w="0" w:type="dxa"/>
              <w:right w:w="105" w:type="dxa"/>
            </w:tcMar>
            <w:vAlign w:val="center"/>
          </w:tcPr>
          <w:p w14:paraId="40D1641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232" w:type="dxa"/>
            <w:shd w:val="clear" w:color="auto" w:fill="auto"/>
            <w:tcMar>
              <w:top w:w="0" w:type="dxa"/>
              <w:left w:w="105" w:type="dxa"/>
              <w:bottom w:w="0" w:type="dxa"/>
              <w:right w:w="105" w:type="dxa"/>
            </w:tcMar>
            <w:vAlign w:val="center"/>
          </w:tcPr>
          <w:p w14:paraId="0F58952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组</w:t>
            </w:r>
            <w:r>
              <w:rPr>
                <w:rFonts w:hint="eastAsia" w:ascii="仿宋" w:hAnsi="仿宋" w:eastAsia="仿宋" w:cs="仿宋"/>
                <w:color w:val="auto"/>
                <w:sz w:val="24"/>
                <w:szCs w:val="24"/>
                <w:highlight w:val="none"/>
              </w:rPr>
              <w:t>合消毒柜</w:t>
            </w:r>
          </w:p>
        </w:tc>
        <w:tc>
          <w:tcPr>
            <w:tcW w:w="1594" w:type="dxa"/>
            <w:shd w:val="clear" w:color="auto" w:fill="auto"/>
            <w:tcMar>
              <w:top w:w="0" w:type="dxa"/>
              <w:left w:w="105" w:type="dxa"/>
              <w:bottom w:w="0" w:type="dxa"/>
              <w:right w:w="105" w:type="dxa"/>
            </w:tcMar>
            <w:vAlign w:val="center"/>
          </w:tcPr>
          <w:p w14:paraId="427FB9BE">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1200*600*1950±5%(mm)</w:t>
            </w:r>
          </w:p>
        </w:tc>
        <w:tc>
          <w:tcPr>
            <w:tcW w:w="1726" w:type="dxa"/>
            <w:shd w:val="clear" w:color="auto" w:fill="auto"/>
            <w:tcMar>
              <w:top w:w="0" w:type="dxa"/>
              <w:left w:w="105" w:type="dxa"/>
              <w:bottom w:w="0" w:type="dxa"/>
              <w:right w:w="105" w:type="dxa"/>
            </w:tcMar>
            <w:vAlign w:val="center"/>
          </w:tcPr>
          <w:p w14:paraId="42D3F17B">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5100</w:t>
            </w:r>
          </w:p>
        </w:tc>
        <w:tc>
          <w:tcPr>
            <w:tcW w:w="692" w:type="dxa"/>
            <w:shd w:val="clear" w:color="auto" w:fill="auto"/>
            <w:tcMar>
              <w:top w:w="0" w:type="dxa"/>
              <w:left w:w="105" w:type="dxa"/>
              <w:bottom w:w="0" w:type="dxa"/>
              <w:right w:w="105" w:type="dxa"/>
            </w:tcMar>
            <w:vAlign w:val="center"/>
          </w:tcPr>
          <w:p w14:paraId="498F25B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692" w:type="dxa"/>
            <w:shd w:val="clear" w:color="auto" w:fill="auto"/>
            <w:tcMar>
              <w:top w:w="0" w:type="dxa"/>
              <w:left w:w="105" w:type="dxa"/>
              <w:bottom w:w="0" w:type="dxa"/>
              <w:right w:w="105" w:type="dxa"/>
            </w:tcMar>
            <w:vAlign w:val="center"/>
          </w:tcPr>
          <w:p w14:paraId="156650C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0A21D43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1、容积：≥600L，摆放刀数量≥20把，摆放砧板数量≥8个，带独立毛巾挂架；功率：≤3000W；</w:t>
            </w:r>
          </w:p>
          <w:p w14:paraId="6F18898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2、消毒手段：紫外线臭氧二合一灯管综合消毒；中温隐藏发热体热风循环烘干，烘干温度≤60度；</w:t>
            </w:r>
          </w:p>
          <w:p w14:paraId="340BF04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3、左右开门，4门，全无磁不锈钢箱体，不锈钢柜门加玻璃透窗；</w:t>
            </w:r>
          </w:p>
        </w:tc>
      </w:tr>
      <w:tr w14:paraId="0AED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201" w:hRule="atLeast"/>
        </w:trPr>
        <w:tc>
          <w:tcPr>
            <w:tcW w:w="706" w:type="dxa"/>
            <w:shd w:val="clear" w:color="auto" w:fill="auto"/>
            <w:tcMar>
              <w:top w:w="0" w:type="dxa"/>
              <w:left w:w="105" w:type="dxa"/>
              <w:bottom w:w="0" w:type="dxa"/>
              <w:right w:w="105" w:type="dxa"/>
            </w:tcMar>
            <w:vAlign w:val="center"/>
          </w:tcPr>
          <w:p w14:paraId="30F413CD">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232" w:type="dxa"/>
            <w:shd w:val="clear" w:color="auto" w:fill="auto"/>
            <w:tcMar>
              <w:top w:w="0" w:type="dxa"/>
              <w:left w:w="105" w:type="dxa"/>
              <w:bottom w:w="0" w:type="dxa"/>
              <w:right w:w="105" w:type="dxa"/>
            </w:tcMar>
            <w:vAlign w:val="center"/>
          </w:tcPr>
          <w:p w14:paraId="6B57C81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油烟净化一体机连新风带装饰板</w:t>
            </w:r>
          </w:p>
        </w:tc>
        <w:tc>
          <w:tcPr>
            <w:tcW w:w="1594" w:type="dxa"/>
            <w:shd w:val="clear" w:color="auto" w:fill="auto"/>
            <w:tcMar>
              <w:top w:w="0" w:type="dxa"/>
              <w:left w:w="105" w:type="dxa"/>
              <w:bottom w:w="0" w:type="dxa"/>
              <w:right w:w="105" w:type="dxa"/>
            </w:tcMar>
            <w:vAlign w:val="center"/>
          </w:tcPr>
          <w:p w14:paraId="50B745E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1600*1000*980±5%(mm)</w:t>
            </w:r>
          </w:p>
        </w:tc>
        <w:tc>
          <w:tcPr>
            <w:tcW w:w="1726" w:type="dxa"/>
            <w:shd w:val="clear" w:color="auto" w:fill="auto"/>
            <w:tcMar>
              <w:top w:w="0" w:type="dxa"/>
              <w:left w:w="105" w:type="dxa"/>
              <w:bottom w:w="0" w:type="dxa"/>
              <w:right w:w="105" w:type="dxa"/>
            </w:tcMar>
            <w:vAlign w:val="center"/>
          </w:tcPr>
          <w:p w14:paraId="18E3F17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11000</w:t>
            </w:r>
          </w:p>
        </w:tc>
        <w:tc>
          <w:tcPr>
            <w:tcW w:w="692" w:type="dxa"/>
            <w:shd w:val="clear" w:color="auto" w:fill="auto"/>
            <w:tcMar>
              <w:top w:w="0" w:type="dxa"/>
              <w:left w:w="105" w:type="dxa"/>
              <w:bottom w:w="0" w:type="dxa"/>
              <w:right w:w="105" w:type="dxa"/>
            </w:tcMar>
            <w:vAlign w:val="center"/>
          </w:tcPr>
          <w:p w14:paraId="2DC5AEF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92" w:type="dxa"/>
            <w:shd w:val="clear" w:color="auto" w:fill="auto"/>
            <w:tcMar>
              <w:top w:w="0" w:type="dxa"/>
              <w:left w:w="105" w:type="dxa"/>
              <w:bottom w:w="0" w:type="dxa"/>
              <w:right w:w="105" w:type="dxa"/>
            </w:tcMar>
            <w:vAlign w:val="center"/>
          </w:tcPr>
          <w:p w14:paraId="4B6369A7">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3314" w:type="dxa"/>
            <w:shd w:val="clear" w:color="auto" w:fill="auto"/>
            <w:tcMar>
              <w:top w:w="0" w:type="dxa"/>
              <w:left w:w="105" w:type="dxa"/>
              <w:bottom w:w="0" w:type="dxa"/>
              <w:right w:w="105" w:type="dxa"/>
            </w:tcMar>
            <w:vAlign w:val="center"/>
          </w:tcPr>
          <w:p w14:paraId="05424D9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采用电子静电净烟原理。通过不锈钢电离器，使气体离子化，强电场使颗粒物带电，成为带电颗粒。</w:t>
            </w:r>
          </w:p>
          <w:p w14:paraId="5095352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2.铝合金集成器使粒子撞击至收集电板而立即被收集电极吸附。</w:t>
            </w:r>
          </w:p>
          <w:p w14:paraId="25B3C6C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3.能有效收集大于0.1㎛的颗粒。</w:t>
            </w:r>
          </w:p>
          <w:p w14:paraId="71082B6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采用UV灯管</w:t>
            </w:r>
            <w:r>
              <w:rPr>
                <w:rFonts w:hint="eastAsia" w:ascii="仿宋" w:hAnsi="仿宋" w:eastAsia="仿宋" w:cs="仿宋"/>
                <w:color w:val="auto"/>
                <w:sz w:val="24"/>
                <w:szCs w:val="24"/>
                <w:highlight w:val="none"/>
              </w:rPr>
              <w:t>除味处理，油烟经过UV灯管时，形成小的油脂分子，油烟中的油被光解氧化，</w:t>
            </w:r>
            <w:r>
              <w:rPr>
                <w:rFonts w:hint="eastAsia" w:ascii="仿宋" w:hAnsi="仿宋" w:eastAsia="仿宋" w:cs="仿宋"/>
                <w:color w:val="auto"/>
                <w:sz w:val="24"/>
                <w:szCs w:val="24"/>
                <w:highlight w:val="none"/>
                <w:lang w:val="en-US" w:eastAsia="zh-CN"/>
              </w:rPr>
              <w:t>可去除大部分烟道异味</w:t>
            </w:r>
            <w:r>
              <w:rPr>
                <w:rFonts w:hint="eastAsia" w:ascii="仿宋" w:hAnsi="仿宋" w:eastAsia="仿宋" w:cs="仿宋"/>
                <w:color w:val="auto"/>
                <w:sz w:val="24"/>
                <w:szCs w:val="24"/>
                <w:highlight w:val="none"/>
              </w:rPr>
              <w:t>。</w:t>
            </w:r>
          </w:p>
          <w:p w14:paraId="190FCD3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5.设备采用顶部散热、隔热方式。</w:t>
            </w:r>
            <w:r>
              <w:rPr>
                <w:rFonts w:hint="eastAsia" w:ascii="仿宋" w:hAnsi="仿宋" w:eastAsia="仿宋" w:cs="仿宋"/>
                <w:color w:val="auto"/>
                <w:sz w:val="24"/>
                <w:szCs w:val="24"/>
                <w:highlight w:val="none"/>
                <w:lang w:val="en-US" w:eastAsia="zh-CN"/>
              </w:rPr>
              <w:t>避免油烟、粉尘、高温、雨水进入控制箱，增加电源及电器原件使用寿命。</w:t>
            </w:r>
          </w:p>
          <w:p w14:paraId="5E710AD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6.高压电源的电压电流可独立自动控制、调节，并且使用范围宽不会</w:t>
            </w:r>
            <w:r>
              <w:rPr>
                <w:rFonts w:hint="eastAsia" w:ascii="仿宋" w:hAnsi="仿宋" w:eastAsia="仿宋" w:cs="仿宋"/>
                <w:color w:val="auto"/>
                <w:sz w:val="24"/>
                <w:szCs w:val="24"/>
                <w:highlight w:val="none"/>
                <w:lang w:val="en-US" w:eastAsia="zh-CN"/>
              </w:rPr>
              <w:t>随着</w:t>
            </w:r>
            <w:r>
              <w:rPr>
                <w:rFonts w:hint="eastAsia" w:ascii="仿宋" w:hAnsi="仿宋" w:eastAsia="仿宋" w:cs="仿宋"/>
                <w:color w:val="auto"/>
                <w:sz w:val="24"/>
                <w:szCs w:val="24"/>
                <w:highlight w:val="none"/>
              </w:rPr>
              <w:t>随输入电压变，电场使用一段时间过后，也可以保证电压不变、净化效果稳定。</w:t>
            </w:r>
          </w:p>
          <w:p w14:paraId="6C05A3C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7.处理风量（m³/h）Q≧4000，电源3相380V/50HZ，材质采用201#-1.2mm不锈钢板，</w:t>
            </w:r>
            <w:r>
              <w:rPr>
                <w:rFonts w:hint="eastAsia" w:ascii="仿宋" w:hAnsi="仿宋" w:eastAsia="仿宋" w:cs="仿宋"/>
                <w:color w:val="auto"/>
                <w:sz w:val="24"/>
                <w:szCs w:val="24"/>
                <w:highlight w:val="none"/>
                <w:lang w:val="en-US" w:eastAsia="zh-CN"/>
              </w:rPr>
              <w:t>配备120W紫外线灯管，采用臭氧和紫外线清除异味。</w:t>
            </w:r>
          </w:p>
          <w:p w14:paraId="18980D7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8.收集、净化、输送集于一体，占用空间小提升空间使用率，</w:t>
            </w:r>
            <w:r>
              <w:rPr>
                <w:rFonts w:hint="eastAsia" w:ascii="仿宋" w:hAnsi="仿宋" w:eastAsia="仿宋" w:cs="仿宋"/>
                <w:color w:val="auto"/>
                <w:sz w:val="24"/>
                <w:szCs w:val="24"/>
                <w:highlight w:val="none"/>
                <w:lang w:val="en-US" w:eastAsia="zh-CN"/>
              </w:rPr>
              <w:t>噪音≤75dB</w:t>
            </w:r>
            <w:r>
              <w:rPr>
                <w:rFonts w:hint="eastAsia" w:ascii="仿宋" w:hAnsi="仿宋" w:eastAsia="仿宋" w:cs="仿宋"/>
                <w:color w:val="auto"/>
                <w:sz w:val="24"/>
                <w:szCs w:val="24"/>
                <w:highlight w:val="none"/>
              </w:rPr>
              <w:t>。</w:t>
            </w:r>
          </w:p>
        </w:tc>
      </w:tr>
      <w:tr w14:paraId="62BE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70" w:hRule="atLeast"/>
        </w:trPr>
        <w:tc>
          <w:tcPr>
            <w:tcW w:w="706" w:type="dxa"/>
            <w:shd w:val="clear" w:color="auto" w:fill="auto"/>
            <w:tcMar>
              <w:top w:w="0" w:type="dxa"/>
              <w:left w:w="105" w:type="dxa"/>
              <w:bottom w:w="0" w:type="dxa"/>
              <w:right w:w="105" w:type="dxa"/>
            </w:tcMar>
            <w:vAlign w:val="center"/>
          </w:tcPr>
          <w:p w14:paraId="0E94DA4E">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232" w:type="dxa"/>
            <w:shd w:val="clear" w:color="auto" w:fill="auto"/>
            <w:tcMar>
              <w:top w:w="0" w:type="dxa"/>
              <w:left w:w="105" w:type="dxa"/>
              <w:bottom w:w="0" w:type="dxa"/>
              <w:right w:w="105" w:type="dxa"/>
            </w:tcMar>
            <w:vAlign w:val="center"/>
          </w:tcPr>
          <w:p w14:paraId="49C5E61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不锈钢排烟管道、弯头、变径</w:t>
            </w:r>
          </w:p>
        </w:tc>
        <w:tc>
          <w:tcPr>
            <w:tcW w:w="1594" w:type="dxa"/>
            <w:shd w:val="clear" w:color="auto" w:fill="auto"/>
            <w:tcMar>
              <w:top w:w="0" w:type="dxa"/>
              <w:left w:w="105" w:type="dxa"/>
              <w:bottom w:w="0" w:type="dxa"/>
              <w:right w:w="105" w:type="dxa"/>
            </w:tcMar>
            <w:vAlign w:val="center"/>
          </w:tcPr>
          <w:p w14:paraId="1554BC2B">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1726" w:type="dxa"/>
            <w:shd w:val="clear" w:color="auto" w:fill="auto"/>
            <w:tcMar>
              <w:top w:w="0" w:type="dxa"/>
              <w:left w:w="105" w:type="dxa"/>
              <w:bottom w:w="0" w:type="dxa"/>
              <w:right w:w="105" w:type="dxa"/>
            </w:tcMar>
            <w:vAlign w:val="center"/>
          </w:tcPr>
          <w:p w14:paraId="61A25D4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370</w:t>
            </w:r>
          </w:p>
        </w:tc>
        <w:tc>
          <w:tcPr>
            <w:tcW w:w="692" w:type="dxa"/>
            <w:shd w:val="clear" w:color="auto" w:fill="auto"/>
            <w:tcMar>
              <w:top w:w="0" w:type="dxa"/>
              <w:left w:w="105" w:type="dxa"/>
              <w:bottom w:w="0" w:type="dxa"/>
              <w:right w:w="105" w:type="dxa"/>
            </w:tcMar>
            <w:vAlign w:val="center"/>
          </w:tcPr>
          <w:p w14:paraId="3F45937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692" w:type="dxa"/>
            <w:shd w:val="clear" w:color="auto" w:fill="auto"/>
            <w:tcMar>
              <w:top w:w="0" w:type="dxa"/>
              <w:left w:w="105" w:type="dxa"/>
              <w:bottom w:w="0" w:type="dxa"/>
              <w:right w:w="105" w:type="dxa"/>
            </w:tcMar>
            <w:vAlign w:val="center"/>
          </w:tcPr>
          <w:p w14:paraId="7AE435B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平米</w:t>
            </w:r>
          </w:p>
        </w:tc>
        <w:tc>
          <w:tcPr>
            <w:tcW w:w="3314" w:type="dxa"/>
            <w:shd w:val="clear" w:color="auto" w:fill="auto"/>
            <w:tcMar>
              <w:top w:w="0" w:type="dxa"/>
              <w:left w:w="105" w:type="dxa"/>
              <w:bottom w:w="0" w:type="dxa"/>
              <w:right w:w="105" w:type="dxa"/>
            </w:tcMar>
            <w:vAlign w:val="center"/>
          </w:tcPr>
          <w:p w14:paraId="793856DA">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材料：1.2mm不锈钢磨砂板，满焊制作。</w:t>
            </w:r>
          </w:p>
        </w:tc>
      </w:tr>
      <w:tr w14:paraId="07A7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0" w:hRule="atLeast"/>
        </w:trPr>
        <w:tc>
          <w:tcPr>
            <w:tcW w:w="706" w:type="dxa"/>
            <w:shd w:val="clear" w:color="auto" w:fill="auto"/>
            <w:tcMar>
              <w:top w:w="0" w:type="dxa"/>
              <w:left w:w="105" w:type="dxa"/>
              <w:bottom w:w="0" w:type="dxa"/>
              <w:right w:w="105" w:type="dxa"/>
            </w:tcMar>
            <w:vAlign w:val="center"/>
          </w:tcPr>
          <w:p w14:paraId="34F535A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232" w:type="dxa"/>
            <w:shd w:val="clear" w:color="auto" w:fill="auto"/>
            <w:tcMar>
              <w:top w:w="0" w:type="dxa"/>
              <w:left w:w="105" w:type="dxa"/>
              <w:bottom w:w="0" w:type="dxa"/>
              <w:right w:w="105" w:type="dxa"/>
            </w:tcMar>
            <w:vAlign w:val="center"/>
          </w:tcPr>
          <w:p w14:paraId="088643D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减震软接</w:t>
            </w:r>
          </w:p>
        </w:tc>
        <w:tc>
          <w:tcPr>
            <w:tcW w:w="1594" w:type="dxa"/>
            <w:shd w:val="clear" w:color="auto" w:fill="auto"/>
            <w:tcMar>
              <w:top w:w="0" w:type="dxa"/>
              <w:left w:w="105" w:type="dxa"/>
              <w:bottom w:w="0" w:type="dxa"/>
              <w:right w:w="105" w:type="dxa"/>
            </w:tcMar>
            <w:vAlign w:val="center"/>
          </w:tcPr>
          <w:p w14:paraId="7967ACC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1726" w:type="dxa"/>
            <w:shd w:val="clear" w:color="auto" w:fill="auto"/>
            <w:tcMar>
              <w:top w:w="0" w:type="dxa"/>
              <w:left w:w="105" w:type="dxa"/>
              <w:bottom w:w="0" w:type="dxa"/>
              <w:right w:w="105" w:type="dxa"/>
            </w:tcMar>
            <w:vAlign w:val="center"/>
          </w:tcPr>
          <w:p w14:paraId="1044651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450</w:t>
            </w:r>
          </w:p>
        </w:tc>
        <w:tc>
          <w:tcPr>
            <w:tcW w:w="692" w:type="dxa"/>
            <w:shd w:val="clear" w:color="auto" w:fill="auto"/>
            <w:tcMar>
              <w:top w:w="0" w:type="dxa"/>
              <w:left w:w="105" w:type="dxa"/>
              <w:bottom w:w="0" w:type="dxa"/>
              <w:right w:w="105" w:type="dxa"/>
            </w:tcMar>
            <w:vAlign w:val="center"/>
          </w:tcPr>
          <w:p w14:paraId="0821428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92" w:type="dxa"/>
            <w:shd w:val="clear" w:color="auto" w:fill="auto"/>
            <w:tcMar>
              <w:top w:w="0" w:type="dxa"/>
              <w:left w:w="105" w:type="dxa"/>
              <w:bottom w:w="0" w:type="dxa"/>
              <w:right w:w="105" w:type="dxa"/>
            </w:tcMar>
            <w:vAlign w:val="center"/>
          </w:tcPr>
          <w:p w14:paraId="1C20285F">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3314" w:type="dxa"/>
            <w:shd w:val="clear" w:color="auto" w:fill="auto"/>
            <w:tcMar>
              <w:top w:w="0" w:type="dxa"/>
              <w:left w:w="105" w:type="dxa"/>
              <w:bottom w:w="0" w:type="dxa"/>
              <w:right w:w="105" w:type="dxa"/>
            </w:tcMar>
            <w:vAlign w:val="center"/>
          </w:tcPr>
          <w:p w14:paraId="5EFF606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采用帆布软接，有效缓解震动。</w:t>
            </w:r>
          </w:p>
        </w:tc>
      </w:tr>
      <w:tr w14:paraId="07E57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815" w:hRule="atLeast"/>
        </w:trPr>
        <w:tc>
          <w:tcPr>
            <w:tcW w:w="706" w:type="dxa"/>
            <w:shd w:val="clear" w:color="auto" w:fill="auto"/>
            <w:tcMar>
              <w:top w:w="0" w:type="dxa"/>
              <w:left w:w="105" w:type="dxa"/>
              <w:bottom w:w="0" w:type="dxa"/>
              <w:right w:w="105" w:type="dxa"/>
            </w:tcMar>
            <w:vAlign w:val="center"/>
          </w:tcPr>
          <w:p w14:paraId="37D8DA0E">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1232" w:type="dxa"/>
            <w:shd w:val="clear" w:color="auto" w:fill="auto"/>
            <w:tcMar>
              <w:top w:w="0" w:type="dxa"/>
              <w:left w:w="105" w:type="dxa"/>
              <w:bottom w:w="0" w:type="dxa"/>
              <w:right w:w="105" w:type="dxa"/>
            </w:tcMar>
            <w:vAlign w:val="center"/>
          </w:tcPr>
          <w:p w14:paraId="5BEDA58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安装辅料（吊钩、螺栓、密封胶等）接驳连防漏工程</w:t>
            </w:r>
          </w:p>
        </w:tc>
        <w:tc>
          <w:tcPr>
            <w:tcW w:w="1594" w:type="dxa"/>
            <w:shd w:val="clear" w:color="auto" w:fill="auto"/>
            <w:tcMar>
              <w:top w:w="0" w:type="dxa"/>
              <w:left w:w="105" w:type="dxa"/>
              <w:bottom w:w="0" w:type="dxa"/>
              <w:right w:w="105" w:type="dxa"/>
            </w:tcMar>
            <w:vAlign w:val="center"/>
          </w:tcPr>
          <w:p w14:paraId="2911965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1726" w:type="dxa"/>
            <w:shd w:val="clear" w:color="auto" w:fill="auto"/>
            <w:tcMar>
              <w:top w:w="0" w:type="dxa"/>
              <w:left w:w="105" w:type="dxa"/>
              <w:bottom w:w="0" w:type="dxa"/>
              <w:right w:w="105" w:type="dxa"/>
            </w:tcMar>
            <w:vAlign w:val="center"/>
          </w:tcPr>
          <w:p w14:paraId="6FE69AE7">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3400</w:t>
            </w:r>
          </w:p>
        </w:tc>
        <w:tc>
          <w:tcPr>
            <w:tcW w:w="692" w:type="dxa"/>
            <w:shd w:val="clear" w:color="auto" w:fill="auto"/>
            <w:tcMar>
              <w:top w:w="0" w:type="dxa"/>
              <w:left w:w="105" w:type="dxa"/>
              <w:bottom w:w="0" w:type="dxa"/>
              <w:right w:w="105" w:type="dxa"/>
            </w:tcMar>
            <w:vAlign w:val="center"/>
          </w:tcPr>
          <w:p w14:paraId="3A28440B">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92" w:type="dxa"/>
            <w:shd w:val="clear" w:color="auto" w:fill="auto"/>
            <w:tcMar>
              <w:top w:w="0" w:type="dxa"/>
              <w:left w:w="105" w:type="dxa"/>
              <w:bottom w:w="0" w:type="dxa"/>
              <w:right w:w="105" w:type="dxa"/>
            </w:tcMar>
            <w:vAlign w:val="center"/>
          </w:tcPr>
          <w:p w14:paraId="0B53CB0D">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w:t>
            </w:r>
          </w:p>
        </w:tc>
        <w:tc>
          <w:tcPr>
            <w:tcW w:w="3314" w:type="dxa"/>
            <w:shd w:val="clear" w:color="auto" w:fill="auto"/>
            <w:tcMar>
              <w:top w:w="0" w:type="dxa"/>
              <w:left w:w="105" w:type="dxa"/>
              <w:bottom w:w="0" w:type="dxa"/>
              <w:right w:w="105" w:type="dxa"/>
            </w:tcMar>
            <w:vAlign w:val="center"/>
          </w:tcPr>
          <w:p w14:paraId="60F4E4E4">
            <w:pPr>
              <w:keepNext w:val="0"/>
              <w:keepLines w:val="0"/>
              <w:pageBreakBefore w:val="0"/>
              <w:widowControl/>
              <w:suppressLineNumbers w:val="0"/>
              <w:kinsoku/>
              <w:overflowPunct/>
              <w:topLinePunct w:val="0"/>
              <w:autoSpaceDE/>
              <w:autoSpaceDN/>
              <w:bidi w:val="0"/>
              <w:adjustRightInd/>
              <w:spacing w:beforeAutospacing="0" w:afterAutospacing="0" w:line="400" w:lineRule="exact"/>
              <w:jc w:val="left"/>
              <w:rPr>
                <w:rFonts w:hint="eastAsia" w:ascii="仿宋" w:hAnsi="仿宋" w:eastAsia="仿宋" w:cs="仿宋"/>
                <w:color w:val="auto"/>
                <w:sz w:val="24"/>
                <w:szCs w:val="24"/>
                <w:highlight w:val="none"/>
              </w:rPr>
            </w:pPr>
          </w:p>
        </w:tc>
      </w:tr>
      <w:tr w14:paraId="5A7E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0" w:hRule="atLeast"/>
        </w:trPr>
        <w:tc>
          <w:tcPr>
            <w:tcW w:w="9956" w:type="dxa"/>
            <w:gridSpan w:val="7"/>
            <w:shd w:val="clear" w:color="auto" w:fill="auto"/>
            <w:tcMar>
              <w:top w:w="0" w:type="dxa"/>
              <w:left w:w="105" w:type="dxa"/>
              <w:bottom w:w="0" w:type="dxa"/>
              <w:right w:w="105" w:type="dxa"/>
            </w:tcMar>
            <w:vAlign w:val="center"/>
          </w:tcPr>
          <w:p w14:paraId="3F7F95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注：本项目所涉及的技术参数，如有对应的最新国家标准，则以该最新国家标准为执行和</w:t>
            </w:r>
            <w:r>
              <w:rPr>
                <w:rFonts w:hint="eastAsia" w:ascii="仿宋" w:hAnsi="仿宋" w:eastAsia="仿宋" w:cs="仿宋"/>
                <w:color w:val="auto"/>
                <w:sz w:val="24"/>
                <w:szCs w:val="24"/>
                <w:highlight w:val="none"/>
                <w:lang w:val="en-US" w:eastAsia="zh-CN"/>
              </w:rPr>
              <w:t>验收</w:t>
            </w:r>
            <w:r>
              <w:rPr>
                <w:rFonts w:hint="eastAsia" w:ascii="仿宋" w:hAnsi="仿宋" w:eastAsia="仿宋" w:cs="仿宋"/>
                <w:color w:val="auto"/>
                <w:sz w:val="24"/>
                <w:szCs w:val="24"/>
                <w:highlight w:val="none"/>
              </w:rPr>
              <w:t>的依据。</w:t>
            </w:r>
          </w:p>
        </w:tc>
      </w:tr>
    </w:tbl>
    <w:p w14:paraId="30B57E5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Times New Roman" w:hAnsi="Times New Roman" w:eastAsia="仿宋" w:cs="Times New Roman"/>
          <w:b/>
          <w:bCs/>
          <w:color w:val="auto"/>
          <w:sz w:val="24"/>
          <w:szCs w:val="24"/>
          <w:highlight w:val="none"/>
          <w:lang w:eastAsia="zh-CN"/>
        </w:rPr>
      </w:pPr>
      <w:r>
        <w:rPr>
          <w:rFonts w:ascii="Times New Roman" w:hAnsi="Times New Roman" w:eastAsia="仿宋" w:cs="Times New Roman"/>
          <w:b/>
          <w:bCs/>
          <w:color w:val="auto"/>
          <w:sz w:val="24"/>
          <w:szCs w:val="24"/>
          <w:highlight w:val="none"/>
        </w:rPr>
        <w:t>★三、技术、服务要求</w:t>
      </w:r>
    </w:p>
    <w:p w14:paraId="74F84382">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2" w:firstLineChars="200"/>
        <w:textAlignment w:val="auto"/>
        <w:rPr>
          <w:rFonts w:hint="default"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eastAsia="zh-CN"/>
        </w:rPr>
        <w:t>（</w:t>
      </w:r>
      <w:r>
        <w:rPr>
          <w:rFonts w:hint="eastAsia" w:ascii="Times New Roman" w:hAnsi="Times New Roman" w:eastAsia="仿宋" w:cs="Times New Roman"/>
          <w:b/>
          <w:bCs/>
          <w:color w:val="auto"/>
          <w:sz w:val="24"/>
          <w:szCs w:val="24"/>
          <w:highlight w:val="none"/>
          <w:lang w:val="en-US" w:eastAsia="zh-CN"/>
        </w:rPr>
        <w:t>一）踏勘要求</w:t>
      </w:r>
    </w:p>
    <w:p w14:paraId="0C79480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1.供应商在踏勘时，可向采购人提出有关于货物设备运输、安装、调试等需了解的相关事项，如供应商未在踏勘时提出疑问视为供应商对踏勘现场无任何疑问。</w:t>
      </w:r>
    </w:p>
    <w:p w14:paraId="62E99F5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2.踏勘时采购人可提供现场</w:t>
      </w:r>
      <w:r>
        <w:rPr>
          <w:rFonts w:hint="eastAsia" w:ascii="仿宋" w:hAnsi="仿宋" w:eastAsia="仿宋" w:cs="仿宋"/>
          <w:color w:val="auto"/>
          <w:kern w:val="2"/>
          <w:sz w:val="24"/>
          <w:szCs w:val="24"/>
          <w:highlight w:val="none"/>
          <w:lang w:val="en-US" w:eastAsia="zh-CN"/>
        </w:rPr>
        <w:t>施工图纸，供应商若对施工现场相关条件存在疑问应在响应文件递交截止时间前向采购人提出，若未提出，视为对施工现场相关条件无疑问。</w:t>
      </w:r>
    </w:p>
    <w:p w14:paraId="15C45A4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color w:val="auto"/>
          <w:highlight w:val="none"/>
        </w:rPr>
      </w:pPr>
      <w:r>
        <w:rPr>
          <w:rFonts w:hint="eastAsia" w:ascii="Times New Roman" w:hAnsi="Times New Roman" w:eastAsia="仿宋" w:cs="Times New Roman"/>
          <w:b/>
          <w:bCs/>
          <w:color w:val="auto"/>
          <w:sz w:val="24"/>
          <w:szCs w:val="24"/>
          <w:highlight w:val="none"/>
          <w:lang w:val="en-US" w:eastAsia="zh-CN"/>
        </w:rPr>
        <w:t>（二）</w:t>
      </w:r>
      <w:r>
        <w:rPr>
          <w:rFonts w:hint="eastAsia" w:ascii="仿宋" w:hAnsi="仿宋" w:eastAsia="仿宋" w:cs="仿宋"/>
          <w:b/>
          <w:bCs/>
          <w:color w:val="auto"/>
          <w:kern w:val="2"/>
          <w:sz w:val="24"/>
          <w:szCs w:val="24"/>
          <w:highlight w:val="none"/>
        </w:rPr>
        <w:t>总体要求</w:t>
      </w:r>
    </w:p>
    <w:p w14:paraId="4FF5605F">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rPr>
        <w:t>1.所有设备、材料、生产、安装须符合中华人民共和国最新的食品安全法、安全生产、环保、节能、劳动保护、消防等条例及规范。所有产品必须符合卫生的标准规范要求。所有设备的电器</w:t>
      </w:r>
      <w:r>
        <w:rPr>
          <w:rFonts w:hint="eastAsia" w:ascii="仿宋" w:hAnsi="仿宋" w:eastAsia="仿宋" w:cs="仿宋"/>
          <w:color w:val="auto"/>
          <w:sz w:val="24"/>
          <w:szCs w:val="24"/>
          <w:highlight w:val="none"/>
          <w:lang w:val="en-US" w:eastAsia="zh-CN"/>
        </w:rPr>
        <w:t>部分</w:t>
      </w:r>
      <w:r>
        <w:rPr>
          <w:rFonts w:hint="eastAsia" w:ascii="仿宋" w:hAnsi="仿宋" w:eastAsia="仿宋" w:cs="仿宋"/>
          <w:color w:val="auto"/>
          <w:kern w:val="2"/>
          <w:sz w:val="24"/>
          <w:szCs w:val="24"/>
          <w:highlight w:val="none"/>
        </w:rPr>
        <w:t>须具有可靠防水功能，防漏电绝缘能力。所有食品加工机械、搅拌、漏斗等</w:t>
      </w:r>
      <w:r>
        <w:rPr>
          <w:rFonts w:hint="eastAsia" w:ascii="仿宋" w:hAnsi="仿宋" w:eastAsia="仿宋" w:cs="仿宋"/>
          <w:color w:val="auto"/>
          <w:kern w:val="2"/>
          <w:sz w:val="24"/>
          <w:szCs w:val="24"/>
          <w:highlight w:val="none"/>
          <w:lang w:val="en-US" w:eastAsia="zh-CN"/>
        </w:rPr>
        <w:t>部分</w:t>
      </w:r>
      <w:r>
        <w:rPr>
          <w:rFonts w:hint="eastAsia" w:ascii="仿宋" w:hAnsi="仿宋" w:eastAsia="仿宋" w:cs="仿宋"/>
          <w:color w:val="auto"/>
          <w:kern w:val="2"/>
          <w:sz w:val="24"/>
          <w:szCs w:val="24"/>
          <w:highlight w:val="none"/>
        </w:rPr>
        <w:t>须设计为避免伤害的装置及功能。</w:t>
      </w:r>
      <w:r>
        <w:rPr>
          <w:rFonts w:hint="eastAsia" w:ascii="仿宋" w:hAnsi="仿宋" w:eastAsia="仿宋" w:cs="仿宋"/>
          <w:color w:val="auto"/>
          <w:kern w:val="2"/>
          <w:sz w:val="24"/>
          <w:szCs w:val="24"/>
          <w:highlight w:val="none"/>
          <w:lang w:val="en-US" w:eastAsia="zh-CN"/>
        </w:rPr>
        <w:t>涉及用水用电产品</w:t>
      </w:r>
      <w:r>
        <w:rPr>
          <w:rFonts w:hint="eastAsia" w:ascii="仿宋" w:hAnsi="仿宋" w:eastAsia="仿宋" w:cs="仿宋"/>
          <w:color w:val="auto"/>
          <w:kern w:val="2"/>
          <w:sz w:val="24"/>
          <w:szCs w:val="24"/>
          <w:highlight w:val="none"/>
        </w:rPr>
        <w:t>须有主动防护功能，须有紧急切断、紧急制动装置。</w:t>
      </w:r>
    </w:p>
    <w:p w14:paraId="6330376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2.所有设备要符合现场实际情况，</w:t>
      </w:r>
      <w:r>
        <w:rPr>
          <w:rFonts w:hint="eastAsia" w:ascii="仿宋" w:hAnsi="仿宋" w:eastAsia="仿宋" w:cs="仿宋"/>
          <w:color w:val="auto"/>
          <w:kern w:val="2"/>
          <w:sz w:val="24"/>
          <w:szCs w:val="24"/>
          <w:highlight w:val="none"/>
          <w:lang w:val="en-US" w:eastAsia="zh-CN"/>
        </w:rPr>
        <w:t>供应商应根据踏勘现场了解到的室内平面布局及施工、安装条件等信息</w:t>
      </w:r>
      <w:r>
        <w:rPr>
          <w:rFonts w:hint="eastAsia" w:ascii="仿宋" w:hAnsi="仿宋" w:eastAsia="仿宋" w:cs="仿宋"/>
          <w:color w:val="auto"/>
          <w:kern w:val="2"/>
          <w:sz w:val="24"/>
          <w:szCs w:val="24"/>
          <w:highlight w:val="none"/>
        </w:rPr>
        <w:t>，复核设备摆放图纸，</w:t>
      </w:r>
      <w:r>
        <w:rPr>
          <w:rFonts w:hint="eastAsia" w:ascii="仿宋" w:hAnsi="仿宋" w:eastAsia="仿宋" w:cs="仿宋"/>
          <w:color w:val="auto"/>
          <w:kern w:val="2"/>
          <w:sz w:val="24"/>
          <w:szCs w:val="24"/>
          <w:highlight w:val="none"/>
          <w:lang w:eastAsia="zh-CN"/>
        </w:rPr>
        <w:t>部分</w:t>
      </w:r>
      <w:r>
        <w:rPr>
          <w:rFonts w:hint="eastAsia" w:ascii="仿宋" w:hAnsi="仿宋" w:eastAsia="仿宋" w:cs="仿宋"/>
          <w:color w:val="auto"/>
          <w:kern w:val="2"/>
          <w:sz w:val="24"/>
          <w:szCs w:val="24"/>
          <w:highlight w:val="none"/>
        </w:rPr>
        <w:t>设备的尺寸、给水、排水口位置、设备配件等方面须按照现场的具体尺寸及现场情况进行修订制作、安装(现场安装条件有出入的设备尺寸须提前报采购人审批)，所有安装条件与设备参数不符的问题由供应商自行承担，供应商必须负责完成整改，采购人不再支付任何费用。</w:t>
      </w:r>
    </w:p>
    <w:p w14:paraId="52B662C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rPr>
        <w:t>3.设备的给水、排水、电源接驳点由采购人接至设备所须位置，最后由接驳点至设备的管路及配件、线路、控制开关等由</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按照采购人要求的材料、工艺负责接驳。</w:t>
      </w:r>
    </w:p>
    <w:p w14:paraId="3BCD7591">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rPr>
        <w:t>4.设备运输、安装、调试时</w:t>
      </w:r>
      <w:r>
        <w:rPr>
          <w:rFonts w:hint="eastAsia" w:ascii="仿宋" w:hAnsi="仿宋" w:eastAsia="仿宋" w:cs="仿宋"/>
          <w:color w:val="auto"/>
          <w:kern w:val="2"/>
          <w:sz w:val="24"/>
          <w:szCs w:val="24"/>
          <w:highlight w:val="none"/>
          <w:lang w:val="en-US" w:eastAsia="zh-CN"/>
        </w:rPr>
        <w:t>须</w:t>
      </w:r>
      <w:r>
        <w:rPr>
          <w:rFonts w:hint="eastAsia" w:ascii="仿宋" w:hAnsi="仿宋" w:eastAsia="仿宋" w:cs="仿宋"/>
          <w:color w:val="auto"/>
          <w:kern w:val="2"/>
          <w:sz w:val="24"/>
          <w:szCs w:val="24"/>
          <w:highlight w:val="none"/>
        </w:rPr>
        <w:t>与采购人协调配合，费用</w:t>
      </w:r>
      <w:r>
        <w:rPr>
          <w:rFonts w:hint="eastAsia" w:ascii="仿宋" w:hAnsi="仿宋" w:eastAsia="仿宋" w:cs="仿宋"/>
          <w:color w:val="auto"/>
          <w:kern w:val="2"/>
          <w:sz w:val="24"/>
          <w:szCs w:val="24"/>
          <w:highlight w:val="none"/>
          <w:lang w:val="en-US" w:eastAsia="zh-CN"/>
        </w:rPr>
        <w:t>包含在本项目报价中</w:t>
      </w:r>
      <w:r>
        <w:rPr>
          <w:rFonts w:hint="eastAsia" w:ascii="仿宋" w:hAnsi="仿宋" w:eastAsia="仿宋" w:cs="仿宋"/>
          <w:color w:val="auto"/>
          <w:kern w:val="2"/>
          <w:sz w:val="24"/>
          <w:szCs w:val="24"/>
          <w:highlight w:val="none"/>
        </w:rPr>
        <w:t>。设备安装时的墙面、地面开孔、开槽，土建修补、混凝土回填均由</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按照采购人要求的材料、工艺负责施工，必须与原有建筑材料、结构、颜色、工艺一致，采购人不再支付任何费用。</w:t>
      </w:r>
    </w:p>
    <w:p w14:paraId="6EF75EF3">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5.货物安装完毕，采购人在使用过程中因货物质量问题造成的一切安全事件，以及供应商工作人员在配送、安装、调试等工作中发生的任何安全事故，均由供应商承担全部法律责任，与采购人无关。</w:t>
      </w:r>
      <w:r>
        <w:rPr>
          <w:rFonts w:hint="eastAsia" w:ascii="仿宋" w:hAnsi="仿宋" w:eastAsia="仿宋" w:cs="仿宋"/>
          <w:b/>
          <w:bCs/>
          <w:color w:val="auto"/>
          <w:kern w:val="2"/>
          <w:sz w:val="24"/>
          <w:szCs w:val="24"/>
          <w:highlight w:val="none"/>
        </w:rPr>
        <w:t>（供应商响应时在响应文件中提供承诺函并加盖供应商公章，格式自拟）</w:t>
      </w:r>
    </w:p>
    <w:p w14:paraId="5E9483E6">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w:t>
      </w:r>
      <w:r>
        <w:rPr>
          <w:rFonts w:hint="eastAsia" w:ascii="仿宋" w:hAnsi="仿宋" w:eastAsia="仿宋" w:cs="仿宋"/>
          <w:color w:val="auto"/>
          <w:kern w:val="2"/>
          <w:sz w:val="24"/>
          <w:szCs w:val="24"/>
          <w:highlight w:val="none"/>
          <w:lang w:val="en-US" w:eastAsia="zh-CN"/>
        </w:rPr>
        <w:t>供应商在响应时</w:t>
      </w:r>
      <w:r>
        <w:rPr>
          <w:rFonts w:hint="eastAsia" w:ascii="仿宋" w:hAnsi="仿宋" w:eastAsia="仿宋" w:cs="仿宋"/>
          <w:color w:val="auto"/>
          <w:kern w:val="2"/>
          <w:sz w:val="24"/>
          <w:szCs w:val="24"/>
          <w:highlight w:val="none"/>
        </w:rPr>
        <w:t>时提供设备安装计划，包括但不限于安装设计图纸、安装内容、安装进度安排、蒸汽相关的技术协调内容及方法、应急保障方案。</w:t>
      </w:r>
    </w:p>
    <w:p w14:paraId="7CCAE8F7">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rPr>
        <w:t>7.</w:t>
      </w:r>
      <w:r>
        <w:rPr>
          <w:rFonts w:hint="eastAsia" w:ascii="仿宋" w:hAnsi="仿宋" w:eastAsia="仿宋" w:cs="仿宋"/>
          <w:color w:val="auto"/>
          <w:kern w:val="2"/>
          <w:sz w:val="24"/>
          <w:szCs w:val="24"/>
          <w:highlight w:val="none"/>
          <w:lang w:val="en-US" w:eastAsia="zh-CN"/>
        </w:rPr>
        <w:t>供应商应在合同签订后</w:t>
      </w:r>
      <w:r>
        <w:rPr>
          <w:rFonts w:hint="eastAsia" w:ascii="仿宋" w:hAnsi="仿宋" w:eastAsia="仿宋" w:cs="仿宋"/>
          <w:color w:val="auto"/>
          <w:kern w:val="2"/>
          <w:sz w:val="24"/>
          <w:szCs w:val="24"/>
          <w:highlight w:val="none"/>
        </w:rPr>
        <w:t>5个工作日内提出设备安装深化设计方案，包括但不限于安装内容、安装进度安排、蒸汽相关的技术内容及方法，应急保障方案交与采购人，审核通过后方可实施安装。</w:t>
      </w:r>
    </w:p>
    <w:p w14:paraId="472DF92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rPr>
        <w:t>8.</w:t>
      </w: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需对</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的管理人员、操作人员、维修人员进行培训,保证</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的管理人员、操作人员、维修人员能够正常、正确使用所有设备。</w:t>
      </w:r>
    </w:p>
    <w:p w14:paraId="4D07A72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strike w:val="0"/>
          <w:dstrike w:val="0"/>
          <w:color w:val="auto"/>
          <w:kern w:val="2"/>
          <w:sz w:val="24"/>
          <w:szCs w:val="24"/>
          <w:highlight w:val="none"/>
        </w:rPr>
      </w:pPr>
      <w:r>
        <w:rPr>
          <w:rFonts w:hint="eastAsia" w:ascii="仿宋" w:hAnsi="仿宋" w:eastAsia="仿宋" w:cs="仿宋"/>
          <w:color w:val="auto"/>
          <w:kern w:val="2"/>
          <w:sz w:val="24"/>
          <w:szCs w:val="24"/>
          <w:highlight w:val="none"/>
          <w:lang w:val="en-US" w:eastAsia="zh-CN"/>
        </w:rPr>
        <w:t>9</w:t>
      </w:r>
      <w:r>
        <w:rPr>
          <w:rFonts w:hint="eastAsia" w:ascii="仿宋" w:hAnsi="仿宋" w:eastAsia="仿宋" w:cs="仿宋"/>
          <w:color w:val="auto"/>
          <w:kern w:val="2"/>
          <w:sz w:val="24"/>
          <w:szCs w:val="24"/>
          <w:highlight w:val="none"/>
        </w:rPr>
        <w:t>.</w:t>
      </w:r>
      <w:r>
        <w:rPr>
          <w:rFonts w:hint="eastAsia" w:ascii="仿宋" w:hAnsi="仿宋" w:eastAsia="仿宋" w:cs="仿宋"/>
          <w:strike w:val="0"/>
          <w:dstrike w:val="0"/>
          <w:color w:val="auto"/>
          <w:kern w:val="2"/>
          <w:sz w:val="24"/>
          <w:szCs w:val="24"/>
          <w:highlight w:val="none"/>
        </w:rPr>
        <w:t>在检测预试过程中，若设备出现缺陷的供应商应及时恢复，电器配件出现缺陷的供应商须立即更换。</w:t>
      </w:r>
    </w:p>
    <w:p w14:paraId="6EF51059">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eastAsia="zh-CN"/>
        </w:rPr>
        <w:t>（</w:t>
      </w:r>
      <w:r>
        <w:rPr>
          <w:rFonts w:hint="eastAsia" w:ascii="仿宋" w:hAnsi="仿宋" w:eastAsia="仿宋" w:cs="仿宋"/>
          <w:b/>
          <w:bCs/>
          <w:color w:val="auto"/>
          <w:kern w:val="2"/>
          <w:sz w:val="24"/>
          <w:szCs w:val="24"/>
          <w:highlight w:val="none"/>
          <w:lang w:val="en-US" w:eastAsia="zh-CN"/>
        </w:rPr>
        <w:t>三）售后服务要求</w:t>
      </w:r>
    </w:p>
    <w:p w14:paraId="0D5472F2">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strike w:val="0"/>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strike w:val="0"/>
          <w:dstrike w:val="0"/>
          <w:color w:val="auto"/>
          <w:kern w:val="2"/>
          <w:sz w:val="24"/>
          <w:szCs w:val="24"/>
          <w:highlight w:val="none"/>
          <w:lang w:val="en-US" w:eastAsia="zh-CN"/>
        </w:rPr>
        <w:t>供应商需完成新设备安装、调试、指导操作、维护保养和人员培训。</w:t>
      </w:r>
    </w:p>
    <w:p w14:paraId="5222AA63">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val="en-US" w:eastAsia="zh-CN" w:bidi="ar-SA"/>
        </w:rPr>
        <w:t>供应商应承担质保期内因保修服务产生的全部费用；保修范围内损坏而更换的部件，其质保期自更换之日起顺延。</w:t>
      </w:r>
    </w:p>
    <w:p w14:paraId="4855A3E1">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仿宋" w:hAnsi="仿宋" w:eastAsia="仿宋" w:cs="仿宋"/>
          <w:strike/>
          <w:dstrike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3.设备一旦发生故障，供应商在接到采购人通知后，必须在24小时内完成设备维修，如不能完成维修，必须在24小时内提供相同品牌型号的设备进行备用替代，保障采购人生产正常进行。</w:t>
      </w:r>
    </w:p>
    <w:p w14:paraId="30B40D9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★四、商务要求</w:t>
      </w:r>
    </w:p>
    <w:p w14:paraId="0DD0F04C">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（一）交货时间</w:t>
      </w:r>
    </w:p>
    <w:p w14:paraId="690AAB20">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供应商须将所有货物运抵交付地点，完成安装、调试及试运行后，向采购人进行交付。本项目货物分为非安装交付类与安装调试类，按以下约定分别交付：</w:t>
      </w:r>
    </w:p>
    <w:p w14:paraId="542C167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1.非安装交付类货物（货物清单序号：1、2、3、5、6、7）：供应商在本项目合同签订后7日内完成送货安装交付。</w:t>
      </w:r>
    </w:p>
    <w:p w14:paraId="4409FB9D">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2.安装调试类货物交付（货物清单序号：4、8、9、10、11）：供应商应在接到采购人书面通知后20日内完成送货安装调试。货物安装调试完成并经采购人初步验收合格后，进入试运行阶段。</w:t>
      </w:r>
    </w:p>
    <w:p w14:paraId="6E993C1F">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试运行期为7个工作日。试运行期间，货物运行稳定且未出现问题的，方可进行验收；试运行期间出现问题的，供应商应负责处理，试运行期自问题解决之日起重新计算。</w:t>
      </w:r>
    </w:p>
    <w:p w14:paraId="1BDC14DA">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（二）交货地点</w:t>
      </w:r>
      <w:r>
        <w:rPr>
          <w:rFonts w:hint="eastAsia" w:ascii="Times New Roman" w:hAnsi="Times New Roman" w:eastAsia="仿宋" w:cs="Times New Roman"/>
          <w:sz w:val="24"/>
          <w:szCs w:val="24"/>
          <w:lang w:val="en-US" w:eastAsia="zh-CN"/>
        </w:rPr>
        <w:t>：四川省人民医院（本部）</w:t>
      </w:r>
    </w:p>
    <w:p w14:paraId="0EF9FC3E">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（三）质保期及质保范围</w:t>
      </w:r>
    </w:p>
    <w:p w14:paraId="506E5046">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质保期：验收合格后不低于5年。</w:t>
      </w:r>
    </w:p>
    <w:p w14:paraId="67D9E378">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质保范围：含所有货物（质保期内涉及维修、产品更换、人工费用等一切费用包含在本项目报价中）。</w:t>
      </w:r>
    </w:p>
    <w:p w14:paraId="0885DFA6">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（四）付款条件</w:t>
      </w:r>
      <w:r>
        <w:rPr>
          <w:rFonts w:hint="eastAsia" w:ascii="Times New Roman" w:hAnsi="Times New Roman" w:eastAsia="仿宋" w:cs="Times New Roman"/>
          <w:sz w:val="24"/>
          <w:szCs w:val="24"/>
          <w:lang w:val="en-US" w:eastAsia="zh-CN"/>
        </w:rPr>
        <w:t>：所有设备验收合格后，供应商5日内向采购人提供合法有效票据及其他相关请款资料，采购人自收到上述票据及资料后55日内，向供应商支付合同总金额的100%。</w:t>
      </w:r>
    </w:p>
    <w:p w14:paraId="42FF7E31">
      <w:pPr>
        <w:pStyle w:val="16"/>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一次性验收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按照基于本项目采购需求编制的采购文件要求及供应商响应文件情况，由供应商向采购人交付的全部内容。</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供应商完成本项目涉及的所有货物的安装、调试、试运行并具备验收条件后，于5日内通知采购人验收，采购人接供应商通知后10日内组织验收。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1.国家相关法律法规、行业标准、技术规范。</w:t>
            </w:r>
          </w:p>
          <w:p w14:paraId="6A2D1F7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2.基于本项目采购需求编制的采购文件相关技术、服务要求、供应商响应文件相关响应内容。</w:t>
            </w:r>
          </w:p>
          <w:p w14:paraId="4B01DC63">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3.产品生产厂家出具的产品说明书、技术白皮书等官方技术资料（如涉及）。</w:t>
            </w:r>
          </w:p>
          <w:p w14:paraId="070C427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4.如验收时，采购人与供应商认为本项目验收标准中的技术指标、质量要求等内容存在相互抵触或对其理解存在异议，应按照其中更严格的要求、标准等进行验收。</w:t>
            </w:r>
          </w:p>
          <w:p w14:paraId="5ABD2F71">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5.参照《财政部关于进一步加强政府采购需求和履约验收管理的指导意见》（财库〔2016〕205号）的要求进行验收。</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5BFC5D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line="400" w:lineRule="exact"/>
        <w:ind w:firstLine="482" w:firstLineChars="200"/>
        <w:textAlignment w:val="auto"/>
        <w:rPr>
          <w:rFonts w:hint="default"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387087C1">
      <w:pPr>
        <w:pStyle w:val="16"/>
        <w:keepNext w:val="0"/>
        <w:keepLines w:val="0"/>
        <w:pageBreakBefore w:val="0"/>
        <w:widowControl w:val="0"/>
        <w:kinsoku/>
        <w:wordWrap/>
        <w:overflowPunct/>
        <w:topLinePunct w:val="0"/>
        <w:autoSpaceDE/>
        <w:autoSpaceDN/>
        <w:bidi w:val="0"/>
        <w:adjustRightInd/>
        <w:snapToGrid w:val="0"/>
        <w:spacing w:before="0" w:line="400" w:lineRule="exact"/>
        <w:ind w:firstLine="480" w:firstLineChars="200"/>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★1.供应商自2023年1月1日（含）至响应文件递交截止之日，具有</w:t>
      </w:r>
      <w:r>
        <w:rPr>
          <w:rFonts w:hint="eastAsia" w:ascii="Times New Roman" w:hAnsi="Times New Roman" w:eastAsia="仿宋" w:cs="Times New Roman"/>
          <w:sz w:val="24"/>
          <w:szCs w:val="24"/>
          <w:highlight w:val="none"/>
          <w:lang w:val="en-US" w:eastAsia="zh-CN"/>
        </w:rPr>
        <w:t>2</w:t>
      </w:r>
      <w:r>
        <w:rPr>
          <w:rFonts w:hint="default" w:ascii="Times New Roman" w:hAnsi="Times New Roman" w:eastAsia="仿宋" w:cs="Times New Roman"/>
          <w:sz w:val="24"/>
          <w:szCs w:val="24"/>
          <w:highlight w:val="none"/>
          <w:lang w:val="en-US" w:eastAsia="zh-CN"/>
        </w:rPr>
        <w:t>个类似项目业绩（类似项目业绩是指：提供的业绩须包含本项目产品清单内序号</w:t>
      </w:r>
      <w:r>
        <w:rPr>
          <w:rFonts w:hint="eastAsia" w:ascii="Times New Roman" w:hAnsi="Times New Roman" w:eastAsia="仿宋" w:cs="Times New Roman"/>
          <w:sz w:val="24"/>
          <w:szCs w:val="24"/>
          <w:highlight w:val="none"/>
          <w:lang w:val="en-US" w:eastAsia="zh-CN"/>
        </w:rPr>
        <w:t>7</w:t>
      </w:r>
      <w:r>
        <w:rPr>
          <w:rFonts w:hint="default" w:ascii="Times New Roman" w:hAnsi="Times New Roman" w:eastAsia="仿宋" w:cs="Times New Roman"/>
          <w:sz w:val="24"/>
          <w:szCs w:val="24"/>
          <w:highlight w:val="none"/>
          <w:lang w:val="en-US" w:eastAsia="zh-CN"/>
        </w:rPr>
        <w:t>、</w:t>
      </w:r>
      <w:r>
        <w:rPr>
          <w:rFonts w:hint="eastAsia" w:ascii="Times New Roman" w:hAnsi="Times New Roman" w:eastAsia="仿宋" w:cs="Times New Roman"/>
          <w:sz w:val="24"/>
          <w:szCs w:val="24"/>
          <w:highlight w:val="none"/>
          <w:lang w:val="en-US" w:eastAsia="zh-CN"/>
        </w:rPr>
        <w:t>8</w:t>
      </w:r>
      <w:r>
        <w:rPr>
          <w:rFonts w:hint="default" w:ascii="Times New Roman" w:hAnsi="Times New Roman" w:eastAsia="仿宋" w:cs="Times New Roman"/>
          <w:sz w:val="24"/>
          <w:szCs w:val="24"/>
          <w:highlight w:val="none"/>
          <w:lang w:val="en-US" w:eastAsia="zh-CN"/>
        </w:rPr>
        <w:t>项任意一项产品），提供合同复印件并加盖供应商公章。</w:t>
      </w:r>
    </w:p>
    <w:p w14:paraId="5014D632">
      <w:pPr>
        <w:pStyle w:val="16"/>
        <w:keepNext w:val="0"/>
        <w:keepLines w:val="0"/>
        <w:pageBreakBefore w:val="0"/>
        <w:kinsoku/>
        <w:overflowPunct/>
        <w:topLinePunct w:val="0"/>
        <w:autoSpaceDE/>
        <w:autoSpaceDN/>
        <w:bidi w:val="0"/>
        <w:adjustRightInd/>
        <w:spacing w:before="0" w:line="400" w:lineRule="exact"/>
        <w:ind w:firstLine="0"/>
        <w:rPr>
          <w:rFonts w:ascii="Times New Roman" w:hAnsi="Times New Roman" w:eastAsia="仿宋" w:cs="Times New Roman"/>
          <w:sz w:val="24"/>
          <w:szCs w:val="24"/>
        </w:rPr>
      </w:pPr>
    </w:p>
    <w:p w14:paraId="4A6A2942">
      <w:pPr>
        <w:pStyle w:val="16"/>
        <w:keepNext w:val="0"/>
        <w:keepLines w:val="0"/>
        <w:pageBreakBefore w:val="0"/>
        <w:kinsoku/>
        <w:overflowPunct/>
        <w:topLinePunct w:val="0"/>
        <w:autoSpaceDE/>
        <w:autoSpaceDN/>
        <w:bidi w:val="0"/>
        <w:adjustRightInd/>
        <w:spacing w:before="0" w:line="400" w:lineRule="exact"/>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0FE2E259">
      <w:pPr>
        <w:rPr>
          <w:lang w:val="zh-CN"/>
        </w:rPr>
      </w:pPr>
    </w:p>
    <w:p w14:paraId="05DA7FD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本项目为最低评审价法，不涉及。</w:t>
      </w:r>
    </w:p>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24123"/>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989"/>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16029"/>
      <w:bookmarkStart w:id="50" w:name="_Toc11352"/>
      <w:bookmarkStart w:id="51" w:name="_Toc3023"/>
      <w:bookmarkStart w:id="52" w:name="_Toc6482"/>
      <w:bookmarkStart w:id="53"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4305"/>
      <w:bookmarkStart w:id="56" w:name="_Toc31838"/>
      <w:bookmarkStart w:id="57" w:name="_Toc22676"/>
      <w:bookmarkStart w:id="58" w:name="_Toc17857"/>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4"/>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25638"/>
      <w:bookmarkStart w:id="68" w:name="_Toc27661"/>
      <w:bookmarkStart w:id="69" w:name="_Toc20589"/>
      <w:bookmarkStart w:id="70" w:name="_Toc12015"/>
      <w:bookmarkStart w:id="71" w:name="_Toc15526"/>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1074"/>
      <w:bookmarkStart w:id="74" w:name="_Toc2041"/>
      <w:bookmarkStart w:id="75" w:name="_Toc26969"/>
      <w:bookmarkStart w:id="76" w:name="_Toc16435"/>
      <w:bookmarkStart w:id="77" w:name="_Toc23967"/>
      <w:bookmarkStart w:id="78" w:name="_Toc12967"/>
      <w:r>
        <w:rPr>
          <w:rStyle w:val="39"/>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31686"/>
      <w:bookmarkStart w:id="80" w:name="_Toc21082"/>
      <w:bookmarkStart w:id="81" w:name="_Toc24806"/>
      <w:bookmarkStart w:id="82" w:name="_Toc28634"/>
      <w:bookmarkStart w:id="83" w:name="_Toc1369"/>
      <w:bookmarkStart w:id="84" w:name="_Toc26839"/>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keepNext w:val="0"/>
        <w:keepLines w:val="0"/>
        <w:pageBreakBefore w:val="0"/>
        <w:widowControl w:val="0"/>
        <w:kinsoku/>
        <w:wordWrap/>
        <w:overflowPunct/>
        <w:topLinePunct w:val="0"/>
        <w:autoSpaceDE/>
        <w:autoSpaceDN/>
        <w:bidi w:val="0"/>
        <w:adjustRightInd/>
        <w:snapToGrid/>
        <w:spacing w:after="0"/>
        <w:textAlignment w:val="auto"/>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keepNext w:val="0"/>
        <w:keepLines w:val="0"/>
        <w:pageBreakBefore w:val="0"/>
        <w:widowControl w:val="0"/>
        <w:kinsoku/>
        <w:wordWrap/>
        <w:overflowPunct/>
        <w:topLinePunct w:val="0"/>
        <w:autoSpaceDE/>
        <w:autoSpaceDN/>
        <w:bidi w:val="0"/>
        <w:adjustRightInd/>
        <w:snapToGrid/>
        <w:spacing w:after="0"/>
        <w:textAlignment w:val="auto"/>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keepNext w:val="0"/>
        <w:keepLines w:val="0"/>
        <w:pageBreakBefore w:val="0"/>
        <w:widowControl w:val="0"/>
        <w:kinsoku/>
        <w:wordWrap/>
        <w:overflowPunct/>
        <w:topLinePunct w:val="0"/>
        <w:autoSpaceDE/>
        <w:autoSpaceDN/>
        <w:bidi w:val="0"/>
        <w:adjustRightInd/>
        <w:snapToGrid/>
        <w:spacing w:after="0"/>
        <w:textAlignment w:val="auto"/>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7"/>
        <w:gridCol w:w="1628"/>
        <w:gridCol w:w="1227"/>
        <w:gridCol w:w="1259"/>
        <w:gridCol w:w="1257"/>
        <w:gridCol w:w="764"/>
        <w:gridCol w:w="573"/>
        <w:gridCol w:w="615"/>
        <w:gridCol w:w="1061"/>
        <w:gridCol w:w="760"/>
      </w:tblGrid>
      <w:tr w14:paraId="78446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2CF60C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843" w:type="pct"/>
            <w:vAlign w:val="center"/>
          </w:tcPr>
          <w:p w14:paraId="76504F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636" w:type="pct"/>
            <w:vAlign w:val="center"/>
          </w:tcPr>
          <w:p w14:paraId="0210D7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响应产品名称</w:t>
            </w:r>
          </w:p>
        </w:tc>
        <w:tc>
          <w:tcPr>
            <w:tcW w:w="653" w:type="pct"/>
            <w:vAlign w:val="center"/>
          </w:tcPr>
          <w:p w14:paraId="5B2E56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生产厂家</w:t>
            </w:r>
          </w:p>
        </w:tc>
        <w:tc>
          <w:tcPr>
            <w:tcW w:w="652" w:type="pct"/>
            <w:vAlign w:val="center"/>
          </w:tcPr>
          <w:p w14:paraId="1BC95E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规格型号</w:t>
            </w:r>
          </w:p>
        </w:tc>
        <w:tc>
          <w:tcPr>
            <w:tcW w:w="396" w:type="pct"/>
            <w:vAlign w:val="center"/>
          </w:tcPr>
          <w:p w14:paraId="172CB9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单价（元）</w:t>
            </w:r>
          </w:p>
        </w:tc>
        <w:tc>
          <w:tcPr>
            <w:tcW w:w="297" w:type="pct"/>
            <w:vAlign w:val="center"/>
          </w:tcPr>
          <w:p w14:paraId="29D764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数量</w:t>
            </w:r>
          </w:p>
        </w:tc>
        <w:tc>
          <w:tcPr>
            <w:tcW w:w="319" w:type="pct"/>
            <w:shd w:val="clear" w:color="auto" w:fill="auto"/>
            <w:vAlign w:val="center"/>
          </w:tcPr>
          <w:p w14:paraId="47434C70">
            <w:pPr>
              <w:pStyle w:val="14"/>
              <w:keepNext w:val="0"/>
              <w:keepLines w:val="0"/>
              <w:pageBreakBefore w:val="0"/>
              <w:widowControl/>
              <w:suppressLineNumbers w:val="0"/>
              <w:kinsoku/>
              <w:overflowPunct/>
              <w:topLinePunct w:val="0"/>
              <w:autoSpaceDE/>
              <w:autoSpaceDN/>
              <w:bidi w:val="0"/>
              <w:adjustRightInd/>
              <w:spacing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Style w:val="21"/>
                <w:rFonts w:hint="eastAsia" w:ascii="仿宋" w:hAnsi="仿宋" w:eastAsia="仿宋" w:cs="仿宋"/>
                <w:color w:val="auto"/>
                <w:sz w:val="24"/>
                <w:szCs w:val="24"/>
                <w:highlight w:val="none"/>
              </w:rPr>
              <w:t>单位</w:t>
            </w:r>
          </w:p>
        </w:tc>
        <w:tc>
          <w:tcPr>
            <w:tcW w:w="550" w:type="pct"/>
            <w:vAlign w:val="center"/>
          </w:tcPr>
          <w:p w14:paraId="37BB0E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总价（元）</w:t>
            </w:r>
          </w:p>
        </w:tc>
        <w:tc>
          <w:tcPr>
            <w:tcW w:w="391" w:type="pct"/>
            <w:vAlign w:val="center"/>
          </w:tcPr>
          <w:p w14:paraId="02B671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质保期</w:t>
            </w:r>
          </w:p>
        </w:tc>
      </w:tr>
      <w:tr w14:paraId="457E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33FA3A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1</w:t>
            </w:r>
          </w:p>
        </w:tc>
        <w:tc>
          <w:tcPr>
            <w:tcW w:w="843" w:type="pct"/>
            <w:vAlign w:val="center"/>
          </w:tcPr>
          <w:p w14:paraId="21A93F8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保温汤桶柜</w:t>
            </w:r>
          </w:p>
        </w:tc>
        <w:tc>
          <w:tcPr>
            <w:tcW w:w="636" w:type="pct"/>
            <w:vAlign w:val="center"/>
          </w:tcPr>
          <w:p w14:paraId="74F731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4A4426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338798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73F850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1823051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4</w:t>
            </w:r>
          </w:p>
        </w:tc>
        <w:tc>
          <w:tcPr>
            <w:tcW w:w="319" w:type="pct"/>
            <w:shd w:val="clear" w:color="auto" w:fill="auto"/>
            <w:vAlign w:val="center"/>
          </w:tcPr>
          <w:p w14:paraId="1286460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24278EF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restart"/>
            <w:vAlign w:val="center"/>
          </w:tcPr>
          <w:p w14:paraId="67E8D7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u w:val="single"/>
                <w:lang w:val="en-US" w:eastAsia="zh-CN"/>
              </w:rPr>
              <w:t xml:space="preserve">   </w:t>
            </w:r>
            <w:r>
              <w:rPr>
                <w:rFonts w:hint="eastAsia" w:ascii="仿宋" w:hAnsi="仿宋" w:eastAsia="仿宋" w:cs="仿宋"/>
                <w:kern w:val="0"/>
                <w:sz w:val="24"/>
                <w:szCs w:val="24"/>
                <w:lang w:val="en-US" w:eastAsia="zh-CN"/>
              </w:rPr>
              <w:t>年</w:t>
            </w:r>
          </w:p>
        </w:tc>
      </w:tr>
      <w:tr w14:paraId="3293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3ED26D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2</w:t>
            </w:r>
          </w:p>
        </w:tc>
        <w:tc>
          <w:tcPr>
            <w:tcW w:w="843" w:type="pct"/>
            <w:vAlign w:val="center"/>
          </w:tcPr>
          <w:p w14:paraId="29B2173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双孔收残台</w:t>
            </w:r>
          </w:p>
        </w:tc>
        <w:tc>
          <w:tcPr>
            <w:tcW w:w="636" w:type="pct"/>
            <w:vAlign w:val="center"/>
          </w:tcPr>
          <w:p w14:paraId="303216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0CA0190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74EBC6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142C05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77D6458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2</w:t>
            </w:r>
          </w:p>
        </w:tc>
        <w:tc>
          <w:tcPr>
            <w:tcW w:w="319" w:type="pct"/>
            <w:shd w:val="clear" w:color="auto" w:fill="auto"/>
            <w:vAlign w:val="center"/>
          </w:tcPr>
          <w:p w14:paraId="723550B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2388DF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756808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6142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25675A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3</w:t>
            </w:r>
          </w:p>
        </w:tc>
        <w:tc>
          <w:tcPr>
            <w:tcW w:w="843" w:type="pct"/>
            <w:vAlign w:val="center"/>
          </w:tcPr>
          <w:p w14:paraId="0906180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双层工作台</w:t>
            </w:r>
          </w:p>
        </w:tc>
        <w:tc>
          <w:tcPr>
            <w:tcW w:w="636" w:type="pct"/>
            <w:vAlign w:val="center"/>
          </w:tcPr>
          <w:p w14:paraId="49D436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6D343A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07C4B7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20C7B9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29327F2C">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6</w:t>
            </w:r>
          </w:p>
        </w:tc>
        <w:tc>
          <w:tcPr>
            <w:tcW w:w="319" w:type="pct"/>
            <w:shd w:val="clear" w:color="auto" w:fill="auto"/>
            <w:vAlign w:val="center"/>
          </w:tcPr>
          <w:p w14:paraId="114588B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76DC66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0E6F61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7B492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24342B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4</w:t>
            </w:r>
          </w:p>
        </w:tc>
        <w:tc>
          <w:tcPr>
            <w:tcW w:w="843" w:type="pct"/>
            <w:vAlign w:val="center"/>
          </w:tcPr>
          <w:p w14:paraId="006C3AE1">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九头煮面炉</w:t>
            </w:r>
          </w:p>
        </w:tc>
        <w:tc>
          <w:tcPr>
            <w:tcW w:w="636" w:type="pct"/>
            <w:vAlign w:val="center"/>
          </w:tcPr>
          <w:p w14:paraId="531B6A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5DC559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770773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73DEDE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4806433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2</w:t>
            </w:r>
          </w:p>
        </w:tc>
        <w:tc>
          <w:tcPr>
            <w:tcW w:w="319" w:type="pct"/>
            <w:shd w:val="clear" w:color="auto" w:fill="auto"/>
            <w:vAlign w:val="center"/>
          </w:tcPr>
          <w:p w14:paraId="334DB1A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200558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57EDDD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6CD3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035D73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5</w:t>
            </w:r>
          </w:p>
        </w:tc>
        <w:tc>
          <w:tcPr>
            <w:tcW w:w="843" w:type="pct"/>
            <w:vAlign w:val="center"/>
          </w:tcPr>
          <w:p w14:paraId="420B8DD6">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保温炉</w:t>
            </w:r>
          </w:p>
        </w:tc>
        <w:tc>
          <w:tcPr>
            <w:tcW w:w="636" w:type="pct"/>
            <w:vAlign w:val="center"/>
          </w:tcPr>
          <w:p w14:paraId="3017C6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56A49F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6DF9F6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4D92DD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1061469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1</w:t>
            </w:r>
          </w:p>
        </w:tc>
        <w:tc>
          <w:tcPr>
            <w:tcW w:w="319" w:type="pct"/>
            <w:shd w:val="clear" w:color="auto" w:fill="auto"/>
            <w:vAlign w:val="center"/>
          </w:tcPr>
          <w:p w14:paraId="1CE92B2B">
            <w:pPr>
              <w:keepNext w:val="0"/>
              <w:keepLines w:val="0"/>
              <w:pageBreakBefore w:val="0"/>
              <w:widowControl/>
              <w:suppressLineNumbers w:val="0"/>
              <w:kinsoku/>
              <w:overflowPunct/>
              <w:topLinePunct w:val="0"/>
              <w:autoSpaceDE/>
              <w:autoSpaceDN/>
              <w:bidi w:val="0"/>
              <w:adjustRightInd/>
              <w:spacing w:beforeAutospacing="0" w:afterAutospacing="0" w:line="400" w:lineRule="exact"/>
              <w:jc w:val="center"/>
              <w:rPr>
                <w:rFonts w:hint="eastAsia" w:ascii="仿宋" w:hAnsi="仿宋" w:eastAsia="仿宋" w:cs="仿宋"/>
                <w:color w:val="auto"/>
                <w:kern w:val="2"/>
                <w:sz w:val="24"/>
                <w:szCs w:val="24"/>
                <w:highlight w:val="none"/>
                <w:lang w:val="zh-TW" w:eastAsia="zh-TW" w:bidi="ar-SA"/>
              </w:rPr>
            </w:pPr>
            <w:r>
              <w:rPr>
                <w:rFonts w:hint="eastAsia" w:ascii="仿宋" w:hAnsi="仿宋" w:eastAsia="仿宋" w:cs="仿宋"/>
                <w:color w:val="auto"/>
                <w:sz w:val="24"/>
                <w:szCs w:val="24"/>
                <w:highlight w:val="none"/>
                <w:lang w:val="en-US" w:eastAsia="zh-CN"/>
              </w:rPr>
              <w:t>台</w:t>
            </w:r>
          </w:p>
        </w:tc>
        <w:tc>
          <w:tcPr>
            <w:tcW w:w="550" w:type="pct"/>
            <w:vAlign w:val="center"/>
          </w:tcPr>
          <w:p w14:paraId="68164C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2654FC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76E7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6E4414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6</w:t>
            </w:r>
          </w:p>
        </w:tc>
        <w:tc>
          <w:tcPr>
            <w:tcW w:w="843" w:type="pct"/>
            <w:vAlign w:val="center"/>
          </w:tcPr>
          <w:p w14:paraId="6BDC356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四层冲孔货架</w:t>
            </w:r>
          </w:p>
        </w:tc>
        <w:tc>
          <w:tcPr>
            <w:tcW w:w="636" w:type="pct"/>
            <w:vAlign w:val="center"/>
          </w:tcPr>
          <w:p w14:paraId="2DA77F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33D056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6FC1CE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3CACE9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7AD9CD3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1</w:t>
            </w:r>
          </w:p>
        </w:tc>
        <w:tc>
          <w:tcPr>
            <w:tcW w:w="319" w:type="pct"/>
            <w:shd w:val="clear" w:color="auto" w:fill="auto"/>
            <w:vAlign w:val="center"/>
          </w:tcPr>
          <w:p w14:paraId="5B5FCE9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63F83D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718F25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33A0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2AB63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7</w:t>
            </w:r>
          </w:p>
        </w:tc>
        <w:tc>
          <w:tcPr>
            <w:tcW w:w="843" w:type="pct"/>
            <w:vAlign w:val="center"/>
          </w:tcPr>
          <w:p w14:paraId="5418543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lang w:val="en-US" w:eastAsia="zh-CN"/>
              </w:rPr>
              <w:t>组</w:t>
            </w:r>
            <w:r>
              <w:rPr>
                <w:rFonts w:hint="eastAsia" w:ascii="仿宋" w:hAnsi="仿宋" w:eastAsia="仿宋" w:cs="仿宋"/>
                <w:color w:val="auto"/>
                <w:sz w:val="24"/>
                <w:szCs w:val="24"/>
                <w:highlight w:val="none"/>
              </w:rPr>
              <w:t>合消毒柜</w:t>
            </w:r>
          </w:p>
        </w:tc>
        <w:tc>
          <w:tcPr>
            <w:tcW w:w="636" w:type="pct"/>
            <w:vAlign w:val="center"/>
          </w:tcPr>
          <w:p w14:paraId="207BFF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40AC5B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07CBED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1EE0336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1F68B144">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4</w:t>
            </w:r>
          </w:p>
        </w:tc>
        <w:tc>
          <w:tcPr>
            <w:tcW w:w="319" w:type="pct"/>
            <w:shd w:val="clear" w:color="auto" w:fill="auto"/>
            <w:vAlign w:val="center"/>
          </w:tcPr>
          <w:p w14:paraId="1095ECC3">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5B07CD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57B938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5E73B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28F109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8</w:t>
            </w:r>
          </w:p>
        </w:tc>
        <w:tc>
          <w:tcPr>
            <w:tcW w:w="843" w:type="pct"/>
            <w:vAlign w:val="center"/>
          </w:tcPr>
          <w:p w14:paraId="4CEB6F6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油烟净化一体机连新风带装饰板</w:t>
            </w:r>
          </w:p>
        </w:tc>
        <w:tc>
          <w:tcPr>
            <w:tcW w:w="636" w:type="pct"/>
            <w:vAlign w:val="center"/>
          </w:tcPr>
          <w:p w14:paraId="55BA40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579E50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4A1441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2DD084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12AEA8E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1</w:t>
            </w:r>
          </w:p>
        </w:tc>
        <w:tc>
          <w:tcPr>
            <w:tcW w:w="319" w:type="pct"/>
            <w:shd w:val="clear" w:color="auto" w:fill="auto"/>
            <w:vAlign w:val="center"/>
          </w:tcPr>
          <w:p w14:paraId="52E0FB1B">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台</w:t>
            </w:r>
          </w:p>
        </w:tc>
        <w:tc>
          <w:tcPr>
            <w:tcW w:w="550" w:type="pct"/>
            <w:vAlign w:val="center"/>
          </w:tcPr>
          <w:p w14:paraId="518D29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2CA4C2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7770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5DA44B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9</w:t>
            </w:r>
          </w:p>
        </w:tc>
        <w:tc>
          <w:tcPr>
            <w:tcW w:w="843" w:type="pct"/>
            <w:vAlign w:val="center"/>
          </w:tcPr>
          <w:p w14:paraId="3A52FC6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不锈钢排烟管道、弯头、变径</w:t>
            </w:r>
          </w:p>
        </w:tc>
        <w:tc>
          <w:tcPr>
            <w:tcW w:w="636" w:type="pct"/>
            <w:vAlign w:val="center"/>
          </w:tcPr>
          <w:p w14:paraId="64B221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3EA940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2E3CD5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0A7682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6CBF17E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50</w:t>
            </w:r>
          </w:p>
        </w:tc>
        <w:tc>
          <w:tcPr>
            <w:tcW w:w="319" w:type="pct"/>
            <w:shd w:val="clear" w:color="auto" w:fill="auto"/>
            <w:vAlign w:val="center"/>
          </w:tcPr>
          <w:p w14:paraId="25E25765">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平米</w:t>
            </w:r>
          </w:p>
        </w:tc>
        <w:tc>
          <w:tcPr>
            <w:tcW w:w="550" w:type="pct"/>
            <w:vAlign w:val="center"/>
          </w:tcPr>
          <w:p w14:paraId="7F248A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4E9CFE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2D3FC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5368F2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10</w:t>
            </w:r>
          </w:p>
        </w:tc>
        <w:tc>
          <w:tcPr>
            <w:tcW w:w="843" w:type="pct"/>
            <w:vAlign w:val="center"/>
          </w:tcPr>
          <w:p w14:paraId="48B98A69">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减震软接</w:t>
            </w:r>
          </w:p>
        </w:tc>
        <w:tc>
          <w:tcPr>
            <w:tcW w:w="636" w:type="pct"/>
            <w:vAlign w:val="center"/>
          </w:tcPr>
          <w:p w14:paraId="0D45CC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0E4B41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36087D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09B6C4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4CCD3FA8">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1</w:t>
            </w:r>
          </w:p>
        </w:tc>
        <w:tc>
          <w:tcPr>
            <w:tcW w:w="319" w:type="pct"/>
            <w:shd w:val="clear" w:color="auto" w:fill="auto"/>
            <w:vAlign w:val="center"/>
          </w:tcPr>
          <w:p w14:paraId="5CA9EF7B">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套</w:t>
            </w:r>
          </w:p>
        </w:tc>
        <w:tc>
          <w:tcPr>
            <w:tcW w:w="550" w:type="pct"/>
            <w:vAlign w:val="center"/>
          </w:tcPr>
          <w:p w14:paraId="02703F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6FCCEC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5245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258" w:type="pct"/>
            <w:vAlign w:val="center"/>
          </w:tcPr>
          <w:p w14:paraId="39F4FF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11</w:t>
            </w:r>
          </w:p>
        </w:tc>
        <w:tc>
          <w:tcPr>
            <w:tcW w:w="843" w:type="pct"/>
            <w:vAlign w:val="center"/>
          </w:tcPr>
          <w:p w14:paraId="096F94B2">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安装辅料（吊钩、螺栓、密封胶等）接驳连防漏工程</w:t>
            </w:r>
          </w:p>
        </w:tc>
        <w:tc>
          <w:tcPr>
            <w:tcW w:w="636" w:type="pct"/>
            <w:vAlign w:val="center"/>
          </w:tcPr>
          <w:p w14:paraId="5652D4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3" w:type="pct"/>
            <w:vAlign w:val="center"/>
          </w:tcPr>
          <w:p w14:paraId="2FE757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652" w:type="pct"/>
            <w:vAlign w:val="center"/>
          </w:tcPr>
          <w:p w14:paraId="2EA6A5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6" w:type="pct"/>
            <w:vAlign w:val="center"/>
          </w:tcPr>
          <w:p w14:paraId="41EEAB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297" w:type="pct"/>
            <w:vAlign w:val="center"/>
          </w:tcPr>
          <w:p w14:paraId="37C3FA8E">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kern w:val="0"/>
                <w:sz w:val="24"/>
                <w:szCs w:val="24"/>
                <w:lang w:val="zh-TW" w:eastAsia="zh-TW"/>
              </w:rPr>
            </w:pPr>
            <w:r>
              <w:rPr>
                <w:rFonts w:hint="eastAsia" w:ascii="仿宋" w:hAnsi="仿宋" w:eastAsia="仿宋" w:cs="仿宋"/>
                <w:color w:val="auto"/>
                <w:sz w:val="24"/>
                <w:szCs w:val="24"/>
                <w:highlight w:val="none"/>
              </w:rPr>
              <w:t>1</w:t>
            </w:r>
          </w:p>
        </w:tc>
        <w:tc>
          <w:tcPr>
            <w:tcW w:w="319" w:type="pct"/>
            <w:shd w:val="clear" w:color="auto" w:fill="auto"/>
            <w:vAlign w:val="center"/>
          </w:tcPr>
          <w:p w14:paraId="57435F40">
            <w:pPr>
              <w:pStyle w:val="14"/>
              <w:keepNext w:val="0"/>
              <w:keepLines w:val="0"/>
              <w:pageBreakBefore w:val="0"/>
              <w:widowControl/>
              <w:suppressLineNumbers w:val="0"/>
              <w:kinsoku/>
              <w:overflowPunct/>
              <w:topLinePunct w:val="0"/>
              <w:autoSpaceDE/>
              <w:autoSpaceDN/>
              <w:bidi w:val="0"/>
              <w:adjustRightInd/>
              <w:spacing w:before="0" w:beforeAutospacing="0" w:after="0" w:afterAutospacing="0" w:line="400" w:lineRule="exact"/>
              <w:ind w:left="0" w:leftChars="0" w:right="0" w:rightChars="0"/>
              <w:jc w:val="center"/>
              <w:textAlignment w:val="center"/>
              <w:rPr>
                <w:rFonts w:hint="eastAsia" w:ascii="仿宋" w:hAnsi="仿宋" w:eastAsia="仿宋" w:cs="仿宋"/>
                <w:color w:val="auto"/>
                <w:kern w:val="0"/>
                <w:sz w:val="24"/>
                <w:szCs w:val="24"/>
                <w:highlight w:val="none"/>
                <w:lang w:val="zh-TW" w:eastAsia="zh-TW" w:bidi="ar"/>
              </w:rPr>
            </w:pPr>
            <w:r>
              <w:rPr>
                <w:rFonts w:hint="eastAsia" w:ascii="仿宋" w:hAnsi="仿宋" w:eastAsia="仿宋" w:cs="仿宋"/>
                <w:color w:val="auto"/>
                <w:sz w:val="24"/>
                <w:szCs w:val="24"/>
                <w:highlight w:val="none"/>
              </w:rPr>
              <w:t>项</w:t>
            </w:r>
          </w:p>
        </w:tc>
        <w:tc>
          <w:tcPr>
            <w:tcW w:w="550" w:type="pct"/>
            <w:vAlign w:val="center"/>
          </w:tcPr>
          <w:p w14:paraId="1710E8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c>
          <w:tcPr>
            <w:tcW w:w="391" w:type="pct"/>
            <w:vMerge w:val="continue"/>
            <w:tcBorders/>
            <w:vAlign w:val="center"/>
          </w:tcPr>
          <w:p w14:paraId="2D6C18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p>
        </w:tc>
      </w:tr>
      <w:tr w14:paraId="73F8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pct"/>
            <w:gridSpan w:val="2"/>
            <w:vAlign w:val="center"/>
          </w:tcPr>
          <w:p w14:paraId="4E7890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3897" w:type="pct"/>
            <w:gridSpan w:val="8"/>
            <w:vAlign w:val="center"/>
          </w:tcPr>
          <w:p w14:paraId="36C3882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5697AFA4">
      <w:pPr>
        <w:pStyle w:val="2"/>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注：供应商各项产品的单价报价不得超过《厨房设备清单》所列的限高单价。</w:t>
      </w: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45B8C0B0">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jc w:val="left"/>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52FA6F4">
      <w:pPr>
        <w:jc w:val="center"/>
        <w:rPr>
          <w:rFonts w:ascii="黑体" w:hAnsi="黑体" w:eastAsia="黑体"/>
          <w:b/>
          <w:bCs/>
          <w:sz w:val="48"/>
          <w:szCs w:val="48"/>
        </w:rPr>
      </w:pPr>
      <w:r>
        <w:rPr>
          <w:rFonts w:ascii="黑体" w:hAnsi="黑体" w:eastAsia="黑体"/>
          <w:b/>
          <w:bCs/>
          <w:sz w:val="48"/>
          <w:szCs w:val="48"/>
        </w:rPr>
        <w:t>货 物 采 购 合 同</w:t>
      </w:r>
    </w:p>
    <w:p w14:paraId="5DCCD685">
      <w:pPr>
        <w:contextualSpacing/>
        <w:rPr>
          <w:rFonts w:ascii="Times New Roman" w:hAnsi="Times New Roman"/>
          <w:szCs w:val="21"/>
        </w:rPr>
      </w:pPr>
      <w:permStart w:id="0" w:edGrp="everyone"/>
    </w:p>
    <w:p w14:paraId="73C5364E">
      <w:pPr>
        <w:pStyle w:val="2"/>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6433628">
        <w:trPr>
          <w:trHeight w:val="919" w:hRule="atLeast"/>
          <w:jc w:val="center"/>
        </w:trPr>
        <w:tc>
          <w:tcPr>
            <w:tcW w:w="10204" w:type="dxa"/>
            <w:gridSpan w:val="2"/>
            <w:noWrap w:val="0"/>
            <w:vAlign w:val="top"/>
          </w:tcPr>
          <w:p w14:paraId="53137937">
            <w:pPr>
              <w:keepNext w:val="0"/>
              <w:keepLines w:val="0"/>
              <w:pageBreakBefore w:val="0"/>
              <w:kinsoku/>
              <w:wordWrap/>
              <w:overflowPunct/>
              <w:topLinePunct w:val="0"/>
              <w:autoSpaceDE/>
              <w:autoSpaceDN/>
              <w:bidi w:val="0"/>
              <w:spacing w:line="240" w:lineRule="auto"/>
              <w:contextualSpacing/>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合同编号</w:t>
            </w:r>
            <w:r>
              <w:rPr>
                <w:rFonts w:hint="eastAsia" w:ascii="宋体" w:hAnsi="宋体" w:eastAsia="宋体" w:cs="宋体"/>
                <w:color w:val="000000"/>
                <w:sz w:val="21"/>
                <w:szCs w:val="21"/>
              </w:rPr>
              <w:t>：</w:t>
            </w:r>
            <w:r>
              <w:rPr>
                <w:rFonts w:hint="eastAsia" w:ascii="宋体" w:hAnsi="宋体" w:eastAsia="宋体" w:cs="宋体"/>
                <w:sz w:val="21"/>
                <w:szCs w:val="21"/>
              </w:rPr>
              <w:t>***</w:t>
            </w:r>
          </w:p>
          <w:p w14:paraId="352E6B62">
            <w:pPr>
              <w:keepNext w:val="0"/>
              <w:keepLines w:val="0"/>
              <w:pageBreakBefore w:val="0"/>
              <w:kinsoku/>
              <w:wordWrap/>
              <w:overflowPunct/>
              <w:topLinePunct w:val="0"/>
              <w:autoSpaceDE/>
              <w:autoSpaceDN/>
              <w:bidi w:val="0"/>
              <w:spacing w:line="240" w:lineRule="auto"/>
              <w:contextualSpacing/>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签订地点</w:t>
            </w:r>
            <w:r>
              <w:rPr>
                <w:rFonts w:hint="eastAsia" w:ascii="宋体" w:hAnsi="宋体" w:eastAsia="宋体" w:cs="宋体"/>
                <w:color w:val="000000"/>
                <w:sz w:val="21"/>
                <w:szCs w:val="21"/>
              </w:rPr>
              <w:t>：四川省人民医院</w:t>
            </w:r>
          </w:p>
        </w:tc>
      </w:tr>
      <w:tr w14:paraId="21A53627">
        <w:tblPrEx>
          <w:tblCellMar>
            <w:top w:w="0" w:type="dxa"/>
            <w:left w:w="0" w:type="dxa"/>
            <w:bottom w:w="0" w:type="dxa"/>
            <w:right w:w="0" w:type="dxa"/>
          </w:tblCellMar>
        </w:tblPrEx>
        <w:trPr>
          <w:jc w:val="center"/>
        </w:trPr>
        <w:tc>
          <w:tcPr>
            <w:tcW w:w="4962" w:type="dxa"/>
            <w:noWrap w:val="0"/>
            <w:vAlign w:val="top"/>
          </w:tcPr>
          <w:p w14:paraId="2A10DC14">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采购人（以下简称甲方）</w:t>
            </w:r>
            <w:r>
              <w:rPr>
                <w:rFonts w:hint="eastAsia" w:ascii="宋体" w:hAnsi="宋体" w:eastAsia="宋体" w:cs="宋体"/>
                <w:sz w:val="21"/>
                <w:szCs w:val="21"/>
              </w:rPr>
              <w:t>：四川省人民医院</w:t>
            </w:r>
          </w:p>
          <w:p w14:paraId="2650F656">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地址</w:t>
            </w:r>
            <w:r>
              <w:rPr>
                <w:rFonts w:hint="eastAsia" w:ascii="宋体" w:hAnsi="宋体" w:eastAsia="宋体" w:cs="宋体"/>
                <w:sz w:val="21"/>
                <w:szCs w:val="21"/>
              </w:rPr>
              <w:t>：四川省成都市一环路西二段32号</w:t>
            </w:r>
          </w:p>
          <w:p w14:paraId="179F6B89">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项目联系人</w:t>
            </w:r>
            <w:r>
              <w:rPr>
                <w:rFonts w:hint="eastAsia" w:ascii="宋体" w:hAnsi="宋体" w:eastAsia="宋体" w:cs="宋体"/>
                <w:sz w:val="21"/>
                <w:szCs w:val="21"/>
              </w:rPr>
              <w:t>：***</w:t>
            </w:r>
          </w:p>
          <w:p w14:paraId="58F12409">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电话</w:t>
            </w:r>
            <w:r>
              <w:rPr>
                <w:rFonts w:hint="eastAsia" w:ascii="宋体" w:hAnsi="宋体" w:eastAsia="宋体" w:cs="宋体"/>
                <w:sz w:val="21"/>
                <w:szCs w:val="21"/>
              </w:rPr>
              <w:t>：***</w:t>
            </w:r>
          </w:p>
          <w:p w14:paraId="3D1D2D07">
            <w:pPr>
              <w:pStyle w:val="2"/>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电子邮件：</w:t>
            </w:r>
            <w:r>
              <w:rPr>
                <w:rFonts w:hint="eastAsia" w:ascii="宋体" w:hAnsi="宋体" w:eastAsia="宋体" w:cs="宋体"/>
                <w:sz w:val="21"/>
                <w:szCs w:val="21"/>
              </w:rPr>
              <w:t>***</w:t>
            </w:r>
          </w:p>
        </w:tc>
        <w:tc>
          <w:tcPr>
            <w:tcW w:w="5242" w:type="dxa"/>
            <w:noWrap w:val="0"/>
            <w:vAlign w:val="top"/>
          </w:tcPr>
          <w:p w14:paraId="45FBF22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供应商（以下简称乙方）</w:t>
            </w:r>
            <w:r>
              <w:rPr>
                <w:rFonts w:hint="eastAsia" w:ascii="宋体" w:hAnsi="宋体" w:eastAsia="宋体" w:cs="宋体"/>
                <w:sz w:val="21"/>
                <w:szCs w:val="21"/>
              </w:rPr>
              <w:t>：***</w:t>
            </w:r>
          </w:p>
          <w:p w14:paraId="1515E231">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地址</w:t>
            </w:r>
            <w:r>
              <w:rPr>
                <w:rFonts w:hint="eastAsia" w:ascii="宋体" w:hAnsi="宋体" w:eastAsia="宋体" w:cs="宋体"/>
                <w:sz w:val="21"/>
                <w:szCs w:val="21"/>
              </w:rPr>
              <w:t>：***</w:t>
            </w:r>
          </w:p>
          <w:p w14:paraId="20D408EE">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移动电话</w:t>
            </w:r>
            <w:r>
              <w:rPr>
                <w:rFonts w:hint="eastAsia" w:ascii="宋体" w:hAnsi="宋体" w:eastAsia="宋体" w:cs="宋体"/>
                <w:sz w:val="21"/>
                <w:szCs w:val="21"/>
              </w:rPr>
              <w:t>：***</w:t>
            </w:r>
          </w:p>
          <w:p w14:paraId="08E90D82">
            <w:pPr>
              <w:keepNext w:val="0"/>
              <w:keepLines w:val="0"/>
              <w:pageBreakBefore w:val="0"/>
              <w:kinsoku/>
              <w:wordWrap/>
              <w:overflowPunct/>
              <w:topLinePunct w:val="0"/>
              <w:autoSpaceDE/>
              <w:autoSpaceDN/>
              <w:bidi w:val="0"/>
              <w:spacing w:line="240" w:lineRule="auto"/>
              <w:contextualSpacing/>
              <w:textAlignment w:val="auto"/>
              <w:rPr>
                <w:rFonts w:hint="eastAsia" w:ascii="宋体" w:hAnsi="宋体" w:eastAsia="宋体" w:cs="宋体"/>
                <w:sz w:val="21"/>
                <w:szCs w:val="21"/>
              </w:rPr>
            </w:pPr>
            <w:r>
              <w:rPr>
                <w:rFonts w:hint="eastAsia" w:ascii="宋体" w:hAnsi="宋体" w:eastAsia="宋体" w:cs="宋体"/>
                <w:b/>
                <w:bCs/>
                <w:sz w:val="21"/>
                <w:szCs w:val="21"/>
              </w:rPr>
              <w:t>联系人</w:t>
            </w:r>
            <w:r>
              <w:rPr>
                <w:rFonts w:hint="eastAsia" w:ascii="宋体" w:hAnsi="宋体" w:eastAsia="宋体" w:cs="宋体"/>
                <w:sz w:val="21"/>
                <w:szCs w:val="21"/>
              </w:rPr>
              <w:t>：***</w:t>
            </w:r>
          </w:p>
          <w:p w14:paraId="3C659CA3">
            <w:pPr>
              <w:pStyle w:val="2"/>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b/>
                <w:bCs/>
                <w:sz w:val="21"/>
                <w:szCs w:val="21"/>
              </w:rPr>
              <w:t>电子邮件：***</w:t>
            </w:r>
          </w:p>
        </w:tc>
      </w:tr>
      <w:permEnd w:id="0"/>
    </w:tbl>
    <w:p w14:paraId="428D1981">
      <w:pPr>
        <w:keepNext w:val="0"/>
        <w:keepLines w:val="0"/>
        <w:pageBreakBefore w:val="0"/>
        <w:kinsoku/>
        <w:wordWrap/>
        <w:overflowPunct/>
        <w:topLinePunct w:val="0"/>
        <w:autoSpaceDE/>
        <w:autoSpaceDN/>
        <w:bidi w:val="0"/>
        <w:adjustRightInd w:val="0"/>
        <w:snapToGrid w:val="0"/>
        <w:spacing w:before="312" w:beforeLines="100" w:after="312" w:afterLines="100" w:line="240" w:lineRule="auto"/>
        <w:contextualSpacing/>
        <w:jc w:val="left"/>
        <w:textAlignment w:val="auto"/>
        <w:rPr>
          <w:rFonts w:hint="eastAsia" w:ascii="宋体" w:hAnsi="宋体" w:eastAsia="宋体" w:cs="宋体"/>
          <w:color w:val="000000"/>
          <w:sz w:val="21"/>
          <w:szCs w:val="21"/>
        </w:rPr>
      </w:pPr>
    </w:p>
    <w:p w14:paraId="2027677D">
      <w:pPr>
        <w:keepNext w:val="0"/>
        <w:keepLines w:val="0"/>
        <w:pageBreakBefore w:val="0"/>
        <w:kinsoku/>
        <w:wordWrap/>
        <w:overflowPunct/>
        <w:topLinePunct w:val="0"/>
        <w:autoSpaceDE/>
        <w:autoSpaceDN/>
        <w:bidi w:val="0"/>
        <w:adjustRightInd w:val="0"/>
        <w:spacing w:line="240" w:lineRule="auto"/>
        <w:ind w:firstLine="420" w:firstLineChars="200"/>
        <w:contextualSpacing/>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1"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1"/>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37989F1">
      <w:pPr>
        <w:keepNext w:val="0"/>
        <w:keepLines w:val="0"/>
        <w:pageBreakBefore w:val="0"/>
        <w:kinsoku/>
        <w:wordWrap/>
        <w:overflowPunct/>
        <w:topLinePunct w:val="0"/>
        <w:autoSpaceDE/>
        <w:autoSpaceDN/>
        <w:bidi w:val="0"/>
        <w:spacing w:line="240" w:lineRule="auto"/>
        <w:ind w:firstLine="420" w:firstLineChars="200"/>
        <w:textAlignment w:val="auto"/>
        <w:rPr>
          <w:rFonts w:hint="eastAsia" w:ascii="宋体" w:hAnsi="宋体" w:eastAsia="宋体" w:cs="宋体"/>
          <w:color w:val="000000"/>
          <w:sz w:val="21"/>
          <w:szCs w:val="21"/>
        </w:rPr>
      </w:pPr>
    </w:p>
    <w:p w14:paraId="4E3731E7">
      <w:pPr>
        <w:pStyle w:val="28"/>
        <w:keepNext w:val="0"/>
        <w:keepLines w:val="0"/>
        <w:pageBreakBefore w:val="0"/>
        <w:numPr>
          <w:ilvl w:val="0"/>
          <w:numId w:val="12"/>
        </w:numPr>
        <w:kinsoku/>
        <w:wordWrap/>
        <w:overflowPunct/>
        <w:topLinePunct w:val="0"/>
        <w:autoSpaceDE/>
        <w:autoSpaceDN/>
        <w:bidi w:val="0"/>
        <w:snapToGrid w:val="0"/>
        <w:spacing w:line="240" w:lineRule="auto"/>
        <w:ind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7"/>
        <w:gridCol w:w="2409"/>
        <w:gridCol w:w="1875"/>
        <w:gridCol w:w="937"/>
        <w:gridCol w:w="1338"/>
        <w:gridCol w:w="402"/>
        <w:gridCol w:w="401"/>
        <w:gridCol w:w="937"/>
        <w:gridCol w:w="940"/>
      </w:tblGrid>
      <w:tr w14:paraId="2C05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9" w:hRule="atLeast"/>
        </w:trPr>
        <w:tc>
          <w:tcPr>
            <w:tcW w:w="431" w:type="dxa"/>
            <w:noWrap w:val="0"/>
            <w:vAlign w:val="center"/>
          </w:tcPr>
          <w:p w14:paraId="1B266711">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2551" w:type="dxa"/>
            <w:noWrap w:val="0"/>
            <w:vAlign w:val="center"/>
          </w:tcPr>
          <w:p w14:paraId="08D137B2">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货物名称</w:t>
            </w:r>
          </w:p>
        </w:tc>
        <w:tc>
          <w:tcPr>
            <w:tcW w:w="1985" w:type="dxa"/>
            <w:noWrap w:val="0"/>
            <w:vAlign w:val="center"/>
          </w:tcPr>
          <w:p w14:paraId="67A15835">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生产厂商</w:t>
            </w:r>
          </w:p>
        </w:tc>
        <w:tc>
          <w:tcPr>
            <w:tcW w:w="992" w:type="dxa"/>
            <w:noWrap w:val="0"/>
            <w:vAlign w:val="center"/>
          </w:tcPr>
          <w:p w14:paraId="04C67C15">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产地</w:t>
            </w:r>
          </w:p>
        </w:tc>
        <w:tc>
          <w:tcPr>
            <w:tcW w:w="1417" w:type="dxa"/>
            <w:noWrap w:val="0"/>
            <w:vAlign w:val="center"/>
          </w:tcPr>
          <w:p w14:paraId="4DDC0952">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规格型号</w:t>
            </w:r>
          </w:p>
        </w:tc>
        <w:tc>
          <w:tcPr>
            <w:tcW w:w="426" w:type="dxa"/>
            <w:noWrap w:val="0"/>
            <w:vAlign w:val="center"/>
          </w:tcPr>
          <w:p w14:paraId="7700531C">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单位</w:t>
            </w:r>
          </w:p>
        </w:tc>
        <w:tc>
          <w:tcPr>
            <w:tcW w:w="425" w:type="dxa"/>
            <w:noWrap w:val="0"/>
            <w:vAlign w:val="center"/>
          </w:tcPr>
          <w:p w14:paraId="78473B16">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数量</w:t>
            </w:r>
          </w:p>
        </w:tc>
        <w:tc>
          <w:tcPr>
            <w:tcW w:w="992" w:type="dxa"/>
            <w:noWrap w:val="0"/>
            <w:vAlign w:val="center"/>
          </w:tcPr>
          <w:p w14:paraId="20DDB1B5">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单价</w:t>
            </w:r>
          </w:p>
          <w:p w14:paraId="7666CA81">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（万元）</w:t>
            </w:r>
          </w:p>
        </w:tc>
        <w:tc>
          <w:tcPr>
            <w:tcW w:w="995" w:type="dxa"/>
            <w:noWrap w:val="0"/>
            <w:vAlign w:val="center"/>
          </w:tcPr>
          <w:p w14:paraId="3AD1B5B5">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总价</w:t>
            </w:r>
          </w:p>
          <w:p w14:paraId="4D0497E4">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（万元）</w:t>
            </w:r>
          </w:p>
        </w:tc>
      </w:tr>
      <w:tr w14:paraId="7A0F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5107086C">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hint="eastAsia" w:ascii="宋体" w:hAnsi="宋体" w:eastAsia="宋体" w:cs="宋体"/>
                <w:sz w:val="21"/>
                <w:szCs w:val="21"/>
              </w:rPr>
              <w:t>1</w:t>
            </w:r>
          </w:p>
        </w:tc>
        <w:tc>
          <w:tcPr>
            <w:tcW w:w="2551" w:type="dxa"/>
            <w:noWrap w:val="0"/>
            <w:vAlign w:val="center"/>
          </w:tcPr>
          <w:p w14:paraId="1A7E6FF0">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c>
          <w:tcPr>
            <w:tcW w:w="1985" w:type="dxa"/>
            <w:noWrap w:val="0"/>
            <w:vAlign w:val="center"/>
          </w:tcPr>
          <w:p w14:paraId="0243CCE9">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c>
          <w:tcPr>
            <w:tcW w:w="992" w:type="dxa"/>
            <w:noWrap w:val="0"/>
            <w:vAlign w:val="center"/>
          </w:tcPr>
          <w:p w14:paraId="19CDA84D">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c>
          <w:tcPr>
            <w:tcW w:w="1417" w:type="dxa"/>
            <w:noWrap w:val="0"/>
            <w:vAlign w:val="center"/>
          </w:tcPr>
          <w:p w14:paraId="0705F35B">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w:t>
            </w:r>
          </w:p>
        </w:tc>
        <w:tc>
          <w:tcPr>
            <w:tcW w:w="426" w:type="dxa"/>
            <w:noWrap w:val="0"/>
            <w:vAlign w:val="center"/>
          </w:tcPr>
          <w:p w14:paraId="73D0EB21">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c>
          <w:tcPr>
            <w:tcW w:w="425" w:type="dxa"/>
            <w:noWrap w:val="0"/>
            <w:vAlign w:val="center"/>
          </w:tcPr>
          <w:p w14:paraId="4D222C8E">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c>
          <w:tcPr>
            <w:tcW w:w="992" w:type="dxa"/>
            <w:noWrap w:val="0"/>
            <w:vAlign w:val="center"/>
          </w:tcPr>
          <w:p w14:paraId="3D22EA8A">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c>
          <w:tcPr>
            <w:tcW w:w="995" w:type="dxa"/>
            <w:noWrap w:val="0"/>
            <w:vAlign w:val="center"/>
          </w:tcPr>
          <w:p w14:paraId="25B4700A">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b/>
                <w:bCs/>
                <w:color w:val="000000"/>
                <w:sz w:val="21"/>
                <w:szCs w:val="21"/>
              </w:rPr>
            </w:pPr>
            <w:r>
              <w:rPr>
                <w:rFonts w:hint="eastAsia" w:ascii="宋体" w:hAnsi="宋体" w:eastAsia="宋体" w:cs="宋体"/>
                <w:sz w:val="21"/>
                <w:szCs w:val="21"/>
              </w:rPr>
              <w:t xml:space="preserve"> ***</w:t>
            </w:r>
          </w:p>
        </w:tc>
      </w:tr>
      <w:permEnd w:id="2"/>
      <w:permEnd w:id="3"/>
      <w:permEnd w:id="4"/>
      <w:permEnd w:id="5"/>
      <w:permEnd w:id="6"/>
      <w:permEnd w:id="7"/>
      <w:permEnd w:id="8"/>
      <w:permEnd w:id="9"/>
      <w:permEnd w:id="10"/>
      <w:tr w14:paraId="3041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35AAE0F">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hint="eastAsia" w:ascii="宋体" w:hAnsi="宋体" w:eastAsia="宋体" w:cs="宋体"/>
                <w:sz w:val="21"/>
                <w:szCs w:val="21"/>
              </w:rPr>
              <w:t>2</w:t>
            </w:r>
          </w:p>
        </w:tc>
        <w:tc>
          <w:tcPr>
            <w:tcW w:w="2551" w:type="dxa"/>
            <w:noWrap w:val="0"/>
            <w:vAlign w:val="center"/>
          </w:tcPr>
          <w:p w14:paraId="496BEE01">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1985" w:type="dxa"/>
            <w:noWrap w:val="0"/>
            <w:vAlign w:val="center"/>
          </w:tcPr>
          <w:p w14:paraId="4867B6F3">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992" w:type="dxa"/>
            <w:noWrap w:val="0"/>
            <w:vAlign w:val="center"/>
          </w:tcPr>
          <w:p w14:paraId="1DF7C8A0">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1417" w:type="dxa"/>
            <w:noWrap w:val="0"/>
            <w:vAlign w:val="center"/>
          </w:tcPr>
          <w:p w14:paraId="38DAD80E">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426" w:type="dxa"/>
            <w:noWrap w:val="0"/>
            <w:vAlign w:val="center"/>
          </w:tcPr>
          <w:p w14:paraId="4AD086B0">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425" w:type="dxa"/>
            <w:noWrap w:val="0"/>
            <w:vAlign w:val="center"/>
          </w:tcPr>
          <w:p w14:paraId="4FF3956C">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992" w:type="dxa"/>
            <w:noWrap w:val="0"/>
            <w:vAlign w:val="center"/>
          </w:tcPr>
          <w:p w14:paraId="5F8AA014">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995" w:type="dxa"/>
            <w:noWrap w:val="0"/>
            <w:vAlign w:val="center"/>
          </w:tcPr>
          <w:p w14:paraId="69B16AF5">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r>
      <w:permEnd w:id="11"/>
      <w:permEnd w:id="12"/>
      <w:permEnd w:id="13"/>
      <w:permEnd w:id="14"/>
      <w:permEnd w:id="15"/>
      <w:permEnd w:id="16"/>
      <w:permEnd w:id="17"/>
      <w:permEnd w:id="18"/>
      <w:permEnd w:id="19"/>
      <w:tr w14:paraId="2ACD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4AA773A">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hint="eastAsia" w:ascii="宋体" w:hAnsi="宋体" w:eastAsia="宋体" w:cs="宋体"/>
                <w:sz w:val="21"/>
                <w:szCs w:val="21"/>
              </w:rPr>
              <w:t>...</w:t>
            </w:r>
          </w:p>
        </w:tc>
        <w:tc>
          <w:tcPr>
            <w:tcW w:w="2551" w:type="dxa"/>
            <w:noWrap w:val="0"/>
            <w:vAlign w:val="center"/>
          </w:tcPr>
          <w:p w14:paraId="37B8CAD6">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1985" w:type="dxa"/>
            <w:noWrap w:val="0"/>
            <w:vAlign w:val="center"/>
          </w:tcPr>
          <w:p w14:paraId="14FEBE48">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992" w:type="dxa"/>
            <w:noWrap w:val="0"/>
            <w:vAlign w:val="center"/>
          </w:tcPr>
          <w:p w14:paraId="323C76E1">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1417" w:type="dxa"/>
            <w:noWrap w:val="0"/>
            <w:vAlign w:val="center"/>
          </w:tcPr>
          <w:p w14:paraId="4DD26164">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426" w:type="dxa"/>
            <w:noWrap w:val="0"/>
            <w:vAlign w:val="center"/>
          </w:tcPr>
          <w:p w14:paraId="115D0DF6">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425" w:type="dxa"/>
            <w:noWrap w:val="0"/>
            <w:vAlign w:val="center"/>
          </w:tcPr>
          <w:p w14:paraId="4AC17666">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992" w:type="dxa"/>
            <w:noWrap w:val="0"/>
            <w:vAlign w:val="center"/>
          </w:tcPr>
          <w:p w14:paraId="049487E4">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c>
          <w:tcPr>
            <w:tcW w:w="995" w:type="dxa"/>
            <w:noWrap w:val="0"/>
            <w:vAlign w:val="center"/>
          </w:tcPr>
          <w:p w14:paraId="1B8DBB42">
            <w:pPr>
              <w:keepNext w:val="0"/>
              <w:keepLines w:val="0"/>
              <w:pageBreakBefore w:val="0"/>
              <w:kinsoku/>
              <w:wordWrap/>
              <w:overflowPunct/>
              <w:topLinePunct w:val="0"/>
              <w:autoSpaceDE/>
              <w:autoSpaceDN/>
              <w:bidi w:val="0"/>
              <w:spacing w:line="240" w:lineRule="auto"/>
              <w:contextualSpacing/>
              <w:jc w:val="center"/>
              <w:textAlignment w:val="auto"/>
              <w:rPr>
                <w:rFonts w:hint="eastAsia" w:ascii="宋体" w:hAnsi="宋体" w:eastAsia="宋体" w:cs="宋体"/>
                <w:sz w:val="21"/>
                <w:szCs w:val="21"/>
              </w:rPr>
            </w:pPr>
          </w:p>
        </w:tc>
      </w:tr>
      <w:permEnd w:id="20"/>
      <w:permEnd w:id="21"/>
      <w:permEnd w:id="22"/>
      <w:permEnd w:id="23"/>
      <w:permEnd w:id="24"/>
      <w:permEnd w:id="25"/>
      <w:permEnd w:id="26"/>
      <w:permEnd w:id="27"/>
      <w:permEnd w:id="28"/>
    </w:tbl>
    <w:p w14:paraId="0E2D585F">
      <w:pPr>
        <w:pStyle w:val="28"/>
        <w:keepNext w:val="0"/>
        <w:keepLines w:val="0"/>
        <w:pageBreakBefore w:val="0"/>
        <w:numPr>
          <w:ilvl w:val="0"/>
          <w:numId w:val="13"/>
        </w:numPr>
        <w:kinsoku/>
        <w:wordWrap/>
        <w:overflowPunct/>
        <w:topLinePunct w:val="0"/>
        <w:autoSpaceDE/>
        <w:autoSpaceDN/>
        <w:bidi w:val="0"/>
        <w:spacing w:line="240" w:lineRule="auto"/>
        <w:ind w:left="0" w:firstLine="0" w:firstLineChars="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货物具体配置详见附件1：《配置清单》。</w:t>
      </w:r>
    </w:p>
    <w:p w14:paraId="4A1A4C1B">
      <w:pPr>
        <w:pStyle w:val="28"/>
        <w:keepNext w:val="0"/>
        <w:keepLines w:val="0"/>
        <w:pageBreakBefore w:val="0"/>
        <w:numPr>
          <w:ilvl w:val="0"/>
          <w:numId w:val="13"/>
        </w:numPr>
        <w:kinsoku/>
        <w:wordWrap/>
        <w:overflowPunct/>
        <w:topLinePunct w:val="0"/>
        <w:autoSpaceDE/>
        <w:autoSpaceDN/>
        <w:bidi w:val="0"/>
        <w:spacing w:line="240" w:lineRule="auto"/>
        <w:ind w:left="0" w:firstLine="0" w:firstLineChars="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货物具体技术参数详见附件2：《货物技术参数》。</w:t>
      </w:r>
    </w:p>
    <w:p w14:paraId="3E7F93F9">
      <w:pPr>
        <w:pStyle w:val="28"/>
        <w:keepNext w:val="0"/>
        <w:keepLines w:val="0"/>
        <w:pageBreakBefore w:val="0"/>
        <w:numPr>
          <w:ilvl w:val="0"/>
          <w:numId w:val="12"/>
        </w:numPr>
        <w:kinsoku/>
        <w:wordWrap/>
        <w:overflowPunct/>
        <w:topLinePunct w:val="0"/>
        <w:autoSpaceDE/>
        <w:autoSpaceDN/>
        <w:bidi w:val="0"/>
        <w:snapToGrid w:val="0"/>
        <w:spacing w:line="240" w:lineRule="auto"/>
        <w:ind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合同总价</w:t>
      </w:r>
    </w:p>
    <w:p w14:paraId="6EC96E75">
      <w:pPr>
        <w:pStyle w:val="28"/>
        <w:keepNext w:val="0"/>
        <w:keepLines w:val="0"/>
        <w:pageBreakBefore w:val="0"/>
        <w:kinsoku/>
        <w:wordWrap/>
        <w:overflowPunct/>
        <w:topLinePunct w:val="0"/>
        <w:autoSpaceDE/>
        <w:autoSpaceDN/>
        <w:bidi w:val="0"/>
        <w:spacing w:line="240" w:lineRule="auto"/>
        <w:ind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6A1C5124">
      <w:pPr>
        <w:pStyle w:val="28"/>
        <w:keepNext w:val="0"/>
        <w:keepLines w:val="0"/>
        <w:pageBreakBefore w:val="0"/>
        <w:kinsoku/>
        <w:wordWrap/>
        <w:overflowPunct/>
        <w:topLinePunct w:val="0"/>
        <w:autoSpaceDE/>
        <w:autoSpaceDN/>
        <w:bidi w:val="0"/>
        <w:spacing w:line="240" w:lineRule="auto"/>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2.本合同执行期间合同总价不变，甲方无须另向乙方支付本合同规定之外的其他任何费用。</w:t>
      </w:r>
    </w:p>
    <w:p w14:paraId="3BB74D85">
      <w:pPr>
        <w:pStyle w:val="28"/>
        <w:keepNext w:val="0"/>
        <w:keepLines w:val="0"/>
        <w:pageBreakBefore w:val="0"/>
        <w:numPr>
          <w:ilvl w:val="0"/>
          <w:numId w:val="12"/>
        </w:numPr>
        <w:kinsoku/>
        <w:wordWrap/>
        <w:overflowPunct/>
        <w:topLinePunct w:val="0"/>
        <w:autoSpaceDE/>
        <w:autoSpaceDN/>
        <w:bidi w:val="0"/>
        <w:snapToGrid w:val="0"/>
        <w:spacing w:line="240" w:lineRule="auto"/>
        <w:ind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质量要求</w:t>
      </w:r>
    </w:p>
    <w:p w14:paraId="53D1B49B">
      <w:pPr>
        <w:pStyle w:val="28"/>
        <w:keepNext w:val="0"/>
        <w:keepLines w:val="0"/>
        <w:pageBreakBefore w:val="0"/>
        <w:numPr>
          <w:ilvl w:val="0"/>
          <w:numId w:val="14"/>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乙方须保证向甲方提供的货物（含零部件、配件等）是完整、全新的，并在性能、质量和设计方面满足安全、可靠和高效运行与方便维护的全部要求。</w:t>
      </w:r>
    </w:p>
    <w:p w14:paraId="5D7598FA">
      <w:pPr>
        <w:pStyle w:val="28"/>
        <w:keepNext w:val="0"/>
        <w:keepLines w:val="0"/>
        <w:pageBreakBefore w:val="0"/>
        <w:numPr>
          <w:ilvl w:val="0"/>
          <w:numId w:val="14"/>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货物必须符合或优于国家（行业）标准，以及本项目采购文件的质量要求和技术指标与出厂标准。</w:t>
      </w:r>
    </w:p>
    <w:p w14:paraId="2D6E3D0E">
      <w:pPr>
        <w:pStyle w:val="28"/>
        <w:keepNext w:val="0"/>
        <w:keepLines w:val="0"/>
        <w:pageBreakBefore w:val="0"/>
        <w:numPr>
          <w:ilvl w:val="0"/>
          <w:numId w:val="14"/>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货物制造质量出现问题，乙方应负责按照第十条承担责任，费用由乙方负担。</w:t>
      </w:r>
    </w:p>
    <w:p w14:paraId="415248ED">
      <w:pPr>
        <w:pStyle w:val="28"/>
        <w:keepNext w:val="0"/>
        <w:keepLines w:val="0"/>
        <w:pageBreakBefore w:val="0"/>
        <w:numPr>
          <w:ilvl w:val="0"/>
          <w:numId w:val="14"/>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如因货物质量问题导致甲方无法正常使用或影响使用效果，由此与患者发生纠纷而导致甲方赔偿，乙方对此承担全部责任。</w:t>
      </w:r>
    </w:p>
    <w:p w14:paraId="10EE0F94">
      <w:pPr>
        <w:pStyle w:val="28"/>
        <w:keepNext w:val="0"/>
        <w:keepLines w:val="0"/>
        <w:pageBreakBefore w:val="0"/>
        <w:numPr>
          <w:ilvl w:val="0"/>
          <w:numId w:val="14"/>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甲方人员参与合同货物开箱、调试等行为均不免除乙方及厂家对合同货物质量所应负责任。</w:t>
      </w:r>
    </w:p>
    <w:p w14:paraId="6FD4058B">
      <w:pPr>
        <w:pStyle w:val="28"/>
        <w:keepNext w:val="0"/>
        <w:keepLines w:val="0"/>
        <w:pageBreakBefore w:val="0"/>
        <w:numPr>
          <w:ilvl w:val="0"/>
          <w:numId w:val="14"/>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本合同采购的货物涉及成品软件的，乙方应保证以下内容（本合同另有约定除外）：</w:t>
      </w:r>
    </w:p>
    <w:p w14:paraId="22CC1F05">
      <w:pPr>
        <w:pStyle w:val="28"/>
        <w:keepNext w:val="0"/>
        <w:keepLines w:val="0"/>
        <w:pageBreakBefore w:val="0"/>
        <w:numPr>
          <w:ilvl w:val="0"/>
          <w:numId w:val="1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本合同中提供给甲方的软件产品是其产品原厂发布的最新版本。</w:t>
      </w:r>
    </w:p>
    <w:p w14:paraId="2755400B">
      <w:pPr>
        <w:pStyle w:val="28"/>
        <w:keepNext w:val="0"/>
        <w:keepLines w:val="0"/>
        <w:pageBreakBefore w:val="0"/>
        <w:numPr>
          <w:ilvl w:val="0"/>
          <w:numId w:val="1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负责软件功能的升级、维护和文档更新，不再收取任何费用。</w:t>
      </w:r>
    </w:p>
    <w:p w14:paraId="12CC1C36">
      <w:pPr>
        <w:pStyle w:val="28"/>
        <w:keepNext w:val="0"/>
        <w:keepLines w:val="0"/>
        <w:pageBreakBefore w:val="0"/>
        <w:numPr>
          <w:ilvl w:val="0"/>
          <w:numId w:val="1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本合同中提供给甲方的软件产品不存在定期密码输入等使用和功能上的限制。</w:t>
      </w:r>
    </w:p>
    <w:p w14:paraId="2BFC37F0">
      <w:pPr>
        <w:pStyle w:val="28"/>
        <w:keepNext w:val="0"/>
        <w:keepLines w:val="0"/>
        <w:pageBreakBefore w:val="0"/>
        <w:numPr>
          <w:ilvl w:val="0"/>
          <w:numId w:val="1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6A02B6A">
      <w:pPr>
        <w:pStyle w:val="28"/>
        <w:keepNext w:val="0"/>
        <w:keepLines w:val="0"/>
        <w:pageBreakBefore w:val="0"/>
        <w:numPr>
          <w:ilvl w:val="0"/>
          <w:numId w:val="1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本合同中提供给甲方的软件产品需要严格遵守相关网络信息安全规定。</w:t>
      </w:r>
    </w:p>
    <w:p w14:paraId="0384E093">
      <w:pPr>
        <w:pStyle w:val="28"/>
        <w:keepNext w:val="0"/>
        <w:keepLines w:val="0"/>
        <w:pageBreakBefore w:val="0"/>
        <w:numPr>
          <w:ilvl w:val="0"/>
          <w:numId w:val="1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61A1A916">
      <w:pPr>
        <w:pStyle w:val="28"/>
        <w:keepNext w:val="0"/>
        <w:keepLines w:val="0"/>
        <w:pageBreakBefore w:val="0"/>
        <w:numPr>
          <w:ilvl w:val="0"/>
          <w:numId w:val="12"/>
        </w:numPr>
        <w:kinsoku/>
        <w:wordWrap/>
        <w:overflowPunct/>
        <w:topLinePunct w:val="0"/>
        <w:autoSpaceDE/>
        <w:autoSpaceDN/>
        <w:bidi w:val="0"/>
        <w:snapToGrid w:val="0"/>
        <w:spacing w:line="240" w:lineRule="auto"/>
        <w:ind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交付</w:t>
      </w:r>
    </w:p>
    <w:p w14:paraId="2D0BACAB">
      <w:pPr>
        <w:pStyle w:val="28"/>
        <w:keepNext w:val="0"/>
        <w:keepLines w:val="0"/>
        <w:pageBreakBefore w:val="0"/>
        <w:kinsoku/>
        <w:wordWrap/>
        <w:overflowPunct/>
        <w:topLinePunct w:val="0"/>
        <w:autoSpaceDE/>
        <w:autoSpaceDN/>
        <w:bidi w:val="0"/>
        <w:snapToGrid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本合同签订生效后***天内由乙方在***向甲方交付本合同约定的全部货物，并于***日内安装调试完毕且具备验收条件。货物验收合格前，毁损灭失的风险由乙方承担。</w:t>
      </w:r>
    </w:p>
    <w:p w14:paraId="40D45B67">
      <w:pPr>
        <w:pStyle w:val="28"/>
        <w:keepNext w:val="0"/>
        <w:keepLines w:val="0"/>
        <w:pageBreakBefore w:val="0"/>
        <w:numPr>
          <w:ilvl w:val="0"/>
          <w:numId w:val="12"/>
        </w:numPr>
        <w:kinsoku/>
        <w:wordWrap/>
        <w:overflowPunct/>
        <w:topLinePunct w:val="0"/>
        <w:autoSpaceDE/>
        <w:autoSpaceDN/>
        <w:bidi w:val="0"/>
        <w:snapToGrid w:val="0"/>
        <w:spacing w:line="240" w:lineRule="auto"/>
        <w:ind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验收</w:t>
      </w:r>
    </w:p>
    <w:p w14:paraId="4BF17778">
      <w:pPr>
        <w:pStyle w:val="28"/>
        <w:keepNext w:val="0"/>
        <w:keepLines w:val="0"/>
        <w:pageBreakBefore w:val="0"/>
        <w:numPr>
          <w:ilvl w:val="0"/>
          <w:numId w:val="16"/>
        </w:numPr>
        <w:kinsoku/>
        <w:wordWrap/>
        <w:overflowPunct/>
        <w:topLinePunct w:val="0"/>
        <w:autoSpaceDE/>
        <w:autoSpaceDN/>
        <w:bidi w:val="0"/>
        <w:snapToGrid w:val="0"/>
        <w:spacing w:line="240" w:lineRule="auto"/>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甲、乙双方确定，按照本合同约定的验收方案对乙方交付的货物进行验收。</w:t>
      </w:r>
    </w:p>
    <w:p w14:paraId="281FC822">
      <w:pPr>
        <w:pStyle w:val="28"/>
        <w:keepNext w:val="0"/>
        <w:keepLines w:val="0"/>
        <w:pageBreakBefore w:val="0"/>
        <w:numPr>
          <w:ilvl w:val="0"/>
          <w:numId w:val="16"/>
        </w:numPr>
        <w:kinsoku/>
        <w:wordWrap/>
        <w:overflowPunct/>
        <w:topLinePunct w:val="0"/>
        <w:autoSpaceDE/>
        <w:autoSpaceDN/>
        <w:bidi w:val="0"/>
        <w:snapToGrid w:val="0"/>
        <w:spacing w:line="240" w:lineRule="auto"/>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验收方案：</w:t>
      </w:r>
    </w:p>
    <w:p w14:paraId="6B447259">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验收主体：甲方</w:t>
      </w:r>
    </w:p>
    <w:p w14:paraId="4532E9F6">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验收组织方式：自行验收</w:t>
      </w:r>
    </w:p>
    <w:p w14:paraId="34B76BF8">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color w:val="333333"/>
          <w:kern w:val="0"/>
          <w:sz w:val="21"/>
          <w:szCs w:val="21"/>
          <w:shd w:val="clear" w:color="auto" w:fill="FFFFFF"/>
        </w:rPr>
      </w:pPr>
      <w:r>
        <w:rPr>
          <w:rFonts w:hint="eastAsia" w:ascii="宋体" w:hAnsi="宋体" w:eastAsia="宋体" w:cs="宋体"/>
          <w:sz w:val="21"/>
          <w:szCs w:val="21"/>
        </w:rPr>
        <w:t>验收程序：</w:t>
      </w:r>
      <w:r>
        <w:rPr>
          <w:rFonts w:hint="eastAsia" w:ascii="宋体" w:hAnsi="宋体" w:eastAsia="宋体" w:cs="宋体"/>
          <w:sz w:val="21"/>
          <w:szCs w:val="21"/>
        </w:rPr>
        <w:sym w:font="Wingdings 2" w:char="F052"/>
      </w:r>
      <w:r>
        <w:rPr>
          <w:rFonts w:hint="eastAsia" w:ascii="宋体" w:hAnsi="宋体" w:eastAsia="宋体" w:cs="宋体"/>
          <w:kern w:val="0"/>
          <w:sz w:val="21"/>
          <w:szCs w:val="21"/>
          <w:shd w:val="clear" w:color="auto" w:fill="FFFFFF"/>
        </w:rPr>
        <w:t xml:space="preserve">一次性验收   </w:t>
      </w:r>
      <w:r>
        <w:rPr>
          <w:rFonts w:hint="eastAsia" w:ascii="宋体" w:hAnsi="宋体" w:eastAsia="宋体" w:cs="宋体"/>
          <w:sz w:val="21"/>
          <w:szCs w:val="21"/>
          <w:shd w:val="clear" w:color="auto" w:fill="FFFFFF"/>
        </w:rPr>
        <w:sym w:font="Wingdings" w:char="F0A8"/>
      </w:r>
      <w:r>
        <w:rPr>
          <w:rFonts w:hint="eastAsia" w:ascii="宋体" w:hAnsi="宋体" w:eastAsia="宋体" w:cs="宋体"/>
          <w:kern w:val="0"/>
          <w:sz w:val="21"/>
          <w:szCs w:val="21"/>
          <w:shd w:val="clear" w:color="auto" w:fill="FFFFFF"/>
        </w:rPr>
        <w:t>分段/分期验收</w:t>
      </w:r>
    </w:p>
    <w:p w14:paraId="1C9FAB54">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验收方式：现场整体验收</w:t>
      </w:r>
    </w:p>
    <w:p w14:paraId="0E85D024">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履约验收内容：按照甲方采购文件要求及乙方响应文件情况，由乙方向甲方交付的全部内容。</w:t>
      </w:r>
    </w:p>
    <w:p w14:paraId="035F7869">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履约验收时间：供应商完成本项目涉及的所有货物的安装、调试并具备验收条件后于5日内通知甲方验收，甲方接乙方通知后10日内组织验收。</w:t>
      </w:r>
    </w:p>
    <w:p w14:paraId="0831CBD6">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sz w:val="21"/>
          <w:szCs w:val="21"/>
        </w:rPr>
        <w:sym w:font="Wingdings" w:char="F0A8"/>
      </w:r>
      <w:r>
        <w:rPr>
          <w:rFonts w:hint="eastAsia" w:ascii="宋体" w:hAnsi="宋体" w:eastAsia="宋体" w:cs="宋体"/>
          <w:sz w:val="21"/>
          <w:szCs w:val="21"/>
        </w:rPr>
        <w:t xml:space="preserve">是   </w:t>
      </w:r>
      <w:r>
        <w:rPr>
          <w:rFonts w:hint="eastAsia" w:ascii="宋体" w:hAnsi="宋体" w:eastAsia="宋体" w:cs="宋体"/>
          <w:sz w:val="21"/>
          <w:szCs w:val="21"/>
        </w:rPr>
        <w:sym w:font="Wingdings 2" w:char="F052"/>
      </w:r>
      <w:r>
        <w:rPr>
          <w:rFonts w:hint="eastAsia" w:ascii="宋体" w:hAnsi="宋体" w:eastAsia="宋体" w:cs="宋体"/>
          <w:sz w:val="21"/>
          <w:szCs w:val="21"/>
        </w:rPr>
        <w:t>否</w:t>
      </w:r>
    </w:p>
    <w:p w14:paraId="24B4C75D">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sz w:val="21"/>
          <w:szCs w:val="21"/>
        </w:rPr>
        <w:sym w:font="Wingdings" w:char="F0A8"/>
      </w:r>
      <w:r>
        <w:rPr>
          <w:rFonts w:hint="eastAsia" w:ascii="宋体" w:hAnsi="宋体" w:eastAsia="宋体" w:cs="宋体"/>
          <w:sz w:val="21"/>
          <w:szCs w:val="21"/>
        </w:rPr>
        <w:t xml:space="preserve">是   </w:t>
      </w:r>
      <w:r>
        <w:rPr>
          <w:rFonts w:hint="eastAsia" w:ascii="宋体" w:hAnsi="宋体" w:eastAsia="宋体" w:cs="宋体"/>
          <w:sz w:val="21"/>
          <w:szCs w:val="21"/>
        </w:rPr>
        <w:sym w:font="Wingdings 2" w:char="F052"/>
      </w:r>
      <w:r>
        <w:rPr>
          <w:rFonts w:hint="eastAsia" w:ascii="宋体" w:hAnsi="宋体" w:eastAsia="宋体" w:cs="宋体"/>
          <w:sz w:val="21"/>
          <w:szCs w:val="21"/>
        </w:rPr>
        <w:t>否</w:t>
      </w:r>
    </w:p>
    <w:p w14:paraId="02580119">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sz w:val="21"/>
          <w:szCs w:val="21"/>
        </w:rPr>
        <w:sym w:font="Wingdings" w:char="F0A8"/>
      </w:r>
      <w:r>
        <w:rPr>
          <w:rFonts w:hint="eastAsia" w:ascii="宋体" w:hAnsi="宋体" w:eastAsia="宋体" w:cs="宋体"/>
          <w:sz w:val="21"/>
          <w:szCs w:val="21"/>
        </w:rPr>
        <w:t xml:space="preserve">是   </w:t>
      </w:r>
      <w:r>
        <w:rPr>
          <w:rFonts w:hint="eastAsia" w:ascii="宋体" w:hAnsi="宋体" w:eastAsia="宋体" w:cs="宋体"/>
          <w:sz w:val="21"/>
          <w:szCs w:val="21"/>
        </w:rPr>
        <w:sym w:font="Wingdings 2" w:char="F052"/>
      </w:r>
      <w:r>
        <w:rPr>
          <w:rFonts w:hint="eastAsia" w:ascii="宋体" w:hAnsi="宋体" w:eastAsia="宋体" w:cs="宋体"/>
          <w:sz w:val="21"/>
          <w:szCs w:val="21"/>
        </w:rPr>
        <w:t>否</w:t>
      </w:r>
    </w:p>
    <w:p w14:paraId="15421227">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是否邀请第三方检测机构： </w:t>
      </w:r>
      <w:r>
        <w:rPr>
          <w:rFonts w:hint="eastAsia" w:ascii="宋体" w:hAnsi="宋体" w:eastAsia="宋体" w:cs="宋体"/>
          <w:sz w:val="21"/>
          <w:szCs w:val="21"/>
        </w:rPr>
        <w:sym w:font="Wingdings" w:char="F0A8"/>
      </w:r>
      <w:r>
        <w:rPr>
          <w:rFonts w:hint="eastAsia" w:ascii="宋体" w:hAnsi="宋体" w:eastAsia="宋体" w:cs="宋体"/>
          <w:sz w:val="21"/>
          <w:szCs w:val="21"/>
        </w:rPr>
        <w:t xml:space="preserve">是   </w:t>
      </w:r>
      <w:r>
        <w:rPr>
          <w:rFonts w:hint="eastAsia" w:ascii="宋体" w:hAnsi="宋体" w:eastAsia="宋体" w:cs="宋体"/>
          <w:sz w:val="21"/>
          <w:szCs w:val="21"/>
        </w:rPr>
        <w:sym w:font="Wingdings 2" w:char="F052"/>
      </w:r>
      <w:r>
        <w:rPr>
          <w:rFonts w:hint="eastAsia" w:ascii="宋体" w:hAnsi="宋体" w:eastAsia="宋体" w:cs="宋体"/>
          <w:sz w:val="21"/>
          <w:szCs w:val="21"/>
        </w:rPr>
        <w:t>否</w:t>
      </w:r>
    </w:p>
    <w:p w14:paraId="02C5E2F9">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验收标准：</w:t>
      </w:r>
    </w:p>
    <w:p w14:paraId="5826F2AB">
      <w:pPr>
        <w:pStyle w:val="16"/>
        <w:keepNext w:val="0"/>
        <w:keepLines w:val="0"/>
        <w:pageBreakBefore w:val="0"/>
        <w:numPr>
          <w:ilvl w:val="0"/>
          <w:numId w:val="18"/>
        </w:numPr>
        <w:kinsoku/>
        <w:wordWrap/>
        <w:overflowPunct/>
        <w:topLinePunct w:val="0"/>
        <w:autoSpaceDE/>
        <w:autoSpaceDN/>
        <w:bidi w:val="0"/>
        <w:snapToGrid w:val="0"/>
        <w:spacing w:after="0"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shd w:val="clear" w:color="auto" w:fill="FFFFFF"/>
        </w:rPr>
        <w:t>国家相关法律法规、行业标准、技术规范。</w:t>
      </w:r>
    </w:p>
    <w:p w14:paraId="4447EFEE">
      <w:pPr>
        <w:pStyle w:val="16"/>
        <w:keepNext w:val="0"/>
        <w:keepLines w:val="0"/>
        <w:pageBreakBefore w:val="0"/>
        <w:numPr>
          <w:ilvl w:val="0"/>
          <w:numId w:val="18"/>
        </w:numPr>
        <w:kinsoku/>
        <w:wordWrap/>
        <w:overflowPunct/>
        <w:topLinePunct w:val="0"/>
        <w:autoSpaceDE/>
        <w:autoSpaceDN/>
        <w:bidi w:val="0"/>
        <w:snapToGrid w:val="0"/>
        <w:spacing w:after="0"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15425DC0">
      <w:pPr>
        <w:pStyle w:val="16"/>
        <w:keepNext w:val="0"/>
        <w:keepLines w:val="0"/>
        <w:pageBreakBefore w:val="0"/>
        <w:numPr>
          <w:ilvl w:val="0"/>
          <w:numId w:val="18"/>
        </w:numPr>
        <w:kinsoku/>
        <w:wordWrap/>
        <w:overflowPunct/>
        <w:topLinePunct w:val="0"/>
        <w:autoSpaceDE/>
        <w:autoSpaceDN/>
        <w:bidi w:val="0"/>
        <w:snapToGrid w:val="0"/>
        <w:spacing w:after="0"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成交产品生产厂家出具的产品说明书、技术白皮书等技术资料（如涉及）。</w:t>
      </w:r>
    </w:p>
    <w:p w14:paraId="6C06005F">
      <w:pPr>
        <w:pStyle w:val="16"/>
        <w:keepNext w:val="0"/>
        <w:keepLines w:val="0"/>
        <w:pageBreakBefore w:val="0"/>
        <w:numPr>
          <w:ilvl w:val="0"/>
          <w:numId w:val="18"/>
        </w:numPr>
        <w:kinsoku/>
        <w:wordWrap/>
        <w:overflowPunct/>
        <w:topLinePunct w:val="0"/>
        <w:autoSpaceDE/>
        <w:autoSpaceDN/>
        <w:bidi w:val="0"/>
        <w:snapToGrid w:val="0"/>
        <w:spacing w:after="0"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如验收时，采购人与供应商认为本项目验收标准中的技术指标、质量要求等内容存在相互抵触或对其理解存在异议，应按照其中更严格的要求、标准等进行验收。</w:t>
      </w:r>
    </w:p>
    <w:p w14:paraId="298D7A35">
      <w:pPr>
        <w:pStyle w:val="16"/>
        <w:keepNext w:val="0"/>
        <w:keepLines w:val="0"/>
        <w:pageBreakBefore w:val="0"/>
        <w:numPr>
          <w:ilvl w:val="0"/>
          <w:numId w:val="18"/>
        </w:numPr>
        <w:kinsoku/>
        <w:wordWrap/>
        <w:overflowPunct/>
        <w:topLinePunct w:val="0"/>
        <w:autoSpaceDE/>
        <w:autoSpaceDN/>
        <w:bidi w:val="0"/>
        <w:snapToGrid w:val="0"/>
        <w:spacing w:after="0"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536BEF8C">
      <w:pPr>
        <w:pStyle w:val="16"/>
        <w:keepNext w:val="0"/>
        <w:keepLines w:val="0"/>
        <w:pageBreakBefore w:val="0"/>
        <w:numPr>
          <w:ilvl w:val="0"/>
          <w:numId w:val="18"/>
        </w:numPr>
        <w:kinsoku/>
        <w:wordWrap/>
        <w:overflowPunct/>
        <w:topLinePunct w:val="0"/>
        <w:autoSpaceDE/>
        <w:autoSpaceDN/>
        <w:bidi w:val="0"/>
        <w:snapToGrid w:val="0"/>
        <w:spacing w:after="0"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其它标准：无。</w:t>
      </w:r>
    </w:p>
    <w:p w14:paraId="0B2FFA91">
      <w:pPr>
        <w:pStyle w:val="28"/>
        <w:keepNext w:val="0"/>
        <w:keepLines w:val="0"/>
        <w:pageBreakBefore w:val="0"/>
        <w:numPr>
          <w:ilvl w:val="0"/>
          <w:numId w:val="17"/>
        </w:numPr>
        <w:kinsoku/>
        <w:wordWrap/>
        <w:overflowPunct/>
        <w:topLinePunct w:val="0"/>
        <w:autoSpaceDE/>
        <w:autoSpaceDN/>
        <w:bidi w:val="0"/>
        <w:snapToGrid w:val="0"/>
        <w:spacing w:line="240" w:lineRule="auto"/>
        <w:ind w:left="525" w:hanging="525" w:hangingChars="25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履约验收其它事项：无。</w:t>
      </w:r>
      <w:r>
        <w:rPr>
          <w:rFonts w:hint="eastAsia" w:ascii="宋体" w:hAnsi="宋体" w:eastAsia="宋体" w:cs="宋体"/>
          <w:i/>
          <w:iCs/>
          <w:sz w:val="21"/>
          <w:szCs w:val="21"/>
          <w:highlight w:val="yellow"/>
        </w:rPr>
        <w:t>&lt;如有请填写&gt;</w:t>
      </w:r>
    </w:p>
    <w:p w14:paraId="039DC8CC">
      <w:pPr>
        <w:pStyle w:val="28"/>
        <w:keepNext w:val="0"/>
        <w:keepLines w:val="0"/>
        <w:pageBreakBefore w:val="0"/>
        <w:numPr>
          <w:ilvl w:val="0"/>
          <w:numId w:val="16"/>
        </w:numPr>
        <w:kinsoku/>
        <w:wordWrap/>
        <w:overflowPunct/>
        <w:topLinePunct w:val="0"/>
        <w:autoSpaceDE/>
        <w:autoSpaceDN/>
        <w:bidi w:val="0"/>
        <w:snapToGrid w:val="0"/>
        <w:spacing w:line="240" w:lineRule="auto"/>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乙方按照本合同向甲方交付的货物：</w:t>
      </w:r>
      <w:bookmarkStart w:id="95" w:name="OLE_LINK3"/>
      <w:r>
        <w:rPr>
          <w:rFonts w:hint="eastAsia" w:ascii="宋体" w:hAnsi="宋体" w:eastAsia="宋体" w:cs="宋体"/>
          <w:i/>
          <w:iCs/>
          <w:color w:val="000000"/>
          <w:sz w:val="21"/>
          <w:szCs w:val="21"/>
          <w:highlight w:val="yellow"/>
        </w:rPr>
        <w:t>&lt;根据项目实际情况选择</w:t>
      </w:r>
      <w:bookmarkEnd w:id="95"/>
      <w:r>
        <w:rPr>
          <w:rFonts w:hint="eastAsia" w:ascii="宋体" w:hAnsi="宋体" w:eastAsia="宋体" w:cs="宋体"/>
          <w:i/>
          <w:iCs/>
          <w:color w:val="000000"/>
          <w:sz w:val="21"/>
          <w:szCs w:val="21"/>
          <w:highlight w:val="yellow"/>
        </w:rPr>
        <w:t>&gt;</w:t>
      </w:r>
    </w:p>
    <w:p w14:paraId="4F96873A">
      <w:pPr>
        <w:pStyle w:val="28"/>
        <w:keepNext w:val="0"/>
        <w:keepLines w:val="0"/>
        <w:pageBreakBefore w:val="0"/>
        <w:kinsoku/>
        <w:wordWrap/>
        <w:overflowPunct/>
        <w:topLinePunct w:val="0"/>
        <w:autoSpaceDE/>
        <w:autoSpaceDN/>
        <w:bidi w:val="0"/>
        <w:snapToGrid w:val="0"/>
        <w:spacing w:line="240" w:lineRule="auto"/>
        <w:ind w:left="315" w:leftChars="150" w:firstLine="0" w:firstLineChars="0"/>
        <w:textAlignment w:val="auto"/>
        <w:rPr>
          <w:rFonts w:hint="eastAsia" w:ascii="宋体" w:hAnsi="宋体" w:eastAsia="宋体" w:cs="宋体"/>
          <w:sz w:val="21"/>
          <w:szCs w:val="21"/>
          <w:u w:val="single"/>
        </w:rPr>
      </w:pPr>
      <w:r>
        <w:rPr>
          <w:rFonts w:hint="eastAsia" w:ascii="宋体" w:hAnsi="宋体" w:eastAsia="宋体" w:cs="宋体"/>
          <w:sz w:val="21"/>
          <w:szCs w:val="21"/>
        </w:rPr>
        <w:sym w:font="Wingdings 2" w:char="00A3"/>
      </w:r>
      <w:r>
        <w:rPr>
          <w:rFonts w:hint="eastAsia" w:ascii="宋体" w:hAnsi="宋体" w:eastAsia="宋体" w:cs="宋体"/>
          <w:sz w:val="21"/>
          <w:szCs w:val="21"/>
          <w:u w:val="single"/>
        </w:rPr>
        <w:t>有试运行期</w:t>
      </w:r>
      <w:r>
        <w:rPr>
          <w:rFonts w:hint="eastAsia" w:ascii="宋体" w:hAnsi="宋体" w:eastAsia="宋体" w:cs="宋体"/>
          <w:sz w:val="21"/>
          <w:szCs w:val="21"/>
        </w:rPr>
        <w:t>，试运行期为***，试运行期间，如发现货物有缺陷，或性能和质量不符合本项目要求时，乙方须对相关货物进行更换和相应处理，同时试运行期时限按照上述修改、更正期进行相应顺延。</w:t>
      </w:r>
    </w:p>
    <w:p w14:paraId="29EBF3E5">
      <w:pPr>
        <w:pStyle w:val="28"/>
        <w:keepNext w:val="0"/>
        <w:keepLines w:val="0"/>
        <w:pageBreakBefore w:val="0"/>
        <w:kinsoku/>
        <w:wordWrap/>
        <w:overflowPunct/>
        <w:topLinePunct w:val="0"/>
        <w:autoSpaceDE/>
        <w:autoSpaceDN/>
        <w:bidi w:val="0"/>
        <w:snapToGrid w:val="0"/>
        <w:spacing w:line="240" w:lineRule="auto"/>
        <w:ind w:left="315" w:leftChars="15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sym w:font="Wingdings 2" w:char="0052"/>
      </w:r>
      <w:r>
        <w:rPr>
          <w:rFonts w:hint="eastAsia" w:ascii="宋体" w:hAnsi="宋体" w:eastAsia="宋体" w:cs="宋体"/>
          <w:sz w:val="21"/>
          <w:szCs w:val="21"/>
          <w:u w:val="single"/>
        </w:rPr>
        <w:t>无试运行期</w:t>
      </w:r>
    </w:p>
    <w:p w14:paraId="10AD27C5">
      <w:pPr>
        <w:pStyle w:val="28"/>
        <w:keepNext w:val="0"/>
        <w:keepLines w:val="0"/>
        <w:pageBreakBefore w:val="0"/>
        <w:numPr>
          <w:ilvl w:val="0"/>
          <w:numId w:val="16"/>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若验收交付内容涉及试运行的，经试运行达到设计使用要求、技术质量标准并经甲方认可后视为验收通过。</w:t>
      </w:r>
    </w:p>
    <w:p w14:paraId="71694D70">
      <w:pPr>
        <w:pStyle w:val="28"/>
        <w:keepNext w:val="0"/>
        <w:keepLines w:val="0"/>
        <w:pageBreakBefore w:val="0"/>
        <w:numPr>
          <w:ilvl w:val="0"/>
          <w:numId w:val="16"/>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不能交付而须支付合同总价</w:t>
      </w:r>
      <w:r>
        <w:rPr>
          <w:rFonts w:hint="eastAsia" w:ascii="宋体" w:hAnsi="宋体" w:eastAsia="宋体" w:cs="宋体"/>
          <w:sz w:val="21"/>
          <w:szCs w:val="21"/>
          <w:u w:val="single"/>
        </w:rPr>
        <w:t>10</w:t>
      </w:r>
      <w:r>
        <w:rPr>
          <w:rFonts w:hint="eastAsia" w:ascii="宋体" w:hAnsi="宋体" w:eastAsia="宋体" w:cs="宋体"/>
          <w:sz w:val="21"/>
          <w:szCs w:val="21"/>
        </w:rPr>
        <w:t>%的违约金给甲方，违约金不能弥补甲方损失的，乙方应全额赔偿。</w:t>
      </w:r>
    </w:p>
    <w:p w14:paraId="4FEEB6A9">
      <w:pPr>
        <w:pStyle w:val="28"/>
        <w:keepNext w:val="0"/>
        <w:keepLines w:val="0"/>
        <w:pageBreakBefore w:val="0"/>
        <w:numPr>
          <w:ilvl w:val="0"/>
          <w:numId w:val="12"/>
        </w:numPr>
        <w:kinsoku/>
        <w:wordWrap/>
        <w:overflowPunct/>
        <w:topLinePunct w:val="0"/>
        <w:autoSpaceDE/>
        <w:autoSpaceDN/>
        <w:bidi w:val="0"/>
        <w:snapToGrid w:val="0"/>
        <w:spacing w:line="240" w:lineRule="auto"/>
        <w:ind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主体资格及知识产权</w:t>
      </w:r>
    </w:p>
    <w:p w14:paraId="693D12CE">
      <w:pPr>
        <w:pStyle w:val="28"/>
        <w:keepNext w:val="0"/>
        <w:keepLines w:val="0"/>
        <w:pageBreakBefore w:val="0"/>
        <w:numPr>
          <w:ilvl w:val="0"/>
          <w:numId w:val="19"/>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主体资格：</w:t>
      </w:r>
    </w:p>
    <w:p w14:paraId="58347763">
      <w:pPr>
        <w:keepNext w:val="0"/>
        <w:keepLines w:val="0"/>
        <w:pageBreakBefore w:val="0"/>
        <w:kinsoku/>
        <w:wordWrap/>
        <w:overflowPunct/>
        <w:topLinePunct w:val="0"/>
        <w:autoSpaceDE/>
        <w:autoSpaceDN/>
        <w:bidi w:val="0"/>
        <w:snapToGrid w:val="0"/>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10933DD">
      <w:pPr>
        <w:pStyle w:val="28"/>
        <w:keepNext w:val="0"/>
        <w:keepLines w:val="0"/>
        <w:pageBreakBefore w:val="0"/>
        <w:numPr>
          <w:ilvl w:val="0"/>
          <w:numId w:val="19"/>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知识产权：</w:t>
      </w:r>
    </w:p>
    <w:p w14:paraId="615FE4E3">
      <w:pPr>
        <w:pStyle w:val="28"/>
        <w:keepNext w:val="0"/>
        <w:keepLines w:val="0"/>
        <w:pageBreakBefore w:val="0"/>
        <w:numPr>
          <w:ilvl w:val="0"/>
          <w:numId w:val="20"/>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乙方必须保证，甲方在中华人民共和国境内使用货物或者货物的某一部分时，如有第三方向甲方提出侵犯其专利权、商标权或其他知识产权的主张，由此造成的一切责任由乙方承担。</w:t>
      </w:r>
    </w:p>
    <w:p w14:paraId="4CAD5D5E">
      <w:pPr>
        <w:pStyle w:val="28"/>
        <w:keepNext w:val="0"/>
        <w:keepLines w:val="0"/>
        <w:pageBreakBefore w:val="0"/>
        <w:numPr>
          <w:ilvl w:val="0"/>
          <w:numId w:val="20"/>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本合同费用包含向所有权人支付的专利权、商标权或其他知识产权的有关费用及税费。</w:t>
      </w:r>
    </w:p>
    <w:p w14:paraId="0E497D83">
      <w:pPr>
        <w:pStyle w:val="28"/>
        <w:keepNext w:val="0"/>
        <w:keepLines w:val="0"/>
        <w:pageBreakBefore w:val="0"/>
        <w:numPr>
          <w:ilvl w:val="0"/>
          <w:numId w:val="20"/>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乙方承诺向甲方提供的货物上安装的软件已获得软件厂商的正规授权。</w:t>
      </w:r>
    </w:p>
    <w:p w14:paraId="5E6C1BB4">
      <w:pPr>
        <w:pStyle w:val="28"/>
        <w:keepNext w:val="0"/>
        <w:keepLines w:val="0"/>
        <w:pageBreakBefore w:val="0"/>
        <w:numPr>
          <w:ilvl w:val="0"/>
          <w:numId w:val="20"/>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甲、乙双方共同研发的该系统软件产品，知识产权归甲、乙双方共同拥有，软件所有数据归甲方所有</w:t>
      </w:r>
    </w:p>
    <w:p w14:paraId="70CE55FC">
      <w:pPr>
        <w:pStyle w:val="28"/>
        <w:keepNext w:val="0"/>
        <w:keepLines w:val="0"/>
        <w:pageBreakBefore w:val="0"/>
        <w:numPr>
          <w:ilvl w:val="0"/>
          <w:numId w:val="20"/>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6600FE55">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付款方式</w:t>
      </w:r>
    </w:p>
    <w:p w14:paraId="7B24021B">
      <w:pPr>
        <w:pStyle w:val="28"/>
        <w:keepNext w:val="0"/>
        <w:keepLines w:val="0"/>
        <w:pageBreakBefore w:val="0"/>
        <w:numPr>
          <w:ilvl w:val="0"/>
          <w:numId w:val="21"/>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履约保证金：</w:t>
      </w:r>
    </w:p>
    <w:p w14:paraId="5664795A">
      <w:pPr>
        <w:pStyle w:val="16"/>
        <w:keepNext w:val="0"/>
        <w:keepLines w:val="0"/>
        <w:pageBreakBefore w:val="0"/>
        <w:kinsoku/>
        <w:wordWrap/>
        <w:overflowPunct/>
        <w:topLinePunct w:val="0"/>
        <w:autoSpaceDE/>
        <w:autoSpaceDN/>
        <w:bidi w:val="0"/>
        <w:snapToGrid w:val="0"/>
        <w:spacing w:after="0" w:line="240" w:lineRule="auto"/>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个工作日内，按合同总价***%支付履约保证金；货物自验收合格之日满1年，甲方接到乙方付款申请后30个工作日内，甲方一次性无息退还乙方的履约保证金；经验收后乙方履约不合格的，履约保证金不予退还。</w:t>
      </w:r>
    </w:p>
    <w:p w14:paraId="4EDBA219">
      <w:pPr>
        <w:pStyle w:val="16"/>
        <w:keepNext w:val="0"/>
        <w:keepLines w:val="0"/>
        <w:pageBreakBefore w:val="0"/>
        <w:kinsoku/>
        <w:wordWrap/>
        <w:overflowPunct/>
        <w:topLinePunct w:val="0"/>
        <w:autoSpaceDE/>
        <w:autoSpaceDN/>
        <w:bidi w:val="0"/>
        <w:snapToGrid w:val="0"/>
        <w:spacing w:after="0" w:line="240" w:lineRule="auto"/>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755120B1">
      <w:pPr>
        <w:pStyle w:val="28"/>
        <w:keepNext w:val="0"/>
        <w:keepLines w:val="0"/>
        <w:pageBreakBefore w:val="0"/>
        <w:numPr>
          <w:ilvl w:val="0"/>
          <w:numId w:val="21"/>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72E491BD">
      <w:pPr>
        <w:pStyle w:val="16"/>
        <w:keepNext w:val="0"/>
        <w:keepLines w:val="0"/>
        <w:pageBreakBefore w:val="0"/>
        <w:kinsoku/>
        <w:wordWrap/>
        <w:overflowPunct/>
        <w:topLinePunct w:val="0"/>
        <w:autoSpaceDE/>
        <w:autoSpaceDN/>
        <w:bidi w:val="0"/>
        <w:snapToGrid w:val="0"/>
        <w:spacing w:after="0" w:line="240" w:lineRule="auto"/>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一次性支付：</w:t>
      </w:r>
    </w:p>
    <w:p w14:paraId="7176ACC0">
      <w:pPr>
        <w:pStyle w:val="16"/>
        <w:keepNext w:val="0"/>
        <w:keepLines w:val="0"/>
        <w:pageBreakBefore w:val="0"/>
        <w:kinsoku/>
        <w:wordWrap/>
        <w:overflowPunct/>
        <w:topLinePunct w:val="0"/>
        <w:autoSpaceDE/>
        <w:autoSpaceDN/>
        <w:bidi w:val="0"/>
        <w:snapToGrid w:val="0"/>
        <w:spacing w:after="0" w:line="240" w:lineRule="auto"/>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甲方验收合格后5日内，乙方须向甲方出具</w:t>
      </w:r>
      <w:r>
        <w:rPr>
          <w:rFonts w:hint="eastAsia" w:ascii="宋体" w:hAnsi="宋体" w:eastAsia="宋体" w:cs="宋体"/>
          <w:sz w:val="21"/>
          <w:szCs w:val="21"/>
          <w:lang w:bidi="ar"/>
        </w:rPr>
        <w:t>合法有效票据及其它相关请款资料</w:t>
      </w:r>
      <w:r>
        <w:rPr>
          <w:rFonts w:hint="eastAsia" w:ascii="宋体" w:hAnsi="宋体" w:eastAsia="宋体" w:cs="宋体"/>
          <w:color w:val="000000"/>
          <w:sz w:val="21"/>
          <w:szCs w:val="21"/>
        </w:rPr>
        <w:t>，甲方自收到上述发票及凭证资料后55日内支付合同总价100%的货款给乙方。</w:t>
      </w:r>
    </w:p>
    <w:p w14:paraId="15D097F8">
      <w:pPr>
        <w:pStyle w:val="16"/>
        <w:keepNext w:val="0"/>
        <w:keepLines w:val="0"/>
        <w:pageBreakBefore w:val="0"/>
        <w:kinsoku/>
        <w:wordWrap/>
        <w:overflowPunct/>
        <w:topLinePunct w:val="0"/>
        <w:autoSpaceDE/>
        <w:autoSpaceDN/>
        <w:bidi w:val="0"/>
        <w:snapToGrid w:val="0"/>
        <w:spacing w:after="0" w:line="240" w:lineRule="auto"/>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分阶段支付，支付期限及额度如下：</w:t>
      </w:r>
    </w:p>
    <w:p w14:paraId="0E81D283">
      <w:pPr>
        <w:pStyle w:val="16"/>
        <w:keepNext w:val="0"/>
        <w:keepLines w:val="0"/>
        <w:pageBreakBefore w:val="0"/>
        <w:kinsoku/>
        <w:wordWrap/>
        <w:overflowPunct/>
        <w:topLinePunct w:val="0"/>
        <w:autoSpaceDE/>
        <w:autoSpaceDN/>
        <w:bidi w:val="0"/>
        <w:snapToGrid w:val="0"/>
        <w:spacing w:after="0" w:line="240" w:lineRule="auto"/>
        <w:ind w:left="840" w:leftChars="400" w:firstLine="0" w:firstLineChars="0"/>
        <w:contextualSpacing/>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（1）预付款：本合同生效后***个工作日内，甲方预付项目费用总额的***%，即人民币（大写） *** 圆整（RMB *** 元）。</w:t>
      </w:r>
    </w:p>
    <w:p w14:paraId="49962173">
      <w:pPr>
        <w:pStyle w:val="16"/>
        <w:keepNext w:val="0"/>
        <w:keepLines w:val="0"/>
        <w:pageBreakBefore w:val="0"/>
        <w:kinsoku/>
        <w:wordWrap/>
        <w:overflowPunct/>
        <w:topLinePunct w:val="0"/>
        <w:autoSpaceDE/>
        <w:autoSpaceDN/>
        <w:bidi w:val="0"/>
        <w:snapToGrid w:val="0"/>
        <w:spacing w:after="0" w:line="240" w:lineRule="auto"/>
        <w:ind w:left="840" w:leftChars="400" w:firstLine="0" w:firstLineChars="0"/>
        <w:contextualSpacing/>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（2）进度款，甲方应当按照下列方式支付进度款：</w:t>
      </w:r>
    </w:p>
    <w:p w14:paraId="70FD69B2">
      <w:pPr>
        <w:pStyle w:val="16"/>
        <w:keepNext w:val="0"/>
        <w:keepLines w:val="0"/>
        <w:pageBreakBefore w:val="0"/>
        <w:kinsoku/>
        <w:wordWrap/>
        <w:overflowPunct/>
        <w:topLinePunct w:val="0"/>
        <w:autoSpaceDE/>
        <w:autoSpaceDN/>
        <w:bidi w:val="0"/>
        <w:snapToGrid w:val="0"/>
        <w:spacing w:after="0" w:line="240" w:lineRule="auto"/>
        <w:ind w:left="1260" w:leftChars="600" w:firstLine="0" w:firstLineChars="0"/>
        <w:contextualSpacing/>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乙方按照本合同约定完成阶段性工作后，甲方应于每一阶段性工作成果验收合格之日起***个工作日内，向乙方支付相应的费用。</w:t>
      </w:r>
    </w:p>
    <w:p w14:paraId="2ECDD5A4">
      <w:pPr>
        <w:pStyle w:val="16"/>
        <w:keepNext w:val="0"/>
        <w:keepLines w:val="0"/>
        <w:pageBreakBefore w:val="0"/>
        <w:kinsoku/>
        <w:wordWrap/>
        <w:overflowPunct/>
        <w:topLinePunct w:val="0"/>
        <w:autoSpaceDE/>
        <w:autoSpaceDN/>
        <w:bidi w:val="0"/>
        <w:snapToGrid w:val="0"/>
        <w:spacing w:after="0" w:line="240" w:lineRule="auto"/>
        <w:ind w:left="1260" w:leftChars="600" w:firstLine="0" w:firstLineChars="0"/>
        <w:contextualSpacing/>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乙方完成***，甲方支付项目费用总额的***%，即 人民币（大写）*** 圆整（RMB *** 元）。</w:t>
      </w:r>
    </w:p>
    <w:p w14:paraId="4567E298">
      <w:pPr>
        <w:pStyle w:val="16"/>
        <w:keepNext w:val="0"/>
        <w:keepLines w:val="0"/>
        <w:pageBreakBefore w:val="0"/>
        <w:kinsoku/>
        <w:wordWrap/>
        <w:overflowPunct/>
        <w:topLinePunct w:val="0"/>
        <w:autoSpaceDE/>
        <w:autoSpaceDN/>
        <w:bidi w:val="0"/>
        <w:snapToGrid w:val="0"/>
        <w:spacing w:after="0" w:line="240" w:lineRule="auto"/>
        <w:ind w:left="945" w:leftChars="400" w:hanging="105" w:hangingChars="50"/>
        <w:contextualSpacing/>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（3）结算款：本项目竣工验收合格后***个工作日内，甲方向乙方支付剩余价款人民币（大写）*** 圆整（RMB *** 元）。</w:t>
      </w:r>
    </w:p>
    <w:p w14:paraId="284F12A0">
      <w:pPr>
        <w:pStyle w:val="28"/>
        <w:keepNext w:val="0"/>
        <w:keepLines w:val="0"/>
        <w:pageBreakBefore w:val="0"/>
        <w:numPr>
          <w:ilvl w:val="0"/>
          <w:numId w:val="21"/>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甲方付款前，乙方需出具</w:t>
      </w:r>
      <w:r>
        <w:rPr>
          <w:rFonts w:hint="eastAsia" w:ascii="宋体" w:hAnsi="宋体" w:eastAsia="宋体" w:cs="宋体"/>
          <w:sz w:val="21"/>
          <w:szCs w:val="21"/>
          <w:lang w:bidi="ar"/>
        </w:rPr>
        <w:t>合法有效票据及其它相关请款资料</w:t>
      </w:r>
      <w:r>
        <w:rPr>
          <w:rFonts w:hint="eastAsia" w:ascii="宋体" w:hAnsi="宋体" w:eastAsia="宋体" w:cs="宋体"/>
          <w:sz w:val="21"/>
          <w:szCs w:val="21"/>
        </w:rPr>
        <w:t>，否则甲方有权拒绝支付且不承担任何违约责任，且乙方不得因此停止履约。</w:t>
      </w:r>
    </w:p>
    <w:p w14:paraId="5B752286">
      <w:pPr>
        <w:pStyle w:val="28"/>
        <w:keepNext w:val="0"/>
        <w:keepLines w:val="0"/>
        <w:pageBreakBefore w:val="0"/>
        <w:numPr>
          <w:ilvl w:val="0"/>
          <w:numId w:val="21"/>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乙方开票信息中的货物名称与合同中货物名称应一致。</w:t>
      </w:r>
    </w:p>
    <w:p w14:paraId="386A1932">
      <w:pPr>
        <w:pStyle w:val="28"/>
        <w:keepNext w:val="0"/>
        <w:keepLines w:val="0"/>
        <w:pageBreakBefore w:val="0"/>
        <w:numPr>
          <w:ilvl w:val="0"/>
          <w:numId w:val="21"/>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2707B5EB">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售后服务</w:t>
      </w:r>
    </w:p>
    <w:p w14:paraId="43FE5792">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乙方应对甲方工作人员进行培训：***</w:t>
      </w:r>
      <w:r>
        <w:rPr>
          <w:rFonts w:hint="eastAsia" w:ascii="宋体" w:hAnsi="宋体" w:eastAsia="宋体" w:cs="宋体"/>
          <w:i/>
          <w:iCs/>
          <w:sz w:val="21"/>
          <w:szCs w:val="21"/>
          <w:highlight w:val="yellow"/>
        </w:rPr>
        <w:t>&lt;具体培训内容可根据项目具体情况编制&gt;</w:t>
      </w:r>
      <w:r>
        <w:rPr>
          <w:rFonts w:hint="eastAsia" w:ascii="宋体" w:hAnsi="宋体" w:eastAsia="宋体" w:cs="宋体"/>
          <w:sz w:val="21"/>
          <w:szCs w:val="21"/>
        </w:rPr>
        <w:t>。货物如需安装调试，乙方应在安装调试前和安装调试中对甲方有关人员进行技术培训（操作、机械、电器维修等），提供成套培训资料。并保证甲方受训技术人员熟练掌握操作方法，保证正常运行并能排除一般性故障。乙方应对甲方维修工程师进行全系统维修培训。</w:t>
      </w:r>
    </w:p>
    <w:p w14:paraId="2DC3375A">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质保期为验收合格后 *** 年（合同签订后甲方出具验收报告之日起）</w:t>
      </w:r>
    </w:p>
    <w:p w14:paraId="68C7EBE1">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质保范围：整机含所有部件（质保期内涉及维修,产品更换,人工费用等一切费用包含在本合同总价中）。质保期内出现质量问题，乙方在接到甲方通知后***小时内响应，***小时内到场维修。不涉及零件更换的，***小时内完成维修；涉及零件更换的，***小时内完成维修或者更换，并承担修理及更换的费用。如货物在质保期内因同一故障经乙方两次维修仍不能达到本合同约定的技术要求及国家法律法规规定的质量标准，甲方有权采取要求乙方更换全新货物或退货并追究乙方违约责任等措施。质保期内，如需更换零配件，乙方应保证所更换的零配件与原货物相同规格和品质，费用包括在合同总价中。</w:t>
      </w:r>
    </w:p>
    <w:p w14:paraId="7DAB4CA1">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乙方须指派专人负责与甲方联系售后服务事宜，联系人：***，联系电话：***。</w:t>
      </w:r>
    </w:p>
    <w:p w14:paraId="6335839B">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质保期内，货物因自身故障导致的停机率不应超过5%（一年按365天计算），否则乙方应就超出部分（乙方已提供备用机并保障甲方正常使用的时间，不计算为停机时间）按天数向甲方赔偿经济损失。</w:t>
      </w:r>
    </w:p>
    <w:p w14:paraId="77339EAE">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若货物涉及计算机软件系统的，乙方有义务为甲方此后对货物完全的使用（含维护）提供便利及支持，包括但不限于源代码、密码的提供，乙方不得拒绝或收取额外费用。</w:t>
      </w:r>
    </w:p>
    <w:p w14:paraId="7E7FC10E">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质保期内，如货物因维修无法使用，乙方应根据甲方需要向甲方提供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2A782F25">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售后服务涉及费用均包含在合同总价中。</w:t>
      </w:r>
    </w:p>
    <w:p w14:paraId="3BC3E58F">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质保期外，若出现停机或不能使用等故障，乙方应按维修响应要求提供相应的技术支持提供，如乙方未能按上述约定及时履行维修义务，甲方有权按实际经济损失要求赔偿并追究相应的法律责任。</w:t>
      </w:r>
    </w:p>
    <w:p w14:paraId="3E57E19F">
      <w:pPr>
        <w:pStyle w:val="28"/>
        <w:keepNext w:val="0"/>
        <w:keepLines w:val="0"/>
        <w:pageBreakBefore w:val="0"/>
        <w:numPr>
          <w:ilvl w:val="0"/>
          <w:numId w:val="22"/>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因乙方原因不能够达到上述货物质保及售后服务的约定，按甲方实际无法使用货物的天数自动延长其质保期,甲方有权延后履约保证金的退还时间，并追究乙方因此引发的相应的法律责任。</w:t>
      </w:r>
    </w:p>
    <w:p w14:paraId="4C4222F9">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双方的权利和义务</w:t>
      </w:r>
    </w:p>
    <w:p w14:paraId="1BA5E60D">
      <w:pPr>
        <w:pStyle w:val="28"/>
        <w:keepNext w:val="0"/>
        <w:keepLines w:val="0"/>
        <w:pageBreakBefore w:val="0"/>
        <w:numPr>
          <w:ilvl w:val="0"/>
          <w:numId w:val="23"/>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甲方的权利和义务：</w:t>
      </w:r>
    </w:p>
    <w:p w14:paraId="18A54A4E">
      <w:pPr>
        <w:pStyle w:val="28"/>
        <w:keepNext w:val="0"/>
        <w:keepLines w:val="0"/>
        <w:pageBreakBefore w:val="0"/>
        <w:numPr>
          <w:ilvl w:val="0"/>
          <w:numId w:val="24"/>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甲方有权获得乙方所提供的货物及相关服务。</w:t>
      </w:r>
    </w:p>
    <w:p w14:paraId="6A465075">
      <w:pPr>
        <w:pStyle w:val="28"/>
        <w:keepNext w:val="0"/>
        <w:keepLines w:val="0"/>
        <w:pageBreakBefore w:val="0"/>
        <w:numPr>
          <w:ilvl w:val="0"/>
          <w:numId w:val="24"/>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甲方有权及时了解和监督乙方备货的进展情况。</w:t>
      </w:r>
    </w:p>
    <w:p w14:paraId="387491EE">
      <w:pPr>
        <w:pStyle w:val="28"/>
        <w:keepNext w:val="0"/>
        <w:keepLines w:val="0"/>
        <w:pageBreakBefore w:val="0"/>
        <w:numPr>
          <w:ilvl w:val="0"/>
          <w:numId w:val="24"/>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甲方应向乙方提供完成货物安装、调试等所必需的资料和工作条件。</w:t>
      </w:r>
    </w:p>
    <w:p w14:paraId="7B9D1760">
      <w:pPr>
        <w:pStyle w:val="28"/>
        <w:keepNext w:val="0"/>
        <w:keepLines w:val="0"/>
        <w:pageBreakBefore w:val="0"/>
        <w:numPr>
          <w:ilvl w:val="0"/>
          <w:numId w:val="24"/>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甲方应按照合同约定向乙方支付合同价款。</w:t>
      </w:r>
    </w:p>
    <w:p w14:paraId="03C0B075">
      <w:pPr>
        <w:pStyle w:val="28"/>
        <w:keepNext w:val="0"/>
        <w:keepLines w:val="0"/>
        <w:pageBreakBefore w:val="0"/>
        <w:numPr>
          <w:ilvl w:val="0"/>
          <w:numId w:val="23"/>
        </w:numPr>
        <w:kinsoku/>
        <w:wordWrap/>
        <w:overflowPunct/>
        <w:topLinePunct w:val="0"/>
        <w:autoSpaceDE/>
        <w:autoSpaceDN/>
        <w:bidi w:val="0"/>
        <w:snapToGrid w:val="0"/>
        <w:spacing w:line="240" w:lineRule="auto"/>
        <w:ind w:firstLineChars="0"/>
        <w:textAlignment w:val="auto"/>
        <w:rPr>
          <w:rFonts w:hint="eastAsia" w:ascii="宋体" w:hAnsi="宋体" w:eastAsia="宋体" w:cs="宋体"/>
          <w:sz w:val="21"/>
          <w:szCs w:val="21"/>
        </w:rPr>
      </w:pPr>
      <w:r>
        <w:rPr>
          <w:rFonts w:hint="eastAsia" w:ascii="宋体" w:hAnsi="宋体" w:eastAsia="宋体" w:cs="宋体"/>
          <w:sz w:val="21"/>
          <w:szCs w:val="21"/>
        </w:rPr>
        <w:t>乙方的权利和义务：</w:t>
      </w:r>
    </w:p>
    <w:p w14:paraId="318990A0">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乙方有权按照本合同约定收取合同价款。</w:t>
      </w:r>
    </w:p>
    <w:p w14:paraId="0B5DB5AA">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乙方有权要求甲方提供货物安装、调试所必需的资料和工作条件。</w:t>
      </w:r>
    </w:p>
    <w:p w14:paraId="29F7B295">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乙方应派遣身体健康、有相关工作经验和相应技能的技术人员到甲方现场并提供安装、调试、测试、试运行、维护及培训等技术服务，该技术服务费用包括在本合同总价内。</w:t>
      </w:r>
    </w:p>
    <w:p w14:paraId="6403C76D">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2815C17">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42B15452">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乙方保证其所交付的货物不存在任何权利瑕疵，如任何第三方就乙方交付的货物向甲方提起侵权索赔，乙方应负责与第三方交涉，并承担由此引起的一切法律责任，相关费用由乙方承担。</w:t>
      </w:r>
    </w:p>
    <w:p w14:paraId="62111B72">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58A4EB8E">
      <w:pPr>
        <w:pStyle w:val="28"/>
        <w:keepNext w:val="0"/>
        <w:keepLines w:val="0"/>
        <w:pageBreakBefore w:val="0"/>
        <w:numPr>
          <w:ilvl w:val="0"/>
          <w:numId w:val="25"/>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乙方对依照本合同向甲方提供的货物在安装、调试、使用、维修、保养等过程中所获得的所有数据及甲方商业秘密或其它技术及经营信息均负有保密义务，不得向任何第三方透露或泄露。</w:t>
      </w:r>
    </w:p>
    <w:p w14:paraId="290EDD8C">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违约责任</w:t>
      </w:r>
      <w:r>
        <w:rPr>
          <w:rFonts w:hint="eastAsia" w:ascii="宋体" w:hAnsi="宋体" w:eastAsia="宋体" w:cs="宋体"/>
          <w:i/>
          <w:iCs/>
          <w:sz w:val="21"/>
          <w:szCs w:val="21"/>
          <w:highlight w:val="yellow"/>
        </w:rPr>
        <w:t>&lt;本条款中违约金比例可根据项目实际情况确定&gt;</w:t>
      </w:r>
    </w:p>
    <w:p w14:paraId="1FF82725">
      <w:pPr>
        <w:pStyle w:val="28"/>
        <w:keepNext w:val="0"/>
        <w:keepLines w:val="0"/>
        <w:pageBreakBefore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1.甲方违约责任：甲方无正当理由拒收货物的，甲方应偿付合同总金额的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673DE8C6">
      <w:pPr>
        <w:pStyle w:val="28"/>
        <w:keepNext w:val="0"/>
        <w:keepLines w:val="0"/>
        <w:pageBreakBefore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2.乙方违约责任：</w:t>
      </w:r>
    </w:p>
    <w:p w14:paraId="44E7E928">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乙方拒绝交付货物，或交付的货物经两次验收仍不符合本合同约定的验收标准，甲方有权解除合同，乙方须向甲方支付合同总金额的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%作为违约金，并承担其它相应的经济损失，</w:t>
      </w:r>
      <w:r>
        <w:rPr>
          <w:rFonts w:hint="eastAsia" w:ascii="宋体" w:hAnsi="宋体" w:eastAsia="宋体" w:cs="宋体"/>
          <w:sz w:val="21"/>
          <w:szCs w:val="21"/>
          <w:lang w:val="en-US" w:eastAsia="zh-CN"/>
        </w:rPr>
        <w:t>乙方已缴纳的履约保证金不予退还。</w:t>
      </w:r>
    </w:p>
    <w:p w14:paraId="3CDF7B7E">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质保期内出现质量问题，因同一故障经乙方两次维修仍不能达到合同约定的功能要求和技术指标，甲方有权解除合同并要求退货，乙方按照合同总金额的</w:t>
      </w:r>
      <w:r>
        <w:rPr>
          <w:rFonts w:hint="eastAsia" w:ascii="宋体" w:hAnsi="宋体" w:eastAsia="宋体" w:cs="宋体"/>
          <w:sz w:val="21"/>
          <w:szCs w:val="21"/>
          <w:u w:val="single"/>
        </w:rPr>
        <w:t>10</w:t>
      </w:r>
      <w:r>
        <w:rPr>
          <w:rFonts w:hint="eastAsia" w:ascii="宋体" w:hAnsi="宋体" w:eastAsia="宋体" w:cs="宋体"/>
          <w:sz w:val="21"/>
          <w:szCs w:val="21"/>
        </w:rPr>
        <w:t>%向甲方支付违约金，</w:t>
      </w:r>
      <w:r>
        <w:rPr>
          <w:rFonts w:hint="eastAsia" w:ascii="宋体" w:hAnsi="宋体" w:eastAsia="宋体" w:cs="宋体"/>
          <w:sz w:val="21"/>
          <w:szCs w:val="21"/>
          <w:lang w:val="en-US" w:eastAsia="zh-CN"/>
        </w:rPr>
        <w:t>乙方已缴纳的履约保证金不予退还</w:t>
      </w:r>
      <w:r>
        <w:rPr>
          <w:rFonts w:hint="eastAsia" w:ascii="宋体" w:hAnsi="宋体" w:eastAsia="宋体" w:cs="宋体"/>
          <w:sz w:val="21"/>
          <w:szCs w:val="21"/>
        </w:rPr>
        <w:t>。</w:t>
      </w:r>
    </w:p>
    <w:p w14:paraId="7F1841A4">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因乙方原因逾期交付，每逾期一天，须向甲方支付合同总金额的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‰作为违约金。因乙方原因逾期交货超过</w:t>
      </w:r>
      <w:r>
        <w:rPr>
          <w:rFonts w:hint="eastAsia" w:ascii="宋体" w:hAnsi="宋体" w:eastAsia="宋体" w:cs="宋体"/>
          <w:sz w:val="21"/>
          <w:szCs w:val="21"/>
          <w:u w:val="single"/>
        </w:rPr>
        <w:t>10</w:t>
      </w:r>
      <w:r>
        <w:rPr>
          <w:rFonts w:hint="eastAsia" w:ascii="宋体" w:hAnsi="宋体" w:eastAsia="宋体" w:cs="宋体"/>
          <w:sz w:val="21"/>
          <w:szCs w:val="21"/>
        </w:rPr>
        <w:t>天，甲方有权单方面解除合同，乙方须按合同总金额的</w:t>
      </w:r>
      <w:r>
        <w:rPr>
          <w:rFonts w:hint="eastAsia" w:ascii="宋体" w:hAnsi="宋体" w:eastAsia="宋体" w:cs="宋体"/>
          <w:sz w:val="21"/>
          <w:szCs w:val="21"/>
          <w:u w:val="single"/>
        </w:rPr>
        <w:t>10</w:t>
      </w:r>
      <w:r>
        <w:rPr>
          <w:rFonts w:hint="eastAsia" w:ascii="宋体" w:hAnsi="宋体" w:eastAsia="宋体" w:cs="宋体"/>
          <w:sz w:val="21"/>
          <w:szCs w:val="21"/>
        </w:rPr>
        <w:t>%向甲方支付违约金，</w:t>
      </w:r>
      <w:r>
        <w:rPr>
          <w:rFonts w:hint="eastAsia" w:ascii="宋体" w:hAnsi="宋体" w:eastAsia="宋体" w:cs="宋体"/>
          <w:sz w:val="21"/>
          <w:szCs w:val="21"/>
          <w:lang w:val="en-US" w:eastAsia="zh-CN"/>
        </w:rPr>
        <w:t>乙方已缴纳的履约保证金不予退还。</w:t>
      </w:r>
    </w:p>
    <w:p w14:paraId="19794DCE">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bookmarkStart w:id="96" w:name="OLE_LINK17"/>
      <w:bookmarkStart w:id="97" w:name="OLE_LINK18"/>
      <w:r>
        <w:rPr>
          <w:rFonts w:hint="eastAsia" w:ascii="宋体" w:hAnsi="宋体" w:eastAsia="宋体" w:cs="宋体"/>
          <w:sz w:val="21"/>
          <w:szCs w:val="21"/>
        </w:rPr>
        <w:t>乙方未按合同约定及时履行培训及维护义务时，每发生一次，乙方应按合同总金额的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‰向甲方支付违约金，乙方支付违约金的同时，仍有义务对甲方进行培训及对货物进行维护。</w:t>
      </w:r>
    </w:p>
    <w:p w14:paraId="7C8888D9">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96"/>
    <w:bookmarkEnd w:id="97"/>
    <w:p w14:paraId="68D001C9">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727473DA">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乙方交付货物因质量问题导致甲方及第三方人身、财产损失的，乙方承担由此造成的全部法律责任，</w:t>
      </w:r>
      <w:r>
        <w:rPr>
          <w:rFonts w:hint="eastAsia" w:ascii="宋体" w:hAnsi="宋体" w:eastAsia="宋体" w:cs="宋体"/>
          <w:sz w:val="21"/>
          <w:szCs w:val="21"/>
          <w:lang w:val="en-US" w:eastAsia="zh-CN"/>
        </w:rPr>
        <w:t>乙方已缴纳的履约保证金不予退还</w:t>
      </w:r>
      <w:r>
        <w:rPr>
          <w:rFonts w:hint="eastAsia" w:ascii="宋体" w:hAnsi="宋体" w:eastAsia="宋体" w:cs="宋体"/>
          <w:sz w:val="21"/>
          <w:szCs w:val="21"/>
        </w:rPr>
        <w:t>。</w:t>
      </w:r>
    </w:p>
    <w:p w14:paraId="2A59FAD2">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4F26CA55">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乙方在安装、调试及售后服务过程中，因未按规程操作、未采取必要的安全防范措施等原因直接或间接造成甲方及第三方人身、财产损失的，由乙方承担由此造成的全部法律责任，</w:t>
      </w:r>
      <w:r>
        <w:rPr>
          <w:rFonts w:hint="eastAsia" w:ascii="宋体" w:hAnsi="宋体" w:eastAsia="宋体" w:cs="宋体"/>
          <w:sz w:val="21"/>
          <w:szCs w:val="21"/>
          <w:lang w:val="en-US" w:eastAsia="zh-CN"/>
        </w:rPr>
        <w:t>乙方已缴纳的履约保证金不予退还</w:t>
      </w:r>
      <w:r>
        <w:rPr>
          <w:rFonts w:hint="eastAsia" w:ascii="宋体" w:hAnsi="宋体" w:eastAsia="宋体" w:cs="宋体"/>
          <w:sz w:val="21"/>
          <w:szCs w:val="21"/>
        </w:rPr>
        <w:t>。</w:t>
      </w:r>
    </w:p>
    <w:p w14:paraId="7C38D213">
      <w:pPr>
        <w:pStyle w:val="28"/>
        <w:keepNext w:val="0"/>
        <w:keepLines w:val="0"/>
        <w:pageBreakBefore w:val="0"/>
        <w:numPr>
          <w:ilvl w:val="0"/>
          <w:numId w:val="26"/>
        </w:numPr>
        <w:kinsoku/>
        <w:wordWrap/>
        <w:overflowPunct/>
        <w:topLinePunct w:val="0"/>
        <w:autoSpaceDE/>
        <w:autoSpaceDN/>
        <w:bidi w:val="0"/>
        <w:snapToGrid w:val="0"/>
        <w:spacing w:line="240" w:lineRule="auto"/>
        <w:ind w:left="525" w:hanging="525" w:hangingChars="250"/>
        <w:textAlignment w:val="auto"/>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08EB43D">
      <w:pPr>
        <w:pStyle w:val="28"/>
        <w:keepNext w:val="0"/>
        <w:keepLines w:val="0"/>
        <w:pageBreakBefore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0F4C0B59">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不可抗力</w:t>
      </w:r>
    </w:p>
    <w:p w14:paraId="32F30046">
      <w:pPr>
        <w:pStyle w:val="28"/>
        <w:keepNext w:val="0"/>
        <w:keepLines w:val="0"/>
        <w:pageBreakBefore w:val="0"/>
        <w:kinsoku/>
        <w:wordWrap/>
        <w:overflowPunct/>
        <w:topLinePunct w:val="0"/>
        <w:autoSpaceDE/>
        <w:autoSpaceDN/>
        <w:bidi w:val="0"/>
        <w:snapToGrid w:val="0"/>
        <w:spacing w:line="240" w:lineRule="auto"/>
        <w:textAlignment w:val="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48E9F1A4">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争议解决办法</w:t>
      </w:r>
    </w:p>
    <w:p w14:paraId="06C23486">
      <w:pPr>
        <w:pStyle w:val="28"/>
        <w:keepNext w:val="0"/>
        <w:keepLines w:val="0"/>
        <w:pageBreakBefore w:val="0"/>
        <w:numPr>
          <w:ilvl w:val="0"/>
          <w:numId w:val="27"/>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因货物的质量问题发生争议，由质量技术监督部门或其指定的质量鉴定机构进行质量鉴定。货物符合标准的，鉴定费由甲方承担；货物不符合质量标准的，鉴定费由乙方承担。</w:t>
      </w:r>
    </w:p>
    <w:p w14:paraId="4B988573">
      <w:pPr>
        <w:pStyle w:val="28"/>
        <w:keepNext w:val="0"/>
        <w:keepLines w:val="0"/>
        <w:pageBreakBefore w:val="0"/>
        <w:numPr>
          <w:ilvl w:val="0"/>
          <w:numId w:val="27"/>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5E2121B2">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送达（送达地址是司法机关、执法机关和仲裁机关将法律文书送达给当事人的收件地址）</w:t>
      </w:r>
    </w:p>
    <w:p w14:paraId="0EBC265C">
      <w:pPr>
        <w:pStyle w:val="33"/>
        <w:keepNext w:val="0"/>
        <w:keepLines w:val="0"/>
        <w:pageBreakBefore w:val="0"/>
        <w:numPr>
          <w:ilvl w:val="0"/>
          <w:numId w:val="28"/>
        </w:numPr>
        <w:kinsoku/>
        <w:wordWrap/>
        <w:overflowPunct/>
        <w:topLinePunct w:val="0"/>
        <w:autoSpaceDE/>
        <w:autoSpaceDN/>
        <w:bidi w:val="0"/>
        <w:snapToGrid w:val="0"/>
        <w:spacing w:line="240" w:lineRule="auto"/>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0AAC633C">
      <w:pPr>
        <w:pStyle w:val="33"/>
        <w:keepNext w:val="0"/>
        <w:keepLines w:val="0"/>
        <w:pageBreakBefore w:val="0"/>
        <w:numPr>
          <w:ilvl w:val="0"/>
          <w:numId w:val="28"/>
        </w:numPr>
        <w:kinsoku/>
        <w:wordWrap/>
        <w:overflowPunct/>
        <w:topLinePunct w:val="0"/>
        <w:autoSpaceDE/>
        <w:autoSpaceDN/>
        <w:bidi w:val="0"/>
        <w:snapToGrid w:val="0"/>
        <w:spacing w:line="240" w:lineRule="auto"/>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557BB36C">
      <w:pPr>
        <w:pStyle w:val="33"/>
        <w:keepNext w:val="0"/>
        <w:keepLines w:val="0"/>
        <w:pageBreakBefore w:val="0"/>
        <w:numPr>
          <w:ilvl w:val="0"/>
          <w:numId w:val="28"/>
        </w:numPr>
        <w:kinsoku/>
        <w:wordWrap/>
        <w:overflowPunct/>
        <w:topLinePunct w:val="0"/>
        <w:autoSpaceDE/>
        <w:autoSpaceDN/>
        <w:bidi w:val="0"/>
        <w:snapToGrid w:val="0"/>
        <w:spacing w:line="240" w:lineRule="auto"/>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19353070">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其他</w:t>
      </w:r>
    </w:p>
    <w:p w14:paraId="57B92DB3">
      <w:pPr>
        <w:pStyle w:val="28"/>
        <w:keepNext w:val="0"/>
        <w:keepLines w:val="0"/>
        <w:pageBreakBefore w:val="0"/>
        <w:numPr>
          <w:ilvl w:val="0"/>
          <w:numId w:val="29"/>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2E67DD81">
      <w:pPr>
        <w:pStyle w:val="28"/>
        <w:keepNext w:val="0"/>
        <w:keepLines w:val="0"/>
        <w:pageBreakBefore w:val="0"/>
        <w:numPr>
          <w:ilvl w:val="0"/>
          <w:numId w:val="29"/>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本合同一式</w:t>
      </w:r>
      <w:r>
        <w:rPr>
          <w:rFonts w:hint="eastAsia" w:ascii="宋体" w:hAnsi="宋体" w:eastAsia="宋体" w:cs="宋体"/>
          <w:sz w:val="21"/>
          <w:szCs w:val="21"/>
          <w:lang w:val="en-US" w:eastAsia="zh-CN"/>
        </w:rPr>
        <w:t>五</w:t>
      </w:r>
      <w:r>
        <w:rPr>
          <w:rFonts w:hint="eastAsia" w:ascii="宋体" w:hAnsi="宋体" w:eastAsia="宋体" w:cs="宋体"/>
          <w:sz w:val="21"/>
          <w:szCs w:val="21"/>
        </w:rPr>
        <w:t>份，自双方签字且盖章之日起生效。甲方</w:t>
      </w:r>
      <w:r>
        <w:rPr>
          <w:rFonts w:hint="eastAsia" w:ascii="宋体" w:hAnsi="宋体" w:eastAsia="宋体" w:cs="宋体"/>
          <w:sz w:val="21"/>
          <w:szCs w:val="21"/>
          <w:lang w:val="en-US" w:eastAsia="zh-CN"/>
        </w:rPr>
        <w:t>四</w:t>
      </w:r>
      <w:r>
        <w:rPr>
          <w:rFonts w:hint="eastAsia" w:ascii="宋体" w:hAnsi="宋体" w:eastAsia="宋体" w:cs="宋体"/>
          <w:sz w:val="21"/>
          <w:szCs w:val="21"/>
        </w:rPr>
        <w:t>份，乙方一份。</w:t>
      </w:r>
    </w:p>
    <w:p w14:paraId="74B1ED68">
      <w:pPr>
        <w:pStyle w:val="28"/>
        <w:keepNext w:val="0"/>
        <w:keepLines w:val="0"/>
        <w:pageBreakBefore w:val="0"/>
        <w:numPr>
          <w:ilvl w:val="0"/>
          <w:numId w:val="12"/>
        </w:numPr>
        <w:kinsoku/>
        <w:wordWrap/>
        <w:overflowPunct/>
        <w:topLinePunct w:val="0"/>
        <w:autoSpaceDE/>
        <w:autoSpaceDN/>
        <w:bidi w:val="0"/>
        <w:snapToGrid w:val="0"/>
        <w:spacing w:line="240" w:lineRule="auto"/>
        <w:ind w:left="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合同附件</w:t>
      </w:r>
    </w:p>
    <w:p w14:paraId="4286E5DA">
      <w:pPr>
        <w:keepNext w:val="0"/>
        <w:keepLines w:val="0"/>
        <w:pageBreakBefore w:val="0"/>
        <w:kinsoku/>
        <w:wordWrap/>
        <w:overflowPunct/>
        <w:topLinePunct w:val="0"/>
        <w:autoSpaceDE/>
        <w:autoSpaceDN/>
        <w:bidi w:val="0"/>
        <w:snapToGrid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附件1：配置清单</w:t>
      </w:r>
    </w:p>
    <w:p w14:paraId="1CABD0F6">
      <w:pPr>
        <w:keepNext w:val="0"/>
        <w:keepLines w:val="0"/>
        <w:pageBreakBefore w:val="0"/>
        <w:kinsoku/>
        <w:wordWrap/>
        <w:overflowPunct/>
        <w:topLinePunct w:val="0"/>
        <w:autoSpaceDE/>
        <w:autoSpaceDN/>
        <w:bidi w:val="0"/>
        <w:snapToGrid w:val="0"/>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附件2：货物技术参数</w:t>
      </w:r>
    </w:p>
    <w:p w14:paraId="6E16AC98">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49"/>
      </w:tblGrid>
      <w:tr w14:paraId="3B829D0C">
        <w:tblPrEx>
          <w:tblCellMar>
            <w:top w:w="0" w:type="dxa"/>
            <w:left w:w="0" w:type="dxa"/>
            <w:bottom w:w="0" w:type="dxa"/>
            <w:right w:w="0" w:type="dxa"/>
          </w:tblCellMar>
        </w:tblPrEx>
        <w:trPr>
          <w:trHeight w:val="519" w:hRule="atLeast"/>
          <w:jc w:val="center"/>
        </w:trPr>
        <w:tc>
          <w:tcPr>
            <w:tcW w:w="10214" w:type="dxa"/>
            <w:gridSpan w:val="2"/>
            <w:noWrap w:val="0"/>
            <w:vAlign w:val="top"/>
          </w:tcPr>
          <w:p w14:paraId="7F5459F6">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签订时间：202*年</w:t>
            </w:r>
            <w:permStart w:id="29" w:edGrp="everyone"/>
            <w:r>
              <w:rPr>
                <w:rFonts w:hint="eastAsia" w:ascii="宋体" w:hAnsi="宋体" w:eastAsia="宋体" w:cs="宋体"/>
                <w:sz w:val="21"/>
                <w:szCs w:val="21"/>
              </w:rPr>
              <w:t>***</w:t>
            </w:r>
            <w:permEnd w:id="29"/>
            <w:r>
              <w:rPr>
                <w:rFonts w:hint="eastAsia" w:ascii="宋体" w:hAnsi="宋体" w:eastAsia="宋体" w:cs="宋体"/>
                <w:sz w:val="21"/>
                <w:szCs w:val="21"/>
              </w:rPr>
              <w:t>月</w:t>
            </w:r>
            <w:permStart w:id="30" w:edGrp="everyone"/>
            <w:r>
              <w:rPr>
                <w:rFonts w:hint="eastAsia" w:ascii="宋体" w:hAnsi="宋体" w:eastAsia="宋体" w:cs="宋体"/>
                <w:sz w:val="21"/>
                <w:szCs w:val="21"/>
              </w:rPr>
              <w:t>***日</w:t>
            </w:r>
            <w:permEnd w:id="30"/>
          </w:p>
        </w:tc>
      </w:tr>
      <w:tr w14:paraId="51C7BACC">
        <w:tblPrEx>
          <w:tblCellMar>
            <w:top w:w="0" w:type="dxa"/>
            <w:left w:w="0" w:type="dxa"/>
            <w:bottom w:w="0" w:type="dxa"/>
            <w:right w:w="0" w:type="dxa"/>
          </w:tblCellMar>
        </w:tblPrEx>
        <w:trPr>
          <w:jc w:val="center"/>
        </w:trPr>
        <w:tc>
          <w:tcPr>
            <w:tcW w:w="4967" w:type="dxa"/>
            <w:noWrap w:val="0"/>
            <w:vAlign w:val="top"/>
          </w:tcPr>
          <w:p w14:paraId="1106D546">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1A0CAF23">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4F24DC4">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68A8D66A">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38D5D4F8">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noWrap w:val="0"/>
            <w:vAlign w:val="top"/>
          </w:tcPr>
          <w:p w14:paraId="0C935C46">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乙方：</w:t>
            </w:r>
            <w:permStart w:id="31" w:edGrp="everyone"/>
            <w:r>
              <w:rPr>
                <w:rFonts w:hint="eastAsia" w:ascii="宋体" w:hAnsi="宋体" w:eastAsia="宋体" w:cs="宋体"/>
                <w:sz w:val="21"/>
                <w:szCs w:val="21"/>
              </w:rPr>
              <w:t>***</w:t>
            </w:r>
            <w:permEnd w:id="31"/>
            <w:r>
              <w:rPr>
                <w:rFonts w:hint="eastAsia" w:ascii="宋体" w:hAnsi="宋体" w:eastAsia="宋体" w:cs="宋体"/>
                <w:sz w:val="21"/>
                <w:szCs w:val="21"/>
              </w:rPr>
              <w:t>（盖章）</w:t>
            </w:r>
          </w:p>
          <w:p w14:paraId="0AD4A7CB">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EB53F7F">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地址：</w:t>
            </w:r>
            <w:permStart w:id="32" w:edGrp="everyone"/>
            <w:r>
              <w:rPr>
                <w:rFonts w:hint="eastAsia" w:ascii="宋体" w:hAnsi="宋体" w:eastAsia="宋体" w:cs="宋体"/>
                <w:sz w:val="21"/>
                <w:szCs w:val="21"/>
              </w:rPr>
              <w:t>***</w:t>
            </w:r>
            <w:permEnd w:id="32"/>
          </w:p>
          <w:p w14:paraId="2824602F">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开户银行：</w:t>
            </w:r>
            <w:permStart w:id="33" w:edGrp="everyone"/>
            <w:r>
              <w:rPr>
                <w:rFonts w:hint="eastAsia" w:ascii="宋体" w:hAnsi="宋体" w:eastAsia="宋体" w:cs="宋体"/>
                <w:sz w:val="21"/>
                <w:szCs w:val="21"/>
              </w:rPr>
              <w:t>***</w:t>
            </w:r>
          </w:p>
          <w:permEnd w:id="33"/>
          <w:p w14:paraId="2618A56D">
            <w:pPr>
              <w:keepNext w:val="0"/>
              <w:keepLines w:val="0"/>
              <w:pageBreakBefore w:val="0"/>
              <w:widowControl/>
              <w:kinsoku/>
              <w:wordWrap/>
              <w:overflowPunct/>
              <w:topLinePunct w:val="0"/>
              <w:autoSpaceDE/>
              <w:autoSpaceDN/>
              <w:bidi w:val="0"/>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账号：</w:t>
            </w:r>
            <w:permStart w:id="34" w:edGrp="everyone"/>
            <w:r>
              <w:rPr>
                <w:rFonts w:hint="eastAsia" w:ascii="宋体" w:hAnsi="宋体" w:eastAsia="宋体" w:cs="宋体"/>
                <w:sz w:val="21"/>
                <w:szCs w:val="21"/>
              </w:rPr>
              <w:t>***</w:t>
            </w:r>
            <w:permEnd w:id="34"/>
          </w:p>
        </w:tc>
      </w:tr>
    </w:tbl>
    <w:p w14:paraId="6D70CAC5">
      <w:pPr>
        <w:rPr>
          <w:rFonts w:ascii="Times New Roman" w:hAnsi="Times New Roman"/>
          <w:b/>
          <w:bCs/>
          <w:szCs w:val="21"/>
        </w:rPr>
      </w:pPr>
      <w:r>
        <w:rPr>
          <w:rFonts w:ascii="Times New Roman" w:hAnsi="Times New Roman"/>
          <w:b/>
          <w:bCs/>
          <w:szCs w:val="21"/>
        </w:rPr>
        <w:br w:type="page"/>
      </w:r>
    </w:p>
    <w:p w14:paraId="45457EF2">
      <w:pPr>
        <w:widowControl/>
        <w:jc w:val="left"/>
        <w:rPr>
          <w:rFonts w:ascii="Times New Roman" w:hAnsi="Times New Roman"/>
          <w:b/>
          <w:bCs/>
          <w:szCs w:val="21"/>
        </w:rPr>
      </w:pPr>
      <w:r>
        <w:rPr>
          <w:rFonts w:ascii="Times New Roman" w:hAnsi="Times New Roman"/>
          <w:b/>
          <w:bCs/>
          <w:szCs w:val="21"/>
        </w:rPr>
        <w:t>附件1：配置清单</w:t>
      </w:r>
    </w:p>
    <w:p w14:paraId="4352C965">
      <w:pPr>
        <w:pStyle w:val="2"/>
        <w:rPr>
          <w:rFonts w:hint="eastAsia"/>
        </w:rPr>
      </w:pPr>
    </w:p>
    <w:p w14:paraId="09B3FD3D">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56B43BD3">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6E22AA5D">
      <w:pPr>
        <w:rPr>
          <w:rFonts w:ascii="Times New Roman" w:hAnsi="Times New Roman"/>
          <w:szCs w:val="21"/>
        </w:rPr>
      </w:pPr>
      <w:r>
        <w:rPr>
          <w:rFonts w:ascii="Times New Roman" w:hAnsi="Times New Roman"/>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2845"/>
        <w:gridCol w:w="2415"/>
        <w:gridCol w:w="1446"/>
        <w:gridCol w:w="1305"/>
        <w:gridCol w:w="1022"/>
      </w:tblGrid>
      <w:tr w14:paraId="6B72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A8494FB">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2168F985">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646C76E8">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2805E735">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1FE53EA">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7797F76B">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3C7B1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0FEB8B90">
            <w:pPr>
              <w:pStyle w:val="2"/>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48CE6255">
            <w:pPr>
              <w:pStyle w:val="2"/>
              <w:spacing w:after="0"/>
              <w:contextualSpacing/>
              <w:rPr>
                <w:rFonts w:ascii="Times New Roman" w:hAnsi="Times New Roman"/>
                <w:b/>
                <w:bCs/>
                <w:szCs w:val="21"/>
              </w:rPr>
            </w:pPr>
          </w:p>
        </w:tc>
        <w:tc>
          <w:tcPr>
            <w:tcW w:w="2609" w:type="dxa"/>
            <w:noWrap w:val="0"/>
            <w:vAlign w:val="center"/>
          </w:tcPr>
          <w:p w14:paraId="09C1B950">
            <w:pPr>
              <w:pStyle w:val="2"/>
              <w:spacing w:after="0"/>
              <w:contextualSpacing/>
              <w:rPr>
                <w:rFonts w:ascii="Times New Roman" w:hAnsi="Times New Roman"/>
                <w:b/>
                <w:bCs/>
                <w:szCs w:val="21"/>
              </w:rPr>
            </w:pPr>
          </w:p>
        </w:tc>
        <w:tc>
          <w:tcPr>
            <w:tcW w:w="1562" w:type="dxa"/>
            <w:noWrap w:val="0"/>
            <w:vAlign w:val="center"/>
          </w:tcPr>
          <w:p w14:paraId="70F3AFBA">
            <w:pPr>
              <w:pStyle w:val="2"/>
              <w:spacing w:after="0"/>
              <w:contextualSpacing/>
              <w:rPr>
                <w:rFonts w:ascii="Times New Roman" w:hAnsi="Times New Roman"/>
                <w:b/>
                <w:bCs/>
                <w:szCs w:val="21"/>
              </w:rPr>
            </w:pPr>
          </w:p>
        </w:tc>
        <w:tc>
          <w:tcPr>
            <w:tcW w:w="1410" w:type="dxa"/>
            <w:noWrap w:val="0"/>
            <w:vAlign w:val="center"/>
          </w:tcPr>
          <w:p w14:paraId="1C1A3EB2">
            <w:pPr>
              <w:pStyle w:val="2"/>
              <w:spacing w:after="0"/>
              <w:contextualSpacing/>
              <w:rPr>
                <w:rFonts w:ascii="Times New Roman" w:hAnsi="Times New Roman"/>
                <w:b/>
                <w:bCs/>
                <w:szCs w:val="21"/>
              </w:rPr>
            </w:pPr>
          </w:p>
        </w:tc>
        <w:tc>
          <w:tcPr>
            <w:tcW w:w="1104" w:type="dxa"/>
            <w:noWrap w:val="0"/>
            <w:vAlign w:val="center"/>
          </w:tcPr>
          <w:p w14:paraId="2FF79220">
            <w:pPr>
              <w:contextualSpacing/>
              <w:rPr>
                <w:rFonts w:ascii="Times New Roman" w:hAnsi="Times New Roman"/>
                <w:b/>
                <w:bCs/>
                <w:szCs w:val="21"/>
              </w:rPr>
            </w:pPr>
          </w:p>
        </w:tc>
      </w:tr>
      <w:permEnd w:id="36"/>
      <w:permEnd w:id="37"/>
      <w:permEnd w:id="38"/>
      <w:permEnd w:id="39"/>
      <w:permEnd w:id="40"/>
      <w:permEnd w:id="41"/>
      <w:tr w14:paraId="09B8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0E185746">
            <w:pPr>
              <w:pStyle w:val="2"/>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023DF1DD">
            <w:pPr>
              <w:pStyle w:val="2"/>
              <w:spacing w:after="0"/>
              <w:contextualSpacing/>
              <w:rPr>
                <w:rFonts w:ascii="Times New Roman" w:hAnsi="Times New Roman"/>
                <w:b/>
                <w:bCs/>
                <w:szCs w:val="21"/>
              </w:rPr>
            </w:pPr>
          </w:p>
        </w:tc>
        <w:tc>
          <w:tcPr>
            <w:tcW w:w="2609" w:type="dxa"/>
            <w:noWrap w:val="0"/>
            <w:vAlign w:val="center"/>
          </w:tcPr>
          <w:p w14:paraId="2E955DB5">
            <w:pPr>
              <w:pStyle w:val="2"/>
              <w:spacing w:after="0"/>
              <w:contextualSpacing/>
              <w:rPr>
                <w:rFonts w:ascii="Times New Roman" w:hAnsi="Times New Roman"/>
                <w:b/>
                <w:bCs/>
                <w:szCs w:val="21"/>
              </w:rPr>
            </w:pPr>
          </w:p>
        </w:tc>
        <w:tc>
          <w:tcPr>
            <w:tcW w:w="1562" w:type="dxa"/>
            <w:noWrap w:val="0"/>
            <w:vAlign w:val="center"/>
          </w:tcPr>
          <w:p w14:paraId="099D7F58">
            <w:pPr>
              <w:contextualSpacing/>
              <w:rPr>
                <w:rFonts w:ascii="Times New Roman" w:hAnsi="Times New Roman"/>
                <w:b/>
                <w:bCs/>
                <w:szCs w:val="21"/>
              </w:rPr>
            </w:pPr>
          </w:p>
        </w:tc>
        <w:tc>
          <w:tcPr>
            <w:tcW w:w="1410" w:type="dxa"/>
            <w:noWrap w:val="0"/>
            <w:vAlign w:val="center"/>
          </w:tcPr>
          <w:p w14:paraId="20C4ACC7">
            <w:pPr>
              <w:contextualSpacing/>
              <w:rPr>
                <w:rFonts w:ascii="Times New Roman" w:hAnsi="Times New Roman"/>
                <w:b/>
                <w:bCs/>
                <w:szCs w:val="21"/>
              </w:rPr>
            </w:pPr>
          </w:p>
        </w:tc>
        <w:tc>
          <w:tcPr>
            <w:tcW w:w="1104" w:type="dxa"/>
            <w:noWrap w:val="0"/>
            <w:vAlign w:val="center"/>
          </w:tcPr>
          <w:p w14:paraId="6B424CF7">
            <w:pPr>
              <w:contextualSpacing/>
              <w:rPr>
                <w:rFonts w:ascii="Times New Roman" w:hAnsi="Times New Roman"/>
                <w:b/>
                <w:bCs/>
                <w:szCs w:val="21"/>
              </w:rPr>
            </w:pPr>
          </w:p>
        </w:tc>
      </w:tr>
      <w:permEnd w:id="42"/>
      <w:permEnd w:id="43"/>
      <w:permEnd w:id="44"/>
      <w:permEnd w:id="45"/>
      <w:permEnd w:id="46"/>
      <w:permEnd w:id="47"/>
      <w:tr w14:paraId="27A9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DDF9999">
            <w:pPr>
              <w:pStyle w:val="2"/>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0A60645B">
            <w:pPr>
              <w:pStyle w:val="2"/>
              <w:spacing w:after="0"/>
              <w:contextualSpacing/>
              <w:rPr>
                <w:rFonts w:ascii="Times New Roman" w:hAnsi="Times New Roman"/>
                <w:b/>
                <w:bCs/>
                <w:szCs w:val="21"/>
              </w:rPr>
            </w:pPr>
          </w:p>
        </w:tc>
        <w:tc>
          <w:tcPr>
            <w:tcW w:w="2609" w:type="dxa"/>
            <w:noWrap w:val="0"/>
            <w:vAlign w:val="center"/>
          </w:tcPr>
          <w:p w14:paraId="7282EDCA">
            <w:pPr>
              <w:pStyle w:val="2"/>
              <w:spacing w:after="0"/>
              <w:contextualSpacing/>
              <w:rPr>
                <w:rFonts w:ascii="Times New Roman" w:hAnsi="Times New Roman"/>
                <w:b/>
                <w:bCs/>
                <w:szCs w:val="21"/>
              </w:rPr>
            </w:pPr>
          </w:p>
        </w:tc>
        <w:tc>
          <w:tcPr>
            <w:tcW w:w="1562" w:type="dxa"/>
            <w:noWrap w:val="0"/>
            <w:vAlign w:val="center"/>
          </w:tcPr>
          <w:p w14:paraId="170E3431">
            <w:pPr>
              <w:contextualSpacing/>
              <w:rPr>
                <w:rFonts w:ascii="Times New Roman" w:hAnsi="Times New Roman"/>
                <w:b/>
                <w:bCs/>
                <w:szCs w:val="21"/>
              </w:rPr>
            </w:pPr>
          </w:p>
        </w:tc>
        <w:tc>
          <w:tcPr>
            <w:tcW w:w="1410" w:type="dxa"/>
            <w:noWrap w:val="0"/>
            <w:vAlign w:val="center"/>
          </w:tcPr>
          <w:p w14:paraId="1DF3E320">
            <w:pPr>
              <w:contextualSpacing/>
              <w:rPr>
                <w:rFonts w:ascii="Times New Roman" w:hAnsi="Times New Roman"/>
                <w:b/>
                <w:bCs/>
                <w:szCs w:val="21"/>
              </w:rPr>
            </w:pPr>
          </w:p>
        </w:tc>
        <w:tc>
          <w:tcPr>
            <w:tcW w:w="1104" w:type="dxa"/>
            <w:noWrap w:val="0"/>
            <w:vAlign w:val="center"/>
          </w:tcPr>
          <w:p w14:paraId="1F3DFDF7">
            <w:pPr>
              <w:contextualSpacing/>
              <w:rPr>
                <w:rFonts w:ascii="Times New Roman" w:hAnsi="Times New Roman"/>
                <w:b/>
                <w:bCs/>
                <w:szCs w:val="21"/>
              </w:rPr>
            </w:pPr>
          </w:p>
        </w:tc>
      </w:tr>
      <w:permEnd w:id="48"/>
      <w:permEnd w:id="49"/>
      <w:permEnd w:id="50"/>
      <w:permEnd w:id="51"/>
      <w:permEnd w:id="52"/>
      <w:permEnd w:id="53"/>
    </w:tbl>
    <w:p w14:paraId="64E3EDD8">
      <w:pPr>
        <w:rPr>
          <w:rFonts w:ascii="Times New Roman" w:hAnsi="Times New Roman"/>
          <w:b/>
          <w:bCs/>
        </w:rPr>
      </w:pPr>
      <w:r>
        <w:rPr>
          <w:rFonts w:ascii="Times New Roman" w:hAnsi="Times New Roman"/>
          <w:b/>
          <w:bCs/>
        </w:rPr>
        <w:br w:type="page"/>
      </w:r>
    </w:p>
    <w:p w14:paraId="423A1F1C">
      <w:pPr>
        <w:pStyle w:val="2"/>
        <w:rPr>
          <w:rFonts w:ascii="Times New Roman" w:hAnsi="Times New Roman"/>
          <w:b/>
          <w:bCs/>
        </w:rPr>
      </w:pPr>
      <w:r>
        <w:rPr>
          <w:rFonts w:ascii="Times New Roman" w:hAnsi="Times New Roman"/>
          <w:b/>
          <w:bCs/>
        </w:rPr>
        <w:t>附件2：货物技术参数</w:t>
      </w:r>
    </w:p>
    <w:p w14:paraId="6734F5C7">
      <w:pPr>
        <w:pStyle w:val="2"/>
        <w:rPr>
          <w:rFonts w:ascii="Times New Roman" w:hAnsi="Times New Roman"/>
        </w:rPr>
      </w:pPr>
    </w:p>
    <w:p w14:paraId="63BAFC34">
      <w:pPr>
        <w:pStyle w:val="16"/>
        <w:ind w:firstLine="0" w:firstLineChars="0"/>
        <w:rPr>
          <w:rFonts w:hint="eastAsia"/>
        </w:rPr>
      </w:pPr>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9B8AE0E-5102-4B67-AA8F-703B5AD1054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B655339-2689-4B75-BB60-D98B0B87EB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0C87FB7-FF88-4483-B9F2-31F246710585}"/>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0CDDB01-D316-41DE-96F2-E16B39614F92}"/>
  </w:font>
  <w:font w:name="Segoe UI Symbol">
    <w:panose1 w:val="020B0502040204020203"/>
    <w:charset w:val="00"/>
    <w:family w:val="swiss"/>
    <w:pitch w:val="default"/>
    <w:sig w:usb0="800001E3" w:usb1="1200FFEF" w:usb2="00040000" w:usb3="04000000" w:csb0="00000001" w:csb1="40000000"/>
    <w:embedRegular r:id="rId5" w:fontKey="{A408CA82-D3B9-4134-94A8-6CE894AA84EC}"/>
  </w:font>
  <w:font w:name="Wingdings 2">
    <w:altName w:val="Wingdings"/>
    <w:panose1 w:val="05020102010507070707"/>
    <w:charset w:val="4D"/>
    <w:family w:val="decorative"/>
    <w:pitch w:val="default"/>
    <w:sig w:usb0="00000000" w:usb1="00000000" w:usb2="00000000" w:usb3="00000000" w:csb0="80000000" w:csb1="00000000"/>
    <w:embedRegular r:id="rId6" w:fontKey="{ED82239D-B1C1-4482-831C-D6C050D31BC5}"/>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BB62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BBB62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DD96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8">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7"/>
  </w:num>
  <w:num w:numId="4">
    <w:abstractNumId w:val="27"/>
  </w:num>
  <w:num w:numId="5">
    <w:abstractNumId w:val="11"/>
  </w:num>
  <w:num w:numId="6">
    <w:abstractNumId w:val="22"/>
  </w:num>
  <w:num w:numId="7">
    <w:abstractNumId w:val="16"/>
  </w:num>
  <w:num w:numId="8">
    <w:abstractNumId w:val="2"/>
  </w:num>
  <w:num w:numId="9">
    <w:abstractNumId w:val="1"/>
  </w:num>
  <w:num w:numId="10">
    <w:abstractNumId w:val="0"/>
  </w:num>
  <w:num w:numId="11">
    <w:abstractNumId w:val="4"/>
  </w:num>
  <w:num w:numId="12">
    <w:abstractNumId w:val="7"/>
  </w:num>
  <w:num w:numId="13">
    <w:abstractNumId w:val="24"/>
  </w:num>
  <w:num w:numId="14">
    <w:abstractNumId w:val="5"/>
  </w:num>
  <w:num w:numId="15">
    <w:abstractNumId w:val="28"/>
  </w:num>
  <w:num w:numId="16">
    <w:abstractNumId w:val="26"/>
  </w:num>
  <w:num w:numId="17">
    <w:abstractNumId w:val="20"/>
  </w:num>
  <w:num w:numId="18">
    <w:abstractNumId w:val="8"/>
  </w:num>
  <w:num w:numId="19">
    <w:abstractNumId w:val="12"/>
  </w:num>
  <w:num w:numId="20">
    <w:abstractNumId w:val="6"/>
  </w:num>
  <w:num w:numId="21">
    <w:abstractNumId w:val="15"/>
  </w:num>
  <w:num w:numId="22">
    <w:abstractNumId w:val="25"/>
  </w:num>
  <w:num w:numId="23">
    <w:abstractNumId w:val="23"/>
  </w:num>
  <w:num w:numId="24">
    <w:abstractNumId w:val="18"/>
  </w:num>
  <w:num w:numId="25">
    <w:abstractNumId w:val="14"/>
  </w:num>
  <w:num w:numId="26">
    <w:abstractNumId w:val="9"/>
  </w:num>
  <w:num w:numId="27">
    <w:abstractNumId w:val="1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3F0280"/>
    <w:rsid w:val="025A34EF"/>
    <w:rsid w:val="058C78B0"/>
    <w:rsid w:val="05E13064"/>
    <w:rsid w:val="078A573C"/>
    <w:rsid w:val="093A3733"/>
    <w:rsid w:val="0ABA4379"/>
    <w:rsid w:val="0B4508AE"/>
    <w:rsid w:val="0CF161C9"/>
    <w:rsid w:val="0E0B7FF0"/>
    <w:rsid w:val="0F904004"/>
    <w:rsid w:val="117A5014"/>
    <w:rsid w:val="127F05A0"/>
    <w:rsid w:val="136D78F8"/>
    <w:rsid w:val="15CC4977"/>
    <w:rsid w:val="162A4F7D"/>
    <w:rsid w:val="16A82A66"/>
    <w:rsid w:val="1994787E"/>
    <w:rsid w:val="1BCC54CD"/>
    <w:rsid w:val="1DD000AF"/>
    <w:rsid w:val="1E09745A"/>
    <w:rsid w:val="1E176351"/>
    <w:rsid w:val="221A29A0"/>
    <w:rsid w:val="22935D1D"/>
    <w:rsid w:val="229D0F3D"/>
    <w:rsid w:val="22F54A1E"/>
    <w:rsid w:val="23D4489F"/>
    <w:rsid w:val="262001B9"/>
    <w:rsid w:val="27B87AF9"/>
    <w:rsid w:val="27E80EA9"/>
    <w:rsid w:val="280414A1"/>
    <w:rsid w:val="282D768B"/>
    <w:rsid w:val="28570368"/>
    <w:rsid w:val="28942A08"/>
    <w:rsid w:val="29600B3C"/>
    <w:rsid w:val="29C5318E"/>
    <w:rsid w:val="2B502F98"/>
    <w:rsid w:val="2C9A0A9E"/>
    <w:rsid w:val="2DA70D65"/>
    <w:rsid w:val="32FD649B"/>
    <w:rsid w:val="3427766B"/>
    <w:rsid w:val="343706EB"/>
    <w:rsid w:val="351A08D0"/>
    <w:rsid w:val="36334CE5"/>
    <w:rsid w:val="387932A7"/>
    <w:rsid w:val="3A551407"/>
    <w:rsid w:val="3B033C36"/>
    <w:rsid w:val="3B202702"/>
    <w:rsid w:val="3D362408"/>
    <w:rsid w:val="3D54588C"/>
    <w:rsid w:val="3E5D4E8E"/>
    <w:rsid w:val="3FE25336"/>
    <w:rsid w:val="40B87F50"/>
    <w:rsid w:val="41076015"/>
    <w:rsid w:val="42075FF8"/>
    <w:rsid w:val="42842020"/>
    <w:rsid w:val="468567BB"/>
    <w:rsid w:val="4782487D"/>
    <w:rsid w:val="4B31068E"/>
    <w:rsid w:val="4BA55220"/>
    <w:rsid w:val="4BAD0151"/>
    <w:rsid w:val="4BC334D2"/>
    <w:rsid w:val="4C184E09"/>
    <w:rsid w:val="4C8F75A2"/>
    <w:rsid w:val="4DAD4403"/>
    <w:rsid w:val="4E8C008E"/>
    <w:rsid w:val="4FEF758C"/>
    <w:rsid w:val="50771A9C"/>
    <w:rsid w:val="51C47F6D"/>
    <w:rsid w:val="5455382C"/>
    <w:rsid w:val="5CCF610D"/>
    <w:rsid w:val="5D0A3490"/>
    <w:rsid w:val="5D7E0D39"/>
    <w:rsid w:val="5E9D3F29"/>
    <w:rsid w:val="60384CD1"/>
    <w:rsid w:val="60655808"/>
    <w:rsid w:val="60F86CEE"/>
    <w:rsid w:val="63A9427A"/>
    <w:rsid w:val="63D462B1"/>
    <w:rsid w:val="641A3596"/>
    <w:rsid w:val="642C5039"/>
    <w:rsid w:val="64D96647"/>
    <w:rsid w:val="655B51E5"/>
    <w:rsid w:val="65E40ADA"/>
    <w:rsid w:val="66330B86"/>
    <w:rsid w:val="66E22203"/>
    <w:rsid w:val="68AA6162"/>
    <w:rsid w:val="68B812C9"/>
    <w:rsid w:val="69D50CF4"/>
    <w:rsid w:val="6C487AFD"/>
    <w:rsid w:val="6CB24363"/>
    <w:rsid w:val="6EA93466"/>
    <w:rsid w:val="6EF55218"/>
    <w:rsid w:val="6FCF0795"/>
    <w:rsid w:val="71381023"/>
    <w:rsid w:val="71696852"/>
    <w:rsid w:val="73714961"/>
    <w:rsid w:val="73F349E8"/>
    <w:rsid w:val="754D1D92"/>
    <w:rsid w:val="758350A9"/>
    <w:rsid w:val="75DE21BF"/>
    <w:rsid w:val="79687E1D"/>
    <w:rsid w:val="7B560FD7"/>
    <w:rsid w:val="7B5F74F8"/>
    <w:rsid w:val="7B690630"/>
    <w:rsid w:val="7C5123F4"/>
    <w:rsid w:val="7D040AB6"/>
    <w:rsid w:val="7D4119E6"/>
    <w:rsid w:val="7DAF162B"/>
    <w:rsid w:val="7DC42B41"/>
    <w:rsid w:val="7F9404AE"/>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6"/>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7"/>
    <w:qFormat/>
    <w:uiPriority w:val="0"/>
    <w:rPr>
      <w:b/>
      <w:bCs/>
    </w:rPr>
  </w:style>
  <w:style w:type="paragraph" w:styleId="16">
    <w:name w:val="Body Text First Indent"/>
    <w:basedOn w:val="2"/>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7"/>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4"/>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1361</Words>
  <Characters>1474</Characters>
  <Lines>72</Lines>
  <Paragraphs>20</Paragraphs>
  <TotalTime>5</TotalTime>
  <ScaleCrop>false</ScaleCrop>
  <LinksUpToDate>false</LinksUpToDate>
  <CharactersWithSpaces>1546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2026-09-30T04:39:04Z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2AEF012C46F2436B83C79D7930517C78_13</vt:lpwstr>
  </property>
  <property fmtid="{D5CDD505-2E9C-101B-9397-08002B2CF9AE}" pid="4" name="KSOTemplateDocerSaveRecord">
    <vt:lpwstr>eyJoZGlkIjoiMTg3OTBlMTJhZTliYjA3NDQ0MDEzN2E5YmUzNWUyYzYiLCJ1c2VySWQiOiI2NDE5ODgzNDAifQ==</vt:lpwstr>
  </property>
</Properties>
</file>