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内部控制体系更新及内控知识库建设服务项目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1919"/>
      <w:bookmarkStart w:id="2" w:name="_Toc471310326"/>
      <w:bookmarkStart w:id="3" w:name="_Toc3240"/>
      <w:bookmarkStart w:id="4" w:name="_Toc1907"/>
      <w:bookmarkStart w:id="5" w:name="_Toc20358"/>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9"/>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四川省人民医院内部控制体系更新及内控知识库建设服务项目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CGZX-YZB20261521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本项目</w:t>
            </w:r>
            <w:r>
              <w:rPr>
                <w:rFonts w:hint="eastAsia" w:ascii="Times New Roman" w:hAnsi="Times New Roman" w:eastAsia="仿宋" w:cs="Times New Roman"/>
                <w:sz w:val="22"/>
                <w:lang w:val="en-US" w:eastAsia="zh-CN"/>
              </w:rPr>
              <w:t>最高限价为90000</w:t>
            </w:r>
            <w:r>
              <w:rPr>
                <w:rFonts w:hint="eastAsia" w:ascii="Times New Roman" w:hAnsi="Times New Roman" w:eastAsia="仿宋" w:cs="Times New Roman"/>
                <w:sz w:val="22"/>
              </w:rPr>
              <w:t>元。</w:t>
            </w: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30"/>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合同总金额的10%</w:t>
            </w:r>
          </w:p>
          <w:p w14:paraId="00EA646A">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30"/>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30"/>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最低</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9" w:hRule="atLeast"/>
        </w:trPr>
        <w:tc>
          <w:tcPr>
            <w:tcW w:w="568" w:type="dxa"/>
            <w:vAlign w:val="center"/>
          </w:tcPr>
          <w:p w14:paraId="45944A80">
            <w:pPr>
              <w:pStyle w:val="29"/>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30"/>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9"/>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val="en-US"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院长办公室</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028-87393430</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30"/>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30"/>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30"/>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E6A82DA">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p w14:paraId="1363A50B">
            <w:pPr>
              <w:widowControl/>
              <w:jc w:val="left"/>
              <w:rPr>
                <w:rFonts w:hint="eastAsia" w:ascii="Times New Roman" w:hAnsi="Times New Roman" w:eastAsia="仿宋" w:cs="Times New Roman"/>
                <w:b/>
                <w:bCs/>
                <w:sz w:val="22"/>
                <w:lang w:val="en-US" w:eastAsia="zh-CN"/>
              </w:rPr>
            </w:pP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51AF96F9">
      <w:pPr>
        <w:pStyle w:val="17"/>
        <w:snapToGrid w:val="0"/>
        <w:spacing w:after="0" w:line="360" w:lineRule="auto"/>
        <w:ind w:firstLine="0" w:firstLineChars="0"/>
        <w:rPr>
          <w:rFonts w:hint="eastAsia" w:ascii="仿宋" w:hAnsi="仿宋" w:eastAsia="仿宋" w:cs="仿宋"/>
          <w:sz w:val="24"/>
          <w:szCs w:val="24"/>
        </w:rPr>
      </w:pPr>
    </w:p>
    <w:p w14:paraId="4EBA8A2A">
      <w:pPr>
        <w:pStyle w:val="17"/>
        <w:snapToGrid w:val="0"/>
        <w:spacing w:line="360" w:lineRule="auto"/>
        <w:ind w:firstLine="0" w:firstLineChars="0"/>
        <w:rPr>
          <w:rFonts w:hint="eastAsia" w:ascii="仿宋" w:hAnsi="仿宋" w:eastAsia="仿宋"/>
          <w:b/>
          <w:bCs/>
          <w:sz w:val="24"/>
          <w:szCs w:val="24"/>
        </w:rPr>
      </w:pPr>
      <w:r>
        <w:rPr>
          <w:rFonts w:hint="eastAsia" w:ascii="仿宋" w:hAnsi="仿宋" w:eastAsia="仿宋"/>
          <w:b/>
          <w:bCs/>
          <w:sz w:val="24"/>
          <w:szCs w:val="24"/>
        </w:rPr>
        <w:t>一、项目简介</w:t>
      </w:r>
    </w:p>
    <w:p w14:paraId="149C5477">
      <w:pPr>
        <w:pStyle w:val="17"/>
        <w:snapToGrid w:val="0"/>
        <w:spacing w:after="0" w:line="360" w:lineRule="auto"/>
        <w:ind w:firstLine="480" w:firstLineChars="200"/>
        <w:rPr>
          <w:rFonts w:hint="eastAsia" w:ascii="仿宋" w:hAnsi="仿宋"/>
          <w:b/>
          <w:bCs/>
          <w:sz w:val="24"/>
          <w:szCs w:val="24"/>
        </w:rPr>
      </w:pPr>
      <w:r>
        <w:rPr>
          <w:rFonts w:hint="eastAsia" w:ascii="仿宋" w:hAnsi="仿宋" w:eastAsia="仿宋" w:cs="仿宋"/>
          <w:sz w:val="24"/>
          <w:szCs w:val="24"/>
        </w:rPr>
        <w:t>本项目拟确定1家供应商提供</w:t>
      </w:r>
      <w:r>
        <w:rPr>
          <w:rFonts w:hint="eastAsia"/>
          <w:sz w:val="24"/>
          <w:szCs w:val="24"/>
        </w:rPr>
        <w:t>四川省人民医院内部控制体系更新及内控知识库建设服务。</w:t>
      </w:r>
    </w:p>
    <w:p w14:paraId="28E5FA5C">
      <w:pPr>
        <w:pStyle w:val="17"/>
        <w:snapToGrid w:val="0"/>
        <w:spacing w:line="360" w:lineRule="auto"/>
        <w:ind w:firstLine="0" w:firstLineChars="0"/>
        <w:rPr>
          <w:rFonts w:hint="eastAsia" w:ascii="仿宋" w:hAnsi="仿宋" w:eastAsia="仿宋"/>
          <w:b/>
          <w:bCs/>
          <w:sz w:val="24"/>
          <w:szCs w:val="24"/>
          <w:lang w:val="en-US" w:eastAsia="zh-CN"/>
        </w:rPr>
      </w:pPr>
      <w:r>
        <w:rPr>
          <w:rFonts w:ascii="仿宋" w:hAnsi="仿宋" w:eastAsia="仿宋"/>
          <w:b/>
          <w:bCs/>
          <w:sz w:val="24"/>
          <w:szCs w:val="24"/>
        </w:rPr>
        <w:t>★</w:t>
      </w:r>
      <w:r>
        <w:rPr>
          <w:rFonts w:hint="eastAsia" w:ascii="仿宋" w:hAnsi="仿宋" w:eastAsia="仿宋"/>
          <w:b/>
          <w:bCs/>
          <w:sz w:val="24"/>
          <w:szCs w:val="24"/>
        </w:rPr>
        <w:t xml:space="preserve">二 </w:t>
      </w:r>
      <w:r>
        <w:rPr>
          <w:rFonts w:ascii="仿宋" w:hAnsi="仿宋" w:eastAsia="仿宋"/>
          <w:b/>
          <w:bCs/>
          <w:sz w:val="24"/>
          <w:szCs w:val="24"/>
        </w:rPr>
        <w:t>、</w:t>
      </w:r>
      <w:r>
        <w:rPr>
          <w:rFonts w:hint="eastAsia" w:ascii="仿宋" w:hAnsi="仿宋" w:eastAsia="仿宋"/>
          <w:b/>
          <w:bCs/>
          <w:sz w:val="24"/>
          <w:szCs w:val="24"/>
          <w:lang w:val="en-US" w:eastAsia="zh-CN"/>
        </w:rPr>
        <w:t>建设内容</w:t>
      </w:r>
    </w:p>
    <w:p w14:paraId="405D3158">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内控流程体系更新</w:t>
      </w:r>
    </w:p>
    <w:p w14:paraId="4FB4EFC1">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全面更新《四川省医学科学院·四川省人民医院内部控制流程手册》（以下简称“内控流程手册”），具体包括：预算管理、收支管理、采购管理、资产管理、建设项目管理、合同管理、医疗管理（含互联网诊疗）、医疗保险、医学装备、药品管理、科研管理、临床研究、教学管理、医联体、信息系统、人事管理、内部审计等17项业务领域，并出具内控流程手册更新说明。</w:t>
      </w:r>
    </w:p>
    <w:p w14:paraId="6AB9C047">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依据《行政事业单位内控规范修订的更新版》等最新要求，在内控流程手册更新基础上编制不少于6个经济活动和业务活动领域的内部控制关键岗位职责说明书。</w:t>
      </w:r>
    </w:p>
    <w:p w14:paraId="205C7F7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ascii="仿宋" w:hAnsi="仿宋" w:eastAsia="仿宋" w:cs="仿宋"/>
          <w:sz w:val="24"/>
          <w:szCs w:val="24"/>
        </w:rPr>
        <w:t>依据《行政事业单位内控规范修订的更新版》等最新要求，在内控流程手册更新基础上编制不少于6个经济活动和业务活动领域的参考风险点和控制措施。</w:t>
      </w:r>
    </w:p>
    <w:p w14:paraId="0D57EE7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ascii="仿宋" w:hAnsi="仿宋" w:eastAsia="仿宋" w:cs="仿宋"/>
          <w:sz w:val="24"/>
          <w:szCs w:val="24"/>
        </w:rPr>
        <w:t>依据《行政事业单位内控规范修订的更新版》等最新要求，在内控流程手册更新基础上编制不少于6个经济活动和业务活动领域的参考表单（如：预算管理、收支管理、采购管理、资产管理、建设项目管理、合同管理等）。</w:t>
      </w:r>
    </w:p>
    <w:p w14:paraId="203FCA88">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内部管理制度汇编</w:t>
      </w:r>
    </w:p>
    <w:p w14:paraId="61AC4884">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在内控流程手册更新基础上，供应商协助各归口部门对相应内部管理制度进行修订完善，确保内部制度外部合规和内部一致。协助将全部更新后的内部管理制度进行统一汇编。</w:t>
      </w:r>
    </w:p>
    <w:p w14:paraId="38BE4724">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ascii="仿宋" w:hAnsi="仿宋" w:eastAsia="仿宋" w:cs="仿宋"/>
          <w:sz w:val="24"/>
          <w:szCs w:val="24"/>
        </w:rPr>
        <w:t>内控管理手册更新</w:t>
      </w:r>
    </w:p>
    <w:p w14:paraId="6D5105D9">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根据《行政事业单位内控规范修订的更新版》、《行政事业单位内部控制评价办法》等最新要求，结合</w:t>
      </w:r>
      <w:r>
        <w:rPr>
          <w:rFonts w:hint="eastAsia" w:ascii="仿宋" w:hAnsi="仿宋" w:eastAsia="仿宋" w:cs="仿宋"/>
          <w:sz w:val="24"/>
          <w:szCs w:val="24"/>
        </w:rPr>
        <w:t>采购人</w:t>
      </w:r>
      <w:r>
        <w:rPr>
          <w:rFonts w:ascii="仿宋" w:hAnsi="仿宋" w:eastAsia="仿宋" w:cs="仿宋"/>
          <w:sz w:val="24"/>
          <w:szCs w:val="24"/>
        </w:rPr>
        <w:t>实际情况，修订更新《四川省医学科学院·四川省人民医院内部控制管理手册》，以符合行政事业单位内控规范修订的新要求。</w:t>
      </w:r>
    </w:p>
    <w:p w14:paraId="5FFD2E85">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ascii="仿宋" w:hAnsi="仿宋" w:eastAsia="仿宋" w:cs="仿宋"/>
          <w:sz w:val="24"/>
          <w:szCs w:val="24"/>
        </w:rPr>
        <w:t>培训与知识转移</w:t>
      </w:r>
    </w:p>
    <w:p w14:paraId="24A4089C">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协助组织开展覆盖院领导、中层干部、17项业务归口部门、关键岗位人员及下属单位相关人员的线下内控培训（至少2场）。培训应提供师资团队简介、培训日程、培训课件等。</w:t>
      </w:r>
    </w:p>
    <w:p w14:paraId="268A933F">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合作共建内控知识库工具</w:t>
      </w:r>
    </w:p>
    <w:p w14:paraId="58EC4B5B">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为方便全院各部门、各科室日常查阅和使用内控流程与制度，供应商与</w:t>
      </w:r>
      <w:r>
        <w:rPr>
          <w:rFonts w:hint="eastAsia" w:ascii="仿宋" w:hAnsi="仿宋" w:eastAsia="仿宋" w:cs="仿宋"/>
          <w:sz w:val="24"/>
          <w:szCs w:val="24"/>
        </w:rPr>
        <w:t>采购人</w:t>
      </w:r>
      <w:r>
        <w:rPr>
          <w:rFonts w:ascii="仿宋" w:hAnsi="仿宋" w:eastAsia="仿宋" w:cs="仿宋"/>
          <w:sz w:val="24"/>
          <w:szCs w:val="24"/>
        </w:rPr>
        <w:t>合作开发部署一套内网运行的内控知识库，为内部控制有效实施提供技术支持，并以辅助工具形式实现以下功能：</w:t>
      </w:r>
    </w:p>
    <w:p w14:paraId="1D3060C0">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统一归集与检索：支持将内控流程、外部制度（上位法）、内部制度、岗位职责等文档统一归集，全院人员通过浏览器进行关键词或自然语言检索，工具基于正式发布的文档原文输出结果。</w:t>
      </w:r>
    </w:p>
    <w:p w14:paraId="39D7E318">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智能化支撑工具：提供通过自然语言对知识库中的内控流程、相关外标依据和内部制度等内控知识库的智能问答，方便内控体系应用实施。</w:t>
      </w:r>
    </w:p>
    <w:p w14:paraId="521047AD">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ascii="仿宋" w:hAnsi="仿宋" w:eastAsia="仿宋" w:cs="仿宋"/>
          <w:sz w:val="24"/>
          <w:szCs w:val="24"/>
        </w:rPr>
        <w:t>溯源查证：答案须附带原文出处（文档名称、章节位置），做到可追溯、可查证。</w:t>
      </w:r>
    </w:p>
    <w:p w14:paraId="485BCBE1">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ascii="仿宋" w:hAnsi="仿宋" w:eastAsia="仿宋" w:cs="仿宋"/>
          <w:sz w:val="24"/>
          <w:szCs w:val="24"/>
        </w:rPr>
        <w:t>版本管理：支持文档版本管理，旧版本保留并可查看变更记录，确保执行口径统一。</w:t>
      </w:r>
    </w:p>
    <w:p w14:paraId="4970A592">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内网安全部署：工具须部署在</w:t>
      </w:r>
      <w:r>
        <w:rPr>
          <w:rFonts w:hint="eastAsia" w:ascii="仿宋" w:hAnsi="仿宋" w:eastAsia="仿宋" w:cs="仿宋"/>
          <w:sz w:val="24"/>
          <w:szCs w:val="24"/>
        </w:rPr>
        <w:t>采购人</w:t>
      </w:r>
      <w:r>
        <w:rPr>
          <w:rFonts w:ascii="仿宋" w:hAnsi="仿宋" w:eastAsia="仿宋" w:cs="仿宋"/>
          <w:sz w:val="24"/>
          <w:szCs w:val="24"/>
        </w:rPr>
        <w:t>内网，确保信息安全。</w:t>
      </w:r>
    </w:p>
    <w:p w14:paraId="5306D398">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ascii="仿宋" w:hAnsi="仿宋" w:eastAsia="仿宋" w:cs="仿宋"/>
          <w:sz w:val="24"/>
          <w:szCs w:val="24"/>
        </w:rPr>
        <w:t>基础配套功能：提供用户权限管理、操作日志、文档上传与更新维护等功能。</w:t>
      </w:r>
    </w:p>
    <w:p w14:paraId="323877F3">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ascii="仿宋" w:hAnsi="仿宋" w:eastAsia="仿宋" w:cs="仿宋"/>
          <w:sz w:val="24"/>
          <w:szCs w:val="24"/>
        </w:rPr>
        <w:t>内控管理工具</w:t>
      </w:r>
    </w:p>
    <w:p w14:paraId="01C65921">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根据</w:t>
      </w:r>
      <w:r>
        <w:rPr>
          <w:rFonts w:hint="eastAsia" w:ascii="仿宋" w:hAnsi="仿宋" w:eastAsia="仿宋" w:cs="仿宋"/>
          <w:sz w:val="24"/>
          <w:szCs w:val="24"/>
        </w:rPr>
        <w:t>采购人</w:t>
      </w:r>
      <w:r>
        <w:rPr>
          <w:rFonts w:ascii="仿宋" w:hAnsi="仿宋" w:eastAsia="仿宋" w:cs="仿宋"/>
          <w:sz w:val="24"/>
          <w:szCs w:val="24"/>
        </w:rPr>
        <w:t>确定的年度内控管理专项领域工作目标，协助制订解决方案，设计配套管理工具。</w:t>
      </w:r>
    </w:p>
    <w:p w14:paraId="0DAA59B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7、针对采购人内控体系更新及内控知识库建设服务项目服务的拟派人员必须是供应商的正式员工(提供在职证明并加盖供应商公章)</w:t>
      </w:r>
    </w:p>
    <w:p w14:paraId="4F057564">
      <w:pPr>
        <w:pStyle w:val="17"/>
        <w:snapToGrid w:val="0"/>
        <w:spacing w:after="0" w:line="360" w:lineRule="auto"/>
        <w:ind w:firstLine="0" w:firstLineChars="0"/>
        <w:rPr>
          <w:rFonts w:hint="eastAsia" w:ascii="仿宋" w:hAnsi="仿宋" w:eastAsia="仿宋" w:cs="仿宋"/>
          <w:b/>
          <w:bCs/>
          <w:sz w:val="24"/>
          <w:szCs w:val="24"/>
        </w:rPr>
      </w:pPr>
      <w:r>
        <w:rPr>
          <w:rFonts w:hint="eastAsia" w:ascii="仿宋" w:hAnsi="仿宋" w:eastAsia="仿宋" w:cs="仿宋"/>
          <w:b/>
          <w:bCs/>
          <w:sz w:val="24"/>
          <w:szCs w:val="24"/>
        </w:rPr>
        <w:t>三、其他要求</w:t>
      </w:r>
    </w:p>
    <w:p w14:paraId="666E5A7B">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1</w:t>
      </w:r>
      <w:r>
        <w:rPr>
          <w:rFonts w:hint="eastAsia" w:ascii="仿宋" w:hAnsi="仿宋" w:eastAsia="仿宋" w:cs="仿宋"/>
          <w:sz w:val="24"/>
          <w:szCs w:val="24"/>
        </w:rPr>
        <w:t>、</w:t>
      </w:r>
      <w:r>
        <w:rPr>
          <w:rFonts w:ascii="仿宋" w:hAnsi="仿宋" w:eastAsia="仿宋" w:cs="仿宋"/>
          <w:sz w:val="24"/>
          <w:szCs w:val="24"/>
        </w:rPr>
        <w:t>拥有专业稳定的服务团队，项目团队负责人具备中级</w:t>
      </w:r>
      <w:r>
        <w:rPr>
          <w:rFonts w:hint="eastAsia" w:ascii="仿宋" w:hAnsi="仿宋" w:eastAsia="仿宋" w:cs="仿宋"/>
          <w:sz w:val="24"/>
          <w:szCs w:val="24"/>
        </w:rPr>
        <w:t>或</w:t>
      </w:r>
      <w:r>
        <w:rPr>
          <w:rFonts w:ascii="仿宋" w:hAnsi="仿宋" w:eastAsia="仿宋" w:cs="仿宋"/>
          <w:sz w:val="24"/>
          <w:szCs w:val="24"/>
        </w:rPr>
        <w:t>以上审计、</w:t>
      </w:r>
      <w:r>
        <w:rPr>
          <w:rFonts w:hint="eastAsia" w:ascii="仿宋" w:hAnsi="仿宋" w:eastAsia="仿宋" w:cs="仿宋"/>
          <w:sz w:val="24"/>
          <w:szCs w:val="24"/>
        </w:rPr>
        <w:t>会计职业资格</w:t>
      </w:r>
      <w:r>
        <w:rPr>
          <w:rFonts w:ascii="仿宋" w:hAnsi="仿宋" w:eastAsia="仿宋" w:cs="仿宋"/>
          <w:sz w:val="24"/>
          <w:szCs w:val="24"/>
        </w:rPr>
        <w:t>，熟悉行政事业单位财经法规、公立医院内控管理要求。</w:t>
      </w:r>
    </w:p>
    <w:p w14:paraId="514AA913">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注：提供证书</w:t>
      </w:r>
      <w:r>
        <w:rPr>
          <w:rFonts w:hint="eastAsia" w:ascii="仿宋" w:hAnsi="仿宋" w:eastAsia="仿宋" w:cs="仿宋"/>
          <w:sz w:val="24"/>
          <w:szCs w:val="24"/>
        </w:rPr>
        <w:t>复印件并加盖供应商公章</w:t>
      </w:r>
      <w:r>
        <w:rPr>
          <w:rFonts w:ascii="仿宋" w:hAnsi="仿宋" w:eastAsia="仿宋" w:cs="仿宋"/>
          <w:sz w:val="24"/>
          <w:szCs w:val="24"/>
        </w:rPr>
        <w:t>。</w:t>
      </w:r>
    </w:p>
    <w:p w14:paraId="750483BB">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项目团队其余人员具有初级会计师</w:t>
      </w:r>
      <w:r>
        <w:rPr>
          <w:rFonts w:hint="eastAsia" w:ascii="仿宋" w:hAnsi="仿宋" w:eastAsia="仿宋" w:cs="仿宋"/>
          <w:sz w:val="24"/>
          <w:szCs w:val="24"/>
        </w:rPr>
        <w:t>资格</w:t>
      </w:r>
      <w:r>
        <w:rPr>
          <w:rFonts w:ascii="仿宋" w:hAnsi="仿宋" w:eastAsia="仿宋" w:cs="仿宋"/>
          <w:sz w:val="24"/>
          <w:szCs w:val="24"/>
        </w:rPr>
        <w:t>或有参与过</w:t>
      </w:r>
      <w:r>
        <w:rPr>
          <w:rFonts w:hint="eastAsia" w:ascii="仿宋" w:hAnsi="仿宋" w:eastAsia="仿宋" w:cs="仿宋"/>
          <w:sz w:val="24"/>
          <w:szCs w:val="24"/>
        </w:rPr>
        <w:t>不少于3家行政事业单位</w:t>
      </w:r>
      <w:r>
        <w:rPr>
          <w:rFonts w:ascii="仿宋" w:hAnsi="仿宋" w:eastAsia="仿宋" w:cs="仿宋"/>
          <w:sz w:val="24"/>
          <w:szCs w:val="24"/>
        </w:rPr>
        <w:t>内部控制体系服务工作经验。</w:t>
      </w:r>
    </w:p>
    <w:p w14:paraId="0E041BAB">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w:t>
      </w:r>
      <w:r>
        <w:rPr>
          <w:rFonts w:ascii="仿宋" w:hAnsi="仿宋" w:eastAsia="仿宋" w:cs="仿宋"/>
          <w:sz w:val="24"/>
          <w:szCs w:val="24"/>
        </w:rPr>
        <w:t>提供相关证书复印件并加盖供应商公章或参加行政事业单位内部控制体系服务合同（合同上需体现人员名单）或经服务单位盖章确认的项目验收单/项目启动单（验收单/启动单上需体现人员名单）。</w:t>
      </w:r>
    </w:p>
    <w:p w14:paraId="0F2F9DF6">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3、供应商提供自2023年1月1日（含）以来行政事业单位内部控制建设或监督检查相关业绩。</w:t>
      </w:r>
    </w:p>
    <w:p w14:paraId="77440B41">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注：提供相关证明材料，包括但不限于：中标（成交）通知书或合同复印件或上级主管部门文件并加盖供应商公章。</w:t>
      </w:r>
    </w:p>
    <w:p w14:paraId="091E366E">
      <w:pPr>
        <w:pStyle w:val="17"/>
        <w:numPr>
          <w:ilvl w:val="0"/>
          <w:numId w:val="12"/>
        </w:numPr>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供应商提供服务方案，包括①人员组织分工及技术质量保障方案、②项目进度计划安排清单、③项目进度保障措施。</w:t>
      </w:r>
    </w:p>
    <w:p w14:paraId="25E6D245">
      <w:pPr>
        <w:pStyle w:val="17"/>
        <w:snapToGrid w:val="0"/>
        <w:spacing w:after="0" w:line="360" w:lineRule="auto"/>
        <w:ind w:firstLine="0" w:firstLineChars="0"/>
        <w:rPr>
          <w:rFonts w:hint="eastAsia" w:ascii="仿宋" w:hAnsi="仿宋" w:eastAsia="仿宋" w:cs="仿宋"/>
          <w:b/>
          <w:bCs/>
          <w:sz w:val="24"/>
          <w:szCs w:val="24"/>
        </w:rPr>
      </w:pPr>
      <w:r>
        <w:rPr>
          <w:rFonts w:ascii="仿宋" w:hAnsi="仿宋" w:eastAsia="仿宋" w:cs="仿宋"/>
          <w:b/>
          <w:bCs/>
          <w:sz w:val="24"/>
          <w:szCs w:val="24"/>
        </w:rPr>
        <w:t>★</w:t>
      </w:r>
      <w:r>
        <w:rPr>
          <w:rFonts w:hint="eastAsia" w:ascii="仿宋" w:hAnsi="仿宋" w:eastAsia="仿宋" w:cs="仿宋"/>
          <w:b/>
          <w:bCs/>
          <w:sz w:val="24"/>
          <w:szCs w:val="24"/>
        </w:rPr>
        <w:t>四</w:t>
      </w:r>
      <w:r>
        <w:rPr>
          <w:rFonts w:ascii="仿宋" w:hAnsi="仿宋" w:eastAsia="仿宋" w:cs="仿宋"/>
          <w:b/>
          <w:bCs/>
          <w:sz w:val="24"/>
          <w:szCs w:val="24"/>
        </w:rPr>
        <w:t>、商务要求：</w:t>
      </w:r>
    </w:p>
    <w:p w14:paraId="7CD440CB">
      <w:pPr>
        <w:pStyle w:val="17"/>
        <w:snapToGrid w:val="0"/>
        <w:spacing w:line="360" w:lineRule="auto"/>
        <w:ind w:firstLine="480" w:firstLineChars="200"/>
        <w:rPr>
          <w:rFonts w:hint="eastAsia" w:ascii="仿宋" w:hAnsi="仿宋" w:eastAsia="仿宋" w:cs="仿宋"/>
          <w:sz w:val="24"/>
          <w:szCs w:val="24"/>
        </w:rPr>
      </w:pPr>
      <w:r>
        <w:rPr>
          <w:rFonts w:ascii="仿宋" w:hAnsi="仿宋" w:eastAsia="仿宋" w:cs="仿宋"/>
          <w:sz w:val="24"/>
          <w:szCs w:val="24"/>
        </w:rPr>
        <w:t>1、资金支付条款：</w:t>
      </w:r>
    </w:p>
    <w:p w14:paraId="68F40AD4">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1 \* GB3 </w:instrText>
      </w:r>
      <w:r>
        <w:rPr>
          <w:rFonts w:hint="eastAsia" w:ascii="仿宋" w:hAnsi="仿宋" w:eastAsia="仿宋" w:cs="仿宋"/>
          <w:sz w:val="24"/>
          <w:szCs w:val="24"/>
        </w:rPr>
        <w:fldChar w:fldCharType="separate"/>
      </w:r>
      <w:r>
        <w:rPr>
          <w:rFonts w:hint="eastAsia" w:ascii="仿宋" w:hAnsi="仿宋" w:eastAsia="仿宋" w:cs="仿宋"/>
          <w:sz w:val="24"/>
          <w:szCs w:val="24"/>
        </w:rPr>
        <w:t>①</w:t>
      </w:r>
      <w:r>
        <w:rPr>
          <w:rFonts w:hint="eastAsia" w:ascii="仿宋" w:hAnsi="仿宋" w:eastAsia="仿宋" w:cs="仿宋"/>
          <w:sz w:val="24"/>
          <w:szCs w:val="24"/>
        </w:rPr>
        <w:fldChar w:fldCharType="end"/>
      </w:r>
      <w:r>
        <w:rPr>
          <w:rFonts w:ascii="仿宋" w:hAnsi="仿宋" w:eastAsia="仿宋" w:cs="仿宋"/>
          <w:sz w:val="24"/>
          <w:szCs w:val="24"/>
        </w:rPr>
        <w:t>双方合同签订后</w:t>
      </w:r>
      <w:r>
        <w:rPr>
          <w:rFonts w:hint="eastAsia" w:ascii="仿宋" w:hAnsi="仿宋" w:eastAsia="仿宋" w:cs="仿宋"/>
          <w:sz w:val="24"/>
          <w:szCs w:val="24"/>
        </w:rPr>
        <w:t>，</w:t>
      </w:r>
      <w:r>
        <w:rPr>
          <w:rFonts w:ascii="仿宋" w:hAnsi="仿宋" w:eastAsia="仿宋" w:cs="仿宋"/>
          <w:sz w:val="24"/>
          <w:szCs w:val="24"/>
        </w:rPr>
        <w:t>供应商于 5 日内向采购人提供合法有效票据及其他相关请款资料</w:t>
      </w:r>
      <w:r>
        <w:rPr>
          <w:rFonts w:hint="eastAsia" w:ascii="仿宋" w:hAnsi="仿宋" w:eastAsia="仿宋" w:cs="仿宋"/>
          <w:sz w:val="24"/>
          <w:szCs w:val="24"/>
        </w:rPr>
        <w:t>，接到上述票据及资料</w:t>
      </w:r>
      <w:r>
        <w:rPr>
          <w:rFonts w:ascii="仿宋" w:hAnsi="仿宋" w:eastAsia="仿宋" w:cs="仿宋"/>
          <w:sz w:val="24"/>
          <w:szCs w:val="24"/>
        </w:rPr>
        <w:t>后</w:t>
      </w:r>
      <w:r>
        <w:rPr>
          <w:rFonts w:hint="eastAsia" w:ascii="仿宋" w:hAnsi="仿宋" w:eastAsia="仿宋" w:cs="仿宋"/>
          <w:sz w:val="24"/>
          <w:szCs w:val="24"/>
        </w:rPr>
        <w:t>55</w:t>
      </w:r>
      <w:r>
        <w:rPr>
          <w:rFonts w:ascii="仿宋" w:hAnsi="仿宋" w:eastAsia="仿宋" w:cs="仿宋"/>
          <w:sz w:val="24"/>
          <w:szCs w:val="24"/>
        </w:rPr>
        <w:t>日内，</w:t>
      </w:r>
      <w:r>
        <w:rPr>
          <w:rFonts w:hint="eastAsia" w:ascii="仿宋" w:hAnsi="仿宋" w:eastAsia="仿宋" w:cs="仿宋"/>
          <w:sz w:val="24"/>
          <w:szCs w:val="24"/>
        </w:rPr>
        <w:t>采购人</w:t>
      </w:r>
      <w:r>
        <w:rPr>
          <w:rFonts w:ascii="仿宋" w:hAnsi="仿宋" w:eastAsia="仿宋" w:cs="仿宋"/>
          <w:sz w:val="24"/>
          <w:szCs w:val="24"/>
        </w:rPr>
        <w:t>支付给</w:t>
      </w:r>
      <w:r>
        <w:rPr>
          <w:rFonts w:hint="eastAsia" w:ascii="仿宋" w:hAnsi="仿宋" w:eastAsia="仿宋" w:cs="仿宋"/>
          <w:sz w:val="24"/>
          <w:szCs w:val="24"/>
        </w:rPr>
        <w:t>供应商</w:t>
      </w:r>
      <w:r>
        <w:rPr>
          <w:rFonts w:ascii="仿宋" w:hAnsi="仿宋" w:eastAsia="仿宋" w:cs="仿宋"/>
          <w:sz w:val="24"/>
          <w:szCs w:val="24"/>
        </w:rPr>
        <w:t>合同总额的20%。</w:t>
      </w:r>
    </w:p>
    <w:p w14:paraId="13F47C54">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2 \* GB3 </w:instrText>
      </w:r>
      <w:r>
        <w:rPr>
          <w:rFonts w:hint="eastAsia" w:ascii="仿宋" w:hAnsi="仿宋" w:eastAsia="仿宋" w:cs="仿宋"/>
          <w:sz w:val="24"/>
          <w:szCs w:val="24"/>
        </w:rPr>
        <w:fldChar w:fldCharType="separate"/>
      </w:r>
      <w:r>
        <w:rPr>
          <w:rFonts w:hint="eastAsia" w:ascii="仿宋" w:hAnsi="仿宋" w:eastAsia="仿宋" w:cs="仿宋"/>
          <w:sz w:val="24"/>
          <w:szCs w:val="24"/>
        </w:rPr>
        <w:t>②</w:t>
      </w:r>
      <w:r>
        <w:rPr>
          <w:rFonts w:hint="eastAsia" w:ascii="仿宋" w:hAnsi="仿宋" w:eastAsia="仿宋" w:cs="仿宋"/>
          <w:sz w:val="24"/>
          <w:szCs w:val="24"/>
        </w:rPr>
        <w:fldChar w:fldCharType="end"/>
      </w:r>
      <w:r>
        <w:rPr>
          <w:rFonts w:hint="eastAsia" w:ascii="仿宋" w:hAnsi="仿宋" w:eastAsia="仿宋" w:cs="仿宋"/>
          <w:sz w:val="24"/>
          <w:szCs w:val="24"/>
        </w:rPr>
        <w:t>第一阶段验收完成，</w:t>
      </w:r>
      <w:r>
        <w:rPr>
          <w:rFonts w:ascii="仿宋" w:hAnsi="仿宋" w:eastAsia="仿宋" w:cs="仿宋"/>
          <w:sz w:val="24"/>
          <w:szCs w:val="24"/>
        </w:rPr>
        <w:t>供应商于 5 日内向采购人提供合法有效票据及其他相关请款资料</w:t>
      </w:r>
      <w:r>
        <w:rPr>
          <w:rFonts w:hint="eastAsia" w:ascii="仿宋" w:hAnsi="仿宋" w:eastAsia="仿宋" w:cs="仿宋"/>
          <w:sz w:val="24"/>
          <w:szCs w:val="24"/>
        </w:rPr>
        <w:t>，接到上述票据及资料</w:t>
      </w:r>
      <w:r>
        <w:rPr>
          <w:rFonts w:ascii="仿宋" w:hAnsi="仿宋" w:eastAsia="仿宋" w:cs="仿宋"/>
          <w:sz w:val="24"/>
          <w:szCs w:val="24"/>
        </w:rPr>
        <w:t>后</w:t>
      </w:r>
      <w:r>
        <w:rPr>
          <w:rFonts w:hint="eastAsia" w:ascii="仿宋" w:hAnsi="仿宋" w:eastAsia="仿宋" w:cs="仿宋"/>
          <w:sz w:val="24"/>
          <w:szCs w:val="24"/>
        </w:rPr>
        <w:t>55</w:t>
      </w:r>
      <w:r>
        <w:rPr>
          <w:rFonts w:ascii="仿宋" w:hAnsi="仿宋" w:eastAsia="仿宋" w:cs="仿宋"/>
          <w:sz w:val="24"/>
          <w:szCs w:val="24"/>
        </w:rPr>
        <w:t>日内</w:t>
      </w:r>
      <w:r>
        <w:rPr>
          <w:rFonts w:hint="eastAsia" w:ascii="仿宋" w:hAnsi="仿宋" w:eastAsia="仿宋" w:cs="仿宋"/>
          <w:sz w:val="24"/>
          <w:szCs w:val="24"/>
        </w:rPr>
        <w:t>，采购人</w:t>
      </w:r>
      <w:r>
        <w:rPr>
          <w:rFonts w:ascii="仿宋" w:hAnsi="仿宋" w:eastAsia="仿宋" w:cs="仿宋"/>
          <w:sz w:val="24"/>
          <w:szCs w:val="24"/>
        </w:rPr>
        <w:t>支付合同总额的40%。</w:t>
      </w:r>
    </w:p>
    <w:p w14:paraId="5F93318F">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3 \* GB3 </w:instrText>
      </w:r>
      <w:r>
        <w:rPr>
          <w:rFonts w:hint="eastAsia" w:ascii="仿宋" w:hAnsi="仿宋" w:eastAsia="仿宋" w:cs="仿宋"/>
          <w:sz w:val="24"/>
          <w:szCs w:val="24"/>
        </w:rPr>
        <w:fldChar w:fldCharType="separate"/>
      </w:r>
      <w:r>
        <w:rPr>
          <w:rFonts w:hint="eastAsia" w:ascii="仿宋" w:hAnsi="仿宋" w:eastAsia="仿宋" w:cs="仿宋"/>
          <w:sz w:val="24"/>
          <w:szCs w:val="24"/>
        </w:rPr>
        <w:t>③</w:t>
      </w:r>
      <w:r>
        <w:rPr>
          <w:rFonts w:hint="eastAsia" w:ascii="仿宋" w:hAnsi="仿宋" w:eastAsia="仿宋" w:cs="仿宋"/>
          <w:sz w:val="24"/>
          <w:szCs w:val="24"/>
        </w:rPr>
        <w:fldChar w:fldCharType="end"/>
      </w:r>
      <w:r>
        <w:rPr>
          <w:rFonts w:hint="eastAsia" w:ascii="仿宋" w:hAnsi="仿宋" w:eastAsia="仿宋" w:cs="仿宋"/>
          <w:sz w:val="24"/>
          <w:szCs w:val="24"/>
        </w:rPr>
        <w:t>第二阶段验收完成，</w:t>
      </w:r>
      <w:r>
        <w:rPr>
          <w:rFonts w:ascii="仿宋" w:hAnsi="仿宋" w:eastAsia="仿宋" w:cs="仿宋"/>
          <w:sz w:val="24"/>
          <w:szCs w:val="24"/>
        </w:rPr>
        <w:t>供应商于 5 日内向采购人提供合法有效票据及其他相关请款资料</w:t>
      </w:r>
      <w:r>
        <w:rPr>
          <w:rFonts w:hint="eastAsia" w:ascii="仿宋" w:hAnsi="仿宋" w:eastAsia="仿宋" w:cs="仿宋"/>
          <w:sz w:val="24"/>
          <w:szCs w:val="24"/>
        </w:rPr>
        <w:t>，接到上述票据及资料</w:t>
      </w:r>
      <w:r>
        <w:rPr>
          <w:rFonts w:ascii="仿宋" w:hAnsi="仿宋" w:eastAsia="仿宋" w:cs="仿宋"/>
          <w:sz w:val="24"/>
          <w:szCs w:val="24"/>
        </w:rPr>
        <w:t>后</w:t>
      </w:r>
      <w:r>
        <w:rPr>
          <w:rFonts w:hint="eastAsia" w:ascii="仿宋" w:hAnsi="仿宋" w:eastAsia="仿宋" w:cs="仿宋"/>
          <w:sz w:val="24"/>
          <w:szCs w:val="24"/>
        </w:rPr>
        <w:t>55</w:t>
      </w:r>
      <w:r>
        <w:rPr>
          <w:rFonts w:ascii="仿宋" w:hAnsi="仿宋" w:eastAsia="仿宋" w:cs="仿宋"/>
          <w:sz w:val="24"/>
          <w:szCs w:val="24"/>
        </w:rPr>
        <w:t>日内</w:t>
      </w:r>
      <w:r>
        <w:rPr>
          <w:rFonts w:hint="eastAsia" w:ascii="仿宋" w:hAnsi="仿宋" w:eastAsia="仿宋" w:cs="仿宋"/>
          <w:sz w:val="24"/>
          <w:szCs w:val="24"/>
        </w:rPr>
        <w:t>，采购人</w:t>
      </w:r>
      <w:r>
        <w:rPr>
          <w:rFonts w:ascii="仿宋" w:hAnsi="仿宋" w:eastAsia="仿宋" w:cs="仿宋"/>
          <w:sz w:val="24"/>
          <w:szCs w:val="24"/>
        </w:rPr>
        <w:t>支付合同总额的</w:t>
      </w:r>
      <w:r>
        <w:rPr>
          <w:rFonts w:hint="eastAsia" w:ascii="仿宋" w:hAnsi="仿宋" w:eastAsia="仿宋" w:cs="仿宋"/>
          <w:sz w:val="24"/>
          <w:szCs w:val="24"/>
        </w:rPr>
        <w:t>37</w:t>
      </w:r>
      <w:r>
        <w:rPr>
          <w:rFonts w:ascii="仿宋" w:hAnsi="仿宋" w:eastAsia="仿宋" w:cs="仿宋"/>
          <w:sz w:val="24"/>
          <w:szCs w:val="24"/>
        </w:rPr>
        <w:t>%。</w:t>
      </w:r>
    </w:p>
    <w:p w14:paraId="5B8D3A77">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 4 \* GB3 </w:instrText>
      </w:r>
      <w:r>
        <w:rPr>
          <w:rFonts w:hint="eastAsia" w:ascii="仿宋" w:hAnsi="仿宋" w:eastAsia="仿宋" w:cs="仿宋"/>
          <w:sz w:val="24"/>
          <w:szCs w:val="24"/>
        </w:rPr>
        <w:fldChar w:fldCharType="separate"/>
      </w:r>
      <w:r>
        <w:rPr>
          <w:rFonts w:hint="eastAsia" w:ascii="仿宋" w:hAnsi="仿宋" w:eastAsia="仿宋" w:cs="仿宋"/>
          <w:sz w:val="24"/>
          <w:szCs w:val="24"/>
        </w:rPr>
        <w:t>④</w:t>
      </w:r>
      <w:r>
        <w:rPr>
          <w:rFonts w:hint="eastAsia" w:ascii="仿宋" w:hAnsi="仿宋" w:eastAsia="仿宋" w:cs="仿宋"/>
          <w:sz w:val="24"/>
          <w:szCs w:val="24"/>
        </w:rPr>
        <w:fldChar w:fldCharType="end"/>
      </w:r>
      <w:r>
        <w:rPr>
          <w:rFonts w:hint="eastAsia" w:ascii="仿宋" w:hAnsi="仿宋" w:eastAsia="仿宋" w:cs="仿宋"/>
          <w:sz w:val="24"/>
          <w:szCs w:val="24"/>
        </w:rPr>
        <w:t>服务期满且完成所有服务，</w:t>
      </w:r>
      <w:r>
        <w:rPr>
          <w:rFonts w:ascii="仿宋" w:hAnsi="仿宋" w:eastAsia="仿宋" w:cs="仿宋"/>
          <w:sz w:val="24"/>
          <w:szCs w:val="24"/>
        </w:rPr>
        <w:t>供应商于 5 日内向采购人提供合法有效票据及其他相关请款资料</w:t>
      </w:r>
      <w:r>
        <w:rPr>
          <w:rFonts w:hint="eastAsia" w:ascii="仿宋" w:hAnsi="仿宋" w:eastAsia="仿宋" w:cs="仿宋"/>
          <w:sz w:val="24"/>
          <w:szCs w:val="24"/>
        </w:rPr>
        <w:t>，接到上述票据及资料</w:t>
      </w:r>
      <w:r>
        <w:rPr>
          <w:rFonts w:ascii="仿宋" w:hAnsi="仿宋" w:eastAsia="仿宋" w:cs="仿宋"/>
          <w:sz w:val="24"/>
          <w:szCs w:val="24"/>
        </w:rPr>
        <w:t>后</w:t>
      </w:r>
      <w:r>
        <w:rPr>
          <w:rFonts w:hint="eastAsia" w:ascii="仿宋" w:hAnsi="仿宋" w:eastAsia="仿宋" w:cs="仿宋"/>
          <w:sz w:val="24"/>
          <w:szCs w:val="24"/>
        </w:rPr>
        <w:t>55</w:t>
      </w:r>
      <w:r>
        <w:rPr>
          <w:rFonts w:ascii="仿宋" w:hAnsi="仿宋" w:eastAsia="仿宋" w:cs="仿宋"/>
          <w:sz w:val="24"/>
          <w:szCs w:val="24"/>
        </w:rPr>
        <w:t>日内</w:t>
      </w:r>
      <w:r>
        <w:rPr>
          <w:rFonts w:hint="eastAsia" w:ascii="仿宋" w:hAnsi="仿宋" w:eastAsia="仿宋" w:cs="仿宋"/>
          <w:sz w:val="24"/>
          <w:szCs w:val="24"/>
        </w:rPr>
        <w:t>，采购人</w:t>
      </w:r>
      <w:r>
        <w:rPr>
          <w:rFonts w:ascii="仿宋" w:hAnsi="仿宋" w:eastAsia="仿宋" w:cs="仿宋"/>
          <w:sz w:val="24"/>
          <w:szCs w:val="24"/>
        </w:rPr>
        <w:t>支付合同总额的</w:t>
      </w:r>
      <w:r>
        <w:rPr>
          <w:rFonts w:hint="eastAsia" w:ascii="仿宋" w:hAnsi="仿宋" w:eastAsia="仿宋" w:cs="仿宋"/>
          <w:sz w:val="24"/>
          <w:szCs w:val="24"/>
        </w:rPr>
        <w:t>3</w:t>
      </w:r>
      <w:r>
        <w:rPr>
          <w:rFonts w:ascii="仿宋" w:hAnsi="仿宋" w:eastAsia="仿宋" w:cs="仿宋"/>
          <w:sz w:val="24"/>
          <w:szCs w:val="24"/>
        </w:rPr>
        <w:t>%。</w:t>
      </w:r>
    </w:p>
    <w:p w14:paraId="4A2CA2DE">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2、服务地点：四川省人民医院（包括所有院区）。</w:t>
      </w:r>
    </w:p>
    <w:p w14:paraId="2E7D1F1C">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成果交付时间：</w:t>
      </w:r>
      <w:r>
        <w:rPr>
          <w:rFonts w:ascii="仿宋" w:hAnsi="仿宋" w:eastAsia="仿宋" w:cs="仿宋"/>
          <w:sz w:val="24"/>
          <w:szCs w:val="24"/>
        </w:rPr>
        <w:t>自合同签订之日起，120日历天内完成本项目“内控流程体系更新”和“内部管理制度汇编”所有工作，210日历天内完成本项目其他服务内容所有工作。</w:t>
      </w:r>
    </w:p>
    <w:p w14:paraId="2FD25C29">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4.服务期及服务内容</w:t>
      </w:r>
    </w:p>
    <w:p w14:paraId="7896977B">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（1）服务期：第二阶段验收合格之日起不低于1年。</w:t>
      </w:r>
    </w:p>
    <w:p w14:paraId="33CA13FA">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（2）服务内容</w:t>
      </w:r>
    </w:p>
    <w:p w14:paraId="6AF22570">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管理目标效果跟踪服务与运行指导服务：</w:t>
      </w:r>
    </w:p>
    <w:p w14:paraId="20760DD2">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1）服务方式：包括但不限于</w:t>
      </w:r>
      <w:r>
        <w:rPr>
          <w:rFonts w:ascii="仿宋" w:hAnsi="仿宋" w:eastAsia="仿宋" w:cs="仿宋"/>
          <w:sz w:val="24"/>
          <w:szCs w:val="24"/>
        </w:rPr>
        <w:t>电话支持</w:t>
      </w:r>
      <w:r>
        <w:rPr>
          <w:rFonts w:hint="eastAsia" w:ascii="仿宋" w:hAnsi="仿宋" w:eastAsia="仿宋" w:cs="仿宋"/>
          <w:sz w:val="24"/>
          <w:szCs w:val="24"/>
        </w:rPr>
        <w:t>、</w:t>
      </w:r>
      <w:r>
        <w:rPr>
          <w:rFonts w:ascii="仿宋" w:hAnsi="仿宋" w:eastAsia="仿宋" w:cs="仿宋"/>
          <w:sz w:val="24"/>
          <w:szCs w:val="24"/>
        </w:rPr>
        <w:t>远程技术支持</w:t>
      </w:r>
      <w:r>
        <w:rPr>
          <w:rFonts w:hint="eastAsia" w:ascii="仿宋" w:hAnsi="仿宋" w:eastAsia="仿宋" w:cs="仿宋"/>
          <w:sz w:val="24"/>
          <w:szCs w:val="24"/>
        </w:rPr>
        <w:t>、</w:t>
      </w:r>
      <w:r>
        <w:rPr>
          <w:rFonts w:ascii="仿宋" w:hAnsi="仿宋" w:eastAsia="仿宋" w:cs="仿宋"/>
          <w:sz w:val="24"/>
          <w:szCs w:val="24"/>
        </w:rPr>
        <w:t>现场服务</w:t>
      </w:r>
      <w:r>
        <w:rPr>
          <w:rFonts w:hint="eastAsia" w:ascii="仿宋" w:hAnsi="仿宋" w:eastAsia="仿宋" w:cs="仿宋"/>
          <w:sz w:val="24"/>
          <w:szCs w:val="24"/>
        </w:rPr>
        <w:t>等</w:t>
      </w:r>
      <w:r>
        <w:rPr>
          <w:rFonts w:ascii="仿宋" w:hAnsi="仿宋" w:eastAsia="仿宋" w:cs="仿宋"/>
          <w:sz w:val="24"/>
          <w:szCs w:val="24"/>
        </w:rPr>
        <w:t>；</w:t>
      </w:r>
    </w:p>
    <w:p w14:paraId="48BB7B36">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2）服务内容：包括但不限于内控相关政策解读、内控体系优化、内控信息化设计、内控知识库优化等咨询答疑服务。</w:t>
      </w:r>
    </w:p>
    <w:p w14:paraId="5D95567E">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、验收方案：</w:t>
      </w:r>
    </w:p>
    <w:p w14:paraId="16BD05C4">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.1验收时间：</w:t>
      </w:r>
    </w:p>
    <w:p w14:paraId="0AB92471">
      <w:pPr>
        <w:pStyle w:val="17"/>
        <w:snapToGrid w:val="0"/>
        <w:spacing w:after="0" w:line="360" w:lineRule="auto"/>
        <w:ind w:firstLine="480" w:firstLineChars="200"/>
        <w:rPr>
          <w:rFonts w:hint="eastAsia" w:ascii="仿宋" w:hAnsi="仿宋" w:eastAsia="仿宋" w:cs="仿宋"/>
          <w:sz w:val="24"/>
          <w:szCs w:val="24"/>
        </w:rPr>
      </w:pPr>
      <w:r>
        <w:rPr>
          <w:rFonts w:ascii="仿宋" w:hAnsi="仿宋" w:eastAsia="仿宋" w:cs="仿宋"/>
          <w:sz w:val="24"/>
          <w:szCs w:val="24"/>
        </w:rPr>
        <w:t>第一</w:t>
      </w:r>
      <w:r>
        <w:rPr>
          <w:rFonts w:hint="eastAsia" w:ascii="仿宋" w:hAnsi="仿宋" w:eastAsia="仿宋" w:cs="仿宋"/>
          <w:sz w:val="24"/>
          <w:szCs w:val="24"/>
        </w:rPr>
        <w:t>阶段</w:t>
      </w:r>
      <w:r>
        <w:rPr>
          <w:rFonts w:ascii="仿宋" w:hAnsi="仿宋" w:eastAsia="仿宋" w:cs="仿宋"/>
          <w:sz w:val="24"/>
          <w:szCs w:val="24"/>
        </w:rPr>
        <w:t>验收：合同签订后120个日历天内</w:t>
      </w:r>
      <w:r>
        <w:rPr>
          <w:rFonts w:hint="eastAsia" w:ascii="仿宋" w:hAnsi="仿宋" w:eastAsia="仿宋" w:cs="仿宋"/>
          <w:sz w:val="24"/>
          <w:szCs w:val="24"/>
        </w:rPr>
        <w:t>，</w:t>
      </w:r>
      <w:r>
        <w:rPr>
          <w:rFonts w:ascii="仿宋" w:hAnsi="仿宋" w:eastAsia="仿宋" w:cs="仿宋"/>
          <w:sz w:val="24"/>
          <w:szCs w:val="24"/>
        </w:rPr>
        <w:t>供应商完成</w:t>
      </w:r>
      <w:r>
        <w:rPr>
          <w:rFonts w:hint="eastAsia" w:ascii="仿宋" w:hAnsi="仿宋" w:eastAsia="仿宋" w:cs="仿宋"/>
          <w:sz w:val="24"/>
          <w:szCs w:val="24"/>
        </w:rPr>
        <w:t>本项目</w:t>
      </w:r>
      <w:r>
        <w:rPr>
          <w:rFonts w:ascii="仿宋" w:hAnsi="仿宋" w:eastAsia="仿宋" w:cs="仿宋"/>
          <w:sz w:val="24"/>
          <w:szCs w:val="24"/>
        </w:rPr>
        <w:t>“内控流程体系更新”和“内部管理制度汇编”后5日内通知采购人验收，采购人接供应商通知后10日内组织验收。</w:t>
      </w:r>
    </w:p>
    <w:p w14:paraId="0CF50040">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第二阶段验收：合同签订后210日历天内，供应商完成本章第二条中除“内控流程体系更新”和“内部管理制度汇编”外的其他全部内容后5日内</w:t>
      </w:r>
      <w:r>
        <w:rPr>
          <w:rFonts w:ascii="仿宋" w:hAnsi="仿宋" w:eastAsia="仿宋" w:cs="仿宋"/>
          <w:sz w:val="24"/>
          <w:szCs w:val="24"/>
        </w:rPr>
        <w:t>通知采购人验收，采购人接供应商通知后10日内组织验收。</w:t>
      </w:r>
    </w:p>
    <w:p w14:paraId="10E3EA3A">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 xml:space="preserve">.2验收主体：采购人      </w:t>
      </w:r>
    </w:p>
    <w:p w14:paraId="7333D226">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.3验收组织方式：自行验收</w:t>
      </w:r>
    </w:p>
    <w:p w14:paraId="09016655">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.4验收方式：</w:t>
      </w:r>
      <w:r>
        <w:rPr>
          <w:rFonts w:hint="eastAsia" w:ascii="仿宋" w:hAnsi="仿宋" w:eastAsia="仿宋" w:cs="仿宋"/>
          <w:sz w:val="24"/>
          <w:szCs w:val="24"/>
        </w:rPr>
        <w:t>现场整体验收</w:t>
      </w:r>
    </w:p>
    <w:p w14:paraId="7F34345F">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.5验收程序：分期/分段验收</w:t>
      </w:r>
    </w:p>
    <w:p w14:paraId="3971DC81">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.6验收内容：按照基于本项目采购需求编制的采购文件要求及供应商响应文件情况，</w:t>
      </w:r>
      <w:r>
        <w:rPr>
          <w:rFonts w:hint="eastAsia" w:ascii="仿宋" w:hAnsi="仿宋" w:eastAsia="仿宋" w:cs="仿宋"/>
          <w:sz w:val="24"/>
          <w:szCs w:val="24"/>
        </w:rPr>
        <w:t>由供应商向采购人交付的每阶段的全部内容</w:t>
      </w:r>
      <w:r>
        <w:rPr>
          <w:rFonts w:ascii="仿宋" w:hAnsi="仿宋" w:eastAsia="仿宋" w:cs="仿宋"/>
          <w:sz w:val="24"/>
          <w:szCs w:val="24"/>
        </w:rPr>
        <w:t>。</w:t>
      </w:r>
    </w:p>
    <w:p w14:paraId="51D0EE3F">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.7验收标准：</w:t>
      </w:r>
    </w:p>
    <w:p w14:paraId="2B2C1568">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.7.1国家相关法律法规、行业标准、技术规范。</w:t>
      </w:r>
    </w:p>
    <w:p w14:paraId="6528DB5E">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.7.2基于本项目采购需求编制的谈判文件相关技术、服务要求、成交供应商响应文件相关响应内容。</w:t>
      </w:r>
    </w:p>
    <w:p w14:paraId="6473DE9A">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.7.3产品生产厂家出具的产品说明书、技术白皮书、医疗器械注册证或备案凭证等官方技术资料（如涉及）。</w:t>
      </w:r>
    </w:p>
    <w:p w14:paraId="749F8EDE">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.7.4如验收时，采购人与供应商认为本项目验收标准中的技术指标、质量要求等内容存在相互抵触或对其理解存在异议，应按照其中更严格的要求、标准等进行验收。</w:t>
      </w:r>
    </w:p>
    <w:p w14:paraId="4D5D5A4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.7.5参照《财政部关于进一步加强政府采购需求和履约验收管理的指导意见》（财库〔2016〕205号）的要求进行验收。</w:t>
      </w:r>
    </w:p>
    <w:p w14:paraId="6FCB778A">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5.7.6如本项目验收方式为考核验收，则考核结果须为合格。</w:t>
      </w:r>
    </w:p>
    <w:p w14:paraId="2064BA8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.7.</w:t>
      </w:r>
      <w:r>
        <w:rPr>
          <w:rFonts w:hint="eastAsia" w:ascii="仿宋" w:hAnsi="仿宋" w:eastAsia="仿宋" w:cs="仿宋"/>
          <w:sz w:val="24"/>
          <w:szCs w:val="24"/>
        </w:rPr>
        <w:t>7</w:t>
      </w:r>
      <w:r>
        <w:rPr>
          <w:rFonts w:ascii="仿宋" w:hAnsi="仿宋" w:eastAsia="仿宋" w:cs="仿宋"/>
          <w:sz w:val="24"/>
          <w:szCs w:val="24"/>
        </w:rPr>
        <w:t>其他验收标准：按照项目服务内容、项目要求进行验收</w:t>
      </w:r>
      <w:r>
        <w:rPr>
          <w:rFonts w:hint="eastAsia" w:ascii="仿宋" w:hAnsi="仿宋" w:eastAsia="仿宋" w:cs="仿宋"/>
          <w:sz w:val="24"/>
          <w:szCs w:val="24"/>
        </w:rPr>
        <w:t>。</w:t>
      </w:r>
    </w:p>
    <w:p w14:paraId="2A975EAC">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.8其它验收要求：</w:t>
      </w:r>
      <w:r>
        <w:rPr>
          <w:rFonts w:hint="eastAsia" w:ascii="仿宋" w:hAnsi="仿宋" w:eastAsia="仿宋" w:cs="仿宋"/>
          <w:sz w:val="24"/>
          <w:szCs w:val="24"/>
        </w:rPr>
        <w:t>无。</w:t>
      </w:r>
    </w:p>
    <w:p w14:paraId="156BC59D">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.9是否委托第三方机构验收：否</w:t>
      </w:r>
    </w:p>
    <w:p w14:paraId="041C8991">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.10是否邀请本项目的其他供应商：否</w:t>
      </w:r>
    </w:p>
    <w:p w14:paraId="16FBAA43">
      <w:pPr>
        <w:pStyle w:val="17"/>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.11是否邀请服务对象：否</w:t>
      </w:r>
    </w:p>
    <w:p w14:paraId="7B540683">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ascii="仿宋" w:hAnsi="仿宋" w:eastAsia="仿宋" w:cs="仿宋"/>
          <w:sz w:val="24"/>
          <w:szCs w:val="24"/>
        </w:rPr>
        <w:t>.12是否邀请专家</w:t>
      </w:r>
      <w:r>
        <w:rPr>
          <w:rFonts w:hint="eastAsia" w:ascii="仿宋" w:hAnsi="仿宋" w:eastAsia="仿宋" w:cs="仿宋"/>
          <w:sz w:val="24"/>
          <w:szCs w:val="24"/>
        </w:rPr>
        <w:t>：否</w:t>
      </w:r>
    </w:p>
    <w:p w14:paraId="3F50371B">
      <w:pPr>
        <w:pStyle w:val="17"/>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6、保密要求：本项目所涉及所有数据及资料均为保密资料，双方需签订保密协议。</w:t>
      </w:r>
    </w:p>
    <w:p w14:paraId="779EF81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cs="仿宋"/>
          <w:sz w:val="24"/>
          <w:szCs w:val="24"/>
        </w:rPr>
        <w:t>7、供应商应当严格按照时间节点完成委托工作，若因供应商原因在任一时间节点未完成项目约定的工作，采购人有权单方面取消合同，同时供应商应退还采购人已付的所有资金。</w:t>
      </w:r>
    </w:p>
    <w:p w14:paraId="49E3473A">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725FBFAD">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476325FA">
      <w:pPr>
        <w:rPr>
          <w:rFonts w:ascii="Times New Roman" w:hAnsi="Times New Roman" w:eastAsia="仿宋" w:cs="Times New Roman"/>
          <w:b/>
          <w:bCs/>
          <w:sz w:val="24"/>
          <w:szCs w:val="24"/>
        </w:rPr>
      </w:pPr>
      <w:r>
        <w:rPr>
          <w:rFonts w:ascii="Times New Roman" w:hAnsi="Times New Roman" w:eastAsia="仿宋" w:cs="Times New Roman"/>
          <w:b/>
          <w:bCs/>
          <w:sz w:val="24"/>
          <w:szCs w:val="24"/>
        </w:rPr>
        <w:br w:type="page"/>
      </w:r>
    </w:p>
    <w:p w14:paraId="3AA4C784">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p>
    <w:p w14:paraId="1E53B04C">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2658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7FB884E7">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3F3E9C3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评分因素</w:t>
            </w:r>
          </w:p>
          <w:p w14:paraId="2DBA6193">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30BE8589">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48B7331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评分标准</w:t>
            </w:r>
          </w:p>
        </w:tc>
      </w:tr>
      <w:tr w14:paraId="0175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39142087">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1</w:t>
            </w:r>
          </w:p>
        </w:tc>
        <w:tc>
          <w:tcPr>
            <w:tcW w:w="1384" w:type="dxa"/>
            <w:noWrap/>
            <w:vAlign w:val="center"/>
          </w:tcPr>
          <w:p w14:paraId="728AFED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报价</w:t>
            </w:r>
          </w:p>
          <w:p w14:paraId="5C2D9C6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39BA2869">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7BF77818">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sz w:val="24"/>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w:t>
            </w:r>
            <w:r>
              <w:rPr>
                <w:rFonts w:hint="eastAsia" w:ascii="仿宋" w:eastAsia="仿宋" w:cs="仿宋"/>
                <w:sz w:val="24"/>
                <w:szCs w:val="24"/>
                <w:lang w:val="en-US" w:eastAsia="zh-CN"/>
              </w:rPr>
              <w:t>报价</w:t>
            </w:r>
            <w:r>
              <w:rPr>
                <w:rFonts w:hint="eastAsia" w:ascii="仿宋" w:eastAsia="仿宋" w:cs="仿宋"/>
                <w:sz w:val="24"/>
                <w:szCs w:val="24"/>
                <w:lang w:eastAsia="zh-CN"/>
              </w:rPr>
              <w:t>最</w:t>
            </w:r>
            <w:r>
              <w:rPr>
                <w:rFonts w:hint="eastAsia" w:ascii="仿宋" w:eastAsia="仿宋" w:cs="仿宋"/>
                <w:sz w:val="24"/>
                <w:szCs w:val="24"/>
                <w:lang w:val="en-US" w:eastAsia="zh-CN"/>
              </w:rPr>
              <w:t>低</w:t>
            </w:r>
            <w:r>
              <w:rPr>
                <w:rFonts w:hint="eastAsia" w:ascii="仿宋" w:eastAsia="仿宋" w:cs="仿宋"/>
                <w:sz w:val="24"/>
                <w:szCs w:val="24"/>
                <w:lang w:eastAsia="zh-CN"/>
              </w:rPr>
              <w:t>的为评审基准价，其价格分为满分。其他供应商的报价得分按照下列公式计算：报价得分= 基准价/报价*10。</w:t>
            </w:r>
          </w:p>
        </w:tc>
      </w:tr>
      <w:tr w14:paraId="28DE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0518D8F9">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eastAsia="仿宋" w:cs="宋体"/>
                <w:sz w:val="24"/>
              </w:rPr>
            </w:pPr>
            <w:r>
              <w:rPr>
                <w:rFonts w:hint="eastAsia" w:ascii="仿宋" w:hAnsi="仿宋" w:eastAsia="仿宋"/>
                <w:sz w:val="24"/>
              </w:rPr>
              <w:t>2</w:t>
            </w:r>
          </w:p>
        </w:tc>
        <w:tc>
          <w:tcPr>
            <w:tcW w:w="1384" w:type="dxa"/>
            <w:shd w:val="clear" w:color="auto" w:fill="auto"/>
            <w:noWrap/>
            <w:vAlign w:val="center"/>
          </w:tcPr>
          <w:p w14:paraId="79BB87CF">
            <w:pPr>
              <w:pStyle w:val="43"/>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人员要求50%</w:t>
            </w:r>
          </w:p>
        </w:tc>
        <w:tc>
          <w:tcPr>
            <w:tcW w:w="709" w:type="dxa"/>
            <w:shd w:val="clear" w:color="auto" w:fill="auto"/>
            <w:noWrap/>
            <w:vAlign w:val="center"/>
          </w:tcPr>
          <w:p w14:paraId="3B53ABE0">
            <w:pPr>
              <w:pStyle w:val="43"/>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50</w:t>
            </w:r>
          </w:p>
        </w:tc>
        <w:tc>
          <w:tcPr>
            <w:tcW w:w="6520" w:type="dxa"/>
            <w:shd w:val="clear" w:color="auto" w:fill="auto"/>
            <w:noWrap/>
            <w:vAlign w:val="top"/>
          </w:tcPr>
          <w:p w14:paraId="29A76A79">
            <w:pPr>
              <w:pStyle w:val="4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供</w:t>
            </w:r>
            <w:r>
              <w:rPr>
                <w:rFonts w:hint="eastAsia" w:ascii="仿宋" w:hAnsi="仿宋" w:eastAsia="仿宋" w:cs="仿宋"/>
                <w:kern w:val="2"/>
                <w:sz w:val="24"/>
                <w:szCs w:val="24"/>
                <w:highlight w:val="none"/>
                <w:lang w:val="en-US" w:eastAsia="zh-CN" w:bidi="ar-SA"/>
              </w:rPr>
              <w:t>应商拟投入本项目人员：</w:t>
            </w:r>
          </w:p>
          <w:p w14:paraId="7D53D534">
            <w:pPr>
              <w:pStyle w:val="4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1、项目团队负责人具备审计、</w:t>
            </w:r>
            <w:r>
              <w:rPr>
                <w:rFonts w:hint="eastAsia" w:ascii="仿宋" w:hAnsi="仿宋" w:eastAsia="仿宋" w:cs="仿宋"/>
                <w:sz w:val="24"/>
                <w:szCs w:val="24"/>
              </w:rPr>
              <w:t>会计职业资格</w:t>
            </w:r>
            <w:r>
              <w:rPr>
                <w:rFonts w:hint="eastAsia" w:ascii="仿宋" w:hAnsi="仿宋" w:eastAsia="仿宋" w:cs="仿宋"/>
                <w:kern w:val="2"/>
                <w:sz w:val="24"/>
                <w:szCs w:val="24"/>
                <w:highlight w:val="none"/>
                <w:lang w:val="en-US" w:eastAsia="zh-CN" w:bidi="ar-SA"/>
              </w:rPr>
              <w:t>的，</w:t>
            </w:r>
            <w:r>
              <w:rPr>
                <w:rFonts w:hint="default" w:ascii="仿宋" w:hAnsi="仿宋" w:eastAsia="仿宋" w:cs="仿宋"/>
                <w:kern w:val="2"/>
                <w:sz w:val="24"/>
                <w:szCs w:val="24"/>
                <w:highlight w:val="none"/>
                <w:lang w:val="en-US" w:eastAsia="zh-CN" w:bidi="ar-SA"/>
              </w:rPr>
              <w:t>按类别分别计分：每具备一个类别的</w:t>
            </w:r>
            <w:r>
              <w:rPr>
                <w:rFonts w:hint="eastAsia" w:ascii="仿宋" w:hAnsi="仿宋" w:eastAsia="仿宋" w:cs="仿宋"/>
                <w:kern w:val="2"/>
                <w:sz w:val="24"/>
                <w:szCs w:val="24"/>
                <w:highlight w:val="none"/>
                <w:lang w:val="en-US" w:eastAsia="zh-CN" w:bidi="ar-SA"/>
              </w:rPr>
              <w:t>中级</w:t>
            </w:r>
            <w:r>
              <w:rPr>
                <w:rFonts w:hint="eastAsia" w:ascii="仿宋" w:hAnsi="仿宋" w:eastAsia="仿宋" w:cs="仿宋"/>
                <w:sz w:val="24"/>
                <w:szCs w:val="24"/>
              </w:rPr>
              <w:t>职业资格</w:t>
            </w:r>
            <w:r>
              <w:rPr>
                <w:rFonts w:hint="default" w:ascii="仿宋" w:hAnsi="仿宋" w:eastAsia="仿宋" w:cs="仿宋"/>
                <w:kern w:val="2"/>
                <w:sz w:val="24"/>
                <w:szCs w:val="24"/>
                <w:highlight w:val="none"/>
                <w:lang w:val="en-US" w:eastAsia="zh-CN" w:bidi="ar-SA"/>
              </w:rPr>
              <w:t>得6分，每具备一个类别的高级</w:t>
            </w:r>
            <w:r>
              <w:rPr>
                <w:rFonts w:hint="eastAsia" w:ascii="仿宋" w:hAnsi="仿宋" w:eastAsia="仿宋" w:cs="仿宋"/>
                <w:sz w:val="24"/>
                <w:szCs w:val="24"/>
              </w:rPr>
              <w:t>职业资格</w:t>
            </w:r>
            <w:r>
              <w:rPr>
                <w:rFonts w:hint="default" w:ascii="仿宋" w:hAnsi="仿宋" w:eastAsia="仿宋" w:cs="仿宋"/>
                <w:kern w:val="2"/>
                <w:sz w:val="24"/>
                <w:szCs w:val="24"/>
                <w:highlight w:val="none"/>
                <w:lang w:val="en-US" w:eastAsia="zh-CN" w:bidi="ar-SA"/>
              </w:rPr>
              <w:t>得12分。同一类别按最高等级计分一次，不重复计分；不同类别可累计计分。本项最高得24分。</w:t>
            </w:r>
          </w:p>
          <w:p w14:paraId="210CACAC">
            <w:pPr>
              <w:pStyle w:val="4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注：提供证书复印件并加盖供应商公章。</w:t>
            </w:r>
          </w:p>
          <w:p w14:paraId="2D8FFEA3">
            <w:pPr>
              <w:pStyle w:val="17"/>
              <w:numPr>
                <w:ilvl w:val="0"/>
                <w:numId w:val="0"/>
              </w:numPr>
              <w:snapToGrid w:val="0"/>
              <w:spacing w:after="0"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lang w:val="en-US" w:eastAsia="zh-CN" w:bidi="ar-SA"/>
              </w:rPr>
              <w:t>2、</w:t>
            </w:r>
            <w:r>
              <w:rPr>
                <w:rFonts w:ascii="仿宋" w:hAnsi="仿宋" w:eastAsia="仿宋" w:cs="仿宋"/>
                <w:sz w:val="24"/>
                <w:szCs w:val="24"/>
                <w:highlight w:val="none"/>
              </w:rPr>
              <w:t>项目团队其余人员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除项目负责人以外）每有1人</w:t>
            </w:r>
            <w:r>
              <w:rPr>
                <w:rFonts w:ascii="仿宋" w:hAnsi="仿宋" w:eastAsia="仿宋" w:cs="仿宋"/>
                <w:sz w:val="24"/>
                <w:szCs w:val="24"/>
                <w:highlight w:val="none"/>
              </w:rPr>
              <w:t>具有初级会计师</w:t>
            </w:r>
            <w:r>
              <w:rPr>
                <w:rFonts w:hint="eastAsia" w:ascii="仿宋" w:hAnsi="仿宋" w:eastAsia="仿宋" w:cs="仿宋"/>
                <w:sz w:val="24"/>
                <w:szCs w:val="24"/>
                <w:highlight w:val="none"/>
                <w:lang w:val="en-US" w:eastAsia="zh-CN"/>
              </w:rPr>
              <w:t>资格的得4分，本项最多得16分。</w:t>
            </w:r>
          </w:p>
          <w:p w14:paraId="11268A03">
            <w:pPr>
              <w:pStyle w:val="17"/>
              <w:numPr>
                <w:ilvl w:val="0"/>
                <w:numId w:val="0"/>
              </w:numPr>
              <w:snapToGrid w:val="0"/>
              <w:spacing w:after="0" w:line="360" w:lineRule="auto"/>
              <w:ind w:left="0" w:leftChars="0" w:firstLine="0" w:firstLineChars="0"/>
              <w:rPr>
                <w:rFonts w:hint="default" w:ascii="仿宋" w:hAnsi="仿宋" w:eastAsia="仿宋" w:cs="仿宋"/>
                <w:sz w:val="24"/>
                <w:szCs w:val="24"/>
                <w:highlight w:val="none"/>
                <w:lang w:val="en-US" w:eastAsia="zh-CN"/>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注：提供相关证书复印件并加盖供应商公章。</w:t>
            </w:r>
          </w:p>
          <w:p w14:paraId="525CB32B">
            <w:pPr>
              <w:pStyle w:val="17"/>
              <w:numPr>
                <w:ilvl w:val="0"/>
                <w:numId w:val="13"/>
              </w:numPr>
              <w:snapToGrid w:val="0"/>
              <w:spacing w:after="0" w:line="360" w:lineRule="auto"/>
              <w:ind w:left="0" w:leftChars="0" w:firstLine="0" w:firstLineChars="0"/>
              <w:rPr>
                <w:rFonts w:ascii="仿宋" w:hAnsi="仿宋" w:eastAsia="仿宋" w:cs="仿宋"/>
                <w:sz w:val="24"/>
                <w:szCs w:val="24"/>
                <w:highlight w:val="none"/>
              </w:rPr>
            </w:pPr>
            <w:r>
              <w:rPr>
                <w:rFonts w:ascii="仿宋" w:hAnsi="仿宋" w:eastAsia="仿宋" w:cs="仿宋"/>
                <w:sz w:val="24"/>
                <w:szCs w:val="24"/>
                <w:highlight w:val="none"/>
              </w:rPr>
              <w:t>项目团队其余人员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除项目负责人以外）每有1人</w:t>
            </w:r>
            <w:r>
              <w:rPr>
                <w:rFonts w:ascii="仿宋" w:hAnsi="仿宋" w:eastAsia="仿宋" w:cs="仿宋"/>
                <w:sz w:val="24"/>
                <w:szCs w:val="24"/>
                <w:highlight w:val="none"/>
              </w:rPr>
              <w:t>有参与过</w:t>
            </w:r>
            <w:r>
              <w:rPr>
                <w:rFonts w:hint="eastAsia" w:ascii="仿宋" w:hAnsi="仿宋" w:eastAsia="仿宋" w:cs="仿宋"/>
                <w:sz w:val="24"/>
                <w:szCs w:val="24"/>
                <w:highlight w:val="none"/>
              </w:rPr>
              <w:t>不少于3家行政事业单位</w:t>
            </w:r>
            <w:r>
              <w:rPr>
                <w:rFonts w:ascii="仿宋" w:hAnsi="仿宋" w:eastAsia="仿宋" w:cs="仿宋"/>
                <w:sz w:val="24"/>
                <w:szCs w:val="24"/>
                <w:highlight w:val="none"/>
              </w:rPr>
              <w:t>内部控制体系服务工作经验</w:t>
            </w:r>
            <w:r>
              <w:rPr>
                <w:rFonts w:hint="eastAsia" w:ascii="仿宋" w:hAnsi="仿宋" w:eastAsia="仿宋" w:cs="仿宋"/>
                <w:sz w:val="24"/>
                <w:szCs w:val="24"/>
                <w:highlight w:val="none"/>
                <w:lang w:val="en-US" w:eastAsia="zh-CN"/>
              </w:rPr>
              <w:t>的得2.5分，本项最多得10分</w:t>
            </w:r>
            <w:r>
              <w:rPr>
                <w:rFonts w:ascii="仿宋" w:hAnsi="仿宋" w:eastAsia="仿宋" w:cs="仿宋"/>
                <w:sz w:val="24"/>
                <w:szCs w:val="24"/>
                <w:highlight w:val="none"/>
              </w:rPr>
              <w:t>。</w:t>
            </w:r>
          </w:p>
          <w:p w14:paraId="1573EAA7">
            <w:pPr>
              <w:pStyle w:val="17"/>
              <w:numPr>
                <w:ilvl w:val="0"/>
                <w:numId w:val="0"/>
              </w:numPr>
              <w:snapToGrid w:val="0"/>
              <w:spacing w:after="0"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注：提供</w:t>
            </w:r>
            <w:r>
              <w:rPr>
                <w:rFonts w:ascii="仿宋" w:hAnsi="仿宋" w:eastAsia="仿宋" w:cs="仿宋"/>
                <w:sz w:val="24"/>
                <w:szCs w:val="24"/>
              </w:rPr>
              <w:t>参加行政事业单位内部控制体系服务合同（合同上需体现人员名单）或经服务单位盖章确认的项目验收单/项目启动单（验收单/启动单上需体现人员名单）</w:t>
            </w:r>
            <w:r>
              <w:rPr>
                <w:rFonts w:hint="eastAsia" w:ascii="仿宋" w:hAnsi="仿宋" w:eastAsia="仿宋" w:cs="仿宋"/>
                <w:sz w:val="24"/>
                <w:szCs w:val="24"/>
                <w:highlight w:val="none"/>
                <w:lang w:val="en-US" w:eastAsia="zh-CN"/>
              </w:rPr>
              <w:t>并加盖供应商公章。</w:t>
            </w:r>
          </w:p>
        </w:tc>
      </w:tr>
      <w:tr w14:paraId="40B1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7288434">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ascii="仿宋" w:hAnsi="仿宋" w:eastAsia="仿宋" w:cs="宋体"/>
                <w:sz w:val="24"/>
              </w:rPr>
            </w:pPr>
            <w:r>
              <w:rPr>
                <w:rFonts w:hint="eastAsia" w:ascii="仿宋" w:hAnsi="仿宋" w:eastAsia="仿宋" w:cs="宋体"/>
                <w:sz w:val="24"/>
              </w:rPr>
              <w:t>3</w:t>
            </w:r>
          </w:p>
        </w:tc>
        <w:tc>
          <w:tcPr>
            <w:tcW w:w="1384" w:type="dxa"/>
            <w:noWrap/>
            <w:vAlign w:val="center"/>
          </w:tcPr>
          <w:p w14:paraId="5B459B41">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eastAsia" w:ascii="仿宋" w:hAnsi="仿宋" w:eastAsia="仿宋" w:cs="宋体"/>
                <w:sz w:val="24"/>
                <w:lang w:val="en-US" w:eastAsia="zh-CN"/>
              </w:rPr>
            </w:pPr>
            <w:r>
              <w:rPr>
                <w:rFonts w:hint="eastAsia" w:ascii="仿宋" w:hAnsi="仿宋" w:eastAsia="仿宋" w:cs="宋体"/>
                <w:sz w:val="24"/>
                <w:lang w:val="en-US" w:eastAsia="zh-CN"/>
              </w:rPr>
              <w:t>服务方案</w:t>
            </w:r>
          </w:p>
        </w:tc>
        <w:tc>
          <w:tcPr>
            <w:tcW w:w="709" w:type="dxa"/>
            <w:noWrap/>
            <w:vAlign w:val="center"/>
          </w:tcPr>
          <w:p w14:paraId="479DF6D6">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15</w:t>
            </w:r>
          </w:p>
        </w:tc>
        <w:tc>
          <w:tcPr>
            <w:tcW w:w="6520" w:type="dxa"/>
            <w:shd w:val="clear" w:color="auto" w:fill="auto"/>
            <w:noWrap/>
            <w:vAlign w:val="top"/>
          </w:tcPr>
          <w:p w14:paraId="78DF9A31">
            <w:pPr>
              <w:pStyle w:val="43"/>
              <w:keepNext w:val="0"/>
              <w:keepLines w:val="0"/>
              <w:pageBreakBefore w:val="0"/>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根据供应商针对本项目提供的服务方案进行评审，方案内容包括：</w:t>
            </w:r>
            <w:r>
              <w:rPr>
                <w:rFonts w:hint="eastAsia" w:ascii="仿宋_GB2312" w:hAnsi="仿宋_GB2312" w:eastAsia="仿宋_GB2312" w:cs="仿宋_GB2312"/>
                <w:color w:val="000000" w:themeColor="text1"/>
                <w:lang w:val="en-US" w:eastAsia="zh-CN"/>
                <w14:textFill>
                  <w14:solidFill>
                    <w14:schemeClr w14:val="tx1"/>
                  </w14:solidFill>
                </w14:textFill>
              </w:rPr>
              <w:t>①人员组织分工及技术质量保障方案、②项目进度计划安排清单、③项目进度保障措施，</w:t>
            </w:r>
            <w:r>
              <w:rPr>
                <w:rFonts w:ascii="仿宋_GB2312" w:hAnsi="仿宋_GB2312" w:eastAsia="仿宋_GB2312" w:cs="仿宋_GB2312"/>
                <w:color w:val="000000" w:themeColor="text1"/>
                <w14:textFill>
                  <w14:solidFill>
                    <w14:schemeClr w14:val="tx1"/>
                  </w14:solidFill>
                </w14:textFill>
              </w:rPr>
              <w:t>提供完整（共</w:t>
            </w:r>
            <w:r>
              <w:rPr>
                <w:rFonts w:hint="eastAsia" w:ascii="仿宋_GB2312" w:hAnsi="仿宋_GB2312" w:eastAsia="仿宋_GB2312" w:cs="仿宋_GB2312"/>
                <w:color w:val="000000" w:themeColor="text1"/>
                <w:lang w:val="en-US" w:eastAsia="zh-CN"/>
                <w14:textFill>
                  <w14:solidFill>
                    <w14:schemeClr w14:val="tx1"/>
                  </w14:solidFill>
                </w14:textFill>
              </w:rPr>
              <w:t>3</w:t>
            </w:r>
            <w:r>
              <w:rPr>
                <w:rFonts w:ascii="仿宋_GB2312" w:hAnsi="仿宋_GB2312" w:eastAsia="仿宋_GB2312" w:cs="仿宋_GB2312"/>
                <w:color w:val="000000" w:themeColor="text1"/>
                <w14:textFill>
                  <w14:solidFill>
                    <w14:schemeClr w14:val="tx1"/>
                  </w14:solidFill>
                </w14:textFill>
              </w:rPr>
              <w:t>项）得</w:t>
            </w:r>
            <w:r>
              <w:rPr>
                <w:rFonts w:hint="eastAsia" w:ascii="仿宋_GB2312" w:hAnsi="仿宋_GB2312" w:eastAsia="仿宋_GB2312" w:cs="仿宋_GB2312"/>
                <w:color w:val="000000" w:themeColor="text1"/>
                <w:lang w:val="en-US" w:eastAsia="zh-CN"/>
                <w14:textFill>
                  <w14:solidFill>
                    <w14:schemeClr w14:val="tx1"/>
                  </w14:solidFill>
                </w14:textFill>
              </w:rPr>
              <w:t>15</w:t>
            </w:r>
            <w:r>
              <w:rPr>
                <w:rFonts w:ascii="仿宋_GB2312" w:hAnsi="仿宋_GB2312" w:eastAsia="仿宋_GB2312" w:cs="仿宋_GB2312"/>
                <w:color w:val="000000" w:themeColor="text1"/>
                <w14:textFill>
                  <w14:solidFill>
                    <w14:schemeClr w14:val="tx1"/>
                  </w14:solidFill>
                </w14:textFill>
              </w:rPr>
              <w:t>分，每有一项内容未提供的扣</w:t>
            </w:r>
            <w:r>
              <w:rPr>
                <w:rFonts w:hint="eastAsia" w:ascii="仿宋_GB2312" w:hAnsi="仿宋_GB2312" w:eastAsia="仿宋_GB2312" w:cs="仿宋_GB2312"/>
                <w:color w:val="000000" w:themeColor="text1"/>
                <w:lang w:val="en-US" w:eastAsia="zh-CN"/>
                <w14:textFill>
                  <w14:solidFill>
                    <w14:schemeClr w14:val="tx1"/>
                  </w14:solidFill>
                </w14:textFill>
              </w:rPr>
              <w:t>5</w:t>
            </w:r>
            <w:r>
              <w:rPr>
                <w:rFonts w:ascii="仿宋_GB2312" w:hAnsi="仿宋_GB2312" w:eastAsia="仿宋_GB2312" w:cs="仿宋_GB2312"/>
                <w:color w:val="000000" w:themeColor="text1"/>
                <w14:textFill>
                  <w14:solidFill>
                    <w14:schemeClr w14:val="tx1"/>
                  </w14:solidFill>
                </w14:textFill>
              </w:rPr>
              <w:t>分，最多扣</w:t>
            </w:r>
            <w:r>
              <w:rPr>
                <w:rFonts w:hint="eastAsia" w:ascii="仿宋_GB2312" w:hAnsi="仿宋_GB2312" w:eastAsia="仿宋_GB2312" w:cs="仿宋_GB2312"/>
                <w:color w:val="000000" w:themeColor="text1"/>
                <w:lang w:val="en-US" w:eastAsia="zh-CN"/>
                <w14:textFill>
                  <w14:solidFill>
                    <w14:schemeClr w14:val="tx1"/>
                  </w14:solidFill>
                </w14:textFill>
              </w:rPr>
              <w:t>15</w:t>
            </w:r>
            <w:r>
              <w:rPr>
                <w:rFonts w:ascii="仿宋_GB2312" w:hAnsi="仿宋_GB2312" w:eastAsia="仿宋_GB2312" w:cs="仿宋_GB2312"/>
                <w:color w:val="000000" w:themeColor="text1"/>
                <w14:textFill>
                  <w14:solidFill>
                    <w14:schemeClr w14:val="tx1"/>
                  </w14:solidFill>
                </w14:textFill>
              </w:rPr>
              <w:t>分；每项中每有一处内容存在缺陷的扣</w:t>
            </w:r>
            <w:r>
              <w:rPr>
                <w:rFonts w:hint="eastAsia" w:ascii="仿宋_GB2312" w:hAnsi="仿宋_GB2312" w:eastAsia="仿宋_GB2312" w:cs="仿宋_GB2312"/>
                <w:color w:val="000000" w:themeColor="text1"/>
                <w:lang w:val="en-US" w:eastAsia="zh-CN"/>
                <w14:textFill>
                  <w14:solidFill>
                    <w14:schemeClr w14:val="tx1"/>
                  </w14:solidFill>
                </w14:textFill>
              </w:rPr>
              <w:t>2.5</w:t>
            </w:r>
            <w:r>
              <w:rPr>
                <w:rFonts w:ascii="仿宋_GB2312" w:hAnsi="仿宋_GB2312" w:eastAsia="仿宋_GB2312" w:cs="仿宋_GB2312"/>
                <w:color w:val="000000" w:themeColor="text1"/>
                <w14:textFill>
                  <w14:solidFill>
                    <w14:schemeClr w14:val="tx1"/>
                  </w14:solidFill>
                </w14:textFill>
              </w:rPr>
              <w:t>分，每项最多扣</w:t>
            </w:r>
            <w:r>
              <w:rPr>
                <w:rFonts w:hint="eastAsia" w:ascii="仿宋_GB2312" w:hAnsi="仿宋_GB2312" w:eastAsia="仿宋_GB2312" w:cs="仿宋_GB2312"/>
                <w:color w:val="000000" w:themeColor="text1"/>
                <w:lang w:val="en-US" w:eastAsia="zh-CN"/>
                <w14:textFill>
                  <w14:solidFill>
                    <w14:schemeClr w14:val="tx1"/>
                  </w14:solidFill>
                </w14:textFill>
              </w:rPr>
              <w:t>5</w:t>
            </w:r>
            <w:r>
              <w:rPr>
                <w:rFonts w:ascii="仿宋_GB2312" w:hAnsi="仿宋_GB2312" w:eastAsia="仿宋_GB2312" w:cs="仿宋_GB2312"/>
                <w:color w:val="000000" w:themeColor="text1"/>
                <w14:textFill>
                  <w14:solidFill>
                    <w14:schemeClr w14:val="tx1"/>
                  </w14:solidFill>
                </w14:textFill>
              </w:rPr>
              <w:t xml:space="preserve">分。 </w:t>
            </w:r>
          </w:p>
          <w:p w14:paraId="041C72B7">
            <w:pPr>
              <w:pStyle w:val="43"/>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000000" w:themeColor="text1"/>
                <w:kern w:val="0"/>
                <w:sz w:val="24"/>
                <w:szCs w:val="24"/>
                <w:lang w:val="en-US" w:eastAsia="zh-CN" w:bidi="ar-SA"/>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注：缺陷是指存在项目名称错误、地点区域错误、内容与本项目需求无关、适用的标准（方法）错误、明显复制其他项目内容任意一种情形。</w:t>
            </w:r>
          </w:p>
        </w:tc>
      </w:tr>
      <w:tr w14:paraId="4F7F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6D263ED6">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12A2BFBB">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业绩</w:t>
            </w:r>
          </w:p>
        </w:tc>
        <w:tc>
          <w:tcPr>
            <w:tcW w:w="709" w:type="dxa"/>
            <w:noWrap/>
            <w:vAlign w:val="center"/>
          </w:tcPr>
          <w:p w14:paraId="03E595E1">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25</w:t>
            </w:r>
          </w:p>
        </w:tc>
        <w:tc>
          <w:tcPr>
            <w:tcW w:w="6520" w:type="dxa"/>
            <w:noWrap/>
            <w:vAlign w:val="center"/>
          </w:tcPr>
          <w:p w14:paraId="703E98F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供应商提供自2023年1月1日（含）以来行政事业单位内部控制建设或监督检查相关</w:t>
            </w:r>
            <w:bookmarkStart w:id="104" w:name="_GoBack"/>
            <w:bookmarkEnd w:id="104"/>
            <w:r>
              <w:rPr>
                <w:rFonts w:hint="eastAsia" w:ascii="仿宋" w:hAnsi="仿宋" w:eastAsia="仿宋" w:cs="仿宋"/>
                <w:sz w:val="24"/>
                <w:szCs w:val="24"/>
                <w:lang w:val="en-US" w:eastAsia="zh-CN"/>
              </w:rPr>
              <w:t>业绩的，每提供1个得5分，本项最多得25分。</w:t>
            </w:r>
          </w:p>
          <w:p w14:paraId="1B03B3B7">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注：提供相关证明材料，包括但不限于：中标（成交）通知书或合同复印件或上级主管部门文件并加盖供应商公章。</w:t>
            </w:r>
          </w:p>
        </w:tc>
      </w:tr>
    </w:tbl>
    <w:p w14:paraId="7B3DBBBD">
      <w:pPr>
        <w:rPr>
          <w:rFonts w:hint="default" w:eastAsiaTheme="minorEastAsia"/>
          <w:lang w:val="en-US" w:eastAsia="zh-CN"/>
        </w:rPr>
      </w:pPr>
      <w:r>
        <w:rPr>
          <w:rFonts w:hint="default" w:eastAsiaTheme="minorEastAsia"/>
          <w:lang w:val="en-US" w:eastAsia="zh-CN"/>
        </w:rPr>
        <w:br w:type="page"/>
      </w:r>
    </w:p>
    <w:p w14:paraId="62ED3694">
      <w:pPr>
        <w:rPr>
          <w:rFonts w:hint="default" w:eastAsiaTheme="minorEastAsia"/>
          <w:lang w:val="en-US" w:eastAsia="zh-CN"/>
        </w:rPr>
      </w:pPr>
    </w:p>
    <w:p w14:paraId="0B7A9893">
      <w:pPr>
        <w:jc w:val="center"/>
        <w:rPr>
          <w:rFonts w:hint="default" w:eastAsiaTheme="minorEastAsia"/>
          <w:lang w:val="en-US" w:eastAsia="zh-CN"/>
        </w:rPr>
      </w:pP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17905"/>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11352"/>
      <w:bookmarkStart w:id="50" w:name="_Toc16029"/>
      <w:bookmarkStart w:id="51" w:name="_Toc14829"/>
      <w:bookmarkStart w:id="52" w:name="_Toc3023"/>
      <w:bookmarkStart w:id="53" w:name="_Toc6482"/>
    </w:p>
    <w:p w14:paraId="43B80407">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30971"/>
      <w:bookmarkStart w:id="56" w:name="_Toc17857"/>
      <w:bookmarkStart w:id="57" w:name="_Toc22676"/>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4"/>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3"/>
        <w:ind w:left="420" w:leftChars="200"/>
        <w:jc w:val="both"/>
        <w:rPr>
          <w:rFonts w:ascii="Times New Roman" w:hAnsi="Times New Roman" w:eastAsia="仿宋" w:cs="Times New Roman"/>
          <w:color w:val="auto"/>
        </w:rPr>
      </w:pPr>
    </w:p>
    <w:p w14:paraId="50A012A9">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11351"/>
      <w:bookmarkStart w:id="69" w:name="_Toc20589"/>
      <w:bookmarkStart w:id="70" w:name="_Toc15526"/>
      <w:bookmarkStart w:id="71" w:name="_Toc25638"/>
      <w:bookmarkStart w:id="72" w:name="_Toc12015"/>
      <w:r>
        <w:rPr>
          <w:rStyle w:val="42"/>
          <w:b/>
        </w:rPr>
        <w:t>法定代表人身份证明书</w:t>
      </w:r>
      <w:bookmarkEnd w:id="67"/>
      <w:bookmarkEnd w:id="68"/>
      <w:bookmarkEnd w:id="69"/>
      <w:bookmarkEnd w:id="70"/>
      <w:bookmarkEnd w:id="71"/>
      <w:bookmarkEnd w:id="72"/>
    </w:p>
    <w:p w14:paraId="0AB454D2">
      <w:pPr>
        <w:pStyle w:val="33"/>
        <w:jc w:val="center"/>
        <w:rPr>
          <w:rFonts w:ascii="Times New Roman" w:hAnsi="Times New Roman" w:eastAsia="仿宋" w:cs="Times New Roman"/>
          <w:color w:val="auto"/>
        </w:rPr>
      </w:pPr>
    </w:p>
    <w:p w14:paraId="43269FBB">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3"/>
        <w:jc w:val="center"/>
        <w:rPr>
          <w:rFonts w:ascii="Times New Roman" w:hAnsi="Times New Roman" w:eastAsia="仿宋" w:cs="Times New Roman"/>
          <w:color w:val="auto"/>
        </w:rPr>
      </w:pPr>
    </w:p>
    <w:p w14:paraId="6757BD29">
      <w:pPr>
        <w:pStyle w:val="33"/>
        <w:jc w:val="center"/>
        <w:rPr>
          <w:rFonts w:ascii="Times New Roman" w:hAnsi="Times New Roman" w:eastAsia="仿宋" w:cs="Times New Roman"/>
          <w:color w:val="auto"/>
        </w:rPr>
      </w:pPr>
    </w:p>
    <w:p w14:paraId="2C00BF0A">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3"/>
        <w:jc w:val="both"/>
        <w:rPr>
          <w:rFonts w:ascii="Times New Roman" w:hAnsi="Times New Roman" w:eastAsia="仿宋" w:cs="Times New Roman"/>
          <w:color w:val="auto"/>
        </w:rPr>
      </w:pPr>
    </w:p>
    <w:p w14:paraId="46E4D155">
      <w:pPr>
        <w:pStyle w:val="33"/>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3"/>
        <w:jc w:val="center"/>
        <w:rPr>
          <w:rFonts w:ascii="Times New Roman" w:hAnsi="Times New Roman" w:eastAsia="仿宋" w:cs="Times New Roman"/>
          <w:color w:val="auto"/>
        </w:rPr>
      </w:pPr>
    </w:p>
    <w:p w14:paraId="53CC06E9">
      <w:pPr>
        <w:pStyle w:val="33"/>
        <w:jc w:val="center"/>
        <w:rPr>
          <w:rFonts w:ascii="Times New Roman" w:hAnsi="Times New Roman" w:eastAsia="仿宋" w:cs="Times New Roman"/>
          <w:color w:val="auto"/>
        </w:rPr>
      </w:pPr>
    </w:p>
    <w:p w14:paraId="55320CDB">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rPr>
      </w:pPr>
    </w:p>
    <w:p w14:paraId="31D6EAC3">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1CF8FCEE">
      <w:pPr>
        <w:pStyle w:val="33"/>
        <w:jc w:val="center"/>
        <w:rPr>
          <w:rFonts w:ascii="Times New Roman" w:hAnsi="Times New Roman" w:eastAsia="仿宋" w:cs="Times New Roman"/>
          <w:b/>
          <w:bCs/>
          <w:color w:val="auto"/>
        </w:rPr>
      </w:pPr>
    </w:p>
    <w:p w14:paraId="170BF1E2">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3"/>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6435"/>
      <w:bookmarkStart w:id="75" w:name="_Toc1074"/>
      <w:bookmarkStart w:id="76" w:name="_Toc2041"/>
      <w:bookmarkStart w:id="77" w:name="_Toc12967"/>
      <w:bookmarkStart w:id="78" w:name="_Toc23967"/>
      <w:r>
        <w:rPr>
          <w:rStyle w:val="42"/>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3"/>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31686"/>
      <w:bookmarkStart w:id="81" w:name="_Toc21082"/>
      <w:bookmarkStart w:id="82" w:name="_Toc28634"/>
      <w:bookmarkStart w:id="83" w:name="_Toc24806"/>
      <w:bookmarkStart w:id="84" w:name="_Toc26839"/>
      <w:r>
        <w:rPr>
          <w:rStyle w:val="42"/>
          <w:b/>
        </w:rPr>
        <w:t>评分需要提供的证明材料</w:t>
      </w:r>
      <w:bookmarkEnd w:id="79"/>
      <w:bookmarkEnd w:id="80"/>
      <w:bookmarkEnd w:id="81"/>
      <w:bookmarkEnd w:id="82"/>
      <w:bookmarkEnd w:id="83"/>
      <w:bookmarkEnd w:id="84"/>
    </w:p>
    <w:p w14:paraId="71151EFE">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7"/>
        <w:gridCol w:w="3791"/>
        <w:gridCol w:w="2164"/>
        <w:gridCol w:w="1471"/>
        <w:gridCol w:w="1471"/>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38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96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121"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w:t>
            </w:r>
          </w:p>
        </w:tc>
        <w:tc>
          <w:tcPr>
            <w:tcW w:w="762" w:type="pct"/>
            <w:vAlign w:val="center"/>
          </w:tcPr>
          <w:p w14:paraId="7017504E">
            <w:pPr>
              <w:pStyle w:val="7"/>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服务期</w:t>
            </w:r>
          </w:p>
        </w:tc>
        <w:tc>
          <w:tcPr>
            <w:tcW w:w="76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96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内部控制体系更新及内控知识库建设服务</w:t>
            </w:r>
          </w:p>
        </w:tc>
        <w:tc>
          <w:tcPr>
            <w:tcW w:w="1121"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大写：</w:t>
            </w:r>
          </w:p>
          <w:p w14:paraId="3C333560">
            <w:pPr>
              <w:pStyle w:val="7"/>
              <w:pBdr>
                <w:top w:val="none" w:color="auto" w:sz="0" w:space="0"/>
                <w:left w:val="none" w:color="auto" w:sz="0" w:space="0"/>
                <w:bottom w:val="none" w:color="auto" w:sz="0" w:space="0"/>
                <w:right w:val="none" w:color="auto" w:sz="0" w:space="0"/>
                <w:between w:val="none" w:color="auto" w:sz="0" w:space="0"/>
              </w:pBdr>
              <w:jc w:val="left"/>
              <w:rPr>
                <w:rFonts w:hint="default"/>
                <w:lang w:val="en-US" w:eastAsia="zh-CN"/>
              </w:rPr>
            </w:pPr>
            <w:r>
              <w:rPr>
                <w:rFonts w:hint="eastAsia" w:ascii="仿宋" w:hAnsi="仿宋" w:eastAsia="仿宋" w:cs="仿宋"/>
                <w:b/>
                <w:bCs/>
                <w:sz w:val="24"/>
                <w:szCs w:val="24"/>
                <w:lang w:val="en-US" w:eastAsia="zh-CN"/>
              </w:rPr>
              <w:t>小写：</w:t>
            </w:r>
          </w:p>
        </w:tc>
        <w:tc>
          <w:tcPr>
            <w:tcW w:w="762" w:type="pct"/>
            <w:vAlign w:val="center"/>
          </w:tcPr>
          <w:p w14:paraId="4AF1F9C0">
            <w:pPr>
              <w:pStyle w:val="7"/>
              <w:pBdr>
                <w:top w:val="none" w:color="auto" w:sz="0" w:space="0"/>
                <w:left w:val="none" w:color="auto" w:sz="0" w:space="0"/>
                <w:bottom w:val="none" w:color="auto" w:sz="0" w:space="0"/>
                <w:right w:val="none" w:color="auto" w:sz="0" w:space="0"/>
                <w:between w:val="none" w:color="auto" w:sz="0" w:space="0"/>
              </w:pBdr>
              <w:ind w:firstLine="964" w:firstLineChars="4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年</w:t>
            </w:r>
          </w:p>
        </w:tc>
        <w:tc>
          <w:tcPr>
            <w:tcW w:w="762" w:type="pct"/>
            <w:vAlign w:val="center"/>
          </w:tcPr>
          <w:p w14:paraId="42F2B3BF">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592BB16C">
      <w:pPr>
        <w:widowControl/>
        <w:jc w:val="left"/>
        <w:rPr>
          <w:rFonts w:hint="default" w:ascii="Times New Roman" w:hAnsi="Times New Roman" w:eastAsia="仿宋" w:cs="Times New Roman"/>
          <w:szCs w:val="21"/>
          <w:lang w:val="en-US" w:eastAsia="zh-CN"/>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1"/>
        <w:numPr>
          <w:ilvl w:val="0"/>
          <w:numId w:val="14"/>
        </w:numPr>
        <w:ind w:left="0" w:firstLine="0" w:firstLineChars="0"/>
        <w:contextualSpacing/>
        <w:jc w:val="left"/>
        <w:rPr>
          <w:b/>
          <w:szCs w:val="21"/>
        </w:rPr>
      </w:pPr>
      <w:r>
        <w:rPr>
          <w:b/>
          <w:szCs w:val="21"/>
        </w:rPr>
        <w:t>合同标的</w:t>
      </w:r>
    </w:p>
    <w:p w14:paraId="2E385537">
      <w:pPr>
        <w:pStyle w:val="10"/>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ind w:firstLine="0" w:firstLineChars="0"/>
              <w:jc w:val="center"/>
              <w:rPr>
                <w:color w:val="000000"/>
                <w:szCs w:val="21"/>
              </w:rPr>
            </w:pPr>
            <w:r>
              <w:rPr>
                <w:color w:val="000000"/>
                <w:szCs w:val="21"/>
              </w:rPr>
              <w:t>序号</w:t>
            </w:r>
          </w:p>
        </w:tc>
        <w:tc>
          <w:tcPr>
            <w:tcW w:w="2977" w:type="dxa"/>
            <w:vAlign w:val="center"/>
          </w:tcPr>
          <w:p w14:paraId="42032E31">
            <w:pPr>
              <w:pStyle w:val="31"/>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1"/>
              <w:ind w:firstLine="0" w:firstLineChars="0"/>
              <w:jc w:val="center"/>
              <w:rPr>
                <w:color w:val="000000"/>
                <w:szCs w:val="21"/>
              </w:rPr>
            </w:pPr>
            <w:r>
              <w:rPr>
                <w:color w:val="000000"/>
                <w:szCs w:val="21"/>
              </w:rPr>
              <w:t>具体内容</w:t>
            </w:r>
          </w:p>
        </w:tc>
        <w:tc>
          <w:tcPr>
            <w:tcW w:w="963" w:type="dxa"/>
            <w:vAlign w:val="center"/>
          </w:tcPr>
          <w:p w14:paraId="6E75E46C">
            <w:pPr>
              <w:pStyle w:val="31"/>
              <w:ind w:firstLine="0" w:firstLineChars="0"/>
              <w:jc w:val="center"/>
              <w:rPr>
                <w:color w:val="000000"/>
                <w:szCs w:val="21"/>
              </w:rPr>
            </w:pPr>
            <w:r>
              <w:rPr>
                <w:color w:val="000000"/>
                <w:szCs w:val="21"/>
              </w:rPr>
              <w:t>分项价格（万元）</w:t>
            </w:r>
          </w:p>
        </w:tc>
        <w:tc>
          <w:tcPr>
            <w:tcW w:w="2016" w:type="dxa"/>
          </w:tcPr>
          <w:p w14:paraId="3BC8F9B2">
            <w:pPr>
              <w:pStyle w:val="31"/>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ind w:firstLine="0" w:firstLineChars="0"/>
              <w:jc w:val="center"/>
              <w:rPr>
                <w:color w:val="000000"/>
                <w:szCs w:val="21"/>
              </w:rPr>
            </w:pPr>
            <w:r>
              <w:rPr>
                <w:rFonts w:hint="eastAsia"/>
                <w:color w:val="000000"/>
                <w:szCs w:val="21"/>
              </w:rPr>
              <w:t>1</w:t>
            </w:r>
          </w:p>
        </w:tc>
        <w:tc>
          <w:tcPr>
            <w:tcW w:w="2977" w:type="dxa"/>
            <w:vAlign w:val="center"/>
          </w:tcPr>
          <w:p w14:paraId="629F7C51">
            <w:pPr>
              <w:pStyle w:val="31"/>
              <w:ind w:firstLine="0" w:firstLineChars="0"/>
              <w:rPr>
                <w:color w:val="000000"/>
                <w:szCs w:val="21"/>
              </w:rPr>
            </w:pPr>
          </w:p>
        </w:tc>
        <w:tc>
          <w:tcPr>
            <w:tcW w:w="3686" w:type="dxa"/>
            <w:vAlign w:val="center"/>
          </w:tcPr>
          <w:p w14:paraId="1B711F72">
            <w:pPr>
              <w:pStyle w:val="31"/>
              <w:ind w:firstLine="0" w:firstLineChars="0"/>
              <w:rPr>
                <w:color w:val="000000"/>
                <w:szCs w:val="21"/>
              </w:rPr>
            </w:pPr>
          </w:p>
        </w:tc>
        <w:tc>
          <w:tcPr>
            <w:tcW w:w="963" w:type="dxa"/>
            <w:vAlign w:val="center"/>
          </w:tcPr>
          <w:p w14:paraId="5DD02118">
            <w:pPr>
              <w:pStyle w:val="31"/>
              <w:ind w:firstLine="0" w:firstLineChars="0"/>
              <w:jc w:val="center"/>
              <w:rPr>
                <w:color w:val="000000"/>
                <w:szCs w:val="21"/>
              </w:rPr>
            </w:pPr>
          </w:p>
        </w:tc>
        <w:tc>
          <w:tcPr>
            <w:tcW w:w="2016" w:type="dxa"/>
          </w:tcPr>
          <w:p w14:paraId="149276E7">
            <w:pPr>
              <w:pStyle w:val="31"/>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ind w:firstLine="0" w:firstLineChars="0"/>
              <w:jc w:val="center"/>
              <w:rPr>
                <w:color w:val="000000"/>
                <w:szCs w:val="21"/>
              </w:rPr>
            </w:pPr>
            <w:r>
              <w:rPr>
                <w:rFonts w:hint="eastAsia"/>
                <w:color w:val="000000"/>
                <w:szCs w:val="21"/>
              </w:rPr>
              <w:t>2</w:t>
            </w:r>
          </w:p>
        </w:tc>
        <w:tc>
          <w:tcPr>
            <w:tcW w:w="2977" w:type="dxa"/>
            <w:vAlign w:val="center"/>
          </w:tcPr>
          <w:p w14:paraId="0E44D544">
            <w:pPr>
              <w:pStyle w:val="31"/>
              <w:ind w:firstLine="0" w:firstLineChars="0"/>
              <w:rPr>
                <w:color w:val="000000"/>
                <w:szCs w:val="21"/>
              </w:rPr>
            </w:pPr>
          </w:p>
        </w:tc>
        <w:tc>
          <w:tcPr>
            <w:tcW w:w="3686" w:type="dxa"/>
            <w:vAlign w:val="center"/>
          </w:tcPr>
          <w:p w14:paraId="01B65D9C">
            <w:pPr>
              <w:pStyle w:val="31"/>
              <w:ind w:firstLine="0" w:firstLineChars="0"/>
              <w:rPr>
                <w:color w:val="000000"/>
                <w:szCs w:val="21"/>
              </w:rPr>
            </w:pPr>
          </w:p>
        </w:tc>
        <w:tc>
          <w:tcPr>
            <w:tcW w:w="963" w:type="dxa"/>
            <w:vAlign w:val="center"/>
          </w:tcPr>
          <w:p w14:paraId="4C31DD39">
            <w:pPr>
              <w:pStyle w:val="31"/>
              <w:ind w:firstLine="0" w:firstLineChars="0"/>
              <w:jc w:val="center"/>
              <w:rPr>
                <w:color w:val="000000"/>
                <w:szCs w:val="21"/>
              </w:rPr>
            </w:pPr>
          </w:p>
        </w:tc>
        <w:tc>
          <w:tcPr>
            <w:tcW w:w="2016" w:type="dxa"/>
          </w:tcPr>
          <w:p w14:paraId="3000AC5A">
            <w:pPr>
              <w:pStyle w:val="31"/>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ind w:firstLine="0" w:firstLineChars="0"/>
              <w:jc w:val="center"/>
              <w:rPr>
                <w:color w:val="000000"/>
                <w:szCs w:val="21"/>
              </w:rPr>
            </w:pPr>
            <w:r>
              <w:rPr>
                <w:rFonts w:hint="eastAsia"/>
                <w:color w:val="000000"/>
                <w:szCs w:val="21"/>
              </w:rPr>
              <w:t>3</w:t>
            </w:r>
          </w:p>
        </w:tc>
        <w:tc>
          <w:tcPr>
            <w:tcW w:w="2977" w:type="dxa"/>
            <w:vAlign w:val="center"/>
          </w:tcPr>
          <w:p w14:paraId="71D5F885">
            <w:pPr>
              <w:pStyle w:val="31"/>
              <w:ind w:firstLine="0" w:firstLineChars="0"/>
              <w:rPr>
                <w:color w:val="000000"/>
                <w:szCs w:val="21"/>
              </w:rPr>
            </w:pPr>
          </w:p>
        </w:tc>
        <w:tc>
          <w:tcPr>
            <w:tcW w:w="3686" w:type="dxa"/>
            <w:vAlign w:val="center"/>
          </w:tcPr>
          <w:p w14:paraId="38AC0A57">
            <w:pPr>
              <w:pStyle w:val="31"/>
              <w:ind w:firstLine="0" w:firstLineChars="0"/>
              <w:rPr>
                <w:color w:val="000000"/>
                <w:szCs w:val="21"/>
              </w:rPr>
            </w:pPr>
          </w:p>
        </w:tc>
        <w:tc>
          <w:tcPr>
            <w:tcW w:w="963" w:type="dxa"/>
            <w:vAlign w:val="center"/>
          </w:tcPr>
          <w:p w14:paraId="3B158765">
            <w:pPr>
              <w:pStyle w:val="31"/>
              <w:ind w:firstLine="0" w:firstLineChars="0"/>
              <w:jc w:val="center"/>
              <w:rPr>
                <w:color w:val="000000"/>
                <w:szCs w:val="21"/>
              </w:rPr>
            </w:pPr>
          </w:p>
        </w:tc>
        <w:tc>
          <w:tcPr>
            <w:tcW w:w="2016" w:type="dxa"/>
          </w:tcPr>
          <w:p w14:paraId="43F7F4B9">
            <w:pPr>
              <w:pStyle w:val="31"/>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ind w:firstLine="0" w:firstLineChars="0"/>
              <w:jc w:val="center"/>
              <w:rPr>
                <w:color w:val="000000"/>
                <w:szCs w:val="21"/>
              </w:rPr>
            </w:pPr>
            <w:r>
              <w:rPr>
                <w:color w:val="000000"/>
                <w:szCs w:val="21"/>
              </w:rPr>
              <w:t>…</w:t>
            </w:r>
          </w:p>
        </w:tc>
        <w:tc>
          <w:tcPr>
            <w:tcW w:w="2977" w:type="dxa"/>
            <w:vAlign w:val="center"/>
          </w:tcPr>
          <w:p w14:paraId="492CFE5D">
            <w:pPr>
              <w:pStyle w:val="31"/>
              <w:ind w:firstLine="0" w:firstLineChars="0"/>
              <w:rPr>
                <w:color w:val="000000"/>
                <w:szCs w:val="21"/>
              </w:rPr>
            </w:pPr>
          </w:p>
        </w:tc>
        <w:tc>
          <w:tcPr>
            <w:tcW w:w="3686" w:type="dxa"/>
            <w:vAlign w:val="center"/>
          </w:tcPr>
          <w:p w14:paraId="5E27032F">
            <w:pPr>
              <w:pStyle w:val="31"/>
              <w:ind w:firstLine="0" w:firstLineChars="0"/>
              <w:rPr>
                <w:color w:val="000000"/>
                <w:szCs w:val="21"/>
              </w:rPr>
            </w:pPr>
          </w:p>
        </w:tc>
        <w:tc>
          <w:tcPr>
            <w:tcW w:w="963" w:type="dxa"/>
            <w:vAlign w:val="center"/>
          </w:tcPr>
          <w:p w14:paraId="19B21445">
            <w:pPr>
              <w:pStyle w:val="31"/>
              <w:ind w:firstLine="0" w:firstLineChars="0"/>
              <w:jc w:val="center"/>
              <w:rPr>
                <w:color w:val="000000"/>
                <w:szCs w:val="21"/>
              </w:rPr>
            </w:pPr>
          </w:p>
        </w:tc>
        <w:tc>
          <w:tcPr>
            <w:tcW w:w="2016" w:type="dxa"/>
          </w:tcPr>
          <w:p w14:paraId="5FC047A6">
            <w:pPr>
              <w:pStyle w:val="31"/>
              <w:ind w:firstLine="0" w:firstLineChars="0"/>
              <w:rPr>
                <w:color w:val="000000"/>
                <w:szCs w:val="21"/>
              </w:rPr>
            </w:pPr>
          </w:p>
        </w:tc>
      </w:tr>
    </w:tbl>
    <w:p w14:paraId="2D35C912">
      <w:pPr>
        <w:pStyle w:val="31"/>
        <w:numPr>
          <w:ilvl w:val="0"/>
          <w:numId w:val="14"/>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31"/>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1"/>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1"/>
        <w:jc w:val="left"/>
        <w:rPr>
          <w:bCs/>
          <w:szCs w:val="21"/>
        </w:rPr>
      </w:pPr>
    </w:p>
    <w:p w14:paraId="368787FF">
      <w:pPr>
        <w:pStyle w:val="31"/>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1"/>
        <w:jc w:val="left"/>
        <w:rPr>
          <w:bCs/>
          <w:szCs w:val="21"/>
        </w:rPr>
      </w:pPr>
    </w:p>
    <w:p w14:paraId="27DB179C">
      <w:pPr>
        <w:pStyle w:val="31"/>
        <w:ind w:left="105" w:leftChars="50" w:firstLine="315" w:firstLineChars="150"/>
        <w:jc w:val="left"/>
        <w:rPr>
          <w:b/>
          <w:szCs w:val="21"/>
          <w:highlight w:val="yellow"/>
        </w:rPr>
      </w:pPr>
      <w:r>
        <w:rPr>
          <w:color w:val="000000"/>
          <w:szCs w:val="21"/>
          <w:highlight w:val="yellow"/>
        </w:rPr>
        <w:sym w:font="Wingdings 2" w:char="0052"/>
      </w:r>
      <w:r>
        <w:rPr>
          <w:bCs/>
          <w:szCs w:val="21"/>
          <w:highlight w:val="yellow"/>
        </w:rPr>
        <w:t>本项目服务期为</w:t>
      </w:r>
      <w:r>
        <w:rPr>
          <w:bCs/>
          <w:szCs w:val="21"/>
          <w:highlight w:val="yellow"/>
          <w:u w:val="single"/>
        </w:rPr>
        <w:t>叁</w:t>
      </w:r>
      <w:r>
        <w:rPr>
          <w:bCs/>
          <w:szCs w:val="21"/>
          <w:highlight w:val="yellow"/>
        </w:rPr>
        <w:t>年（自202*年**月**日到202*年**月**日），合同一年一签，每年服务费为人民币 *** 元（大写：*** 圆整）。本合同为第***期，服务期为自202*年***月***日至202*年**月**日</w:t>
      </w:r>
      <w:r>
        <w:rPr>
          <w:bCs/>
          <w:szCs w:val="21"/>
          <w:highlight w:val="yellow"/>
          <w:u w:val="single"/>
        </w:rPr>
        <w:t>，经甲方考核合格后续签下一年合同</w:t>
      </w:r>
      <w:bookmarkStart w:id="98" w:name="OLE_LINK29"/>
      <w:r>
        <w:rPr>
          <w:rFonts w:hint="eastAsia"/>
          <w:bCs/>
          <w:szCs w:val="21"/>
          <w:highlight w:val="yellow"/>
        </w:rPr>
        <w:t>，考核标准详见附件</w:t>
      </w:r>
      <w:r>
        <w:rPr>
          <w:rFonts w:hint="eastAsia"/>
          <w:bCs/>
          <w:szCs w:val="21"/>
          <w:highlight w:val="yellow"/>
          <w:u w:val="single"/>
        </w:rPr>
        <w:t>2</w:t>
      </w:r>
      <w:r>
        <w:rPr>
          <w:rFonts w:hint="eastAsia"/>
          <w:bCs/>
          <w:szCs w:val="21"/>
          <w:highlight w:val="yellow"/>
        </w:rPr>
        <w:t>《考核标准》</w:t>
      </w:r>
      <w:bookmarkEnd w:id="98"/>
      <w:r>
        <w:rPr>
          <w:bCs/>
          <w:szCs w:val="21"/>
          <w:highlight w:val="yellow"/>
        </w:rPr>
        <w:t>。</w:t>
      </w:r>
    </w:p>
    <w:p w14:paraId="1B257405">
      <w:pPr>
        <w:pStyle w:val="31"/>
        <w:numPr>
          <w:ilvl w:val="0"/>
          <w:numId w:val="14"/>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1"/>
        <w:numPr>
          <w:ilvl w:val="0"/>
          <w:numId w:val="14"/>
        </w:numPr>
        <w:ind w:left="0" w:firstLine="0" w:firstLineChars="0"/>
        <w:contextualSpacing/>
        <w:jc w:val="left"/>
        <w:rPr>
          <w:b/>
          <w:szCs w:val="21"/>
        </w:rPr>
      </w:pPr>
      <w:r>
        <w:rPr>
          <w:b/>
          <w:szCs w:val="21"/>
        </w:rPr>
        <w:t>验收</w:t>
      </w:r>
    </w:p>
    <w:p w14:paraId="57707485">
      <w:pPr>
        <w:pStyle w:val="31"/>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1"/>
        <w:numPr>
          <w:ilvl w:val="0"/>
          <w:numId w:val="16"/>
        </w:numPr>
        <w:ind w:left="0" w:firstLine="0" w:firstLineChars="0"/>
        <w:contextualSpacing/>
        <w:rPr>
          <w:szCs w:val="21"/>
        </w:rPr>
      </w:pPr>
      <w:r>
        <w:rPr>
          <w:szCs w:val="21"/>
        </w:rPr>
        <w:t>验收方案：</w:t>
      </w:r>
    </w:p>
    <w:p w14:paraId="10719FFA">
      <w:pPr>
        <w:pStyle w:val="31"/>
        <w:numPr>
          <w:ilvl w:val="0"/>
          <w:numId w:val="17"/>
        </w:numPr>
        <w:ind w:firstLineChars="0"/>
        <w:contextualSpacing/>
        <w:rPr>
          <w:color w:val="000000"/>
          <w:szCs w:val="21"/>
        </w:rPr>
      </w:pPr>
      <w:r>
        <w:rPr>
          <w:rFonts w:hint="eastAsia"/>
          <w:color w:val="000000"/>
          <w:szCs w:val="21"/>
        </w:rPr>
        <w:t>验收主体：甲方</w:t>
      </w:r>
    </w:p>
    <w:p w14:paraId="7212F6E2">
      <w:pPr>
        <w:pStyle w:val="31"/>
        <w:numPr>
          <w:ilvl w:val="0"/>
          <w:numId w:val="17"/>
        </w:numPr>
        <w:ind w:firstLineChars="0"/>
        <w:contextualSpacing/>
        <w:rPr>
          <w:color w:val="000000"/>
          <w:szCs w:val="21"/>
        </w:rPr>
      </w:pPr>
      <w:r>
        <w:rPr>
          <w:rFonts w:hint="eastAsia"/>
          <w:color w:val="000000"/>
          <w:szCs w:val="21"/>
        </w:rPr>
        <w:t>验收组织方式：自行验收</w:t>
      </w:r>
    </w:p>
    <w:p w14:paraId="5C963DBA">
      <w:pPr>
        <w:pStyle w:val="31"/>
        <w:numPr>
          <w:ilvl w:val="0"/>
          <w:numId w:val="17"/>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1"/>
        <w:numPr>
          <w:ilvl w:val="0"/>
          <w:numId w:val="17"/>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1"/>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1"/>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1"/>
        <w:numPr>
          <w:ilvl w:val="0"/>
          <w:numId w:val="17"/>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1"/>
        <w:numPr>
          <w:ilvl w:val="0"/>
          <w:numId w:val="17"/>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1"/>
        <w:numPr>
          <w:ilvl w:val="0"/>
          <w:numId w:val="17"/>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1"/>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1"/>
        <w:numPr>
          <w:ilvl w:val="0"/>
          <w:numId w:val="17"/>
        </w:numPr>
        <w:ind w:firstLineChars="0"/>
        <w:contextualSpacing/>
        <w:rPr>
          <w:szCs w:val="21"/>
        </w:rPr>
      </w:pPr>
      <w:r>
        <w:rPr>
          <w:szCs w:val="21"/>
        </w:rPr>
        <w:t>验收标准：</w:t>
      </w:r>
    </w:p>
    <w:p w14:paraId="24757C73">
      <w:pPr>
        <w:pStyle w:val="17"/>
        <w:numPr>
          <w:ilvl w:val="0"/>
          <w:numId w:val="18"/>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7"/>
        <w:numPr>
          <w:ilvl w:val="0"/>
          <w:numId w:val="18"/>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8"/>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7"/>
        <w:numPr>
          <w:ilvl w:val="0"/>
          <w:numId w:val="18"/>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8"/>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8"/>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1"/>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1"/>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1"/>
        <w:numPr>
          <w:ilvl w:val="0"/>
          <w:numId w:val="14"/>
        </w:numPr>
        <w:ind w:left="0" w:firstLine="0" w:firstLineChars="0"/>
        <w:contextualSpacing/>
        <w:jc w:val="left"/>
        <w:rPr>
          <w:b/>
          <w:szCs w:val="21"/>
        </w:rPr>
      </w:pPr>
      <w:r>
        <w:rPr>
          <w:b/>
          <w:szCs w:val="21"/>
        </w:rPr>
        <w:t>付款方式</w:t>
      </w:r>
    </w:p>
    <w:p w14:paraId="5CC20725">
      <w:pPr>
        <w:pStyle w:val="10"/>
        <w:numPr>
          <w:ilvl w:val="0"/>
          <w:numId w:val="19"/>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1"/>
        <w:numPr>
          <w:ilvl w:val="0"/>
          <w:numId w:val="14"/>
        </w:numPr>
        <w:ind w:left="0" w:firstLine="0" w:firstLineChars="0"/>
        <w:contextualSpacing/>
        <w:jc w:val="left"/>
        <w:rPr>
          <w:b/>
          <w:szCs w:val="21"/>
        </w:rPr>
      </w:pPr>
      <w:r>
        <w:rPr>
          <w:b/>
          <w:szCs w:val="21"/>
        </w:rPr>
        <w:t>双方权利与义务</w:t>
      </w:r>
    </w:p>
    <w:p w14:paraId="581F8AA0">
      <w:pPr>
        <w:pStyle w:val="10"/>
        <w:numPr>
          <w:ilvl w:val="0"/>
          <w:numId w:val="20"/>
        </w:numPr>
        <w:spacing w:after="0" w:line="240" w:lineRule="auto"/>
        <w:ind w:left="227" w:leftChars="0" w:hanging="227"/>
        <w:contextualSpacing/>
        <w:jc w:val="left"/>
        <w:rPr>
          <w:szCs w:val="21"/>
        </w:rPr>
      </w:pPr>
      <w:r>
        <w:rPr>
          <w:szCs w:val="21"/>
        </w:rPr>
        <w:t>甲方权利与义务</w:t>
      </w:r>
    </w:p>
    <w:p w14:paraId="4D16113D">
      <w:pPr>
        <w:pStyle w:val="31"/>
        <w:numPr>
          <w:ilvl w:val="0"/>
          <w:numId w:val="21"/>
        </w:numPr>
        <w:adjustRightInd w:val="0"/>
        <w:ind w:left="525" w:hanging="525" w:hangingChars="250"/>
        <w:contextualSpacing/>
        <w:jc w:val="left"/>
        <w:rPr>
          <w:szCs w:val="21"/>
        </w:rPr>
      </w:pPr>
      <w:r>
        <w:rPr>
          <w:szCs w:val="21"/>
        </w:rPr>
        <w:t>按合同约定向乙方支付费用。</w:t>
      </w:r>
    </w:p>
    <w:p w14:paraId="62A02753">
      <w:pPr>
        <w:pStyle w:val="31"/>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1"/>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1"/>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20"/>
        </w:numPr>
        <w:spacing w:after="0" w:line="240" w:lineRule="auto"/>
        <w:ind w:left="227" w:leftChars="0" w:hanging="227"/>
        <w:contextualSpacing/>
        <w:jc w:val="left"/>
        <w:rPr>
          <w:szCs w:val="21"/>
        </w:rPr>
      </w:pPr>
      <w:r>
        <w:rPr>
          <w:szCs w:val="21"/>
        </w:rPr>
        <w:t>乙方权利与义务</w:t>
      </w:r>
    </w:p>
    <w:p w14:paraId="319B30B1">
      <w:pPr>
        <w:pStyle w:val="10"/>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1"/>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1"/>
        <w:numPr>
          <w:ilvl w:val="0"/>
          <w:numId w:val="23"/>
        </w:numPr>
        <w:ind w:left="0" w:firstLine="0" w:firstLineChars="0"/>
        <w:rPr>
          <w:szCs w:val="21"/>
        </w:rPr>
      </w:pPr>
      <w:r>
        <w:rPr>
          <w:szCs w:val="21"/>
        </w:rPr>
        <w:t>乙方违约责任：</w:t>
      </w:r>
    </w:p>
    <w:p w14:paraId="354B31C5">
      <w:pPr>
        <w:pStyle w:val="10"/>
        <w:numPr>
          <w:ilvl w:val="0"/>
          <w:numId w:val="24"/>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10"/>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1"/>
        <w:numPr>
          <w:ilvl w:val="0"/>
          <w:numId w:val="14"/>
        </w:numPr>
        <w:ind w:left="0" w:firstLine="0" w:firstLineChars="0"/>
        <w:contextualSpacing/>
        <w:jc w:val="left"/>
        <w:rPr>
          <w:b/>
          <w:szCs w:val="21"/>
        </w:rPr>
      </w:pPr>
      <w:r>
        <w:rPr>
          <w:b/>
          <w:szCs w:val="21"/>
        </w:rPr>
        <w:t>不可抗力</w:t>
      </w:r>
    </w:p>
    <w:p w14:paraId="26541785">
      <w:pPr>
        <w:pStyle w:val="31"/>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1"/>
        <w:numPr>
          <w:ilvl w:val="0"/>
          <w:numId w:val="14"/>
        </w:numPr>
        <w:ind w:left="0" w:firstLine="0" w:firstLineChars="0"/>
        <w:contextualSpacing/>
        <w:jc w:val="left"/>
        <w:rPr>
          <w:b/>
          <w:szCs w:val="21"/>
        </w:rPr>
      </w:pPr>
      <w:r>
        <w:rPr>
          <w:b/>
          <w:szCs w:val="21"/>
        </w:rPr>
        <w:t>合同终止及解除</w:t>
      </w:r>
    </w:p>
    <w:p w14:paraId="275C61D9">
      <w:pPr>
        <w:pStyle w:val="31"/>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5"/>
        </w:numPr>
        <w:ind w:left="0" w:firstLine="0" w:firstLineChars="0"/>
        <w:rPr>
          <w:szCs w:val="21"/>
        </w:rPr>
      </w:pPr>
      <w:r>
        <w:rPr>
          <w:szCs w:val="21"/>
        </w:rPr>
        <w:t>在甲、乙任何一方有严重违约行为时，另一方有权单方解除合同。</w:t>
      </w:r>
    </w:p>
    <w:p w14:paraId="2BA7B89E">
      <w:pPr>
        <w:pStyle w:val="31"/>
        <w:numPr>
          <w:ilvl w:val="0"/>
          <w:numId w:val="14"/>
        </w:numPr>
        <w:ind w:left="0" w:firstLine="0" w:firstLineChars="0"/>
        <w:contextualSpacing/>
        <w:jc w:val="left"/>
        <w:rPr>
          <w:b/>
          <w:szCs w:val="21"/>
        </w:rPr>
      </w:pPr>
      <w:r>
        <w:rPr>
          <w:b/>
          <w:szCs w:val="21"/>
        </w:rPr>
        <w:t>争议解决办法</w:t>
      </w:r>
    </w:p>
    <w:p w14:paraId="5C6244A3">
      <w:pPr>
        <w:pStyle w:val="31"/>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26"/>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1"/>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6"/>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6"/>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6"/>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4"/>
        </w:numPr>
        <w:ind w:left="0" w:firstLine="0" w:firstLineChars="0"/>
        <w:contextualSpacing/>
        <w:jc w:val="left"/>
        <w:rPr>
          <w:b/>
          <w:szCs w:val="21"/>
        </w:rPr>
      </w:pPr>
      <w:r>
        <w:rPr>
          <w:b/>
          <w:szCs w:val="21"/>
        </w:rPr>
        <w:t>其他</w:t>
      </w:r>
    </w:p>
    <w:p w14:paraId="162904B6">
      <w:pPr>
        <w:pStyle w:val="31"/>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1"/>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1"/>
        <w:numPr>
          <w:ilvl w:val="0"/>
          <w:numId w:val="14"/>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8"/>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48E101-6F85-4241-86AB-7FBF92E1E64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2ACF4A3-AA95-44EA-AC20-0A0764F48C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49098E2-6C57-4611-8F91-1495364626A2}"/>
  </w:font>
  <w:font w:name="仿宋">
    <w:panose1 w:val="02010609060101010101"/>
    <w:charset w:val="86"/>
    <w:family w:val="modern"/>
    <w:pitch w:val="default"/>
    <w:sig w:usb0="800002BF" w:usb1="38CF7CFA" w:usb2="00000016" w:usb3="00000000" w:csb0="00040001" w:csb1="00000000"/>
    <w:embedRegular r:id="rId4" w:fontKey="{1F82EFF0-20C7-4575-A155-28AE8949BD51}"/>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embedRegular r:id="rId5" w:fontKey="{00911D01-3F0F-4D8D-A907-F41EFB10F7A6}"/>
  </w:font>
  <w:font w:name="Segoe UI Symbol">
    <w:panose1 w:val="020B0502040204020203"/>
    <w:charset w:val="00"/>
    <w:family w:val="swiss"/>
    <w:pitch w:val="default"/>
    <w:sig w:usb0="800001E3" w:usb1="1200FFEF" w:usb2="00040000" w:usb3="04000000" w:csb0="00000001" w:csb1="40000000"/>
    <w:embedRegular r:id="rId6" w:fontKey="{E333ACD3-1113-447A-8365-D7CC2627DFC3}"/>
  </w:font>
  <w:font w:name="仿宋_GB2312">
    <w:altName w:val="仿宋"/>
    <w:panose1 w:val="02010609030101010101"/>
    <w:charset w:val="86"/>
    <w:family w:val="auto"/>
    <w:pitch w:val="default"/>
    <w:sig w:usb0="00000000" w:usb1="00000000" w:usb2="00000000" w:usb3="00000000" w:csb0="00040000" w:csb1="00000000"/>
    <w:embedRegular r:id="rId7" w:fontKey="{E3B789B0-88E2-48CF-A649-CC142C329EFA}"/>
  </w:font>
  <w:font w:name="Wingdings 2">
    <w:altName w:val="Wingdings"/>
    <w:panose1 w:val="05020102010507070707"/>
    <w:charset w:val="4D"/>
    <w:family w:val="decorative"/>
    <w:pitch w:val="default"/>
    <w:sig w:usb0="00000000" w:usb1="00000000" w:usb2="00000000" w:usb3="00000000" w:csb0="80000000" w:csb1="00000000"/>
    <w:embedRegular r:id="rId8" w:fontKey="{C62B0C35-CA78-4E21-9CBB-53112C88CF04}"/>
  </w:font>
  <w:font w:name="微软雅黑">
    <w:panose1 w:val="020B0503020204020204"/>
    <w:charset w:val="86"/>
    <w:family w:val="swiss"/>
    <w:pitch w:val="default"/>
    <w:sig w:usb0="80000287" w:usb1="2ACF3C50" w:usb2="00000016" w:usb3="00000000" w:csb0="0004001F" w:csb1="00000000"/>
    <w:embedRegular r:id="rId9" w:fontKey="{3916A8FA-C18A-4E07-BACC-9AD8308042EB}"/>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88D5AC0"/>
    <w:multiLevelType w:val="singleLevel"/>
    <w:tmpl w:val="A88D5AC0"/>
    <w:lvl w:ilvl="0" w:tentative="0">
      <w:start w:val="3"/>
      <w:numFmt w:val="decimal"/>
      <w:suff w:val="nothing"/>
      <w:lvlText w:val="%1、"/>
      <w:lvlJc w:val="left"/>
    </w:lvl>
  </w:abstractNum>
  <w:abstractNum w:abstractNumId="3">
    <w:nsid w:val="DF57B3F9"/>
    <w:multiLevelType w:val="singleLevel"/>
    <w:tmpl w:val="DF57B3F9"/>
    <w:lvl w:ilvl="0" w:tentative="0">
      <w:start w:val="4"/>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27"/>
  </w:num>
  <w:num w:numId="5">
    <w:abstractNumId w:val="14"/>
  </w:num>
  <w:num w:numId="6">
    <w:abstractNumId w:val="22"/>
  </w:num>
  <w:num w:numId="7">
    <w:abstractNumId w:val="17"/>
  </w:num>
  <w:num w:numId="8">
    <w:abstractNumId w:val="4"/>
  </w:num>
  <w:num w:numId="9">
    <w:abstractNumId w:val="1"/>
  </w:num>
  <w:num w:numId="10">
    <w:abstractNumId w:val="0"/>
  </w:num>
  <w:num w:numId="11">
    <w:abstractNumId w:val="6"/>
  </w:num>
  <w:num w:numId="12">
    <w:abstractNumId w:val="3"/>
  </w:num>
  <w:num w:numId="13">
    <w:abstractNumId w:val="2"/>
  </w:num>
  <w:num w:numId="14">
    <w:abstractNumId w:val="13"/>
  </w:num>
  <w:num w:numId="15">
    <w:abstractNumId w:val="23"/>
  </w:num>
  <w:num w:numId="16">
    <w:abstractNumId w:val="26"/>
  </w:num>
  <w:num w:numId="17">
    <w:abstractNumId w:val="20"/>
  </w:num>
  <w:num w:numId="18">
    <w:abstractNumId w:val="10"/>
  </w:num>
  <w:num w:numId="19">
    <w:abstractNumId w:val="8"/>
  </w:num>
  <w:num w:numId="20">
    <w:abstractNumId w:val="24"/>
  </w:num>
  <w:num w:numId="21">
    <w:abstractNumId w:val="19"/>
  </w:num>
  <w:num w:numId="22">
    <w:abstractNumId w:val="9"/>
  </w:num>
  <w:num w:numId="23">
    <w:abstractNumId w:val="12"/>
  </w:num>
  <w:num w:numId="24">
    <w:abstractNumId w:val="25"/>
  </w:num>
  <w:num w:numId="25">
    <w:abstractNumId w:val="7"/>
  </w:num>
  <w:num w:numId="26">
    <w:abstractNumId w:val="21"/>
  </w:num>
  <w:num w:numId="27">
    <w:abstractNumId w:val="1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0EBB2B0B"/>
    <w:rsid w:val="11075CBE"/>
    <w:rsid w:val="115D07B9"/>
    <w:rsid w:val="117A5014"/>
    <w:rsid w:val="127F05A0"/>
    <w:rsid w:val="127F1D65"/>
    <w:rsid w:val="13546548"/>
    <w:rsid w:val="136D78F8"/>
    <w:rsid w:val="1410126E"/>
    <w:rsid w:val="1411115B"/>
    <w:rsid w:val="15B421B6"/>
    <w:rsid w:val="15CC4977"/>
    <w:rsid w:val="162A4F7D"/>
    <w:rsid w:val="16A82A66"/>
    <w:rsid w:val="16BC0305"/>
    <w:rsid w:val="18CB2991"/>
    <w:rsid w:val="1994787E"/>
    <w:rsid w:val="19BB25F7"/>
    <w:rsid w:val="19D314F9"/>
    <w:rsid w:val="19FF304F"/>
    <w:rsid w:val="1ACB0996"/>
    <w:rsid w:val="1B8F2D19"/>
    <w:rsid w:val="1BF418C2"/>
    <w:rsid w:val="1DD000AF"/>
    <w:rsid w:val="1E09745A"/>
    <w:rsid w:val="1E176351"/>
    <w:rsid w:val="1E8E610D"/>
    <w:rsid w:val="1F4F7CED"/>
    <w:rsid w:val="1FD31681"/>
    <w:rsid w:val="214E24AB"/>
    <w:rsid w:val="229D6DB5"/>
    <w:rsid w:val="23332932"/>
    <w:rsid w:val="23D4489F"/>
    <w:rsid w:val="248A553D"/>
    <w:rsid w:val="24C90335"/>
    <w:rsid w:val="25AD5A26"/>
    <w:rsid w:val="262001B9"/>
    <w:rsid w:val="27B87AF9"/>
    <w:rsid w:val="27E80EA9"/>
    <w:rsid w:val="280414A1"/>
    <w:rsid w:val="28570368"/>
    <w:rsid w:val="29A82748"/>
    <w:rsid w:val="29C5318E"/>
    <w:rsid w:val="2AF24D8A"/>
    <w:rsid w:val="2B502F98"/>
    <w:rsid w:val="2C9A0A9E"/>
    <w:rsid w:val="2CA621A6"/>
    <w:rsid w:val="2CD23DA0"/>
    <w:rsid w:val="2DA70D65"/>
    <w:rsid w:val="2EE31C10"/>
    <w:rsid w:val="302712CA"/>
    <w:rsid w:val="313B414B"/>
    <w:rsid w:val="31EC5F04"/>
    <w:rsid w:val="33DE6345"/>
    <w:rsid w:val="3427766B"/>
    <w:rsid w:val="343706EB"/>
    <w:rsid w:val="34913AFE"/>
    <w:rsid w:val="351A08D0"/>
    <w:rsid w:val="36334CE5"/>
    <w:rsid w:val="39501DEF"/>
    <w:rsid w:val="3A551407"/>
    <w:rsid w:val="3AE57E7C"/>
    <w:rsid w:val="3B033C36"/>
    <w:rsid w:val="3BCB73F7"/>
    <w:rsid w:val="3CCC3780"/>
    <w:rsid w:val="3E4D49D4"/>
    <w:rsid w:val="3E5D4E8E"/>
    <w:rsid w:val="3F31049C"/>
    <w:rsid w:val="3FE25336"/>
    <w:rsid w:val="400F2590"/>
    <w:rsid w:val="41D80D76"/>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B338B2"/>
    <w:rsid w:val="4FEF758C"/>
    <w:rsid w:val="5059153A"/>
    <w:rsid w:val="50771A9C"/>
    <w:rsid w:val="50BC437C"/>
    <w:rsid w:val="51C47F6D"/>
    <w:rsid w:val="535C64FC"/>
    <w:rsid w:val="5455382C"/>
    <w:rsid w:val="54643166"/>
    <w:rsid w:val="54E80B0B"/>
    <w:rsid w:val="55242A52"/>
    <w:rsid w:val="56C55F4F"/>
    <w:rsid w:val="571F5A86"/>
    <w:rsid w:val="57235ED9"/>
    <w:rsid w:val="5774152D"/>
    <w:rsid w:val="597C7F3F"/>
    <w:rsid w:val="599F4761"/>
    <w:rsid w:val="5A102BB5"/>
    <w:rsid w:val="5D0A3490"/>
    <w:rsid w:val="5D7E0D39"/>
    <w:rsid w:val="5E9D3F29"/>
    <w:rsid w:val="5F542CA1"/>
    <w:rsid w:val="60202C9E"/>
    <w:rsid w:val="6023135D"/>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F97249D"/>
    <w:rsid w:val="6FCF0795"/>
    <w:rsid w:val="6FF679A0"/>
    <w:rsid w:val="70EE62C9"/>
    <w:rsid w:val="71241736"/>
    <w:rsid w:val="71381023"/>
    <w:rsid w:val="73714961"/>
    <w:rsid w:val="754D1D92"/>
    <w:rsid w:val="758350A9"/>
    <w:rsid w:val="759E3B4B"/>
    <w:rsid w:val="75B96BD7"/>
    <w:rsid w:val="7641182E"/>
    <w:rsid w:val="76FA6613"/>
    <w:rsid w:val="775218F8"/>
    <w:rsid w:val="780D397B"/>
    <w:rsid w:val="79687E1D"/>
    <w:rsid w:val="79B62FBA"/>
    <w:rsid w:val="7B0A23D6"/>
    <w:rsid w:val="7B560FD7"/>
    <w:rsid w:val="7B5F74F8"/>
    <w:rsid w:val="7B690630"/>
    <w:rsid w:val="7BBC11CF"/>
    <w:rsid w:val="7C5123F4"/>
    <w:rsid w:val="7CB400F8"/>
    <w:rsid w:val="7D040AB6"/>
    <w:rsid w:val="7D4119E6"/>
    <w:rsid w:val="7D575350"/>
    <w:rsid w:val="7DAF162B"/>
    <w:rsid w:val="7DC42B41"/>
    <w:rsid w:val="7DD10525"/>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9"/>
    <w:qFormat/>
    <w:uiPriority w:val="0"/>
    <w:pPr>
      <w:jc w:val="left"/>
    </w:pPr>
  </w:style>
  <w:style w:type="paragraph" w:styleId="7">
    <w:name w:val="Body Text"/>
    <w:basedOn w:val="1"/>
    <w:next w:val="8"/>
    <w:qFormat/>
    <w:uiPriority w:val="0"/>
    <w:pPr>
      <w:spacing w:after="120"/>
    </w:pPr>
  </w:style>
  <w:style w:type="paragraph" w:customStyle="1" w:styleId="8">
    <w:name w:val="引用1"/>
    <w:basedOn w:val="1"/>
    <w:next w:val="1"/>
    <w:qFormat/>
    <w:uiPriority w:val="99"/>
    <w:pPr>
      <w:tabs>
        <w:tab w:val="left" w:pos="0"/>
      </w:tabs>
    </w:pPr>
    <w:rPr>
      <w:rFonts w:ascii="Calibri" w:hAnsi="Calibri" w:cs="Calibri"/>
      <w:i/>
      <w:iCs/>
      <w:color w:val="000000"/>
      <w:sz w:val="22"/>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40"/>
    <w:qFormat/>
    <w:uiPriority w:val="0"/>
    <w:rPr>
      <w:b/>
      <w:bCs/>
    </w:rPr>
  </w:style>
  <w:style w:type="paragraph" w:styleId="17">
    <w:name w:val="Body Text First Indent"/>
    <w:basedOn w:val="7"/>
    <w:link w:val="35"/>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7"/>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Quote"/>
    <w:basedOn w:val="1"/>
    <w:next w:val="1"/>
    <w:qFormat/>
    <w:uiPriority w:val="99"/>
    <w:pPr>
      <w:tabs>
        <w:tab w:val="left" w:pos="0"/>
      </w:tabs>
    </w:pPr>
    <w:rPr>
      <w:rFonts w:ascii="Calibri" w:hAnsi="Calibri" w:cs="Calibri"/>
      <w:i/>
      <w:iCs/>
      <w:color w:val="000000"/>
      <w:sz w:val="22"/>
      <w:szCs w:val="22"/>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17"/>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8"/>
    <w:qFormat/>
    <w:uiPriority w:val="99"/>
    <w:rPr>
      <w:rFonts w:ascii="宋体" w:hAnsi="Times New Roman"/>
      <w:kern w:val="0"/>
      <w:sz w:val="21"/>
      <w:szCs w:val="24"/>
    </w:rPr>
  </w:style>
  <w:style w:type="character" w:customStyle="1" w:styleId="39">
    <w:name w:val="Comment Text Char"/>
    <w:basedOn w:val="21"/>
    <w:link w:val="6"/>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1"/>
    <w:link w:val="11"/>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null3"/>
    <w:basedOn w:val="1"/>
    <w:qFormat/>
    <w:uiPriority w:val="0"/>
    <w:pPr>
      <w:widowControl/>
      <w:jc w:val="left"/>
    </w:pPr>
    <w:rPr>
      <w:kern w:val="0"/>
      <w:sz w:val="24"/>
      <w:szCs w:val="24"/>
    </w:rPr>
  </w:style>
  <w:style w:type="paragraph" w:customStyle="1" w:styleId="44">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5">
    <w:name w:val="font111"/>
    <w:basedOn w:val="21"/>
    <w:qFormat/>
    <w:uiPriority w:val="0"/>
    <w:rPr>
      <w:rFonts w:hint="eastAsia" w:ascii="方正小标宋简体" w:hAnsi="方正小标宋简体" w:eastAsia="方正小标宋简体" w:cs="方正小标宋简体"/>
      <w:color w:val="000000"/>
      <w:sz w:val="44"/>
      <w:szCs w:val="44"/>
      <w:u w:val="none"/>
    </w:rPr>
  </w:style>
  <w:style w:type="character" w:customStyle="1" w:styleId="46">
    <w:name w:val="font122"/>
    <w:basedOn w:val="21"/>
    <w:qFormat/>
    <w:uiPriority w:val="0"/>
    <w:rPr>
      <w:rFonts w:hint="eastAsia" w:ascii="宋体" w:hAnsi="宋体" w:eastAsia="宋体" w:cs="宋体"/>
      <w:color w:val="FF0000"/>
      <w:sz w:val="24"/>
      <w:szCs w:val="24"/>
      <w:u w:val="none"/>
    </w:rPr>
  </w:style>
  <w:style w:type="paragraph" w:customStyle="1" w:styleId="47">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8">
    <w:name w:val="15"/>
    <w:basedOn w:val="21"/>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1313</Words>
  <Characters>1396</Characters>
  <Lines>127</Lines>
  <Paragraphs>35</Paragraphs>
  <TotalTime>1</TotalTime>
  <ScaleCrop>false</ScaleCrop>
  <LinksUpToDate>false</LinksUpToDate>
  <CharactersWithSpaces>1468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2026-10-26T07:49:03Z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AAB606AAAA1F4634A5CA40EC00C6A631_13</vt:lpwstr>
  </property>
  <property fmtid="{D5CDD505-2E9C-101B-9397-08002B2CF9AE}" pid="4" name="KSOTemplateDocerSaveRecord">
    <vt:lpwstr>eyJoZGlkIjoiMmYzMjBlOTBlMmU5YzA1ZjM4ZDczZjBmYWNjYjE4M2UiLCJ1c2VySWQiOiI2NTgwMTYxNjcifQ==</vt:lpwstr>
  </property>
</Properties>
</file>