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u w:val="none" w:color="auto"/>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u w:val="none" w:color="auto"/>
          <w:lang w:val="en-US" w:eastAsia="zh-CN"/>
        </w:rPr>
        <w:t>一次性使用单采血液成份分离器等一批耗材</w:t>
      </w:r>
      <w:r>
        <w:rPr>
          <w:rFonts w:hint="eastAsia" w:ascii="黑体" w:hAnsi="黑体" w:eastAsia="黑体" w:cs="黑体"/>
          <w:b w:val="0"/>
          <w:bCs/>
          <w:color w:val="auto"/>
          <w:spacing w:val="24"/>
          <w:sz w:val="56"/>
          <w:szCs w:val="56"/>
          <w:highlight w:val="none"/>
        </w:rPr>
        <w:t>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headerReference r:id="rId3"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_Toc17399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_Toc17399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highlight w:val="none"/>
              <w:lang w:val="zh-TW"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_Toc29218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_Toc24118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_Toc24118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二、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_Toc29437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_Toc8720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val="zh-TW"/>
            </w:rPr>
            <w:t xml:space="preserve">第四章 </w:t>
          </w:r>
          <w:r>
            <w:rPr>
              <w:rFonts w:hint="eastAsia" w:ascii="仿宋" w:hAnsi="仿宋" w:eastAsia="仿宋" w:cs="仿宋"/>
              <w:bCs/>
              <w:sz w:val="24"/>
              <w:szCs w:val="24"/>
              <w:highlight w:val="none"/>
              <w:lang w:val="zh-TW" w:eastAsia="zh-CN"/>
            </w:rPr>
            <w:t>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_Toc8720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_Toc9046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highlight w:val="none"/>
              <w:lang w:val="zh-TW" w:eastAsia="zh-TW"/>
            </w:rPr>
            <w:t>合同</w:t>
          </w:r>
          <w:r>
            <w:rPr>
              <w:rFonts w:hint="eastAsia" w:ascii="仿宋" w:hAnsi="仿宋" w:eastAsia="仿宋" w:cs="仿宋"/>
              <w:bCs/>
              <w:sz w:val="24"/>
              <w:szCs w:val="24"/>
              <w:highlight w:val="none"/>
              <w:lang w:val="zh-TW"/>
            </w:rPr>
            <w:t>（协议）</w:t>
          </w:r>
          <w:r>
            <w:rPr>
              <w:rFonts w:hint="eastAsia" w:ascii="仿宋" w:hAnsi="仿宋" w:eastAsia="仿宋" w:cs="仿宋"/>
              <w:bCs/>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_Toc9046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Cs w:val="24"/>
              <w:highlight w:val="none"/>
            </w:rPr>
            <w:fldChar w:fldCharType="end"/>
          </w:r>
        </w:p>
      </w:sdtContent>
    </w:sdt>
    <w:p>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739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四川省人民医院一次性使用单采血液成份分离器等一批耗材项目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CGZX-YXZ20240149</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t>在通过资格、</w:t>
            </w:r>
            <w:r>
              <w:rPr>
                <w:rFonts w:hint="eastAsia" w:ascii="仿宋" w:hAnsi="仿宋" w:eastAsia="仿宋" w:cs="仿宋"/>
                <w:color w:val="auto"/>
                <w:kern w:val="0"/>
                <w:sz w:val="22"/>
                <w:szCs w:val="22"/>
                <w:highlight w:val="none"/>
                <w:lang w:val="en-US" w:eastAsia="zh-CN" w:bidi="ar-SA"/>
              </w:rPr>
              <w:t>符合性</w:t>
            </w:r>
            <w:r>
              <w:rPr>
                <w:rFonts w:hint="eastAsia" w:ascii="仿宋" w:hAnsi="仿宋" w:eastAsia="仿宋" w:cs="仿宋"/>
                <w:color w:val="auto"/>
                <w:kern w:val="0"/>
                <w:sz w:val="22"/>
                <w:szCs w:val="22"/>
                <w:highlight w:val="none"/>
                <w:lang w:val="zh-CN" w:eastAsia="zh-CN" w:bidi="ar-SA"/>
              </w:rPr>
              <w:t>审查，且所有技术、服务及商务要求均符合的供应商中，有效报价最低的为中选人。若报价相同</w:t>
            </w:r>
            <w:r>
              <w:rPr>
                <w:rFonts w:hint="eastAsia" w:ascii="仿宋" w:hAnsi="仿宋" w:eastAsia="仿宋" w:cs="仿宋"/>
                <w:color w:val="auto"/>
                <w:kern w:val="0"/>
                <w:sz w:val="22"/>
                <w:szCs w:val="22"/>
                <w:highlight w:val="none"/>
                <w:lang w:val="en-US" w:eastAsia="zh-CN" w:bidi="ar-SA"/>
              </w:rPr>
              <w:t>且</w:t>
            </w:r>
            <w:r>
              <w:rPr>
                <w:rFonts w:hint="eastAsia" w:ascii="仿宋" w:hAnsi="仿宋" w:eastAsia="仿宋" w:cs="仿宋"/>
                <w:color w:val="auto"/>
                <w:kern w:val="0"/>
                <w:sz w:val="22"/>
                <w:szCs w:val="22"/>
                <w:highlight w:val="none"/>
                <w:lang w:val="zh-CN" w:eastAsia="zh-CN" w:bidi="ar-SA"/>
              </w:rPr>
              <w:t>所有技术、服务及商务</w:t>
            </w:r>
            <w:r>
              <w:rPr>
                <w:rFonts w:hint="eastAsia" w:ascii="仿宋" w:hAnsi="仿宋" w:eastAsia="仿宋" w:cs="仿宋"/>
                <w:color w:val="auto"/>
                <w:kern w:val="0"/>
                <w:sz w:val="22"/>
                <w:szCs w:val="22"/>
                <w:highlight w:val="none"/>
                <w:lang w:val="en-US" w:eastAsia="zh-CN" w:bidi="ar-SA"/>
              </w:rPr>
              <w:t>要求响应情况均一致则</w:t>
            </w:r>
            <w:r>
              <w:rPr>
                <w:rFonts w:hint="eastAsia" w:ascii="仿宋" w:hAnsi="仿宋" w:eastAsia="仿宋" w:cs="仿宋"/>
                <w:color w:val="auto"/>
                <w:kern w:val="0"/>
                <w:sz w:val="22"/>
                <w:szCs w:val="22"/>
                <w:highlight w:val="none"/>
                <w:lang w:val="zh-CN" w:eastAsia="zh-CN" w:bidi="ar-SA"/>
              </w:rPr>
              <w:t>采取随机抽取的方式确定中选人。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3" w:name="_Toc16022"/>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29218"/>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5"/>
    </w:p>
    <w:bookmarkEnd w:id="4"/>
    <w:p>
      <w:pPr>
        <w:pStyle w:val="3"/>
        <w:bidi w:val="0"/>
        <w:rPr>
          <w:rFonts w:hint="default"/>
          <w:color w:val="auto"/>
          <w:sz w:val="24"/>
          <w:szCs w:val="24"/>
          <w:highlight w:val="none"/>
        </w:rPr>
      </w:pPr>
      <w:bookmarkStart w:id="6" w:name="_Toc24118"/>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08"/>
        <w:gridCol w:w="3596"/>
        <w:gridCol w:w="4866"/>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2.医药价格和招采信用评价为“中等”“、严重”“、特别严重”。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7"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bookmarkStart w:id="8" w:name="_Toc29437"/>
      <w:r>
        <w:rPr>
          <w:rFonts w:hint="default"/>
        </w:rPr>
        <w:t>采购需求：</w:t>
      </w:r>
      <w:bookmarkEnd w:id="8"/>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项目简介：因采购人实际工作需要，现就部分</w:t>
      </w:r>
      <w:r>
        <w:rPr>
          <w:rFonts w:hint="eastAsia" w:ascii="Times New Roman" w:hAnsi="Times New Roman" w:eastAsia="宋体" w:cs="Times New Roman"/>
          <w:lang w:val="en-US" w:eastAsia="zh-CN"/>
        </w:rPr>
        <w:t>医用耗材</w:t>
      </w:r>
      <w:r>
        <w:rPr>
          <w:rFonts w:hint="default" w:ascii="Times New Roman" w:hAnsi="Times New Roman" w:eastAsia="宋体" w:cs="Times New Roman"/>
        </w:rPr>
        <w:t>（详见第2条）通过本次询比价确定一家定点供应商，服务期2年。</w:t>
      </w:r>
    </w:p>
    <w:p>
      <w:pPr>
        <w:pStyle w:val="5"/>
        <w:rPr>
          <w:rFonts w:hint="default" w:ascii="Times New Roman" w:hAnsi="Times New Roman" w:eastAsia="宋体" w:cs="Times New Roman"/>
        </w:rPr>
      </w:pP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采购内容及相关要求：</w:t>
      </w:r>
    </w:p>
    <w:tbl>
      <w:tblPr>
        <w:tblStyle w:val="14"/>
        <w:tblW w:w="52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61"/>
        <w:gridCol w:w="1991"/>
        <w:gridCol w:w="1234"/>
        <w:gridCol w:w="2025"/>
        <w:gridCol w:w="1965"/>
        <w:gridCol w:w="22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rPr>
            </w:pPr>
            <w:r>
              <w:rPr>
                <w:rFonts w:hint="default" w:ascii="Times New Roman" w:hAnsi="Times New Roman" w:eastAsia="宋体" w:cs="Times New Roman"/>
                <w:b/>
                <w:bCs/>
                <w:kern w:val="0"/>
              </w:rPr>
              <w:t>序号</w:t>
            </w:r>
          </w:p>
        </w:tc>
        <w:tc>
          <w:tcPr>
            <w:tcW w:w="1991"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rPr>
            </w:pPr>
            <w:r>
              <w:rPr>
                <w:rFonts w:hint="default" w:ascii="Times New Roman" w:hAnsi="Times New Roman" w:eastAsia="宋体" w:cs="Times New Roman"/>
                <w:b/>
                <w:bCs/>
                <w:kern w:val="0"/>
              </w:rPr>
              <w:t>产品名称</w:t>
            </w:r>
          </w:p>
        </w:tc>
        <w:tc>
          <w:tcPr>
            <w:tcW w:w="1234"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lang w:val="en-US" w:eastAsia="zh-CN"/>
              </w:rPr>
            </w:pPr>
            <w:r>
              <w:rPr>
                <w:rFonts w:hint="default" w:ascii="Times New Roman" w:hAnsi="Times New Roman" w:eastAsia="宋体" w:cs="Times New Roman"/>
                <w:b/>
                <w:bCs/>
                <w:kern w:val="0"/>
              </w:rPr>
              <w:t>计价单位</w:t>
            </w:r>
          </w:p>
        </w:tc>
        <w:tc>
          <w:tcPr>
            <w:tcW w:w="2025"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b/>
                <w:bCs/>
                <w:kern w:val="0"/>
                <w:lang w:val="en-US" w:eastAsia="zh-CN"/>
              </w:rPr>
            </w:pPr>
            <w:r>
              <w:rPr>
                <w:rFonts w:hint="eastAsia" w:ascii="Times New Roman" w:hAnsi="Times New Roman" w:eastAsia="宋体" w:cs="Times New Roman"/>
                <w:b/>
                <w:bCs/>
                <w:kern w:val="0"/>
                <w:lang w:val="en-US" w:eastAsia="zh-CN"/>
              </w:rPr>
              <w:t>规格</w:t>
            </w:r>
          </w:p>
        </w:tc>
        <w:tc>
          <w:tcPr>
            <w:tcW w:w="1965"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rPr>
            </w:pPr>
            <w:r>
              <w:rPr>
                <w:rFonts w:hint="default" w:ascii="Times New Roman" w:hAnsi="Times New Roman" w:eastAsia="宋体" w:cs="Times New Roman"/>
                <w:b/>
                <w:bCs/>
                <w:kern w:val="0"/>
              </w:rPr>
              <w:t>每单价限高价(元）</w:t>
            </w:r>
          </w:p>
        </w:tc>
        <w:tc>
          <w:tcPr>
            <w:tcW w:w="2257"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b/>
                <w:bCs/>
                <w:kern w:val="0"/>
                <w:lang w:val="en-US" w:eastAsia="zh-CN"/>
              </w:rPr>
            </w:pPr>
            <w:r>
              <w:rPr>
                <w:rFonts w:hint="eastAsia" w:ascii="Times New Roman" w:hAnsi="Times New Roman" w:eastAsia="宋体" w:cs="Times New Roman"/>
                <w:b/>
                <w:bCs/>
                <w:kern w:val="0"/>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1</w:t>
            </w:r>
          </w:p>
        </w:tc>
        <w:tc>
          <w:tcPr>
            <w:tcW w:w="1991" w:type="dxa"/>
            <w:shd w:val="clear" w:color="000000" w:fill="FFFFFF"/>
            <w:vAlign w:val="center"/>
          </w:tcPr>
          <w:p>
            <w:pPr>
              <w:keepNext w:val="0"/>
              <w:keepLines w:val="0"/>
              <w:widowControl/>
              <w:suppressLineNumbers w:val="0"/>
              <w:jc w:val="center"/>
              <w:textAlignment w:val="center"/>
              <w:rPr>
                <w:rFonts w:hint="default"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234" w:type="dxa"/>
            <w:shd w:val="clear" w:color="000000" w:fill="FFFFFF"/>
            <w:vAlign w:val="center"/>
          </w:tcPr>
          <w:p>
            <w:pPr>
              <w:keepNext w:val="0"/>
              <w:keepLines w:val="0"/>
              <w:widowControl/>
              <w:suppressLineNumbers w:val="0"/>
              <w:jc w:val="center"/>
              <w:textAlignment w:val="center"/>
              <w:rPr>
                <w:rFonts w:hint="default"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default"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P-2000IL</w:t>
            </w:r>
          </w:p>
        </w:tc>
        <w:tc>
          <w:tcPr>
            <w:tcW w:w="1965" w:type="dxa"/>
            <w:shd w:val="clear" w:color="000000" w:fill="FFFFFF"/>
            <w:vAlign w:val="center"/>
          </w:tcPr>
          <w:p>
            <w:pPr>
              <w:keepNext w:val="0"/>
              <w:keepLines w:val="0"/>
              <w:widowControl/>
              <w:suppressLineNumbers w:val="0"/>
              <w:jc w:val="center"/>
              <w:textAlignment w:val="center"/>
              <w:rPr>
                <w:rFonts w:hint="default"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760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P-2000IS</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760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3</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P-2000IF</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520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4</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P-2000IU</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1208.89</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5</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18F-Aβ蛋白显像剂专用配套耗材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F-A</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3900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6</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18F-Choline显像剂专用配套耗材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18F-Choline</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5600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7</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18F-DOPA显像剂专用配套耗材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18F-DOPA</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9000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8</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18F-FAPI显像剂专用配套耗材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18F-FAPI</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5000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9</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18F-FDG四次合成专用配套耗材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18F-FDG四次</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7200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10</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18F-FLT显像剂专用配套耗材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18F-FLT</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6200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11</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18F-FMISO显像剂专用配套耗材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18F-FMISO</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5300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12</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18F-NaF显像剂专用配套耗材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18F-NaF</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1500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13</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18F-PSMA-1007显像剂专用配套耗材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18F-PSMA1007</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12900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14</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18F-tau蛋白显像剂专用配套耗材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 xml:space="preserve"> F-A1</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3400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15</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18F-奥曲肽显像剂专用配套耗材</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18F-奥曲肽</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4200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16</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K2EDTA 添加剂，紫色</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Hemogard 头盖，纸质标签， 抽吸体积 4ml，管子尺寸 13*75mm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1.1</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17</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二氧化硅添加剂，红色</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Hemogard 头盖，纸质标签， 抽吸体积 4ml，管子尺寸 13*75mm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0.8</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18</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K2EDTA 添加剂，半透明</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紫色 Hemogard 头盖，纸质标签，抽吸体积 2ml，管子尺寸 13*75mm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1.03</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19</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枸橼酸钠(ESR)添加剂,</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黑色安全头盖,纸质,2.4ml,φ13*75mm，浓度 0.129mol/L</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0.9</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20</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分离胶/二氧化硅添加</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剂， 金色安全头盖， 纸质</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标签，抽吸体积 3.5ml，</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管子尺寸 13*75mm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0.9</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21</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肝素锂添加剂，绿色</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Hemogard 头盖，纸质标签， 抽吸体积 4ml，管子尺寸 13*75m</w:t>
            </w:r>
            <w:bookmarkStart w:id="35" w:name="_GoBack"/>
            <w:bookmarkEnd w:id="35"/>
            <w:r>
              <w:rPr>
                <w:rFonts w:hint="eastAsia" w:ascii="宋体" w:hAnsi="宋体" w:eastAsia="宋体" w:cs="宋体"/>
                <w:i w:val="0"/>
                <w:iCs w:val="0"/>
                <w:color w:val="000000"/>
                <w:kern w:val="0"/>
                <w:sz w:val="20"/>
                <w:szCs w:val="20"/>
                <w:u w:val="none" w:color="000000"/>
                <w:lang w:val="en-US" w:eastAsia="zh-CN" w:bidi="ar"/>
              </w:rPr>
              <w:t>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0.85</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22</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动脉采血器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BD PresetTM3ml 动脉采血器， 22G×1 ”</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13</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23</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一次性使用采血器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1.8mm*21G(0.81mm)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2.54</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24</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一次性使用采血器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2.0mm*1.5mm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2.55</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25</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枸橼酸钠(CLT)添加剂,</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浅蓝色安全头盖,纸质,2.7ml,φ13*75mm，浓度 0.109mol/L</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0.8</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26</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一次性使用末梢血样采集容器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末梢采血管， K2EDTA，紫色头盖</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2.3</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27</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一次性使用锁扣式采血器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支</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21G*1.25（0.8*32mm）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2.45</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1：1配送一次性使用持针器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28</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一次性使用持针器</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箱</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1000支/箱</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搭配一次性使用锁扣式采血器，1：1配送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29</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一次性使用塑料血袋</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eastAsia="宋体"/>
                <w:lang w:val="en-US" w:eastAsia="zh-CN"/>
              </w:rPr>
              <w:t>个</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PT-S-200</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6.5</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30</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输注循环管路套装</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套</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LKT-200</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22000</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0" w:hRule="atLeast"/>
          <w:jc w:val="center"/>
        </w:trPr>
        <w:tc>
          <w:tcPr>
            <w:tcW w:w="661" w:type="dxa"/>
            <w:shd w:val="clear" w:color="000000" w:fill="FFFFFF"/>
            <w:vAlign w:val="center"/>
          </w:tcPr>
          <w:p>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31</w:t>
            </w:r>
          </w:p>
        </w:tc>
        <w:tc>
          <w:tcPr>
            <w:tcW w:w="1991"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可降解耳鼻止血绵(纳吸绵)</w:t>
            </w:r>
          </w:p>
        </w:tc>
        <w:tc>
          <w:tcPr>
            <w:tcW w:w="1234"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片</w:t>
            </w:r>
          </w:p>
        </w:tc>
        <w:tc>
          <w:tcPr>
            <w:tcW w:w="202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0"/>
                <w:lang w:val="en-US" w:eastAsia="zh-CN"/>
              </w:rPr>
            </w:pPr>
            <w:r>
              <w:rPr>
                <w:rFonts w:hint="eastAsia" w:ascii="宋体" w:hAnsi="宋体" w:eastAsia="宋体" w:cs="宋体"/>
                <w:i w:val="0"/>
                <w:iCs w:val="0"/>
                <w:color w:val="000000"/>
                <w:kern w:val="0"/>
                <w:sz w:val="20"/>
                <w:szCs w:val="20"/>
                <w:u w:val="none" w:color="000000"/>
                <w:lang w:val="en-US" w:eastAsia="zh-CN" w:bidi="ar"/>
              </w:rPr>
              <w:t>Forte (8*2*1.5cm)</w:t>
            </w:r>
          </w:p>
        </w:tc>
        <w:tc>
          <w:tcPr>
            <w:tcW w:w="1965" w:type="dxa"/>
            <w:shd w:val="clear" w:color="000000" w:fill="FFFFFF"/>
            <w:vAlign w:val="center"/>
          </w:tcPr>
          <w:p>
            <w:pPr>
              <w:keepNext w:val="0"/>
              <w:keepLines w:val="0"/>
              <w:widowControl/>
              <w:suppressLineNumbers w:val="0"/>
              <w:jc w:val="center"/>
              <w:textAlignment w:val="center"/>
              <w:rPr>
                <w:rFonts w:hint="eastAsia" w:ascii="Times New Roman" w:hAnsi="Times New Roman" w:eastAsia="宋体" w:cs="Times New Roman"/>
                <w:color w:val="FF0000"/>
                <w:kern w:val="2"/>
                <w:sz w:val="21"/>
                <w:szCs w:val="21"/>
                <w:u w:color="000000"/>
                <w:lang w:val="en-US" w:eastAsia="zh-CN" w:bidi="ar-SA"/>
              </w:rPr>
            </w:pPr>
            <w:r>
              <w:rPr>
                <w:rFonts w:hint="eastAsia" w:ascii="宋体" w:hAnsi="宋体" w:eastAsia="宋体" w:cs="宋体"/>
                <w:i w:val="0"/>
                <w:iCs w:val="0"/>
                <w:color w:val="000000"/>
                <w:kern w:val="0"/>
                <w:sz w:val="20"/>
                <w:szCs w:val="20"/>
                <w:u w:val="none" w:color="000000"/>
                <w:lang w:val="en-US" w:eastAsia="zh-CN" w:bidi="ar"/>
              </w:rPr>
              <w:t>492</w:t>
            </w:r>
          </w:p>
        </w:tc>
        <w:tc>
          <w:tcPr>
            <w:tcW w:w="2257"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p>
        </w:tc>
      </w:tr>
    </w:tbl>
    <w:p>
      <w:pPr>
        <w:pStyle w:val="5"/>
        <w:rPr>
          <w:rFonts w:hint="default" w:ascii="Times New Roman" w:hAnsi="Times New Roman" w:eastAsia="宋体" w:cs="Times New Roman"/>
        </w:rPr>
      </w:pP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技术要求：</w:t>
      </w:r>
    </w:p>
    <w:p>
      <w:pPr>
        <w:pStyle w:val="5"/>
        <w:rPr>
          <w:rFonts w:hint="default" w:ascii="Times New Roman" w:hAnsi="Times New Roman" w:eastAsia="宋体" w:cs="Times New Roman"/>
        </w:rPr>
      </w:pPr>
      <w:r>
        <w:rPr>
          <w:rFonts w:hint="default" w:ascii="Times New Roman" w:hAnsi="Times New Roman" w:eastAsia="宋体" w:cs="Times New Roman"/>
        </w:rPr>
        <w:t>采购产品应符合以下技术要求：</w:t>
      </w:r>
    </w:p>
    <w:tbl>
      <w:tblPr>
        <w:tblStyle w:val="14"/>
        <w:tblW w:w="51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710"/>
        <w:gridCol w:w="1710"/>
        <w:gridCol w:w="1545"/>
        <w:gridCol w:w="1920"/>
        <w:gridCol w:w="1237"/>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序号</w:t>
            </w:r>
          </w:p>
        </w:tc>
        <w:tc>
          <w:tcPr>
            <w:tcW w:w="1710"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产品名称</w:t>
            </w:r>
          </w:p>
        </w:tc>
        <w:tc>
          <w:tcPr>
            <w:tcW w:w="1710"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rPr>
            </w:pPr>
            <w:r>
              <w:rPr>
                <w:rFonts w:hint="default" w:ascii="Times New Roman" w:hAnsi="Times New Roman" w:eastAsia="宋体" w:cs="Times New Roman"/>
                <w:b/>
                <w:bCs/>
                <w:kern w:val="0"/>
                <w:sz w:val="18"/>
                <w:szCs w:val="18"/>
                <w:lang w:val="zh-CN"/>
              </w:rPr>
              <w:t>生产厂家</w:t>
            </w:r>
          </w:p>
        </w:tc>
        <w:tc>
          <w:tcPr>
            <w:tcW w:w="1545"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注册证号</w:t>
            </w:r>
          </w:p>
        </w:tc>
        <w:tc>
          <w:tcPr>
            <w:tcW w:w="1920"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型号</w:t>
            </w:r>
          </w:p>
        </w:tc>
        <w:tc>
          <w:tcPr>
            <w:tcW w:w="1237"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商品编码</w:t>
            </w:r>
          </w:p>
        </w:tc>
        <w:tc>
          <w:tcPr>
            <w:tcW w:w="1315" w:type="dxa"/>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产品ID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w:t>
            </w:r>
          </w:p>
        </w:tc>
        <w:tc>
          <w:tcPr>
            <w:tcW w:w="171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71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四川南格尔生物科技有限公司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国械注准20153101686</w:t>
            </w:r>
          </w:p>
        </w:tc>
        <w:tc>
          <w:tcPr>
            <w:tcW w:w="1920" w:type="dxa"/>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P-2000IL</w:t>
            </w:r>
          </w:p>
        </w:tc>
        <w:tc>
          <w:tcPr>
            <w:tcW w:w="123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S140325</w:t>
            </w:r>
          </w:p>
        </w:tc>
        <w:tc>
          <w:tcPr>
            <w:tcW w:w="131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G1069759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四川南格尔生物科技有限公司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国械注准20153101686</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P-2000IS</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S140329</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G1070060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3</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四川南格尔生物科技有限公司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国械注准20153101686</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P-2000IF</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S140321</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G1068512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4</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一次性使用单采血液成份分离器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四川南格尔生物科技有限公司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国械注准20153101686</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P-2000IU</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S140331</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G1070183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5</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18F-Aβ蛋白显像剂专用配套耗材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北京派特生物技术有限公司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F-A</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6</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18F-Choline显像剂专用配套耗材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比利时TRASIS</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18F-Choline</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7</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18F-DOPA显像剂专用配套耗材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比利时TRASIS</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18F-DOPA</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8</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18F-FAPI显像剂专用配套耗材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北京派特生物技术有限公司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18F-FAPI</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9</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18F-FDG四次合成专用配套耗材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比利时TRASIS</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18F-FDG四次</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10</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18F-FLT显像剂专用配套耗材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比利时TRASIS</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18F-FLT</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11</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18F-FMISO显像剂专用配套耗材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比利时TRASIS</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18F-FMISO</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12</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18F-NaF显像剂专用配套耗材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北京派特生物技术有限公司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18F-NaF</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13</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18F-PSMA-1007显像剂专用配套耗材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德国ABX、比利时TARSIS</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18F-PSMA1007</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14</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18F-tau蛋白显像剂专用配套耗材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北京派特生物技术有限公司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 xml:space="preserve"> F-A1</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15</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18F-奥曲肽显像剂专用配套耗材</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北京派特生物技术有限公司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非医疗</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18F-奥曲肽</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16</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20152223656</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K2EDTA 添加剂，紫色 Hemogard 头盖，纸质标签， 抽吸体积 4ml，管子尺寸 13*75mm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G625953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17</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20152223660</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二氧化硅添加剂，红色</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Hemogard 头盖，纸质标签， 抽吸体积 4ml，管子尺寸 13*75mm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G1468838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18</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20152223656</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K2EDTA 添加剂，半透明</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紫色 Hemogard 头盖，纸质标签，抽吸体积 2ml，管子尺寸 13*75mm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G625856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19</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20152221692</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枸橼酸钠(ESR)添加剂,黑色安全头盖,纸质,2.4ml,φ13*75mm，浓度 0.129mol/L</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G753990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20</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20152220400</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分离胶/二氧化硅添加剂， 金色安全头盖， 纸质标签，抽吸体积 3.5ml，管子尺寸 13*75mm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G754621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21</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20152223659</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肝素锂添加剂，绿色</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Hemogard 头盖，纸质标签， 抽吸体积 4ml，管子尺寸 13*75mm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G1469701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22</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动脉采血器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20153220005</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BD PresetTM3ml 动脉采血器， 22G×1 ”</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G1180254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23</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一次性使用采血器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20142225242</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1.8mm*21G(0.81mm)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G1183361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24</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一次性使用采血器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20142225242</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2.0mm*1.5mm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G1183410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25</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真空采血管</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20152221692</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枸橼酸钠(CLT)添加剂,浅蓝色安全头盖,纸质,2.7ml,φ13*75mm，浓</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度 0.109mol/L</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G753715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26</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一次性使用末梢血样采集容器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20152222372</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末梢采血管， K2EDTA，紫色头盖</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G1535791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27</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一次性使用锁扣式采血器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20173151684</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21G*1.25（0.8*32mm）</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G1183470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28</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一次性使用持针器</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Beceon Dickinsom and Company</w:t>
            </w:r>
          </w:p>
        </w:tc>
        <w:tc>
          <w:tcPr>
            <w:tcW w:w="1545"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1000支/箱</w:t>
            </w:r>
          </w:p>
        </w:tc>
        <w:tc>
          <w:tcPr>
            <w:tcW w:w="1237" w:type="dxa"/>
            <w:shd w:val="clear" w:color="auto" w:fill="auto"/>
            <w:vAlign w:val="center"/>
          </w:tcPr>
          <w:p>
            <w:pPr>
              <w:jc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29</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一次性使用塑料血袋</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山东威高集团医用高分子制品股份有限公司</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国械注准20173100986</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PT-S-200</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无</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30</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输注循环管路套装</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Organ Recovery Systems Inc.</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国械注进20152222981</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LKT-200</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S228062</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G1648539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dxa"/>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31</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可降解耳鼻止血绵(纳吸绵)</w:t>
            </w:r>
          </w:p>
        </w:tc>
        <w:tc>
          <w:tcPr>
            <w:tcW w:w="171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史赛克动力</w:t>
            </w:r>
          </w:p>
        </w:tc>
        <w:tc>
          <w:tcPr>
            <w:tcW w:w="154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color="000000"/>
                <w:lang w:val="en-US" w:eastAsia="zh-CN" w:bidi="ar"/>
              </w:rPr>
            </w:pPr>
            <w:r>
              <w:rPr>
                <w:rFonts w:hint="eastAsia" w:ascii="宋体" w:hAnsi="宋体" w:eastAsia="宋体" w:cs="宋体"/>
                <w:i w:val="0"/>
                <w:iCs w:val="0"/>
                <w:color w:val="000000"/>
                <w:kern w:val="0"/>
                <w:sz w:val="20"/>
                <w:szCs w:val="20"/>
                <w:u w:val="none" w:color="000000"/>
                <w:lang w:val="en-US" w:eastAsia="zh-CN" w:bidi="ar"/>
              </w:rPr>
              <w:t>国械注进20143145240</w:t>
            </w:r>
          </w:p>
        </w:tc>
        <w:tc>
          <w:tcPr>
            <w:tcW w:w="1920" w:type="dxa"/>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Forte (8*2*1.5cm)</w:t>
            </w:r>
          </w:p>
        </w:tc>
        <w:tc>
          <w:tcPr>
            <w:tcW w:w="123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S279833</w:t>
            </w:r>
          </w:p>
        </w:tc>
        <w:tc>
          <w:tcPr>
            <w:tcW w:w="131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lang w:val="en-US" w:eastAsia="zh-CN"/>
              </w:rPr>
            </w:pPr>
            <w:r>
              <w:rPr>
                <w:rFonts w:hint="eastAsia" w:ascii="宋体" w:hAnsi="宋体" w:eastAsia="宋体" w:cs="宋体"/>
                <w:i w:val="0"/>
                <w:iCs w:val="0"/>
                <w:color w:val="000000"/>
                <w:kern w:val="0"/>
                <w:sz w:val="20"/>
                <w:szCs w:val="20"/>
                <w:u w:val="none" w:color="000000"/>
                <w:lang w:val="en-US" w:eastAsia="zh-CN" w:bidi="ar"/>
              </w:rPr>
              <w:t>G3886335</w:t>
            </w:r>
          </w:p>
        </w:tc>
      </w:tr>
    </w:tbl>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4.</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服务期：合同签订后两年。</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default" w:ascii="Times New Roman" w:hAnsi="Times New Roman" w:eastAsia="宋体" w:cs="Times New Roma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9" w:name="_Toc8720"/>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9"/>
    </w:p>
    <w:bookmarkEnd w:id="7"/>
    <w:p>
      <w:pPr>
        <w:pStyle w:val="5"/>
        <w:numPr>
          <w:ilvl w:val="0"/>
          <w:numId w:val="15"/>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0" w:name="_Toc19851"/>
      <w:bookmarkStart w:id="11" w:name="_Toc30609"/>
      <w:bookmarkStart w:id="12" w:name="_Toc9428"/>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3" w:name="_Toc9041"/>
      <w:bookmarkStart w:id="14" w:name="_Toc1544"/>
      <w:bookmarkStart w:id="15" w:name="_Toc32352"/>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18" w:name="_Toc32749"/>
      <w:bookmarkStart w:id="19" w:name="_Toc24859"/>
      <w:bookmarkStart w:id="20" w:name="_Toc17163"/>
      <w:bookmarkStart w:id="21" w:name="_Toc1690"/>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2" w:name="_Toc27135"/>
      <w:bookmarkStart w:id="23" w:name="_Toc2989"/>
      <w:bookmarkStart w:id="24" w:name="_Toc27526"/>
      <w:bookmarkStart w:id="25"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6" w:name="_Toc19987"/>
      <w:bookmarkStart w:id="27" w:name="_Toc7233"/>
      <w:bookmarkStart w:id="28" w:name="_Toc2031"/>
      <w:bookmarkStart w:id="29" w:name="_Toc5056"/>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3</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049"/>
        <w:gridCol w:w="474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1"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1"/>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79"/>
        <w:gridCol w:w="1143"/>
        <w:gridCol w:w="1405"/>
        <w:gridCol w:w="882"/>
        <w:gridCol w:w="578"/>
        <w:gridCol w:w="619"/>
        <w:gridCol w:w="497"/>
        <w:gridCol w:w="1197"/>
        <w:gridCol w:w="1106"/>
        <w:gridCol w:w="535"/>
        <w:gridCol w:w="1392"/>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省药械集中采购平台挂网产品名称或医疗器械注册证或备案证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2"/>
    <w:p>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4" w:name="_Toc9046"/>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4"/>
    </w:p>
    <w:bookmarkEnd w:id="33"/>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7"/>
        <w:gridCol w:w="4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（4）医疗机构：即本合同甲方，为本协议采购耗材的实际使用单位和付款单位。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（5）配送企业：即本合同乙方，是指在本协议中受供货品种生产企业委托，为甲方配送耗材的合法的经营企业。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（6）生产企业：即本合同丙方，是指在本协议中供货品种生产企业。耗材上市许可持有人、进口耗材国内总代理视同生产企业。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2.合同期限：本合同签订之日起</w:t>
      </w:r>
      <w:r>
        <w:rPr>
          <w:rFonts w:ascii="Times New Roman" w:hAnsi="Times New Roman" w:eastAsia="宋体"/>
          <w:color w:val="auto"/>
        </w:rPr>
        <w:t xml:space="preserve">    </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ascii="Times New Roman" w:hAnsi="Times New Roman" w:eastAsia="宋体"/>
          <w:color w:val="auto"/>
          <w:sz w:val="21"/>
          <w:szCs w:val="21"/>
        </w:rPr>
        <w:t>4.有效期：除非甲方对有效期另有规定，甲方收到耗材的时间距离耗材的有效期截止日原则上不得少于12个月。甲方有特殊要求的，双方另外协商。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（4）存在变更配送商情形的，至新合同签订完成前，由丙方负责供货产品的配送，不得以任何理由拒绝配送。新合同签订完成前配送的商品，由甲方与丙方原则上通过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。合同履行期间关于耗材采购的方式及目录发生变化的，按最新的文件执行。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10．结算、付款和发票：根据四川省医药机构医用耗材集中采购实施方案相关文件规定，耗材集中采购由甲方与配送企业直接结算。变更配送商期间，由甲方与丙方直接结算。</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按本合同约定方式供货并办理代销或非代销入库手续。代销类耗材乙方自行查看每月实际用量，并根据实际使用数量开具发票提交甲方。非代销耗材乙方根据每月验收合格并确认入库的数量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11．退换货：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12．召回：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13．质量保证及检验：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14．履约延误：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15．误期赔偿：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16．不可抗力：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17．争议的解决：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18．协议的终止：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19．其他：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rPr>
        <w:t>2</w:t>
      </w:r>
      <w:r>
        <w:rPr>
          <w:rFonts w:ascii="Times New Roman" w:hAnsi="Times New Roman" w:eastAsia="宋体"/>
          <w:color w:val="auto"/>
          <w:sz w:val="21"/>
          <w:szCs w:val="21"/>
        </w:rPr>
        <w:t xml:space="preserve">0. </w:t>
      </w:r>
      <w:r>
        <w:rPr>
          <w:rFonts w:hint="eastAsia" w:ascii="Times New Roman" w:hAnsi="Times New Roman" w:eastAsia="宋体"/>
          <w:color w:val="auto"/>
          <w:sz w:val="21"/>
          <w:szCs w:val="21"/>
        </w:rPr>
        <w:t>双方需要说明的其他事项（如有）：无。</w:t>
      </w: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7"/>
        <w:gridCol w:w="3278"/>
        <w:gridCol w:w="32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rPr>
        <w:sectPr>
          <w:footerReference r:id="rId7" w:type="default"/>
          <w:pgSz w:w="11906" w:h="16838"/>
          <w:pgMar w:top="1134" w:right="1134" w:bottom="1134" w:left="1134" w:header="567" w:footer="567" w:gutter="0"/>
          <w:pgNumType w:fmt="decimal"/>
          <w:cols w:space="425" w:num="1"/>
          <w:docGrid w:type="lines" w:linePitch="312" w:charSpace="0"/>
        </w:sectPr>
      </w:pPr>
    </w:p>
    <w:p>
      <w:pPr>
        <w:rPr>
          <w:rFonts w:ascii="Times New Roman" w:hAnsi="Times New Roman" w:eastAsia="宋体" w:cs="Times New Roman"/>
          <w:b/>
          <w:bCs/>
        </w:rPr>
      </w:pPr>
      <w:r>
        <w:rPr>
          <w:rFonts w:ascii="Times New Roman" w:hAnsi="Times New Roman" w:eastAsia="宋体" w:cs="Times New Roman"/>
          <w:b/>
          <w:bCs/>
        </w:rPr>
        <w:t>附件：供货清单</w:t>
      </w:r>
    </w:p>
    <w:p>
      <w:pPr>
        <w:rPr>
          <w:rFonts w:ascii="Times New Roman" w:hAnsi="Times New Roman" w:cs="Times New Roman"/>
          <w:b/>
          <w:bCs/>
        </w:rPr>
      </w:pP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02"/>
        <w:gridCol w:w="1204"/>
        <w:gridCol w:w="1464"/>
        <w:gridCol w:w="969"/>
        <w:gridCol w:w="1084"/>
        <w:gridCol w:w="853"/>
        <w:gridCol w:w="506"/>
        <w:gridCol w:w="689"/>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序号</w:t>
            </w:r>
          </w:p>
        </w:tc>
        <w:tc>
          <w:tcPr>
            <w:tcW w:w="1418"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产品流水号/商品代码及产品ID</w:t>
            </w:r>
          </w:p>
        </w:tc>
        <w:tc>
          <w:tcPr>
            <w:tcW w:w="1701" w:type="dxa"/>
            <w:vAlign w:val="center"/>
          </w:tcPr>
          <w:p>
            <w:pPr>
              <w:widowControl/>
              <w:spacing w:line="240" w:lineRule="exact"/>
              <w:contextualSpacing/>
              <w:jc w:val="center"/>
              <w:rPr>
                <w:rFonts w:ascii="Times New Roman" w:hAnsi="Times New Roman" w:eastAsia="宋体" w:cs="Times New Roman"/>
                <w:b/>
                <w:kern w:val="0"/>
                <w:sz w:val="18"/>
                <w:szCs w:val="18"/>
              </w:rPr>
            </w:pPr>
            <w:r>
              <w:rPr>
                <w:rFonts w:ascii="Times New Roman" w:hAnsi="Times New Roman" w:eastAsia="宋体" w:cs="Times New Roman"/>
                <w:b/>
                <w:kern w:val="0"/>
                <w:sz w:val="18"/>
                <w:szCs w:val="18"/>
              </w:rPr>
              <w:t>产品名称</w:t>
            </w:r>
          </w:p>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（以集中采购平台产品</w:t>
            </w:r>
            <w:r>
              <w:rPr>
                <w:rFonts w:hint="eastAsia" w:ascii="Times New Roman" w:hAnsi="Times New Roman" w:eastAsia="宋体" w:cs="Times New Roman"/>
                <w:b/>
                <w:kern w:val="0"/>
                <w:sz w:val="18"/>
                <w:szCs w:val="18"/>
              </w:rPr>
              <w:t>名称</w:t>
            </w:r>
            <w:r>
              <w:rPr>
                <w:rFonts w:ascii="Times New Roman" w:hAnsi="Times New Roman" w:eastAsia="宋体" w:cs="Times New Roman"/>
                <w:b/>
                <w:kern w:val="0"/>
                <w:sz w:val="18"/>
                <w:szCs w:val="18"/>
              </w:rPr>
              <w:t>为准）</w:t>
            </w:r>
          </w:p>
        </w:tc>
        <w:tc>
          <w:tcPr>
            <w:tcW w:w="1134"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产品医疗器械注册证或备案凭证号</w:t>
            </w:r>
          </w:p>
        </w:tc>
        <w:tc>
          <w:tcPr>
            <w:tcW w:w="1276"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生产厂家</w:t>
            </w:r>
          </w:p>
        </w:tc>
        <w:tc>
          <w:tcPr>
            <w:tcW w:w="99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规格型号</w:t>
            </w:r>
          </w:p>
        </w:tc>
        <w:tc>
          <w:tcPr>
            <w:tcW w:w="567"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计价单位</w:t>
            </w:r>
          </w:p>
        </w:tc>
        <w:tc>
          <w:tcPr>
            <w:tcW w:w="70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单价（元）</w:t>
            </w:r>
          </w:p>
        </w:tc>
        <w:tc>
          <w:tcPr>
            <w:tcW w:w="126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1</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2</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3</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bl>
    <w:p>
      <w:pPr>
        <w:rPr>
          <w:rFonts w:ascii="Times New Roman" w:hAnsi="Times New Roman" w:cs="Times New Roman"/>
          <w:b/>
          <w:bCs/>
        </w:rPr>
      </w:pPr>
      <w:r>
        <w:rPr>
          <w:rFonts w:hint="eastAsia" w:ascii="Times New Roman" w:hAnsi="Times New Roman" w:cs="Times New Roman"/>
          <w:b/>
          <w:bCs/>
        </w:rPr>
        <w:t xml:space="preserve"> </w:t>
      </w:r>
    </w:p>
    <w:p>
      <w:pPr>
        <w:rPr>
          <w:rFonts w:asciiTheme="minorEastAsia" w:hAnsiTheme="minorEastAsia"/>
          <w:sz w:val="24"/>
          <w:lang w:eastAsia="zh-TW"/>
        </w:rPr>
      </w:pPr>
      <w:r>
        <w:rPr>
          <w:rFonts w:asciiTheme="minorEastAsia" w:hAnsiTheme="minorEastAsia"/>
          <w:sz w:val="24"/>
          <w:lang w:eastAsia="zh-TW"/>
        </w:rPr>
        <w:br w:type="page"/>
      </w:r>
    </w:p>
    <w:p>
      <w:pPr>
        <w:jc w:val="center"/>
        <w:rPr>
          <w:b/>
          <w:bCs/>
          <w:sz w:val="44"/>
          <w:szCs w:val="52"/>
        </w:rPr>
      </w:pPr>
      <w:r>
        <w:rPr>
          <w:rFonts w:hint="eastAsia"/>
          <w:b/>
          <w:bCs/>
          <w:sz w:val="44"/>
          <w:szCs w:val="52"/>
        </w:rPr>
        <w:t>廉洁购销协议</w:t>
      </w:r>
    </w:p>
    <w:p>
      <w:pPr>
        <w:rPr>
          <w:rFonts w:ascii="仿宋" w:hAnsi="仿宋" w:eastAsia="仿宋"/>
          <w:sz w:val="28"/>
          <w:szCs w:val="28"/>
        </w:rPr>
      </w:pPr>
      <w:r>
        <w:rPr>
          <w:rFonts w:hint="eastAsia" w:ascii="仿宋" w:hAnsi="仿宋" w:eastAsia="仿宋"/>
          <w:sz w:val="28"/>
          <w:szCs w:val="28"/>
        </w:rPr>
        <w:t>甲方：四川省人民医院</w:t>
      </w:r>
    </w:p>
    <w:p>
      <w:pPr>
        <w:rPr>
          <w:rFonts w:ascii="仿宋" w:hAnsi="仿宋" w:eastAsia="仿宋"/>
          <w:sz w:val="28"/>
          <w:szCs w:val="28"/>
        </w:rPr>
      </w:pPr>
      <w:r>
        <w:rPr>
          <w:rFonts w:hint="eastAsia" w:ascii="仿宋" w:hAnsi="仿宋" w:eastAsia="仿宋"/>
          <w:sz w:val="28"/>
          <w:szCs w:val="28"/>
        </w:rPr>
        <w:t>乙方：</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为进一步加强廉政建设,预防医药购销领域不正之风,我院与供应商签订如下协议,共同遵守:</w:t>
      </w:r>
    </w:p>
    <w:p>
      <w:pPr>
        <w:ind w:firstLine="560" w:firstLineChars="200"/>
        <w:rPr>
          <w:rFonts w:ascii="仿宋" w:hAnsi="仿宋" w:eastAsia="仿宋"/>
          <w:sz w:val="28"/>
          <w:szCs w:val="28"/>
        </w:rPr>
      </w:pPr>
      <w:r>
        <w:rPr>
          <w:rFonts w:hint="eastAsia" w:ascii="仿宋" w:hAnsi="仿宋" w:eastAsia="仿宋"/>
          <w:sz w:val="28"/>
          <w:szCs w:val="28"/>
        </w:rPr>
        <w:t>一、甲方工作人员不得利用职务和招投标等工作之便,暗示、索要和收受供应商任何形式的财物、提成、回扣等一切不正当利益。</w:t>
      </w:r>
    </w:p>
    <w:p>
      <w:pPr>
        <w:ind w:firstLine="560" w:firstLineChars="200"/>
        <w:rPr>
          <w:rFonts w:ascii="仿宋" w:hAnsi="仿宋" w:eastAsia="仿宋"/>
          <w:sz w:val="28"/>
          <w:szCs w:val="28"/>
        </w:rPr>
      </w:pPr>
      <w:r>
        <w:rPr>
          <w:rFonts w:hint="eastAsia" w:ascii="仿宋" w:hAnsi="仿宋" w:eastAsia="仿宋"/>
          <w:sz w:val="28"/>
          <w:szCs w:val="28"/>
        </w:rPr>
        <w:t>二、甲方工作人员严格执行国家及我院的采购管理制度，如有违反,一经查实,按有关规定严肃处理并追究相关人员责任。</w:t>
      </w:r>
    </w:p>
    <w:p>
      <w:pPr>
        <w:ind w:firstLine="560" w:firstLineChars="200"/>
        <w:rPr>
          <w:rFonts w:ascii="仿宋" w:hAnsi="仿宋" w:eastAsia="仿宋"/>
          <w:sz w:val="28"/>
          <w:szCs w:val="28"/>
        </w:rPr>
      </w:pPr>
      <w:r>
        <w:rPr>
          <w:rFonts w:hint="eastAsia" w:ascii="仿宋" w:hAnsi="仿宋" w:eastAsia="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仿宋" w:hAnsi="仿宋" w:eastAsia="仿宋"/>
          <w:sz w:val="28"/>
          <w:szCs w:val="28"/>
        </w:rPr>
      </w:pPr>
      <w:r>
        <w:rPr>
          <w:rFonts w:hint="eastAsia" w:ascii="仿宋" w:hAnsi="仿宋" w:eastAsia="仿宋"/>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仿宋" w:hAnsi="仿宋" w:eastAsia="仿宋"/>
          <w:sz w:val="28"/>
          <w:szCs w:val="28"/>
        </w:rPr>
      </w:pPr>
      <w:r>
        <w:rPr>
          <w:rFonts w:hint="eastAsia" w:ascii="仿宋" w:hAnsi="仿宋" w:eastAsia="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仿宋" w:hAnsi="仿宋" w:eastAsia="仿宋"/>
          <w:sz w:val="28"/>
          <w:szCs w:val="28"/>
        </w:rPr>
      </w:pPr>
      <w:r>
        <w:rPr>
          <w:rFonts w:hint="eastAsia" w:ascii="仿宋" w:hAnsi="仿宋" w:eastAsia="仿宋"/>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仿宋" w:hAnsi="仿宋" w:eastAsia="仿宋"/>
          <w:sz w:val="28"/>
          <w:szCs w:val="28"/>
        </w:rPr>
      </w:pPr>
      <w:r>
        <w:rPr>
          <w:rFonts w:hint="eastAsia" w:ascii="仿宋" w:hAnsi="仿宋" w:eastAsia="仿宋"/>
          <w:sz w:val="28"/>
          <w:szCs w:val="28"/>
        </w:rPr>
        <w:t>七、乙方违反上述承诺者，甲方单方面终止合作协议，并依法追究乙方的违约责任。</w:t>
      </w:r>
    </w:p>
    <w:p>
      <w:pPr>
        <w:ind w:firstLine="560" w:firstLineChars="200"/>
        <w:rPr>
          <w:rFonts w:ascii="仿宋" w:hAnsi="仿宋" w:eastAsia="仿宋"/>
          <w:sz w:val="28"/>
          <w:szCs w:val="28"/>
        </w:rPr>
      </w:pPr>
      <w:r>
        <w:rPr>
          <w:rFonts w:hint="eastAsia" w:ascii="仿宋" w:hAnsi="仿宋" w:eastAsia="仿宋"/>
          <w:sz w:val="28"/>
          <w:szCs w:val="28"/>
        </w:rPr>
        <w:t>八、本协议一式三份,归口管理部门、供应商、招标采购中心各执一份。</w:t>
      </w:r>
    </w:p>
    <w:p>
      <w:pPr>
        <w:ind w:firstLine="560" w:firstLineChars="200"/>
        <w:rPr>
          <w:rFonts w:ascii="仿宋" w:hAnsi="仿宋" w:eastAsia="仿宋"/>
          <w:sz w:val="28"/>
          <w:szCs w:val="28"/>
        </w:rPr>
      </w:pPr>
      <w:r>
        <w:rPr>
          <w:rFonts w:hint="eastAsia" w:ascii="仿宋" w:hAnsi="仿宋" w:eastAsia="仿宋"/>
          <w:sz w:val="28"/>
          <w:szCs w:val="28"/>
        </w:rPr>
        <w:t>举报受理部门：审计部</w:t>
      </w:r>
    </w:p>
    <w:p>
      <w:pPr>
        <w:ind w:firstLine="560" w:firstLineChars="200"/>
        <w:rPr>
          <w:rFonts w:ascii="仿宋" w:hAnsi="仿宋" w:eastAsia="仿宋"/>
          <w:sz w:val="28"/>
          <w:szCs w:val="28"/>
        </w:rPr>
      </w:pPr>
      <w:r>
        <w:rPr>
          <w:rFonts w:hint="eastAsia" w:ascii="仿宋" w:hAnsi="仿宋" w:eastAsia="仿宋"/>
          <w:sz w:val="28"/>
          <w:szCs w:val="28"/>
        </w:rPr>
        <w:t>举报电话：87393203</w:t>
      </w:r>
    </w:p>
    <w:p>
      <w:pPr>
        <w:ind w:firstLine="560" w:firstLineChars="200"/>
        <w:rPr>
          <w:rFonts w:ascii="仿宋" w:hAnsi="仿宋" w:eastAsia="仿宋"/>
          <w:sz w:val="28"/>
          <w:szCs w:val="28"/>
        </w:rPr>
      </w:pPr>
      <w:r>
        <w:rPr>
          <w:rFonts w:hint="eastAsia" w:ascii="仿宋" w:hAnsi="仿宋" w:eastAsia="仿宋"/>
          <w:sz w:val="28"/>
          <w:szCs w:val="28"/>
        </w:rPr>
        <w:t>举报邮箱：scsyjsc@163.com</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甲方：四川省人民医院(盖章) </w:t>
      </w:r>
      <w:r>
        <w:rPr>
          <w:rFonts w:ascii="仿宋" w:hAnsi="仿宋" w:eastAsia="仿宋"/>
          <w:sz w:val="28"/>
          <w:szCs w:val="28"/>
        </w:rPr>
        <w:t xml:space="preserve">      </w:t>
      </w:r>
      <w:r>
        <w:rPr>
          <w:rFonts w:hint="eastAsia" w:ascii="仿宋" w:hAnsi="仿宋" w:eastAsia="仿宋"/>
          <w:sz w:val="28"/>
          <w:szCs w:val="28"/>
        </w:rPr>
        <w:t>乙方：</w:t>
      </w:r>
      <w:r>
        <w:rPr>
          <w:rFonts w:ascii="仿宋" w:hAnsi="仿宋" w:eastAsia="仿宋"/>
          <w:sz w:val="28"/>
          <w:szCs w:val="28"/>
        </w:rPr>
        <w:t xml:space="preserve">   </w:t>
      </w:r>
      <w:r>
        <w:rPr>
          <w:rFonts w:hint="eastAsia" w:ascii="仿宋" w:hAnsi="仿宋" w:eastAsia="仿宋"/>
          <w:sz w:val="28"/>
          <w:szCs w:val="28"/>
        </w:rPr>
        <w:t>供应单位(盖章)</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甲方代表签字： </w:t>
      </w:r>
      <w:r>
        <w:rPr>
          <w:rFonts w:ascii="仿宋" w:hAnsi="仿宋" w:eastAsia="仿宋"/>
          <w:sz w:val="28"/>
          <w:szCs w:val="28"/>
        </w:rPr>
        <w:t xml:space="preserve">                           </w:t>
      </w:r>
      <w:r>
        <w:rPr>
          <w:rFonts w:hint="eastAsia" w:ascii="仿宋" w:hAnsi="仿宋" w:eastAsia="仿宋"/>
          <w:sz w:val="28"/>
          <w:szCs w:val="28"/>
        </w:rPr>
        <w:t>乙方代表签字:</w:t>
      </w:r>
    </w:p>
    <w:p>
      <w:pPr>
        <w:rPr>
          <w:rFonts w:ascii="仿宋" w:hAnsi="仿宋" w:eastAsia="仿宋"/>
          <w:sz w:val="28"/>
          <w:szCs w:val="28"/>
        </w:rPr>
      </w:pPr>
    </w:p>
    <w:p>
      <w:pPr>
        <w:jc w:val="right"/>
        <w:rPr>
          <w:rStyle w:val="44"/>
          <w:rFonts w:ascii="宋体" w:hAnsi="宋体" w:eastAsia="宋体" w:cs="宋体"/>
          <w:b/>
          <w:bCs/>
          <w:sz w:val="32"/>
          <w:szCs w:val="32"/>
        </w:rPr>
      </w:pPr>
      <w:r>
        <w:rPr>
          <w:rFonts w:hint="eastAsia"/>
        </w:rPr>
        <w:t>年   月   日</w:t>
      </w:r>
    </w:p>
    <w:p>
      <w:pPr>
        <w:pStyle w:val="22"/>
        <w:rPr>
          <w:rFonts w:hint="default"/>
          <w:lang w:val="en-US" w:eastAsia="zh-CN"/>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29</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29</w:t>
                    </w:r>
                    <w:r>
                      <w:rPr>
                        <w:sz w:val="21"/>
                        <w:szCs w:val="21"/>
                      </w:rPr>
                      <w:fldChar w:fldCharType="end"/>
                    </w:r>
                    <w:r>
                      <w:rPr>
                        <w:sz w:val="21"/>
                        <w:szCs w:val="21"/>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29</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29</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29</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29</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29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A69C7D9"/>
    <w:multiLevelType w:val="singleLevel"/>
    <w:tmpl w:val="3A69C7D9"/>
    <w:lvl w:ilvl="0" w:tentative="0">
      <w:start w:val="1"/>
      <w:numFmt w:val="decimal"/>
      <w:lvlText w:val="(%1)"/>
      <w:lvlJc w:val="left"/>
      <w:pPr>
        <w:ind w:left="425" w:hanging="425"/>
      </w:pPr>
      <w:rPr>
        <w:rFonts w:hint="default"/>
      </w:rPr>
    </w:lvl>
  </w:abstractNum>
  <w:abstractNum w:abstractNumId="1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4"/>
  </w:num>
  <w:num w:numId="4">
    <w:abstractNumId w:val="17"/>
  </w:num>
  <w:num w:numId="5">
    <w:abstractNumId w:val="9"/>
  </w:num>
  <w:num w:numId="6">
    <w:abstractNumId w:val="15"/>
  </w:num>
  <w:num w:numId="7">
    <w:abstractNumId w:val="11"/>
  </w:num>
  <w:num w:numId="8">
    <w:abstractNumId w:val="3"/>
  </w:num>
  <w:num w:numId="9">
    <w:abstractNumId w:val="1"/>
  </w:num>
  <w:num w:numId="10">
    <w:abstractNumId w:val="0"/>
  </w:num>
  <w:num w:numId="11">
    <w:abstractNumId w:val="10"/>
  </w:num>
  <w:num w:numId="12">
    <w:abstractNumId w:val="2"/>
  </w:num>
  <w:num w:numId="13">
    <w:abstractNumId w:val="16"/>
  </w:num>
  <w:num w:numId="14">
    <w:abstractNumId w:val="14"/>
  </w:num>
  <w:num w:numId="15">
    <w:abstractNumId w:val="8"/>
  </w:num>
  <w:num w:numId="16">
    <w:abstractNumId w:val="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RlNDg1ODI0YWUwMjJmZDZlNDEwOWRiYzAwYjlhOWY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22F11"/>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C626C"/>
    <w:rsid w:val="01A30E74"/>
    <w:rsid w:val="041741E2"/>
    <w:rsid w:val="04405F0B"/>
    <w:rsid w:val="048B5BE2"/>
    <w:rsid w:val="04E452F2"/>
    <w:rsid w:val="050F05C1"/>
    <w:rsid w:val="05687CD1"/>
    <w:rsid w:val="05ED054E"/>
    <w:rsid w:val="06053772"/>
    <w:rsid w:val="06826B71"/>
    <w:rsid w:val="0777244E"/>
    <w:rsid w:val="07B32131"/>
    <w:rsid w:val="07D96C64"/>
    <w:rsid w:val="082500FC"/>
    <w:rsid w:val="098F1CD1"/>
    <w:rsid w:val="0A1246B0"/>
    <w:rsid w:val="0A913826"/>
    <w:rsid w:val="0B04224A"/>
    <w:rsid w:val="0B212DFC"/>
    <w:rsid w:val="0B9C39D7"/>
    <w:rsid w:val="0BD11844"/>
    <w:rsid w:val="0BED0D1B"/>
    <w:rsid w:val="0C032502"/>
    <w:rsid w:val="0C191D25"/>
    <w:rsid w:val="0C2D757F"/>
    <w:rsid w:val="0CAC2B9A"/>
    <w:rsid w:val="0D755EB2"/>
    <w:rsid w:val="0DC02399"/>
    <w:rsid w:val="0DFF5E39"/>
    <w:rsid w:val="0E5434E9"/>
    <w:rsid w:val="10376C1E"/>
    <w:rsid w:val="113A274F"/>
    <w:rsid w:val="11F532D9"/>
    <w:rsid w:val="120F276F"/>
    <w:rsid w:val="124C7D2B"/>
    <w:rsid w:val="13081A3E"/>
    <w:rsid w:val="136E5EEF"/>
    <w:rsid w:val="13DA7FEC"/>
    <w:rsid w:val="13E96481"/>
    <w:rsid w:val="15957368"/>
    <w:rsid w:val="161E4F0F"/>
    <w:rsid w:val="16A448E1"/>
    <w:rsid w:val="16CA259A"/>
    <w:rsid w:val="17E31BEB"/>
    <w:rsid w:val="1C9F1DD3"/>
    <w:rsid w:val="1D3F5364"/>
    <w:rsid w:val="1DC4564F"/>
    <w:rsid w:val="1DEF6D8A"/>
    <w:rsid w:val="1E6004DA"/>
    <w:rsid w:val="1E74728F"/>
    <w:rsid w:val="1EE937D9"/>
    <w:rsid w:val="1F896D6A"/>
    <w:rsid w:val="1FB913FE"/>
    <w:rsid w:val="20087C8F"/>
    <w:rsid w:val="222A65E3"/>
    <w:rsid w:val="228757E3"/>
    <w:rsid w:val="230A01C2"/>
    <w:rsid w:val="233C481F"/>
    <w:rsid w:val="24415E66"/>
    <w:rsid w:val="25A0778F"/>
    <w:rsid w:val="25DA08CA"/>
    <w:rsid w:val="2613738E"/>
    <w:rsid w:val="267047E0"/>
    <w:rsid w:val="26CD33AF"/>
    <w:rsid w:val="27DD7C53"/>
    <w:rsid w:val="29283150"/>
    <w:rsid w:val="297C274F"/>
    <w:rsid w:val="299B1B74"/>
    <w:rsid w:val="29B175E9"/>
    <w:rsid w:val="2A7C19A5"/>
    <w:rsid w:val="2AE17A5A"/>
    <w:rsid w:val="2B9F3B9D"/>
    <w:rsid w:val="2CB259DC"/>
    <w:rsid w:val="2CE70699"/>
    <w:rsid w:val="2F1F1070"/>
    <w:rsid w:val="2F792957"/>
    <w:rsid w:val="30F6504B"/>
    <w:rsid w:val="316D3DF6"/>
    <w:rsid w:val="3190389F"/>
    <w:rsid w:val="32000BDF"/>
    <w:rsid w:val="32087FC3"/>
    <w:rsid w:val="324E6E1C"/>
    <w:rsid w:val="338D077F"/>
    <w:rsid w:val="341B0A18"/>
    <w:rsid w:val="357C0AAC"/>
    <w:rsid w:val="365E6403"/>
    <w:rsid w:val="366A5C8C"/>
    <w:rsid w:val="36A22794"/>
    <w:rsid w:val="3763616F"/>
    <w:rsid w:val="379E11AD"/>
    <w:rsid w:val="38A071A7"/>
    <w:rsid w:val="38A722E3"/>
    <w:rsid w:val="38A81C3F"/>
    <w:rsid w:val="38F72948"/>
    <w:rsid w:val="394E09B1"/>
    <w:rsid w:val="39FC21BB"/>
    <w:rsid w:val="3A585C5A"/>
    <w:rsid w:val="3A6D3892"/>
    <w:rsid w:val="3B20637D"/>
    <w:rsid w:val="3B311935"/>
    <w:rsid w:val="3CF33D49"/>
    <w:rsid w:val="3F116709"/>
    <w:rsid w:val="3F220916"/>
    <w:rsid w:val="3F884943"/>
    <w:rsid w:val="3FBD0E9A"/>
    <w:rsid w:val="4047615A"/>
    <w:rsid w:val="411B386E"/>
    <w:rsid w:val="418238EE"/>
    <w:rsid w:val="41F83BB0"/>
    <w:rsid w:val="42B0448A"/>
    <w:rsid w:val="432301F2"/>
    <w:rsid w:val="4340580E"/>
    <w:rsid w:val="43C05B54"/>
    <w:rsid w:val="441177D6"/>
    <w:rsid w:val="445825AA"/>
    <w:rsid w:val="448E25A9"/>
    <w:rsid w:val="45795008"/>
    <w:rsid w:val="45DC10F2"/>
    <w:rsid w:val="45F61AD1"/>
    <w:rsid w:val="4651388E"/>
    <w:rsid w:val="46E26BDC"/>
    <w:rsid w:val="47491CA4"/>
    <w:rsid w:val="476475F1"/>
    <w:rsid w:val="47A520E4"/>
    <w:rsid w:val="48376AB4"/>
    <w:rsid w:val="489F23B5"/>
    <w:rsid w:val="492F3B33"/>
    <w:rsid w:val="496658A3"/>
    <w:rsid w:val="49B900C8"/>
    <w:rsid w:val="4B5C296A"/>
    <w:rsid w:val="4C365A00"/>
    <w:rsid w:val="4CD80866"/>
    <w:rsid w:val="4CF51D9E"/>
    <w:rsid w:val="4DAC584E"/>
    <w:rsid w:val="4DAE5A6A"/>
    <w:rsid w:val="4DEB281B"/>
    <w:rsid w:val="4DEC79E7"/>
    <w:rsid w:val="4E3C1504"/>
    <w:rsid w:val="4EA74993"/>
    <w:rsid w:val="4EC73630"/>
    <w:rsid w:val="4F091DE1"/>
    <w:rsid w:val="4FD36D7D"/>
    <w:rsid w:val="4FDA2B47"/>
    <w:rsid w:val="4FE24927"/>
    <w:rsid w:val="4FF754A7"/>
    <w:rsid w:val="500E7836"/>
    <w:rsid w:val="5051105B"/>
    <w:rsid w:val="510C31D4"/>
    <w:rsid w:val="527E5A0B"/>
    <w:rsid w:val="52E86762"/>
    <w:rsid w:val="52F43F1F"/>
    <w:rsid w:val="53193986"/>
    <w:rsid w:val="53520B81"/>
    <w:rsid w:val="54C94F38"/>
    <w:rsid w:val="5507605E"/>
    <w:rsid w:val="55172147"/>
    <w:rsid w:val="556C5FEF"/>
    <w:rsid w:val="559B4B26"/>
    <w:rsid w:val="55C20305"/>
    <w:rsid w:val="562B7C58"/>
    <w:rsid w:val="568A2F61"/>
    <w:rsid w:val="569A4DDE"/>
    <w:rsid w:val="571E59C6"/>
    <w:rsid w:val="57486595"/>
    <w:rsid w:val="57C06C81"/>
    <w:rsid w:val="58F92290"/>
    <w:rsid w:val="58FA7DB6"/>
    <w:rsid w:val="59934492"/>
    <w:rsid w:val="59F6057D"/>
    <w:rsid w:val="5A1A070F"/>
    <w:rsid w:val="5A2275C4"/>
    <w:rsid w:val="5ABF59BE"/>
    <w:rsid w:val="5ADE1CF0"/>
    <w:rsid w:val="5B13515F"/>
    <w:rsid w:val="5CB5471F"/>
    <w:rsid w:val="5E0E52EC"/>
    <w:rsid w:val="5E2733FB"/>
    <w:rsid w:val="5E7B54F5"/>
    <w:rsid w:val="5E9367D9"/>
    <w:rsid w:val="5F1349B8"/>
    <w:rsid w:val="5F5226F9"/>
    <w:rsid w:val="60822D96"/>
    <w:rsid w:val="60882223"/>
    <w:rsid w:val="61131A15"/>
    <w:rsid w:val="619568CD"/>
    <w:rsid w:val="620677CB"/>
    <w:rsid w:val="62852432"/>
    <w:rsid w:val="62D16373"/>
    <w:rsid w:val="647C1FC7"/>
    <w:rsid w:val="64E536C8"/>
    <w:rsid w:val="66970432"/>
    <w:rsid w:val="66E16B34"/>
    <w:rsid w:val="67980EC5"/>
    <w:rsid w:val="684844AC"/>
    <w:rsid w:val="688768E9"/>
    <w:rsid w:val="6922313D"/>
    <w:rsid w:val="694F7E51"/>
    <w:rsid w:val="695E7EED"/>
    <w:rsid w:val="698A0CE2"/>
    <w:rsid w:val="6A2904FB"/>
    <w:rsid w:val="6A6F72F0"/>
    <w:rsid w:val="6B2F1B41"/>
    <w:rsid w:val="6CF070AE"/>
    <w:rsid w:val="6D564496"/>
    <w:rsid w:val="6E7A1325"/>
    <w:rsid w:val="6F686468"/>
    <w:rsid w:val="70934920"/>
    <w:rsid w:val="71881FAB"/>
    <w:rsid w:val="71D1594E"/>
    <w:rsid w:val="732A5565"/>
    <w:rsid w:val="736C7698"/>
    <w:rsid w:val="73A56E44"/>
    <w:rsid w:val="73A806E2"/>
    <w:rsid w:val="73B9469D"/>
    <w:rsid w:val="74736F42"/>
    <w:rsid w:val="747477EB"/>
    <w:rsid w:val="74D6302D"/>
    <w:rsid w:val="74D87ABD"/>
    <w:rsid w:val="755A5A0C"/>
    <w:rsid w:val="75792336"/>
    <w:rsid w:val="758D5DE2"/>
    <w:rsid w:val="75DA1174"/>
    <w:rsid w:val="75E74B4A"/>
    <w:rsid w:val="75F25C45"/>
    <w:rsid w:val="761107C1"/>
    <w:rsid w:val="7622354C"/>
    <w:rsid w:val="768F26FA"/>
    <w:rsid w:val="769D1B10"/>
    <w:rsid w:val="77F263D0"/>
    <w:rsid w:val="78A3591C"/>
    <w:rsid w:val="79F53F55"/>
    <w:rsid w:val="7BDC361F"/>
    <w:rsid w:val="7D172435"/>
    <w:rsid w:val="7DAE2D99"/>
    <w:rsid w:val="7DE844FD"/>
    <w:rsid w:val="7F1F30BD"/>
    <w:rsid w:val="7F9A16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2"/>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autoRedefine/>
    <w:semiHidden/>
    <w:unhideWhenUsed/>
    <w:qFormat/>
    <w:uiPriority w:val="99"/>
    <w:pPr>
      <w:spacing w:after="120" w:line="480" w:lineRule="auto"/>
      <w:ind w:left="420" w:leftChars="200"/>
    </w:pPr>
  </w:style>
  <w:style w:type="paragraph" w:styleId="8">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autoRedefine/>
    <w:semiHidden/>
    <w:unhideWhenUsed/>
    <w:qFormat/>
    <w:uiPriority w:val="39"/>
    <w:pPr>
      <w:ind w:left="420" w:leftChars="200"/>
    </w:p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5"/>
    <w:link w:val="44"/>
    <w:autoRedefine/>
    <w:semiHidden/>
    <w:unhideWhenUsed/>
    <w:qFormat/>
    <w:uiPriority w:val="99"/>
    <w:pPr>
      <w:spacing w:line="440" w:lineRule="exact"/>
      <w:ind w:firstLine="420" w:firstLineChars="200"/>
    </w:pPr>
    <w:rPr>
      <w:szCs w:val="20"/>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autoRedefine/>
    <w:semiHidden/>
    <w:qFormat/>
    <w:uiPriority w:val="0"/>
  </w:style>
  <w:style w:type="character" w:styleId="18">
    <w:name w:val="FollowedHyperlink"/>
    <w:basedOn w:val="16"/>
    <w:autoRedefine/>
    <w:semiHidden/>
    <w:unhideWhenUsed/>
    <w:qFormat/>
    <w:uiPriority w:val="99"/>
    <w:rPr>
      <w:color w:val="FF00FF" w:themeColor="followedHyperlink"/>
      <w:u w:val="single"/>
      <w14:textFill>
        <w14:solidFill>
          <w14:schemeClr w14:val="folHlink"/>
        </w14:solidFill>
      </w14:textFill>
    </w:rPr>
  </w:style>
  <w:style w:type="character" w:styleId="19">
    <w:name w:val="Hyperlink"/>
    <w:autoRedefine/>
    <w:qFormat/>
    <w:uiPriority w:val="0"/>
    <w:rPr>
      <w:u w:val="single"/>
    </w:rPr>
  </w:style>
  <w:style w:type="character" w:styleId="20">
    <w:name w:val="annotation reference"/>
    <w:basedOn w:val="16"/>
    <w:autoRedefine/>
    <w:semiHidden/>
    <w:unhideWhenUsed/>
    <w:qFormat/>
    <w:uiPriority w:val="99"/>
    <w:rPr>
      <w:sz w:val="21"/>
      <w:szCs w:val="21"/>
    </w:rPr>
  </w:style>
  <w:style w:type="paragraph" w:customStyle="1" w:styleId="21">
    <w:name w:val="标题 5（有编号）（绿盟科技）"/>
    <w:basedOn w:val="1"/>
    <w:next w:val="22"/>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autoRedefine/>
    <w:qFormat/>
    <w:uiPriority w:val="0"/>
    <w:rPr>
      <w:color w:val="0563C1"/>
      <w:u w:val="single" w:color="0563C1"/>
    </w:rPr>
  </w:style>
  <w:style w:type="character" w:customStyle="1" w:styleId="26">
    <w:name w:val="Hyperlink.0"/>
    <w:basedOn w:val="25"/>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autoRedefine/>
    <w:qFormat/>
    <w:uiPriority w:val="0"/>
    <w:rPr>
      <w:rFonts w:ascii="宋体" w:hAnsi="宋体" w:eastAsia="宋体" w:cs="宋体"/>
      <w:color w:val="000000"/>
      <w:u w:val="single" w:color="000000"/>
      <w:lang w:val="en-US"/>
    </w:rPr>
  </w:style>
  <w:style w:type="paragraph" w:customStyle="1" w:styleId="28">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autoRedefine/>
    <w:qFormat/>
    <w:uiPriority w:val="34"/>
    <w:pPr>
      <w:ind w:firstLine="420" w:firstLineChars="200"/>
    </w:pPr>
  </w:style>
  <w:style w:type="character" w:customStyle="1" w:styleId="32">
    <w:name w:val="Comment Text Char"/>
    <w:basedOn w:val="16"/>
    <w:link w:val="4"/>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autoRedefine/>
    <w:qFormat/>
    <w:uiPriority w:val="0"/>
    <w:rPr>
      <w:rFonts w:hint="eastAsia" w:ascii="宋体" w:hAnsi="宋体" w:eastAsia="宋体" w:cs="宋体"/>
      <w:b/>
      <w:color w:val="000000"/>
      <w:sz w:val="24"/>
      <w:szCs w:val="24"/>
      <w:u w:val="none"/>
    </w:rPr>
  </w:style>
  <w:style w:type="character" w:customStyle="1" w:styleId="34">
    <w:name w:val="Body Text Char"/>
    <w:basedOn w:val="16"/>
    <w:link w:val="5"/>
    <w:autoRedefine/>
    <w:qFormat/>
    <w:uiPriority w:val="0"/>
    <w:rPr>
      <w:rFonts w:ascii="Arial Unicode MS" w:hAnsi="Arial Unicode MS" w:eastAsia="Times New Roman" w:cs="Arial Unicode MS"/>
      <w:color w:val="000000"/>
      <w:kern w:val="2"/>
      <w:sz w:val="21"/>
      <w:szCs w:val="21"/>
      <w:u w:color="000000"/>
    </w:rPr>
  </w:style>
  <w:style w:type="paragraph" w:customStyle="1" w:styleId="35">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autoRedefine/>
    <w:semiHidden/>
    <w:unhideWhenUsed/>
    <w:qFormat/>
    <w:uiPriority w:val="99"/>
    <w:rPr>
      <w:color w:val="605E5C"/>
      <w:shd w:val="clear" w:color="auto" w:fill="E1DFDD"/>
    </w:rPr>
  </w:style>
  <w:style w:type="paragraph" w:customStyle="1" w:styleId="37">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autoRedefine/>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autoRedefine/>
    <w:qFormat/>
    <w:uiPriority w:val="0"/>
    <w:pPr>
      <w:jc w:val="center"/>
    </w:pPr>
    <w:rPr>
      <w:rFonts w:eastAsia="黑体"/>
      <w:b/>
      <w:sz w:val="52"/>
      <w:szCs w:val="24"/>
    </w:rPr>
  </w:style>
  <w:style w:type="paragraph" w:customStyle="1" w:styleId="40">
    <w:name w:val="p15"/>
    <w:basedOn w:val="1"/>
    <w:autoRedefine/>
    <w:qFormat/>
    <w:uiPriority w:val="0"/>
    <w:rPr>
      <w:rFonts w:ascii="Arial Unicode MS" w:hAnsi="Arial Unicode MS" w:eastAsia="宋体" w:cs="宋体"/>
      <w:color w:val="000000"/>
      <w:sz w:val="24"/>
    </w:rPr>
  </w:style>
  <w:style w:type="paragraph" w:customStyle="1" w:styleId="41">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2">
    <w:name w:val="标题 1 Char"/>
    <w:link w:val="2"/>
    <w:autoRedefine/>
    <w:qFormat/>
    <w:uiPriority w:val="0"/>
    <w:rPr>
      <w:rFonts w:ascii="Arial" w:hAnsi="Arial" w:eastAsia="黑体" w:cs="Arial"/>
      <w:b/>
      <w:bCs/>
      <w:sz w:val="36"/>
      <w:szCs w:val="24"/>
    </w:rPr>
  </w:style>
  <w:style w:type="character" w:customStyle="1" w:styleId="43">
    <w:name w:val="标题 2 Char"/>
    <w:link w:val="3"/>
    <w:autoRedefine/>
    <w:qFormat/>
    <w:uiPriority w:val="9"/>
    <w:rPr>
      <w:rFonts w:ascii="Times New Roman" w:hAnsi="Times New Roman" w:eastAsia="宋体"/>
      <w:b/>
      <w:bCs/>
      <w:sz w:val="24"/>
      <w:szCs w:val="32"/>
    </w:rPr>
  </w:style>
  <w:style w:type="character" w:customStyle="1" w:styleId="44">
    <w:name w:val="正文首行缩进 Char"/>
    <w:link w:val="13"/>
    <w:autoRedefine/>
    <w:qFormat/>
    <w:uiPriority w:val="0"/>
    <w:rPr>
      <w:szCs w:val="20"/>
    </w:rPr>
  </w:style>
  <w:style w:type="character" w:customStyle="1" w:styleId="45">
    <w:name w:val="button"/>
    <w:basedOn w:val="16"/>
    <w:autoRedefine/>
    <w:qFormat/>
    <w:uiPriority w:val="0"/>
  </w:style>
  <w:style w:type="character" w:customStyle="1" w:styleId="46">
    <w:name w:val="tmpztreemove_arrow"/>
    <w:basedOn w:val="16"/>
    <w:autoRedefine/>
    <w:qFormat/>
    <w:uiPriority w:val="0"/>
  </w:style>
  <w:style w:type="character" w:customStyle="1" w:styleId="47">
    <w:name w:val="hover1"/>
    <w:basedOn w:val="16"/>
    <w:autoRedefine/>
    <w:qFormat/>
    <w:uiPriority w:val="0"/>
    <w:rPr>
      <w:shd w:val="clear" w:fill="EEEEEE"/>
    </w:rPr>
  </w:style>
  <w:style w:type="character" w:customStyle="1" w:styleId="48">
    <w:name w:val="hover2"/>
    <w:basedOn w:val="16"/>
    <w:autoRedefine/>
    <w:qFormat/>
    <w:uiPriority w:val="0"/>
    <w:rPr>
      <w:shd w:val="clear" w:fill="EEEEEE"/>
    </w:rPr>
  </w:style>
  <w:style w:type="character" w:customStyle="1" w:styleId="49">
    <w:name w:val="tips[data-v-39386422]"/>
    <w:basedOn w:val="1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13081</Words>
  <Characters>13561</Characters>
  <Lines>46</Lines>
  <Paragraphs>13</Paragraphs>
  <TotalTime>18</TotalTime>
  <ScaleCrop>false</ScaleCrop>
  <LinksUpToDate>false</LinksUpToDate>
  <CharactersWithSpaces>13793</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西米w</cp:lastModifiedBy>
  <dcterms:modified xsi:type="dcterms:W3CDTF">2024-03-14T05:37:28Z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17F11E0C4021469EA306D6C0D1A2E7A0_13</vt:lpwstr>
  </property>
</Properties>
</file>