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EB5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黑体" w:cs="Times New Roman"/>
          <w:b/>
          <w:spacing w:val="24"/>
          <w:sz w:val="56"/>
          <w:szCs w:val="56"/>
          <w:lang w:eastAsia="zh-CN"/>
        </w:rPr>
      </w:pPr>
    </w:p>
    <w:p w14:paraId="11888B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四川省人民医院中药自制制剂加工生产服务采购项目</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bookmarkStart w:id="103" w:name="_GoBack"/>
      <w:bookmarkEnd w:id="103"/>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3240"/>
      <w:bookmarkStart w:id="3" w:name="_Toc1907"/>
      <w:bookmarkStart w:id="4" w:name="_Toc20358"/>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3"/>
        <w:gridCol w:w="1897"/>
        <w:gridCol w:w="730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0"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88"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71"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0"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88"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71"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0"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88"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71" w:type="dxa"/>
            <w:tcBorders>
              <w:bottom w:val="single" w:color="auto" w:sz="4" w:space="0"/>
            </w:tcBorders>
            <w:vAlign w:val="center"/>
          </w:tcPr>
          <w:p w14:paraId="23C921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lang w:eastAsia="zh-CN"/>
              </w:rPr>
              <w:t>四川省人民医院中药自制制剂加工生产服务采购项目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0" w:type="dxa"/>
            <w:vAlign w:val="center"/>
          </w:tcPr>
          <w:p w14:paraId="2E15CA3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71" w:type="dxa"/>
            <w:vAlign w:val="center"/>
          </w:tcPr>
          <w:p w14:paraId="027F4916">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CGZX-HQB20251357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0"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71"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0"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71" w:type="dxa"/>
            <w:vAlign w:val="center"/>
          </w:tcPr>
          <w:p w14:paraId="476CB03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本项目最高限价为48.5万元；</w:t>
            </w:r>
            <w:r>
              <w:rPr>
                <w:rFonts w:ascii="仿宋" w:hAnsi="仿宋" w:eastAsia="仿宋" w:cs="仿宋"/>
                <w:color w:val="auto"/>
                <w:sz w:val="22"/>
                <w:szCs w:val="22"/>
              </w:rPr>
              <w:t>超过最高限价的报价，</w:t>
            </w:r>
            <w:r>
              <w:rPr>
                <w:rFonts w:hint="eastAsia" w:ascii="Times New Roman" w:hAnsi="Times New Roman" w:eastAsia="仿宋" w:cs="Times New Roman"/>
                <w:sz w:val="22"/>
              </w:rPr>
              <w:t>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文件按无效文件处理。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0"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71" w:type="dxa"/>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0"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71"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0"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71"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0"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71"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0"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71" w:type="dxa"/>
            <w:tcBorders>
              <w:top w:val="single" w:color="auto" w:sz="4" w:space="0"/>
            </w:tcBorders>
            <w:vAlign w:val="center"/>
          </w:tcPr>
          <w:p w14:paraId="783690A1">
            <w:pPr>
              <w:pStyle w:val="7"/>
              <w:spacing w:after="0" w:line="360" w:lineRule="auto"/>
              <w:ind w:left="416" w:leftChars="100" w:hanging="206" w:hangingChars="94"/>
              <w:rPr>
                <w:rFonts w:ascii="仿宋" w:hAnsi="仿宋" w:eastAsia="仿宋" w:cs="仿宋"/>
                <w:sz w:val="22"/>
                <w:u w:color="000000"/>
              </w:rPr>
            </w:pPr>
            <w:r>
              <w:rPr>
                <w:rFonts w:hint="eastAsia" w:ascii="仿宋" w:hAnsi="仿宋" w:eastAsia="仿宋" w:cs="仿宋"/>
                <w:sz w:val="22"/>
                <w:u w:color="000000"/>
              </w:rPr>
              <w:sym w:font="Wingdings" w:char="00A8"/>
            </w:r>
            <w:r>
              <w:rPr>
                <w:rFonts w:hint="eastAsia" w:ascii="仿宋" w:hAnsi="仿宋" w:eastAsia="仿宋" w:cs="仿宋"/>
                <w:sz w:val="22"/>
                <w:u w:color="000000"/>
              </w:rPr>
              <w:t xml:space="preserve">举行  </w:t>
            </w:r>
          </w:p>
          <w:p w14:paraId="60575F9B">
            <w:pPr>
              <w:pStyle w:val="7"/>
              <w:numPr>
                <w:ilvl w:val="0"/>
                <w:numId w:val="5"/>
              </w:numPr>
              <w:spacing w:after="0" w:line="360" w:lineRule="auto"/>
              <w:ind w:left="216" w:leftChars="103" w:firstLine="202" w:firstLineChars="92"/>
              <w:rPr>
                <w:rFonts w:ascii="仿宋" w:hAnsi="仿宋" w:eastAsia="仿宋" w:cs="仿宋"/>
                <w:sz w:val="22"/>
                <w:u w:color="000000"/>
              </w:rPr>
            </w:pPr>
            <w:r>
              <w:rPr>
                <w:rFonts w:hint="eastAsia" w:ascii="仿宋" w:hAnsi="仿宋" w:eastAsia="仿宋" w:cs="仿宋"/>
                <w:sz w:val="22"/>
                <w:u w:color="000000"/>
              </w:rPr>
              <w:t>踏勘签到时间：</w:t>
            </w:r>
          </w:p>
          <w:p w14:paraId="12FBA589">
            <w:pPr>
              <w:pStyle w:val="7"/>
              <w:numPr>
                <w:ilvl w:val="0"/>
                <w:numId w:val="5"/>
              </w:numPr>
              <w:spacing w:after="0" w:line="360" w:lineRule="auto"/>
              <w:ind w:left="216" w:leftChars="103" w:firstLine="202" w:firstLineChars="92"/>
              <w:rPr>
                <w:rFonts w:ascii="仿宋" w:hAnsi="仿宋" w:eastAsia="仿宋" w:cs="仿宋"/>
                <w:sz w:val="22"/>
                <w:u w:color="000000"/>
              </w:rPr>
            </w:pPr>
            <w:r>
              <w:rPr>
                <w:rFonts w:hint="eastAsia" w:ascii="仿宋" w:hAnsi="仿宋" w:eastAsia="仿宋" w:cs="仿宋"/>
                <w:sz w:val="22"/>
                <w:u w:color="000000"/>
              </w:rPr>
              <w:t>踏勘签到地址：</w:t>
            </w:r>
          </w:p>
          <w:p w14:paraId="5B0A45A5">
            <w:pPr>
              <w:pStyle w:val="7"/>
              <w:numPr>
                <w:ilvl w:val="0"/>
                <w:numId w:val="5"/>
              </w:numPr>
              <w:spacing w:after="0" w:line="360" w:lineRule="auto"/>
              <w:ind w:left="216" w:leftChars="103" w:firstLine="202" w:firstLineChars="92"/>
              <w:rPr>
                <w:rFonts w:ascii="仿宋" w:hAnsi="仿宋" w:eastAsia="仿宋" w:cs="仿宋"/>
                <w:sz w:val="22"/>
                <w:u w:color="000000"/>
              </w:rPr>
            </w:pPr>
            <w:r>
              <w:rPr>
                <w:rFonts w:hint="eastAsia" w:ascii="仿宋" w:hAnsi="仿宋" w:eastAsia="仿宋" w:cs="仿宋"/>
                <w:sz w:val="22"/>
                <w:u w:color="000000"/>
              </w:rPr>
              <w:t>踏勘时间：</w:t>
            </w:r>
          </w:p>
          <w:p w14:paraId="3FD892DD">
            <w:pPr>
              <w:pStyle w:val="7"/>
              <w:numPr>
                <w:ilvl w:val="0"/>
                <w:numId w:val="0"/>
              </w:numPr>
              <w:spacing w:after="0" w:line="360" w:lineRule="auto"/>
              <w:ind w:leftChars="195" w:firstLine="220" w:firstLineChars="100"/>
              <w:rPr>
                <w:rFonts w:hint="default" w:ascii="仿宋" w:hAnsi="仿宋" w:eastAsia="仿宋" w:cs="仿宋"/>
                <w:sz w:val="22"/>
                <w:u w:color="000000"/>
                <w:lang w:val="en-US" w:eastAsia="zh-CN"/>
              </w:rPr>
            </w:pPr>
            <w:r>
              <w:rPr>
                <w:rFonts w:hint="eastAsia" w:ascii="仿宋" w:hAnsi="仿宋" w:eastAsia="仿宋" w:cs="仿宋"/>
                <w:sz w:val="22"/>
                <w:u w:color="000000"/>
                <w:lang w:val="en-US" w:eastAsia="zh-CN"/>
              </w:rPr>
              <w:t>联系人：</w:t>
            </w:r>
          </w:p>
          <w:p w14:paraId="0F4D8FC9">
            <w:pPr>
              <w:pStyle w:val="7"/>
              <w:ind w:firstLine="440" w:firstLineChars="200"/>
              <w:rPr>
                <w:rFonts w:ascii="Times New Roman" w:hAnsi="Times New Roman" w:eastAsia="仿宋" w:cs="Times New Roman"/>
                <w:sz w:val="22"/>
              </w:rPr>
            </w:pPr>
            <w:r>
              <w:rPr>
                <w:rFonts w:hint="eastAsia" w:ascii="仿宋" w:hAnsi="仿宋" w:eastAsia="仿宋" w:cs="仿宋"/>
                <w:sz w:val="22"/>
              </w:rPr>
              <w:t>注：供应商自行前往踏勘地点，所产生的费用由供应商自行承担。参与</w:t>
            </w:r>
            <w:r>
              <w:rPr>
                <w:rFonts w:hint="eastAsia" w:ascii="仿宋" w:hAnsi="仿宋" w:eastAsia="仿宋" w:cs="仿宋"/>
                <w:sz w:val="22"/>
                <w:lang w:eastAsia="zh-CN"/>
              </w:rPr>
              <w:t>谈判</w:t>
            </w:r>
            <w:r>
              <w:rPr>
                <w:rFonts w:hint="eastAsia" w:ascii="仿宋" w:hAnsi="仿宋" w:eastAsia="仿宋" w:cs="仿宋"/>
                <w:sz w:val="22"/>
              </w:rPr>
              <w:t>默认为已经踏勘完成，如因</w:t>
            </w:r>
            <w:r>
              <w:rPr>
                <w:rFonts w:hint="eastAsia" w:ascii="仿宋" w:hAnsi="仿宋" w:eastAsia="仿宋" w:cs="仿宋"/>
                <w:sz w:val="22"/>
                <w:lang w:val="en-US" w:eastAsia="zh-CN"/>
              </w:rPr>
              <w:t>供应商</w:t>
            </w:r>
            <w:r>
              <w:rPr>
                <w:rFonts w:hint="eastAsia" w:ascii="仿宋" w:hAnsi="仿宋" w:eastAsia="仿宋" w:cs="仿宋"/>
                <w:sz w:val="22"/>
              </w:rPr>
              <w:t>未踏勘现场所引起的不利因素以及相关安全责任等问题均由</w:t>
            </w:r>
            <w:r>
              <w:rPr>
                <w:rFonts w:hint="eastAsia" w:ascii="仿宋" w:hAnsi="仿宋" w:eastAsia="仿宋" w:cs="仿宋"/>
                <w:sz w:val="22"/>
                <w:lang w:val="en-US" w:eastAsia="zh-CN"/>
              </w:rPr>
              <w:t>供应商</w:t>
            </w:r>
            <w:r>
              <w:rPr>
                <w:rFonts w:hint="eastAsia" w:ascii="仿宋" w:hAnsi="仿宋" w:eastAsia="仿宋" w:cs="仿宋"/>
                <w:sz w:val="22"/>
              </w:rPr>
              <w:t>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0"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71"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0"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71"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0"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71"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188C84C4">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本项目支付上限的10%（48500元）</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1C8F3FCB">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0"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71"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6305FA2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但采购文件没有不合理条款，且采购程序符合规定的，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w:t>
            </w:r>
            <w:r>
              <w:rPr>
                <w:rFonts w:ascii="Times New Roman" w:hAnsi="Times New Roman" w:eastAsia="仿宋" w:cs="Times New Roman"/>
                <w:kern w:val="0"/>
                <w:sz w:val="22"/>
                <w:szCs w:val="24"/>
                <w:lang w:val="zh-TW" w:eastAsia="zh-CN" w:bidi="ar-SA"/>
              </w:rPr>
              <w:t>有技术</w:t>
            </w:r>
            <w:r>
              <w:rPr>
                <w:rFonts w:hint="eastAsia" w:ascii="Times New Roman" w:hAnsi="Times New Roman" w:eastAsia="仿宋" w:cs="Times New Roman"/>
                <w:kern w:val="0"/>
                <w:sz w:val="22"/>
                <w:szCs w:val="24"/>
                <w:lang w:val="zh-TW" w:eastAsia="zh-CN" w:bidi="ar-SA"/>
              </w:rPr>
              <w:t>、服务</w:t>
            </w:r>
            <w:r>
              <w:rPr>
                <w:rFonts w:ascii="Times New Roman" w:hAnsi="Times New Roman" w:eastAsia="仿宋" w:cs="Times New Roman"/>
                <w:kern w:val="0"/>
                <w:sz w:val="22"/>
                <w:szCs w:val="24"/>
                <w:lang w:val="zh-TW" w:eastAsia="zh-CN" w:bidi="ar-SA"/>
              </w:rPr>
              <w:t>和商务</w:t>
            </w:r>
            <w:r>
              <w:rPr>
                <w:rFonts w:hint="eastAsia" w:ascii="Times New Roman" w:hAnsi="Times New Roman" w:eastAsia="仿宋" w:cs="Times New Roman"/>
                <w:kern w:val="0"/>
                <w:sz w:val="22"/>
                <w:szCs w:val="24"/>
                <w:lang w:val="zh-TW" w:eastAsia="zh-CN" w:bidi="ar-SA"/>
              </w:rPr>
              <w:t>条件</w:t>
            </w:r>
            <w:r>
              <w:rPr>
                <w:rFonts w:ascii="Times New Roman" w:hAnsi="Times New Roman" w:eastAsia="仿宋" w:cs="Times New Roman"/>
                <w:kern w:val="0"/>
                <w:sz w:val="22"/>
                <w:szCs w:val="24"/>
                <w:lang w:val="zh-TW" w:eastAsia="zh-CN" w:bidi="ar-SA"/>
              </w:rPr>
              <w:t>均符合</w:t>
            </w:r>
            <w:r>
              <w:rPr>
                <w:rFonts w:hint="eastAsia" w:ascii="Times New Roman" w:hAnsi="Times New Roman" w:eastAsia="仿宋" w:cs="Times New Roman"/>
                <w:kern w:val="0"/>
                <w:sz w:val="22"/>
                <w:szCs w:val="24"/>
                <w:lang w:val="zh-TW" w:eastAsia="zh-CN" w:bidi="ar-SA"/>
              </w:rPr>
              <w:t>谈判文件</w:t>
            </w:r>
            <w:r>
              <w:rPr>
                <w:rFonts w:ascii="Times New Roman" w:hAnsi="Times New Roman" w:eastAsia="仿宋" w:cs="Times New Roman"/>
                <w:kern w:val="0"/>
                <w:sz w:val="22"/>
                <w:szCs w:val="24"/>
                <w:lang w:val="zh-TW" w:eastAsia="zh-CN" w:bidi="ar-SA"/>
              </w:rPr>
              <w:t>要求的供应商达到3家以上（含3家），若合格供应商只有2家，但采购文件没有不合理条款，且采购程序符合规定的，可以继续开展采购活动。谈判小组按照有效报价进行评审，有效报价最低的供应商为成交供应商。</w:t>
            </w:r>
            <w:r>
              <w:rPr>
                <w:rFonts w:ascii="Times New Roman" w:hAnsi="Times New Roman" w:eastAsia="仿宋" w:cs="Times New Roman"/>
                <w:kern w:val="0"/>
                <w:sz w:val="22"/>
                <w:szCs w:val="24"/>
                <w:lang w:val="zh-CN" w:eastAsia="zh-CN" w:bidi="ar-SA"/>
              </w:rPr>
              <w:t>若报价相同</w:t>
            </w:r>
            <w:r>
              <w:rPr>
                <w:rFonts w:ascii="Times New Roman" w:hAnsi="Times New Roman" w:eastAsia="仿宋" w:cs="Times New Roman"/>
                <w:kern w:val="0"/>
                <w:sz w:val="22"/>
                <w:szCs w:val="24"/>
                <w:lang w:val="zh-TW" w:eastAsia="zh-CN" w:bidi="ar-SA"/>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70"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71"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0"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88"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71"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0" w:type="dxa"/>
            <w:vAlign w:val="center"/>
          </w:tcPr>
          <w:p w14:paraId="35BC67D1">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88"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71" w:type="dxa"/>
            <w:vAlign w:val="center"/>
          </w:tcPr>
          <w:p w14:paraId="73601360">
            <w:pPr>
              <w:spacing w:line="360" w:lineRule="auto"/>
              <w:ind w:left="210" w:leftChars="100"/>
              <w:rPr>
                <w:rFonts w:ascii="仿宋" w:hAnsi="仿宋" w:eastAsia="仿宋" w:cs="仿宋"/>
                <w:b/>
                <w:bCs/>
                <w:sz w:val="22"/>
              </w:rPr>
            </w:pPr>
            <w:r>
              <w:rPr>
                <w:rFonts w:hint="eastAsia" w:ascii="仿宋" w:hAnsi="仿宋" w:eastAsia="仿宋" w:cs="仿宋"/>
                <w:b/>
                <w:bCs/>
                <w:sz w:val="22"/>
              </w:rPr>
              <w:t>（1）采购部门：招标采购中心</w:t>
            </w:r>
          </w:p>
          <w:p w14:paraId="47D4467B">
            <w:pPr>
              <w:spacing w:line="360" w:lineRule="auto"/>
              <w:ind w:left="210" w:leftChars="100"/>
              <w:rPr>
                <w:rFonts w:hint="default" w:ascii="仿宋" w:hAnsi="仿宋" w:eastAsia="仿宋" w:cs="仿宋"/>
                <w:sz w:val="22"/>
                <w:lang w:val="en-US" w:eastAsia="zh-CN"/>
              </w:rPr>
            </w:pPr>
            <w:r>
              <w:rPr>
                <w:rFonts w:hint="eastAsia" w:ascii="仿宋" w:hAnsi="仿宋" w:eastAsia="仿宋" w:cs="仿宋"/>
                <w:sz w:val="22"/>
              </w:rPr>
              <w:t>联系方式：</w:t>
            </w:r>
            <w:r>
              <w:rPr>
                <w:rFonts w:hint="eastAsia" w:ascii="仿宋" w:hAnsi="仿宋" w:eastAsia="仿宋" w:cs="仿宋"/>
                <w:sz w:val="22"/>
                <w:lang w:val="en-US" w:eastAsia="zh-CN"/>
              </w:rPr>
              <w:t>甘</w:t>
            </w:r>
            <w:r>
              <w:rPr>
                <w:rFonts w:hint="eastAsia" w:ascii="仿宋" w:hAnsi="仿宋" w:eastAsia="仿宋" w:cs="仿宋"/>
                <w:sz w:val="22"/>
              </w:rPr>
              <w:t>老师028-8739</w:t>
            </w:r>
            <w:r>
              <w:rPr>
                <w:rFonts w:hint="eastAsia" w:ascii="仿宋" w:hAnsi="仿宋" w:eastAsia="仿宋" w:cs="仿宋"/>
                <w:sz w:val="22"/>
                <w:lang w:val="en-US" w:eastAsia="zh-CN"/>
              </w:rPr>
              <w:t>3665</w:t>
            </w:r>
          </w:p>
          <w:p w14:paraId="35A0B939">
            <w:pPr>
              <w:spacing w:line="360" w:lineRule="auto"/>
              <w:ind w:left="210" w:leftChars="100"/>
              <w:rPr>
                <w:rFonts w:hint="eastAsia" w:ascii="仿宋" w:hAnsi="仿宋" w:eastAsia="仿宋" w:cs="仿宋"/>
                <w:b/>
                <w:bCs/>
                <w:sz w:val="22"/>
                <w:lang w:val="en-US" w:eastAsia="zh-CN"/>
              </w:rPr>
            </w:pPr>
            <w:r>
              <w:rPr>
                <w:rFonts w:hint="eastAsia" w:ascii="仿宋" w:hAnsi="仿宋" w:eastAsia="仿宋" w:cs="仿宋"/>
                <w:b/>
                <w:bCs/>
                <w:sz w:val="22"/>
              </w:rPr>
              <w:t>（2）归口部门：</w:t>
            </w:r>
            <w:r>
              <w:rPr>
                <w:rFonts w:hint="eastAsia" w:ascii="仿宋" w:hAnsi="仿宋" w:eastAsia="仿宋" w:cs="仿宋"/>
                <w:b/>
                <w:bCs/>
                <w:sz w:val="22"/>
                <w:lang w:val="en-US" w:eastAsia="zh-CN"/>
              </w:rPr>
              <w:t>后勤保障部</w:t>
            </w:r>
          </w:p>
          <w:p w14:paraId="71EE7FB1">
            <w:pPr>
              <w:spacing w:line="360" w:lineRule="auto"/>
              <w:ind w:left="210" w:leftChars="100"/>
              <w:rPr>
                <w:rFonts w:hint="default" w:ascii="仿宋" w:hAnsi="仿宋" w:eastAsia="仿宋" w:cs="仿宋"/>
                <w:sz w:val="22"/>
                <w:lang w:val="en-US" w:eastAsia="zh-CN"/>
              </w:rPr>
            </w:pPr>
            <w:r>
              <w:rPr>
                <w:rFonts w:hint="eastAsia" w:ascii="仿宋" w:hAnsi="仿宋" w:eastAsia="仿宋" w:cs="仿宋"/>
                <w:sz w:val="22"/>
              </w:rPr>
              <w:t>联系方式：</w:t>
            </w:r>
            <w:r>
              <w:rPr>
                <w:rFonts w:hint="eastAsia" w:ascii="仿宋" w:hAnsi="仿宋" w:eastAsia="仿宋" w:cs="仿宋"/>
                <w:sz w:val="22"/>
                <w:lang w:val="en-US" w:eastAsia="zh-CN"/>
              </w:rPr>
              <w:t>李老师 028-87393442</w:t>
            </w:r>
          </w:p>
          <w:p w14:paraId="65A5AE26">
            <w:pPr>
              <w:spacing w:line="360" w:lineRule="auto"/>
              <w:ind w:left="210" w:leftChars="100"/>
              <w:rPr>
                <w:rFonts w:ascii="仿宋" w:hAnsi="仿宋" w:eastAsia="仿宋" w:cs="仿宋"/>
                <w:b/>
                <w:bCs/>
                <w:sz w:val="22"/>
              </w:rPr>
            </w:pPr>
            <w:r>
              <w:rPr>
                <w:rFonts w:hint="eastAsia" w:ascii="仿宋" w:hAnsi="仿宋" w:eastAsia="仿宋" w:cs="仿宋"/>
                <w:b/>
                <w:bCs/>
                <w:sz w:val="22"/>
              </w:rPr>
              <w:t>（3）监督部门：审计部</w:t>
            </w:r>
          </w:p>
          <w:p w14:paraId="2016C398">
            <w:pPr>
              <w:spacing w:line="360" w:lineRule="auto"/>
              <w:ind w:left="210" w:leftChars="100"/>
              <w:rPr>
                <w:rFonts w:ascii="仿宋" w:hAnsi="仿宋" w:eastAsia="仿宋" w:cs="仿宋"/>
                <w:sz w:val="22"/>
              </w:rPr>
            </w:pPr>
            <w:r>
              <w:rPr>
                <w:rFonts w:hint="eastAsia" w:ascii="仿宋" w:hAnsi="仿宋" w:eastAsia="仿宋" w:cs="仿宋"/>
                <w:sz w:val="22"/>
              </w:rPr>
              <w:t>联系方式：028-87394709</w:t>
            </w:r>
          </w:p>
          <w:p w14:paraId="189B5F15">
            <w:pPr>
              <w:spacing w:line="360" w:lineRule="auto"/>
              <w:ind w:left="210" w:leftChars="100"/>
              <w:rPr>
                <w:rFonts w:ascii="Times New Roman" w:hAnsi="Times New Roman" w:eastAsia="仿宋" w:cs="Times New Roman"/>
                <w:sz w:val="22"/>
              </w:rPr>
            </w:pPr>
            <w:r>
              <w:rPr>
                <w:rFonts w:hint="eastAsia" w:ascii="仿宋" w:hAnsi="仿宋" w:eastAsia="仿宋" w:cs="仿宋"/>
                <w:b/>
                <w:bCs/>
                <w:sz w:val="22"/>
              </w:rPr>
              <w:t>（4）采购平台</w:t>
            </w:r>
            <w:r>
              <w:rPr>
                <w:rFonts w:hint="eastAsia" w:ascii="仿宋" w:hAnsi="仿宋" w:eastAsia="仿宋" w:cs="仿宋"/>
                <w:sz w:val="22"/>
              </w:rPr>
              <w:t>：隆道云400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9E0062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谈判小组根据谈判文件对供应商的响应文件进行资格审查、符合性审查及其他有效性审查。审查合格的供应商满足3家以上（含3家），谈判小组按照评审方式进行评审。若合格供应商只有2家，但采购文件没有不合理条款，且采购程序符合规定的，可以继续开展采购活动。</w:t>
            </w:r>
          </w:p>
          <w:p w14:paraId="42593F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450F5BE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74E1B9C3">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460"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sz w:val="22"/>
                <w:szCs w:val="22"/>
                <w:lang w:val="zh-CN"/>
              </w:rPr>
              <w:t>（028-</w:t>
            </w:r>
            <w:r>
              <w:rPr>
                <w:rFonts w:hint="eastAsia" w:ascii="仿宋" w:hAnsi="仿宋" w:eastAsia="仿宋" w:cs="仿宋"/>
                <w:sz w:val="22"/>
              </w:rPr>
              <w:t>8739</w:t>
            </w:r>
            <w:r>
              <w:rPr>
                <w:rFonts w:hint="eastAsia" w:ascii="仿宋" w:hAnsi="仿宋" w:eastAsia="仿宋" w:cs="仿宋"/>
                <w:sz w:val="22"/>
                <w:lang w:val="en-US" w:eastAsia="zh-CN"/>
              </w:rPr>
              <w:t>3665</w:t>
            </w:r>
            <w:r>
              <w:rPr>
                <w:rFonts w:hint="eastAsia" w:ascii="仿宋" w:hAnsi="仿宋" w:eastAsia="仿宋" w:cs="仿宋"/>
                <w:sz w:val="22"/>
                <w:szCs w:val="22"/>
                <w:lang w:val="zh-CN"/>
              </w:rPr>
              <w:t>）并将合同初稿发送至</w:t>
            </w:r>
            <w:r>
              <w:rPr>
                <w:rFonts w:hint="eastAsia" w:ascii="仿宋" w:hAnsi="仿宋" w:eastAsia="仿宋" w:cs="仿宋"/>
                <w:sz w:val="22"/>
                <w:szCs w:val="22"/>
                <w:u w:val="single"/>
              </w:rPr>
              <w:t>630325390@qq.com</w:t>
            </w:r>
            <w:r>
              <w:rPr>
                <w:rFonts w:ascii="Times New Roman" w:hAnsi="Times New Roman" w:eastAsia="仿宋" w:cs="Times New Roman"/>
                <w:sz w:val="22"/>
                <w:szCs w:val="22"/>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4398" w:type="dxa"/>
            <w:vAlign w:val="center"/>
          </w:tcPr>
          <w:p w14:paraId="5974F786">
            <w:pPr>
              <w:rPr>
                <w:rFonts w:hint="default" w:ascii="Times New Roman" w:hAnsi="Times New Roman" w:eastAsia="仿宋" w:cs="Times New Roman"/>
                <w:sz w:val="22"/>
                <w:u w:val="single"/>
                <w:lang w:val="en-US" w:eastAsia="zh-CN"/>
              </w:rPr>
            </w:pP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2A1E7BCC">
      <w:pPr>
        <w:spacing w:line="360" w:lineRule="auto"/>
        <w:ind w:left="480" w:hanging="480" w:hangingChars="200"/>
        <w:rPr>
          <w:rFonts w:ascii="仿宋" w:hAnsi="仿宋" w:eastAsia="仿宋" w:cs="仿宋"/>
          <w:b/>
          <w:bCs/>
          <w:sz w:val="24"/>
          <w:szCs w:val="24"/>
          <w:highlight w:val="none"/>
        </w:rPr>
      </w:pPr>
      <w:r>
        <w:rPr>
          <w:rFonts w:hint="eastAsia" w:ascii="仿宋" w:hAnsi="仿宋" w:eastAsia="仿宋" w:cs="仿宋"/>
          <w:sz w:val="24"/>
          <w:szCs w:val="24"/>
        </w:rPr>
        <w:t>一、</w:t>
      </w:r>
      <w:r>
        <w:rPr>
          <w:rFonts w:hint="eastAsia" w:ascii="仿宋" w:hAnsi="仿宋" w:eastAsia="仿宋" w:cs="仿宋"/>
          <w:b/>
          <w:bCs/>
          <w:sz w:val="24"/>
          <w:szCs w:val="24"/>
        </w:rPr>
        <w:t>项目简介</w:t>
      </w:r>
    </w:p>
    <w:p w14:paraId="311D0B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四川省人民医院拟确定一家供应商，提供中药制剂的加工生产、包装、储存及物流等一体化服务。</w:t>
      </w:r>
    </w:p>
    <w:p w14:paraId="0355A972">
      <w:pPr>
        <w:numPr>
          <w:ilvl w:val="0"/>
          <w:numId w:val="0"/>
        </w:numPr>
        <w:spacing w:line="360" w:lineRule="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w:t>
      </w:r>
      <w:r>
        <w:rPr>
          <w:rFonts w:hint="eastAsia" w:ascii="仿宋" w:hAnsi="仿宋" w:eastAsia="仿宋" w:cs="仿宋"/>
          <w:b/>
          <w:bCs/>
          <w:kern w:val="2"/>
          <w:sz w:val="24"/>
          <w:szCs w:val="24"/>
          <w:lang w:val="en-US" w:eastAsia="zh-CN" w:bidi="ar-SA"/>
        </w:rPr>
        <w:t>二、中药制剂品种、目标工作量、产值及单价（在本合同服务期内，本项目6个月中药制剂总产值不低于502万元，产值计算仅以本项目发布时的现行单价为准）</w:t>
      </w:r>
    </w:p>
    <w:tbl>
      <w:tblPr>
        <w:tblStyle w:val="18"/>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793"/>
        <w:gridCol w:w="1305"/>
        <w:gridCol w:w="2513"/>
        <w:gridCol w:w="2774"/>
      </w:tblGrid>
      <w:tr w14:paraId="27EE3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605F00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内容</w:t>
            </w:r>
          </w:p>
          <w:p w14:paraId="21230E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(中药制剂委托配制品种)</w:t>
            </w:r>
          </w:p>
        </w:tc>
        <w:tc>
          <w:tcPr>
            <w:tcW w:w="1305" w:type="dxa"/>
            <w:vAlign w:val="center"/>
          </w:tcPr>
          <w:p w14:paraId="4FA6E4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现行单价</w:t>
            </w:r>
          </w:p>
          <w:p w14:paraId="2B7B44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（元）</w:t>
            </w:r>
          </w:p>
        </w:tc>
        <w:tc>
          <w:tcPr>
            <w:tcW w:w="2513" w:type="dxa"/>
            <w:vAlign w:val="center"/>
          </w:tcPr>
          <w:p w14:paraId="116AD1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2026年6个月目标产量</w:t>
            </w:r>
          </w:p>
        </w:tc>
        <w:tc>
          <w:tcPr>
            <w:tcW w:w="2774" w:type="dxa"/>
            <w:vAlign w:val="center"/>
          </w:tcPr>
          <w:p w14:paraId="35BE92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2026年6个月目标产值(元）</w:t>
            </w:r>
          </w:p>
        </w:tc>
      </w:tr>
      <w:tr w14:paraId="17B65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25FE9E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虎杖颗粒</w:t>
            </w:r>
          </w:p>
        </w:tc>
        <w:tc>
          <w:tcPr>
            <w:tcW w:w="1305" w:type="dxa"/>
            <w:vAlign w:val="center"/>
          </w:tcPr>
          <w:p w14:paraId="283D86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w:t>
            </w:r>
          </w:p>
        </w:tc>
        <w:tc>
          <w:tcPr>
            <w:tcW w:w="2513" w:type="dxa"/>
            <w:vAlign w:val="center"/>
          </w:tcPr>
          <w:p w14:paraId="1651AF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133899.5</w:t>
            </w:r>
          </w:p>
        </w:tc>
        <w:tc>
          <w:tcPr>
            <w:tcW w:w="2774" w:type="dxa"/>
            <w:vAlign w:val="center"/>
          </w:tcPr>
          <w:p w14:paraId="5E0469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2677990</w:t>
            </w:r>
          </w:p>
        </w:tc>
      </w:tr>
      <w:tr w14:paraId="0B9C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1F92D7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金沙通淋排石颗粒</w:t>
            </w:r>
          </w:p>
        </w:tc>
        <w:tc>
          <w:tcPr>
            <w:tcW w:w="1305" w:type="dxa"/>
            <w:vAlign w:val="center"/>
          </w:tcPr>
          <w:p w14:paraId="63F4C1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60.84</w:t>
            </w:r>
          </w:p>
        </w:tc>
        <w:tc>
          <w:tcPr>
            <w:tcW w:w="2513" w:type="dxa"/>
            <w:vAlign w:val="center"/>
          </w:tcPr>
          <w:p w14:paraId="73EAD1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7187</w:t>
            </w:r>
          </w:p>
        </w:tc>
        <w:tc>
          <w:tcPr>
            <w:tcW w:w="2774" w:type="dxa"/>
            <w:vAlign w:val="center"/>
          </w:tcPr>
          <w:p w14:paraId="6A7CD9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437257.08</w:t>
            </w:r>
          </w:p>
        </w:tc>
      </w:tr>
      <w:tr w14:paraId="36446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51F760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乳腺通络散结颗粒</w:t>
            </w:r>
          </w:p>
        </w:tc>
        <w:tc>
          <w:tcPr>
            <w:tcW w:w="1305" w:type="dxa"/>
            <w:vAlign w:val="center"/>
          </w:tcPr>
          <w:p w14:paraId="17C282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57.54</w:t>
            </w:r>
          </w:p>
        </w:tc>
        <w:tc>
          <w:tcPr>
            <w:tcW w:w="2513" w:type="dxa"/>
            <w:vAlign w:val="center"/>
          </w:tcPr>
          <w:p w14:paraId="391EDF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2796.5</w:t>
            </w:r>
          </w:p>
        </w:tc>
        <w:tc>
          <w:tcPr>
            <w:tcW w:w="2774" w:type="dxa"/>
            <w:vAlign w:val="center"/>
          </w:tcPr>
          <w:p w14:paraId="32B4F2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160910.61</w:t>
            </w:r>
          </w:p>
        </w:tc>
      </w:tr>
      <w:tr w14:paraId="1735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6E6E37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祛风消银颗粒</w:t>
            </w:r>
          </w:p>
        </w:tc>
        <w:tc>
          <w:tcPr>
            <w:tcW w:w="1305" w:type="dxa"/>
            <w:vAlign w:val="center"/>
          </w:tcPr>
          <w:p w14:paraId="77F4E3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36.8</w:t>
            </w:r>
          </w:p>
        </w:tc>
        <w:tc>
          <w:tcPr>
            <w:tcW w:w="2513" w:type="dxa"/>
            <w:vAlign w:val="center"/>
          </w:tcPr>
          <w:p w14:paraId="4D15E3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5032</w:t>
            </w:r>
          </w:p>
        </w:tc>
        <w:tc>
          <w:tcPr>
            <w:tcW w:w="2774" w:type="dxa"/>
            <w:vAlign w:val="center"/>
          </w:tcPr>
          <w:p w14:paraId="5412A9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185177.6</w:t>
            </w:r>
          </w:p>
        </w:tc>
      </w:tr>
      <w:tr w14:paraId="450C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61D379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五仁颗粒</w:t>
            </w:r>
          </w:p>
        </w:tc>
        <w:tc>
          <w:tcPr>
            <w:tcW w:w="1305" w:type="dxa"/>
            <w:vAlign w:val="center"/>
          </w:tcPr>
          <w:p w14:paraId="4780D9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29.04</w:t>
            </w:r>
          </w:p>
        </w:tc>
        <w:tc>
          <w:tcPr>
            <w:tcW w:w="2513" w:type="dxa"/>
            <w:vAlign w:val="center"/>
          </w:tcPr>
          <w:p w14:paraId="121401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9527</w:t>
            </w:r>
          </w:p>
        </w:tc>
        <w:tc>
          <w:tcPr>
            <w:tcW w:w="2774" w:type="dxa"/>
            <w:vAlign w:val="center"/>
          </w:tcPr>
          <w:p w14:paraId="312B10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276664.08</w:t>
            </w:r>
          </w:p>
        </w:tc>
      </w:tr>
      <w:tr w14:paraId="7FEE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084B5C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清热利胆合剂</w:t>
            </w:r>
          </w:p>
        </w:tc>
        <w:tc>
          <w:tcPr>
            <w:tcW w:w="1305" w:type="dxa"/>
            <w:vAlign w:val="center"/>
          </w:tcPr>
          <w:p w14:paraId="05E034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29.77</w:t>
            </w:r>
          </w:p>
        </w:tc>
        <w:tc>
          <w:tcPr>
            <w:tcW w:w="2513" w:type="dxa"/>
            <w:vAlign w:val="center"/>
          </w:tcPr>
          <w:p w14:paraId="4BCEBC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9592.5</w:t>
            </w:r>
          </w:p>
        </w:tc>
        <w:tc>
          <w:tcPr>
            <w:tcW w:w="2774" w:type="dxa"/>
            <w:vAlign w:val="center"/>
          </w:tcPr>
          <w:p w14:paraId="57EDC6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285568.725</w:t>
            </w:r>
          </w:p>
        </w:tc>
      </w:tr>
      <w:tr w14:paraId="79ED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3D05CA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理气复胃口服液</w:t>
            </w:r>
          </w:p>
        </w:tc>
        <w:tc>
          <w:tcPr>
            <w:tcW w:w="1305" w:type="dxa"/>
            <w:vAlign w:val="center"/>
          </w:tcPr>
          <w:p w14:paraId="04D643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13.3</w:t>
            </w:r>
          </w:p>
        </w:tc>
        <w:tc>
          <w:tcPr>
            <w:tcW w:w="2513" w:type="dxa"/>
            <w:vAlign w:val="center"/>
          </w:tcPr>
          <w:p w14:paraId="26BAE8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46629.5</w:t>
            </w:r>
          </w:p>
        </w:tc>
        <w:tc>
          <w:tcPr>
            <w:tcW w:w="2774" w:type="dxa"/>
            <w:vAlign w:val="center"/>
          </w:tcPr>
          <w:p w14:paraId="5C6E93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620172.35</w:t>
            </w:r>
          </w:p>
        </w:tc>
      </w:tr>
      <w:tr w14:paraId="4D14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5D961F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参芪补肾口服液</w:t>
            </w:r>
          </w:p>
        </w:tc>
        <w:tc>
          <w:tcPr>
            <w:tcW w:w="1305" w:type="dxa"/>
            <w:vAlign w:val="center"/>
          </w:tcPr>
          <w:p w14:paraId="5C5BF8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21.5</w:t>
            </w:r>
          </w:p>
        </w:tc>
        <w:tc>
          <w:tcPr>
            <w:tcW w:w="2513" w:type="dxa"/>
            <w:vAlign w:val="center"/>
          </w:tcPr>
          <w:p w14:paraId="7C03C3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10226.5</w:t>
            </w:r>
          </w:p>
        </w:tc>
        <w:tc>
          <w:tcPr>
            <w:tcW w:w="2774" w:type="dxa"/>
            <w:vAlign w:val="center"/>
          </w:tcPr>
          <w:p w14:paraId="55C6AA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219869.75</w:t>
            </w:r>
          </w:p>
        </w:tc>
      </w:tr>
      <w:tr w14:paraId="19D8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4F251D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复方贯众口服液</w:t>
            </w:r>
          </w:p>
        </w:tc>
        <w:tc>
          <w:tcPr>
            <w:tcW w:w="1305" w:type="dxa"/>
            <w:vAlign w:val="center"/>
          </w:tcPr>
          <w:p w14:paraId="470447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65</w:t>
            </w:r>
          </w:p>
        </w:tc>
        <w:tc>
          <w:tcPr>
            <w:tcW w:w="2513" w:type="dxa"/>
            <w:vAlign w:val="center"/>
          </w:tcPr>
          <w:p w14:paraId="08B5FC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2544.5</w:t>
            </w:r>
          </w:p>
        </w:tc>
        <w:tc>
          <w:tcPr>
            <w:tcW w:w="2774" w:type="dxa"/>
            <w:vAlign w:val="center"/>
          </w:tcPr>
          <w:p w14:paraId="4D9728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165392.5</w:t>
            </w:r>
          </w:p>
        </w:tc>
      </w:tr>
      <w:tr w14:paraId="455E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793" w:type="dxa"/>
            <w:vAlign w:val="center"/>
          </w:tcPr>
          <w:p w14:paraId="7D29BE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合计</w:t>
            </w:r>
          </w:p>
        </w:tc>
        <w:tc>
          <w:tcPr>
            <w:tcW w:w="1305" w:type="dxa"/>
            <w:vAlign w:val="center"/>
          </w:tcPr>
          <w:p w14:paraId="1E1C1C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p>
        </w:tc>
        <w:tc>
          <w:tcPr>
            <w:tcW w:w="2513" w:type="dxa"/>
            <w:vAlign w:val="center"/>
          </w:tcPr>
          <w:p w14:paraId="22F750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227435</w:t>
            </w:r>
          </w:p>
        </w:tc>
        <w:tc>
          <w:tcPr>
            <w:tcW w:w="2774" w:type="dxa"/>
            <w:vAlign w:val="center"/>
          </w:tcPr>
          <w:p w14:paraId="1EDC60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5029002.695</w:t>
            </w:r>
          </w:p>
        </w:tc>
      </w:tr>
    </w:tbl>
    <w:p w14:paraId="1A88EFD5">
      <w:pPr>
        <w:numPr>
          <w:ilvl w:val="0"/>
          <w:numId w:val="0"/>
        </w:numPr>
        <w:spacing w:line="360" w:lineRule="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三、服务内容及要求</w:t>
      </w:r>
    </w:p>
    <w:p w14:paraId="7EF0D7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★1、加工生产服务要求</w:t>
      </w:r>
    </w:p>
    <w:p w14:paraId="13C0AD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（1）厂区布局要求：完全满足GMP批准的中药制剂配制需求。</w:t>
      </w:r>
    </w:p>
    <w:p w14:paraId="0DEB28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（2）配备有与各品种剂型相适应的独立的纯化水系统，拥有满足品种和剂型需要的污水处理系统。</w:t>
      </w:r>
    </w:p>
    <w:p w14:paraId="575E5A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该项目报价包括委托配制费、检验（含对照品、对照药材、试剂、三批验证生产样品委托药检所检验费用等费用）、微生物限度检查方法验证研究、包装、仓储、物流运输、搬运费等供应商完成本项目所需的一切费用。（不包含原料、辅料、包装材料采购费用）。检验内容依据委托配制品种标准及供应商GMP质量体系文件要求进行相关检验。</w:t>
      </w:r>
    </w:p>
    <w:p w14:paraId="083A43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（4）所有原辅料、包材由采购人提供，上述材料均不得用于本项目列明的委托加工以外的其他用途。</w:t>
      </w:r>
    </w:p>
    <w:p w14:paraId="251432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（5）供应商根据采购人提供的配制计划，包含所配制制剂数量、交货时间进行制作。</w:t>
      </w:r>
    </w:p>
    <w:p w14:paraId="4CFA17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按照GMP批准的中药制剂要求严格执行原料检测验收，生产过程监管、成品质量检测，每月进行库存盘点。提供必要的管理程序文件和运行记录，包括不限于原料验收程序及验收记录、生产记录，成品质量检测程序和验收记录，成品库存盘点程序和记录等。</w:t>
      </w:r>
    </w:p>
    <w:p w14:paraId="747890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（7）每个品种的详细配方及工艺流程在签订合同后由采购人提供。</w:t>
      </w:r>
    </w:p>
    <w:p w14:paraId="199EEE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供应商需对采购人提供的所有信息保密，包括但不仅限于制剂处方（包括处方组成、药物剂量等）和现有的制备工艺（含中药饮片、辅料、剂型）详细资料。不得将委托配制内容的资料、内容、成果及其相关知识产权泄露给第三方。（投标时提供承诺函加盖供应商公章）</w:t>
      </w:r>
    </w:p>
    <w:p w14:paraId="2A1586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★2、包装、储存及物流服务要求</w:t>
      </w:r>
    </w:p>
    <w:p w14:paraId="154CDE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检验与放行：检验场所能满足剂型和品种的检测与放行需要：具备原辅料及成品的检测能力；关键的检测仪器，包括但不限于：原子吸收分光光度计、高效液相色谱仪、生物显微镜、荧光检测器、蒸发光散射检测器、气相色谱仪、红外分光光度计、紫外-可见分光光度计等。(提供以上所有仪器的现场照片及采购合同并加盖供应商公章)</w:t>
      </w:r>
    </w:p>
    <w:p w14:paraId="2A8D91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（2）仓储设施：供应商运输条件应符合药监局批准的药品存储条件要求，仓储设施能够满足不同剂型和品种的存储需要。</w:t>
      </w:r>
    </w:p>
    <w:p w14:paraId="7140BD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（3）外包装要求：供应商提供具有能满足不同剂型和品种的外包装。外包装纸箱符合《医药包装用纸和纸板》（GB/T 35594-2023），其他材料(缓冲材料、胶带）等确保清洁、无毒、无污染，且具备足够的强度，能承受常规物流运输中的堆叠、搬运和撞击。</w:t>
      </w:r>
    </w:p>
    <w:p w14:paraId="3E6CB8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（4）储存与运输：按照药品属性分类储存与运输，严格控制温湿度，采取防潮、避光、防污染等措施，确保全过程可追溯，保障药品质量安全。</w:t>
      </w:r>
    </w:p>
    <w:p w14:paraId="7A505C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（5）配送要求：成交供应商将药品送货到采购人所有院区。</w:t>
      </w:r>
    </w:p>
    <w:p w14:paraId="35B732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配送人员、配送车辆、配送时间要求：接到采购人通知送货后，在五个工作日内送到，药品需专车配送，不得与其他药品合运。可根据采购人订单需求进行整体配送也可以拆分配送。</w:t>
      </w:r>
    </w:p>
    <w:p w14:paraId="51C3F1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（6）包装规格：</w:t>
      </w:r>
    </w:p>
    <w:tbl>
      <w:tblPr>
        <w:tblStyle w:val="18"/>
        <w:tblW w:w="9570" w:type="dxa"/>
        <w:jc w:val="center"/>
        <w:tblLayout w:type="autofit"/>
        <w:tblCellMar>
          <w:top w:w="15" w:type="dxa"/>
          <w:left w:w="15" w:type="dxa"/>
          <w:bottom w:w="15" w:type="dxa"/>
          <w:right w:w="15" w:type="dxa"/>
        </w:tblCellMar>
      </w:tblPr>
      <w:tblGrid>
        <w:gridCol w:w="3905"/>
        <w:gridCol w:w="5665"/>
      </w:tblGrid>
      <w:tr w14:paraId="258CF134">
        <w:tblPrEx>
          <w:tblCellMar>
            <w:top w:w="15" w:type="dxa"/>
            <w:left w:w="15" w:type="dxa"/>
            <w:bottom w:w="15" w:type="dxa"/>
            <w:right w:w="15" w:type="dxa"/>
          </w:tblCellMar>
        </w:tblPrEx>
        <w:trPr>
          <w:tblHeader/>
          <w:jc w:val="center"/>
        </w:trPr>
        <w:tc>
          <w:tcPr>
            <w:tcW w:w="3905" w:type="dxa"/>
            <w:tcBorders>
              <w:top w:val="single" w:color="000000" w:sz="6" w:space="0"/>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7F46A2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品种名称</w:t>
            </w:r>
          </w:p>
        </w:tc>
        <w:tc>
          <w:tcPr>
            <w:tcW w:w="5665" w:type="dxa"/>
            <w:tcBorders>
              <w:top w:val="single" w:color="000000" w:sz="6" w:space="0"/>
              <w:left w:val="nil"/>
              <w:bottom w:val="single" w:color="000000" w:sz="6" w:space="0"/>
              <w:right w:val="single" w:color="000000" w:sz="6" w:space="0"/>
            </w:tcBorders>
            <w:noWrap/>
            <w:tcMar>
              <w:top w:w="0" w:type="dxa"/>
              <w:left w:w="105" w:type="dxa"/>
              <w:bottom w:w="0" w:type="dxa"/>
              <w:right w:w="105" w:type="dxa"/>
            </w:tcMar>
            <w:vAlign w:val="center"/>
          </w:tcPr>
          <w:p w14:paraId="314262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w:t>
            </w:r>
          </w:p>
        </w:tc>
      </w:tr>
      <w:tr w14:paraId="11DD2DDD">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5B4710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清热利胆合剂</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301AF8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250ml/瓶*20瓶/箱</w:t>
            </w:r>
          </w:p>
        </w:tc>
      </w:tr>
      <w:tr w14:paraId="5872D47E">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2A986E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参芪补肾口服液</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293A45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10ml/支*6支/盒*156盒/箱</w:t>
            </w:r>
          </w:p>
        </w:tc>
      </w:tr>
      <w:tr w14:paraId="6933C711">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6E9132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理气复胃口服液</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289C83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10ml/支*6支/盒*156盒/箱</w:t>
            </w:r>
          </w:p>
        </w:tc>
      </w:tr>
      <w:tr w14:paraId="515BAEFC">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43C630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复方贯众口服液</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757ADB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10ml/支*6支/盒*156盒/箱</w:t>
            </w:r>
          </w:p>
        </w:tc>
      </w:tr>
      <w:tr w14:paraId="5EA0960F">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115C13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虎杖解毒颗粒</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5F38A0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10g/袋*10袋/包*60包</w:t>
            </w:r>
          </w:p>
        </w:tc>
      </w:tr>
      <w:tr w14:paraId="2021098F">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0C173A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金沙通淋排石颗粒</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749071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10g/袋*20袋/包*40包</w:t>
            </w:r>
          </w:p>
        </w:tc>
      </w:tr>
      <w:tr w14:paraId="4F287DF2">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257B07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祛风消银颗粒</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19E13E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8g/袋*20袋/包*40包</w:t>
            </w:r>
          </w:p>
        </w:tc>
      </w:tr>
      <w:tr w14:paraId="188951AD">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41612C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乳腺通络散结颗粒</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56E45D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10g/袋*20袋/包*40包</w:t>
            </w:r>
          </w:p>
        </w:tc>
      </w:tr>
      <w:tr w14:paraId="619AB300">
        <w:tblPrEx>
          <w:tblCellMar>
            <w:top w:w="15" w:type="dxa"/>
            <w:left w:w="15" w:type="dxa"/>
            <w:bottom w:w="15" w:type="dxa"/>
            <w:right w:w="15" w:type="dxa"/>
          </w:tblCellMar>
        </w:tblPrEx>
        <w:trPr>
          <w:jc w:val="center"/>
        </w:trPr>
        <w:tc>
          <w:tcPr>
            <w:tcW w:w="3905" w:type="dxa"/>
            <w:tcBorders>
              <w:top w:val="nil"/>
              <w:left w:val="single" w:color="000000" w:sz="6" w:space="0"/>
              <w:bottom w:val="single" w:color="000000" w:sz="6" w:space="0"/>
              <w:right w:val="single" w:color="000000" w:sz="6" w:space="0"/>
            </w:tcBorders>
            <w:noWrap/>
            <w:tcMar>
              <w:top w:w="0" w:type="dxa"/>
              <w:left w:w="105" w:type="dxa"/>
              <w:bottom w:w="0" w:type="dxa"/>
              <w:right w:w="105" w:type="dxa"/>
            </w:tcMar>
            <w:vAlign w:val="center"/>
          </w:tcPr>
          <w:p w14:paraId="6A8F43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五仁颗粒</w:t>
            </w:r>
          </w:p>
        </w:tc>
        <w:tc>
          <w:tcPr>
            <w:tcW w:w="5665" w:type="dxa"/>
            <w:tcBorders>
              <w:top w:val="nil"/>
              <w:left w:val="nil"/>
              <w:bottom w:val="single" w:color="000000" w:sz="6" w:space="0"/>
              <w:right w:val="single" w:color="000000" w:sz="6" w:space="0"/>
            </w:tcBorders>
            <w:noWrap/>
            <w:tcMar>
              <w:top w:w="0" w:type="dxa"/>
              <w:left w:w="105" w:type="dxa"/>
              <w:bottom w:w="0" w:type="dxa"/>
              <w:right w:w="105" w:type="dxa"/>
            </w:tcMar>
            <w:vAlign w:val="center"/>
          </w:tcPr>
          <w:p w14:paraId="2258C1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10g/袋*10袋/包*80包</w:t>
            </w:r>
          </w:p>
        </w:tc>
      </w:tr>
    </w:tbl>
    <w:p w14:paraId="24FFD3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★3、服务要求：</w:t>
      </w:r>
    </w:p>
    <w:p w14:paraId="49A634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（1）自2022年1月1日起，供应商未出现过由药监、安监部门通报的重大质量、安全事故。（投标时提供承诺函加盖供应商公章）</w:t>
      </w:r>
    </w:p>
    <w:p w14:paraId="24B1FB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通过药品生产质量管理规范符合性检查，若有监督管理部门提出现场核查要求，应协助采购人完成现场核查。协助采购人在四川省药品监督管理局办理制剂委托配制备案，并配合送每种药品三批验证生产样品至四川省药品监督管理局指定机构进行检验。若检验未通过，该批药品不合格，作报废处理，供应商应赔偿采购人所有损失。</w:t>
      </w:r>
    </w:p>
    <w:p w14:paraId="6B444C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★4、质量要求</w:t>
      </w:r>
    </w:p>
    <w:p w14:paraId="5DB518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（1）质量要求：委托配制制剂质量符合经四川省药品监督管理局批准的注册标准或备案标准的要求。</w:t>
      </w:r>
    </w:p>
    <w:p w14:paraId="6B20F1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（2）制剂质量保证时限：按照四川省药品监督管理局批准具体品种的有效期约定制剂质量保证时限。</w:t>
      </w:r>
    </w:p>
    <w:p w14:paraId="0E1E97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供应商拟提供的制剂车间需有满足本项目剂型和批生产量的生产线所需的所有设备，关键设备包括但不限于（以下设备至少应各有1套）：提取罐（3000L（含）或以上）、减压浓缩器（双效浓缩器或单效浓缩器）、醇沉罐、离心设备，配液罐（带加热灭菌）、过滤器、液体制剂灌装系统（理瓶机、理盖机、灌装机、旋盖机、口服液灌装压盖机）、制粒设备、压片机、贴标机、入托机、装盒机、乙醇回收和储存装置。配备相应的CIP原位清洗系统。</w:t>
      </w:r>
    </w:p>
    <w:p w14:paraId="39E4FE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供应商拟提供的提取车间及制剂车间洁净区级别不得低于D级，且每月需监测尘埃粒子和沉降菌，每季度对车间高效过滤器进行PAO检测，服务期对车间风量和换气次数进行一次检测，符合现行版《药品生产质量管理规范》及《中华人民共和国药典》要求。供应商需定期将检测报告交由采购人备案。</w:t>
      </w:r>
    </w:p>
    <w:p w14:paraId="152B0B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服务期内饮用水须提供检测报告；配备有与各品种剂型相适应的独立的纯化水系统，且每月对用水点进行检测，符合现行版《药品生产质量管理规范》及《中华人民共和国药典》要求。供应商拥有满足品种和剂型需要的污水处理系统。</w:t>
      </w:r>
    </w:p>
    <w:p w14:paraId="35B415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（6）供应商在向药检部门报送三批验证生产样品时，须能提供微生物限度检查方法验证研究及研究报告。</w:t>
      </w:r>
    </w:p>
    <w:p w14:paraId="4A876B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5、其他要求：</w:t>
      </w:r>
    </w:p>
    <w:p w14:paraId="591EC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质量管理方案。供应商针对本项目实际情况提供质量管理方案，包含：①部门管理方案（至少包含独立的采购、生产、检验等专业部门的管理方案）；②仪器运行方案（至少包含厂房、生产线、库房、设施设备、生产和检验的仪器运行方案）；③人员职责及分工方案；④生产质量管理方案；⑤生产工艺单、质检报告方案。</w:t>
      </w:r>
    </w:p>
    <w:p w14:paraId="284098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（2）实施方案。供应商针对本项目实际情况提供实施方案，包含：①项目生产服务方案；②项目配送服务方案；③项目验收服务方案；④协助办理制剂委托配制备案服务方案；⑤送检服务方案。</w:t>
      </w:r>
    </w:p>
    <w:p w14:paraId="037F22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（3）团队配置。</w:t>
      </w:r>
    </w:p>
    <w:p w14:paraId="1ADC6B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1、生产管理负责人（1人）：具有药学类专业高级（或以上）职称的。</w:t>
      </w:r>
    </w:p>
    <w:p w14:paraId="49DD37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2、质量管理负责人（1人）：具有药学类专业高级（或以上）职称的。</w:t>
      </w:r>
    </w:p>
    <w:p w14:paraId="0074CB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3、质量授权人（1人）：具有药学类专业高级（或以上）职称的。</w:t>
      </w:r>
    </w:p>
    <w:p w14:paraId="5D5894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4、团队成员：具有“药学类专业高级（或以上）职称或执业药师或执业中药师专业资格”的。</w:t>
      </w:r>
    </w:p>
    <w:p w14:paraId="7D643F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仪器设备配置。供应商针对本项目制剂车间设备在满足谈判文件实质性要求的基础上：增加的提取罐（3000L（含）或以上）、减压浓缩器（双效浓缩器或单效浓缩器）、醇沉罐、制粒设备、压片机、配液罐（带加热灭菌）。</w:t>
      </w:r>
    </w:p>
    <w:p w14:paraId="213CE8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（5）履约能力</w:t>
      </w:r>
    </w:p>
    <w:p w14:paraId="299C0A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供应商具有2个2023年1月1日（含1日）至递交响应文件截止之日为止的医疗机构制剂委托配制服务项目业绩（提供合同和在药监系统相关部门进行委托生产配制备案批件的复印件加盖供应商公章）。</w:t>
      </w:r>
    </w:p>
    <w:p w14:paraId="4388807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★四、商务要求</w:t>
      </w:r>
    </w:p>
    <w:p w14:paraId="73E198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资金支付条款：服务期达到3个月后，采购人进行考核，供应商5日内按清单金额向采购人提供合法有效票据及其他相关请款资料，采购人接到供应商请款资料后的55日内，采购人向成交供应商支付合同金额的50%服务费用；服务期满后，采购人进行考核，若产值达到502万元及以上时，采购人向成交供应商一次性支付剩余50%合同金额；若产值低于502万元，则需按实际下单量支付剩余金额(实际产量折合产值/502万元*供应商成交价-已支付合同金额)，供应商5日内按清单金额向采购人提供合法有效票据及其他相关请款资料，采购人接到供应商请款资料后的55日内，向供应商全额支付上述结算费用。如存在因考核等原因导致的扣款，应在支付前予以扣除。</w:t>
      </w:r>
    </w:p>
    <w:p w14:paraId="625712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2、服务地点：四川省人民医院(包括所有院区)。</w:t>
      </w:r>
    </w:p>
    <w:p w14:paraId="2D4FF5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3、服务期：2026年2月16日至2026年8月15日。</w:t>
      </w:r>
    </w:p>
    <w:p w14:paraId="4A45B1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4、验收方案</w:t>
      </w:r>
    </w:p>
    <w:p w14:paraId="2B787A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4.1验收时间：服务期满且供应商完成所有服务内容后5日内通知采购人验收，采购人接供应商通知后10日内组织验收。</w:t>
      </w:r>
    </w:p>
    <w:p w14:paraId="7FE22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4.2验收主体：采购人</w:t>
      </w:r>
    </w:p>
    <w:p w14:paraId="55E336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4.3验收组织方式：自行验收</w:t>
      </w:r>
    </w:p>
    <w:p w14:paraId="1BB3A0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4.4验收方式：现场整体验收</w:t>
      </w:r>
    </w:p>
    <w:p w14:paraId="3EC25C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4.5验收程序：一次性验收 </w:t>
      </w:r>
    </w:p>
    <w:p w14:paraId="7ADDED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4.6验收内容：按照基于本项目采购需求编制的采购文件要求及供应商响应文件情况，由供应商向采购人提供的全部服务（包括加工生产、包装、储存及物流）。</w:t>
      </w:r>
    </w:p>
    <w:p w14:paraId="13A7A0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4.7验收标准：</w:t>
      </w:r>
    </w:p>
    <w:p w14:paraId="03363C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4.7.1国家相关法律法规、行业标准、技术规范。</w:t>
      </w:r>
    </w:p>
    <w:p w14:paraId="28607F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4.7.2基于本项目采购需求编制的采购文件相关技术、服务要求、供应商响应文件相关响应内容。</w:t>
      </w:r>
    </w:p>
    <w:p w14:paraId="38E2BE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4.7.3产品生产厂家出具的产品说明书、技术白皮书、医疗器械注册证或备案凭证等官方技术资料(如涉及)。</w:t>
      </w:r>
    </w:p>
    <w:p w14:paraId="54EF6F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4.7.4如验收时，采购人与供应商认为本项目验收标准中的技术指标、质量要求等内容存在相互抵触或对其理解存在异议，应按照其中更严格的要求、标准等进行验收。</w:t>
      </w:r>
    </w:p>
    <w:p w14:paraId="0975C9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4.7.5参照《财政部关于进一步加强政府采购需求和履约验收管理的指导意见》(财库(2016)205号)的要求进行验收。</w:t>
      </w:r>
    </w:p>
    <w:p w14:paraId="41CA24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4.7.6如本项目验收方式为考核验收，则考核结果须为合格。</w:t>
      </w:r>
    </w:p>
    <w:p w14:paraId="40806A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4.7.7其他验收标准：无</w:t>
      </w:r>
    </w:p>
    <w:p w14:paraId="79B205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4.8其它验收要求：无</w:t>
      </w:r>
    </w:p>
    <w:p w14:paraId="6FDCF4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4.9是否委托第三方机构验收：否。</w:t>
      </w:r>
    </w:p>
    <w:p w14:paraId="3C7961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4.10是否邀请本项目的其他供应商：否</w:t>
      </w:r>
    </w:p>
    <w:p w14:paraId="72ED7F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4.11是否邀请服务对象：否</w:t>
      </w:r>
    </w:p>
    <w:p w14:paraId="19BA73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4.12是否邀请专家：否</w:t>
      </w:r>
    </w:p>
    <w:p w14:paraId="2AED38CD">
      <w:pPr>
        <w:numPr>
          <w:ilvl w:val="0"/>
          <w:numId w:val="0"/>
        </w:num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5、考核要求</w:t>
      </w:r>
    </w:p>
    <w:p w14:paraId="5A86979B">
      <w:pPr>
        <w:numPr>
          <w:ilvl w:val="0"/>
          <w:numId w:val="0"/>
        </w:numPr>
        <w:spacing w:line="360" w:lineRule="auto"/>
        <w:jc w:val="center"/>
        <w:rPr>
          <w:rFonts w:hint="eastAsia" w:ascii="仿宋" w:hAnsi="仿宋" w:eastAsia="仿宋" w:cs="仿宋"/>
          <w:b/>
          <w:bCs/>
          <w:kern w:val="2"/>
          <w:sz w:val="24"/>
          <w:szCs w:val="24"/>
          <w:lang w:val="en-US" w:eastAsia="zh-CN" w:bidi="ar-SA"/>
        </w:rPr>
      </w:pPr>
    </w:p>
    <w:p w14:paraId="4F6EEF89">
      <w:pPr>
        <w:numPr>
          <w:ilvl w:val="0"/>
          <w:numId w:val="0"/>
        </w:numPr>
        <w:spacing w:line="360" w:lineRule="auto"/>
        <w:jc w:val="center"/>
        <w:rPr>
          <w:rFonts w:hint="eastAsia" w:ascii="仿宋" w:hAnsi="仿宋" w:eastAsia="仿宋" w:cs="仿宋"/>
          <w:b/>
          <w:bCs/>
          <w:kern w:val="2"/>
          <w:sz w:val="24"/>
          <w:szCs w:val="24"/>
          <w:lang w:val="en-US" w:eastAsia="zh-CN" w:bidi="ar-SA"/>
        </w:rPr>
      </w:pPr>
    </w:p>
    <w:p w14:paraId="5AB6A33F">
      <w:pPr>
        <w:numPr>
          <w:ilvl w:val="0"/>
          <w:numId w:val="0"/>
        </w:numPr>
        <w:spacing w:line="360" w:lineRule="auto"/>
        <w:jc w:val="center"/>
        <w:rPr>
          <w:rFonts w:hint="eastAsia" w:ascii="仿宋" w:hAnsi="仿宋" w:eastAsia="仿宋" w:cs="仿宋"/>
          <w:b/>
          <w:bCs/>
          <w:kern w:val="2"/>
          <w:sz w:val="24"/>
          <w:szCs w:val="24"/>
          <w:lang w:val="en-US" w:eastAsia="zh-CN" w:bidi="ar-SA"/>
        </w:rPr>
      </w:pPr>
    </w:p>
    <w:p w14:paraId="0EB3B652">
      <w:pPr>
        <w:numPr>
          <w:ilvl w:val="0"/>
          <w:numId w:val="0"/>
        </w:numPr>
        <w:spacing w:line="360" w:lineRule="auto"/>
        <w:jc w:val="center"/>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考核评价表</w:t>
      </w:r>
    </w:p>
    <w:tbl>
      <w:tblPr>
        <w:tblStyle w:val="18"/>
        <w:tblW w:w="9568" w:type="dxa"/>
        <w:jc w:val="center"/>
        <w:tblLayout w:type="autofit"/>
        <w:tblCellMar>
          <w:top w:w="0" w:type="dxa"/>
          <w:left w:w="108" w:type="dxa"/>
          <w:bottom w:w="0" w:type="dxa"/>
          <w:right w:w="108" w:type="dxa"/>
        </w:tblCellMar>
      </w:tblPr>
      <w:tblGrid>
        <w:gridCol w:w="1190"/>
        <w:gridCol w:w="1360"/>
        <w:gridCol w:w="5464"/>
        <w:gridCol w:w="1012"/>
        <w:gridCol w:w="542"/>
      </w:tblGrid>
      <w:tr w14:paraId="77413DA3">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16CA070F">
            <w:pPr>
              <w:snapToGrid w:val="0"/>
              <w:jc w:val="center"/>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委托企业名称</w:t>
            </w:r>
          </w:p>
        </w:tc>
        <w:tc>
          <w:tcPr>
            <w:tcW w:w="1360" w:type="dxa"/>
            <w:tcBorders>
              <w:top w:val="single" w:color="000000" w:sz="4" w:space="0"/>
              <w:left w:val="single" w:color="000000" w:sz="4" w:space="0"/>
              <w:bottom w:val="single" w:color="000000" w:sz="4" w:space="0"/>
              <w:right w:val="single" w:color="000000" w:sz="4" w:space="0"/>
            </w:tcBorders>
          </w:tcPr>
          <w:p w14:paraId="19EE6926">
            <w:pPr>
              <w:snapToGrid w:val="0"/>
              <w:rPr>
                <w:rFonts w:hint="eastAsia" w:ascii="仿宋" w:hAnsi="仿宋" w:eastAsia="仿宋" w:cs="仿宋"/>
                <w:color w:val="000000"/>
                <w:sz w:val="24"/>
                <w:szCs w:val="24"/>
                <w:highlight w:val="none"/>
              </w:rPr>
            </w:pPr>
          </w:p>
        </w:tc>
        <w:tc>
          <w:tcPr>
            <w:tcW w:w="5464" w:type="dxa"/>
            <w:tcBorders>
              <w:top w:val="single" w:color="000000" w:sz="4" w:space="0"/>
              <w:left w:val="single" w:color="000000" w:sz="4" w:space="0"/>
              <w:bottom w:val="single" w:color="000000" w:sz="4" w:space="0"/>
              <w:right w:val="single" w:color="000000" w:sz="4" w:space="0"/>
            </w:tcBorders>
            <w:vAlign w:val="center"/>
          </w:tcPr>
          <w:p w14:paraId="7112E0A0">
            <w:pPr>
              <w:snapToGrid w:val="0"/>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联系人</w:t>
            </w:r>
          </w:p>
        </w:tc>
        <w:tc>
          <w:tcPr>
            <w:tcW w:w="1554" w:type="dxa"/>
            <w:gridSpan w:val="2"/>
            <w:tcBorders>
              <w:top w:val="single" w:color="000000" w:sz="4" w:space="0"/>
              <w:left w:val="single" w:color="000000" w:sz="4" w:space="0"/>
              <w:bottom w:val="single" w:color="000000" w:sz="4" w:space="0"/>
              <w:right w:val="single" w:color="000000" w:sz="4" w:space="0"/>
            </w:tcBorders>
            <w:vAlign w:val="center"/>
          </w:tcPr>
          <w:p w14:paraId="1D186189">
            <w:pPr>
              <w:snapToGrid w:val="0"/>
              <w:rPr>
                <w:rFonts w:hint="eastAsia" w:ascii="仿宋" w:hAnsi="仿宋" w:eastAsia="仿宋" w:cs="仿宋"/>
                <w:color w:val="000000"/>
                <w:sz w:val="24"/>
                <w:szCs w:val="24"/>
                <w:highlight w:val="none"/>
              </w:rPr>
            </w:pPr>
          </w:p>
        </w:tc>
      </w:tr>
      <w:tr w14:paraId="3E5CF2AF">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2E19BF4E">
            <w:pPr>
              <w:snapToGrid w:val="0"/>
              <w:jc w:val="center"/>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受托企业名称</w:t>
            </w:r>
          </w:p>
        </w:tc>
        <w:tc>
          <w:tcPr>
            <w:tcW w:w="1360" w:type="dxa"/>
            <w:tcBorders>
              <w:top w:val="single" w:color="000000" w:sz="4" w:space="0"/>
              <w:left w:val="single" w:color="000000" w:sz="4" w:space="0"/>
              <w:bottom w:val="single" w:color="000000" w:sz="4" w:space="0"/>
              <w:right w:val="single" w:color="000000" w:sz="4" w:space="0"/>
            </w:tcBorders>
          </w:tcPr>
          <w:p w14:paraId="0FCBC445">
            <w:pPr>
              <w:snapToGrid w:val="0"/>
              <w:rPr>
                <w:rFonts w:hint="eastAsia" w:ascii="仿宋" w:hAnsi="仿宋" w:eastAsia="仿宋" w:cs="仿宋"/>
                <w:color w:val="000000"/>
                <w:sz w:val="24"/>
                <w:szCs w:val="24"/>
                <w:highlight w:val="none"/>
              </w:rPr>
            </w:pPr>
          </w:p>
        </w:tc>
        <w:tc>
          <w:tcPr>
            <w:tcW w:w="5464" w:type="dxa"/>
            <w:tcBorders>
              <w:top w:val="single" w:color="000000" w:sz="4" w:space="0"/>
              <w:left w:val="single" w:color="000000" w:sz="4" w:space="0"/>
              <w:bottom w:val="single" w:color="000000" w:sz="4" w:space="0"/>
              <w:right w:val="single" w:color="000000" w:sz="4" w:space="0"/>
            </w:tcBorders>
            <w:vAlign w:val="center"/>
          </w:tcPr>
          <w:p w14:paraId="5E1FA161">
            <w:pPr>
              <w:snapToGrid w:val="0"/>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合同有效期</w:t>
            </w:r>
          </w:p>
        </w:tc>
        <w:tc>
          <w:tcPr>
            <w:tcW w:w="1554" w:type="dxa"/>
            <w:gridSpan w:val="2"/>
            <w:tcBorders>
              <w:top w:val="single" w:color="000000" w:sz="4" w:space="0"/>
              <w:left w:val="single" w:color="000000" w:sz="4" w:space="0"/>
              <w:bottom w:val="single" w:color="000000" w:sz="4" w:space="0"/>
              <w:right w:val="single" w:color="000000" w:sz="4" w:space="0"/>
            </w:tcBorders>
            <w:vAlign w:val="center"/>
          </w:tcPr>
          <w:p w14:paraId="5113D3E4">
            <w:pPr>
              <w:snapToGrid w:val="0"/>
              <w:rPr>
                <w:rFonts w:hint="eastAsia" w:ascii="仿宋" w:hAnsi="仿宋" w:eastAsia="仿宋" w:cs="仿宋"/>
                <w:color w:val="000000"/>
                <w:sz w:val="24"/>
                <w:szCs w:val="24"/>
                <w:highlight w:val="none"/>
              </w:rPr>
            </w:pPr>
          </w:p>
        </w:tc>
      </w:tr>
      <w:tr w14:paraId="4EDE328D">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2F073AB2">
            <w:pPr>
              <w:snapToGrid w:val="0"/>
              <w:jc w:val="center"/>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考核</w:t>
            </w:r>
            <w:r>
              <w:rPr>
                <w:rStyle w:val="48"/>
                <w:rFonts w:hint="eastAsia" w:ascii="仿宋" w:hAnsi="仿宋" w:eastAsia="仿宋" w:cs="仿宋"/>
                <w:sz w:val="24"/>
                <w:szCs w:val="24"/>
                <w:highlight w:val="none"/>
                <w:lang w:eastAsia="zh-CN" w:bidi="ar"/>
              </w:rPr>
              <w:br w:type="textWrapping"/>
            </w:r>
            <w:r>
              <w:rPr>
                <w:rStyle w:val="48"/>
                <w:rFonts w:hint="eastAsia" w:ascii="仿宋" w:hAnsi="仿宋" w:eastAsia="仿宋" w:cs="仿宋"/>
                <w:sz w:val="24"/>
                <w:szCs w:val="24"/>
                <w:highlight w:val="none"/>
                <w:lang w:eastAsia="zh-CN" w:bidi="ar"/>
              </w:rPr>
              <w:t>项目</w:t>
            </w:r>
          </w:p>
        </w:tc>
        <w:tc>
          <w:tcPr>
            <w:tcW w:w="1360" w:type="dxa"/>
            <w:tcBorders>
              <w:top w:val="single" w:color="000000" w:sz="4" w:space="0"/>
              <w:left w:val="single" w:color="000000" w:sz="4" w:space="0"/>
              <w:bottom w:val="single" w:color="000000" w:sz="4" w:space="0"/>
              <w:right w:val="single" w:color="000000" w:sz="4" w:space="0"/>
            </w:tcBorders>
            <w:vAlign w:val="center"/>
          </w:tcPr>
          <w:p w14:paraId="7795B0E5">
            <w:pPr>
              <w:snapToGrid w:val="0"/>
              <w:jc w:val="both"/>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考核内容</w:t>
            </w:r>
          </w:p>
        </w:tc>
        <w:tc>
          <w:tcPr>
            <w:tcW w:w="5464" w:type="dxa"/>
            <w:tcBorders>
              <w:top w:val="single" w:color="000000" w:sz="4" w:space="0"/>
              <w:left w:val="single" w:color="000000" w:sz="4" w:space="0"/>
              <w:bottom w:val="single" w:color="000000" w:sz="4" w:space="0"/>
              <w:right w:val="single" w:color="000000" w:sz="4" w:space="0"/>
            </w:tcBorders>
            <w:vAlign w:val="center"/>
          </w:tcPr>
          <w:p w14:paraId="45E20E61">
            <w:pPr>
              <w:snapToGrid w:val="0"/>
              <w:jc w:val="center"/>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考核方法</w:t>
            </w:r>
          </w:p>
        </w:tc>
        <w:tc>
          <w:tcPr>
            <w:tcW w:w="1012" w:type="dxa"/>
            <w:tcBorders>
              <w:top w:val="single" w:color="000000" w:sz="4" w:space="0"/>
              <w:left w:val="single" w:color="000000" w:sz="4" w:space="0"/>
              <w:bottom w:val="single" w:color="000000" w:sz="4" w:space="0"/>
              <w:right w:val="single" w:color="000000" w:sz="4" w:space="0"/>
            </w:tcBorders>
            <w:vAlign w:val="center"/>
          </w:tcPr>
          <w:p w14:paraId="02DB79DB">
            <w:pPr>
              <w:snapToGrid w:val="0"/>
              <w:jc w:val="center"/>
              <w:textAlignment w:val="center"/>
              <w:rPr>
                <w:rStyle w:val="48"/>
                <w:rFonts w:hint="eastAsia" w:ascii="仿宋" w:hAnsi="仿宋" w:eastAsia="仿宋" w:cs="仿宋"/>
                <w:sz w:val="24"/>
                <w:szCs w:val="24"/>
                <w:highlight w:val="none"/>
                <w:lang w:eastAsia="zh-CN" w:bidi="ar"/>
              </w:rPr>
            </w:pPr>
            <w:r>
              <w:rPr>
                <w:rStyle w:val="48"/>
                <w:rFonts w:hint="eastAsia" w:ascii="仿宋" w:hAnsi="仿宋" w:eastAsia="仿宋" w:cs="仿宋"/>
                <w:sz w:val="24"/>
                <w:szCs w:val="24"/>
                <w:highlight w:val="none"/>
                <w:lang w:eastAsia="zh-CN" w:bidi="ar"/>
              </w:rPr>
              <w:t>医院</w:t>
            </w:r>
          </w:p>
          <w:p w14:paraId="05344D01">
            <w:pPr>
              <w:snapToGrid w:val="0"/>
              <w:jc w:val="center"/>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val="en-US" w:eastAsia="zh-CN" w:bidi="ar"/>
              </w:rPr>
              <w:t>考</w:t>
            </w:r>
            <w:r>
              <w:rPr>
                <w:rStyle w:val="48"/>
                <w:rFonts w:hint="eastAsia" w:ascii="仿宋" w:hAnsi="仿宋" w:eastAsia="仿宋" w:cs="仿宋"/>
                <w:sz w:val="24"/>
                <w:szCs w:val="24"/>
                <w:highlight w:val="none"/>
                <w:lang w:eastAsia="zh-CN" w:bidi="ar"/>
              </w:rPr>
              <w:t>评</w:t>
            </w:r>
          </w:p>
        </w:tc>
        <w:tc>
          <w:tcPr>
            <w:tcW w:w="542" w:type="dxa"/>
            <w:tcBorders>
              <w:top w:val="single" w:color="000000" w:sz="4" w:space="0"/>
              <w:left w:val="single" w:color="000000" w:sz="4" w:space="0"/>
              <w:bottom w:val="single" w:color="000000" w:sz="4" w:space="0"/>
              <w:right w:val="single" w:color="000000" w:sz="4" w:space="0"/>
            </w:tcBorders>
            <w:textDirection w:val="tbRlV"/>
            <w:vAlign w:val="center"/>
          </w:tcPr>
          <w:p w14:paraId="18780170">
            <w:pPr>
              <w:snapToGrid w:val="0"/>
              <w:jc w:val="center"/>
              <w:textAlignment w:val="center"/>
              <w:rPr>
                <w:rFonts w:hint="eastAsia" w:ascii="仿宋" w:hAnsi="仿宋" w:eastAsia="仿宋" w:cs="仿宋"/>
                <w:b/>
                <w:bCs/>
                <w:color w:val="000000"/>
                <w:sz w:val="24"/>
                <w:szCs w:val="24"/>
                <w:highlight w:val="none"/>
              </w:rPr>
            </w:pPr>
            <w:r>
              <w:rPr>
                <w:rStyle w:val="48"/>
                <w:rFonts w:hint="eastAsia" w:ascii="仿宋" w:hAnsi="仿宋" w:eastAsia="仿宋" w:cs="仿宋"/>
                <w:sz w:val="24"/>
                <w:szCs w:val="24"/>
                <w:highlight w:val="none"/>
                <w:lang w:eastAsia="zh-CN" w:bidi="ar"/>
              </w:rPr>
              <w:t>得</w:t>
            </w:r>
            <w:r>
              <w:rPr>
                <w:rStyle w:val="52"/>
                <w:rFonts w:hint="eastAsia" w:ascii="仿宋" w:hAnsi="仿宋" w:eastAsia="仿宋" w:cs="仿宋"/>
                <w:sz w:val="24"/>
                <w:szCs w:val="24"/>
                <w:highlight w:val="none"/>
                <w:lang w:eastAsia="zh-CN" w:bidi="ar"/>
              </w:rPr>
              <w:t xml:space="preserve"> </w:t>
            </w:r>
            <w:r>
              <w:rPr>
                <w:rStyle w:val="48"/>
                <w:rFonts w:hint="eastAsia" w:ascii="仿宋" w:hAnsi="仿宋" w:eastAsia="仿宋" w:cs="仿宋"/>
                <w:sz w:val="24"/>
                <w:szCs w:val="24"/>
                <w:highlight w:val="none"/>
                <w:lang w:eastAsia="zh-CN" w:bidi="ar"/>
              </w:rPr>
              <w:t>分</w:t>
            </w:r>
          </w:p>
        </w:tc>
      </w:tr>
      <w:tr w14:paraId="49BFEB89">
        <w:tblPrEx>
          <w:tblCellMar>
            <w:top w:w="0" w:type="dxa"/>
            <w:left w:w="108" w:type="dxa"/>
            <w:bottom w:w="0" w:type="dxa"/>
            <w:right w:w="108" w:type="dxa"/>
          </w:tblCellMar>
        </w:tblPrEx>
        <w:trPr>
          <w:jc w:val="center"/>
        </w:trPr>
        <w:tc>
          <w:tcPr>
            <w:tcW w:w="1190" w:type="dxa"/>
            <w:vMerge w:val="restart"/>
            <w:tcBorders>
              <w:top w:val="single" w:color="000000" w:sz="4" w:space="0"/>
              <w:left w:val="single" w:color="000000" w:sz="4" w:space="0"/>
              <w:bottom w:val="single" w:color="000000" w:sz="4" w:space="0"/>
              <w:right w:val="single" w:color="000000" w:sz="4" w:space="0"/>
            </w:tcBorders>
            <w:vAlign w:val="center"/>
          </w:tcPr>
          <w:p w14:paraId="3BFDA42B">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 xml:space="preserve">产品生产 </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( 35分 )</w:t>
            </w:r>
          </w:p>
        </w:tc>
        <w:tc>
          <w:tcPr>
            <w:tcW w:w="1360" w:type="dxa"/>
            <w:vMerge w:val="restart"/>
            <w:tcBorders>
              <w:top w:val="single" w:color="000000" w:sz="4" w:space="0"/>
              <w:left w:val="single" w:color="000000" w:sz="4" w:space="0"/>
              <w:bottom w:val="single" w:color="000000" w:sz="4" w:space="0"/>
              <w:right w:val="single" w:color="000000" w:sz="4" w:space="0"/>
            </w:tcBorders>
            <w:vAlign w:val="center"/>
          </w:tcPr>
          <w:p w14:paraId="64C6D204">
            <w:pPr>
              <w:snapToGrid w:val="0"/>
              <w:jc w:val="center"/>
              <w:textAlignment w:val="center"/>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产品产量</w:t>
            </w:r>
          </w:p>
          <w:p w14:paraId="07C00CDF">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（20</w:t>
            </w:r>
            <w:r>
              <w:rPr>
                <w:rStyle w:val="52"/>
                <w:rFonts w:hint="eastAsia" w:ascii="仿宋" w:hAnsi="仿宋" w:eastAsia="仿宋" w:cs="仿宋"/>
                <w:sz w:val="24"/>
                <w:szCs w:val="24"/>
                <w:highlight w:val="none"/>
                <w:lang w:eastAsia="zh-CN" w:bidi="ar"/>
              </w:rPr>
              <w:t>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5DA2A31D">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对所到原辅料进行初验，凡是有包装破损的及时要求退换货，对所有有印刷文字的包材进行检验，有异常及时告知</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，未及时告知</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扣2分。</w:t>
            </w:r>
          </w:p>
        </w:tc>
        <w:tc>
          <w:tcPr>
            <w:tcW w:w="1012" w:type="dxa"/>
            <w:tcBorders>
              <w:top w:val="single" w:color="000000" w:sz="4" w:space="0"/>
              <w:left w:val="single" w:color="000000" w:sz="4" w:space="0"/>
              <w:bottom w:val="single" w:color="000000" w:sz="4" w:space="0"/>
              <w:right w:val="single" w:color="000000" w:sz="4" w:space="0"/>
            </w:tcBorders>
          </w:tcPr>
          <w:p w14:paraId="0C978458">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05A88EDD">
            <w:pPr>
              <w:snapToGrid w:val="0"/>
              <w:rPr>
                <w:rFonts w:hint="eastAsia" w:ascii="仿宋" w:hAnsi="仿宋" w:eastAsia="仿宋" w:cs="仿宋"/>
                <w:color w:val="000000"/>
                <w:sz w:val="24"/>
                <w:szCs w:val="24"/>
                <w:highlight w:val="none"/>
                <w:lang w:eastAsia="zh-CN"/>
              </w:rPr>
            </w:pPr>
          </w:p>
        </w:tc>
      </w:tr>
      <w:tr w14:paraId="13D0AAAB">
        <w:tblPrEx>
          <w:tblCellMar>
            <w:top w:w="0" w:type="dxa"/>
            <w:left w:w="108" w:type="dxa"/>
            <w:bottom w:w="0" w:type="dxa"/>
            <w:right w:w="108" w:type="dxa"/>
          </w:tblCellMar>
        </w:tblPrEx>
        <w:trPr>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21DEC09">
            <w:pPr>
              <w:snapToGrid w:val="0"/>
              <w:jc w:val="center"/>
              <w:rPr>
                <w:rFonts w:hint="eastAsia" w:ascii="仿宋" w:hAnsi="仿宋" w:eastAsia="仿宋" w:cs="仿宋"/>
                <w:color w:val="000000"/>
                <w:sz w:val="24"/>
                <w:szCs w:val="24"/>
                <w:highlight w:val="none"/>
                <w:lang w:eastAsia="zh-CN"/>
              </w:rPr>
            </w:pPr>
          </w:p>
        </w:tc>
        <w:tc>
          <w:tcPr>
            <w:tcW w:w="1360" w:type="dxa"/>
            <w:vMerge w:val="continue"/>
            <w:tcBorders>
              <w:top w:val="single" w:color="000000" w:sz="4" w:space="0"/>
              <w:left w:val="single" w:color="000000" w:sz="4" w:space="0"/>
              <w:bottom w:val="single" w:color="000000" w:sz="4" w:space="0"/>
              <w:right w:val="single" w:color="000000" w:sz="4" w:space="0"/>
            </w:tcBorders>
            <w:vAlign w:val="center"/>
          </w:tcPr>
          <w:p w14:paraId="72A7F010">
            <w:pPr>
              <w:snapToGrid w:val="0"/>
              <w:jc w:val="center"/>
              <w:rPr>
                <w:rFonts w:hint="eastAsia" w:ascii="仿宋" w:hAnsi="仿宋" w:eastAsia="仿宋" w:cs="仿宋"/>
                <w:color w:val="000000"/>
                <w:sz w:val="24"/>
                <w:szCs w:val="24"/>
                <w:highlight w:val="none"/>
                <w:lang w:eastAsia="zh-CN"/>
              </w:rPr>
            </w:pPr>
          </w:p>
        </w:tc>
        <w:tc>
          <w:tcPr>
            <w:tcW w:w="5464" w:type="dxa"/>
            <w:tcBorders>
              <w:top w:val="single" w:color="000000" w:sz="4" w:space="0"/>
              <w:left w:val="single" w:color="000000" w:sz="4" w:space="0"/>
              <w:bottom w:val="single" w:color="000000" w:sz="4" w:space="0"/>
              <w:right w:val="single" w:color="000000" w:sz="4" w:space="0"/>
            </w:tcBorders>
            <w:vAlign w:val="center"/>
          </w:tcPr>
          <w:p w14:paraId="7BFF525D">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在物料到货的情况下，根据</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具体品种需求数量组织生产，未按要求组织生产每次扣2分。</w:t>
            </w:r>
          </w:p>
        </w:tc>
        <w:tc>
          <w:tcPr>
            <w:tcW w:w="1012" w:type="dxa"/>
            <w:tcBorders>
              <w:top w:val="single" w:color="000000" w:sz="4" w:space="0"/>
              <w:left w:val="single" w:color="000000" w:sz="4" w:space="0"/>
              <w:bottom w:val="single" w:color="000000" w:sz="4" w:space="0"/>
              <w:right w:val="single" w:color="000000" w:sz="4" w:space="0"/>
            </w:tcBorders>
          </w:tcPr>
          <w:p w14:paraId="4EB603A6">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33E5202C">
            <w:pPr>
              <w:snapToGrid w:val="0"/>
              <w:rPr>
                <w:rFonts w:hint="eastAsia" w:ascii="仿宋" w:hAnsi="仿宋" w:eastAsia="仿宋" w:cs="仿宋"/>
                <w:color w:val="000000"/>
                <w:sz w:val="24"/>
                <w:szCs w:val="24"/>
                <w:highlight w:val="none"/>
                <w:lang w:eastAsia="zh-CN"/>
              </w:rPr>
            </w:pPr>
          </w:p>
        </w:tc>
      </w:tr>
      <w:tr w14:paraId="22B6612D">
        <w:tblPrEx>
          <w:tblCellMar>
            <w:top w:w="0" w:type="dxa"/>
            <w:left w:w="108" w:type="dxa"/>
            <w:bottom w:w="0" w:type="dxa"/>
            <w:right w:w="108" w:type="dxa"/>
          </w:tblCellMar>
        </w:tblPrEx>
        <w:trPr>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3EB70D7">
            <w:pPr>
              <w:snapToGrid w:val="0"/>
              <w:jc w:val="center"/>
              <w:rPr>
                <w:rFonts w:hint="eastAsia" w:ascii="仿宋" w:hAnsi="仿宋" w:eastAsia="仿宋" w:cs="仿宋"/>
                <w:color w:val="000000"/>
                <w:sz w:val="24"/>
                <w:szCs w:val="24"/>
                <w:highlight w:val="none"/>
                <w:lang w:eastAsia="zh-CN"/>
              </w:rPr>
            </w:pPr>
          </w:p>
        </w:tc>
        <w:tc>
          <w:tcPr>
            <w:tcW w:w="1360" w:type="dxa"/>
            <w:vMerge w:val="continue"/>
            <w:tcBorders>
              <w:top w:val="single" w:color="000000" w:sz="4" w:space="0"/>
              <w:left w:val="single" w:color="000000" w:sz="4" w:space="0"/>
              <w:bottom w:val="single" w:color="000000" w:sz="4" w:space="0"/>
              <w:right w:val="single" w:color="000000" w:sz="4" w:space="0"/>
            </w:tcBorders>
            <w:vAlign w:val="center"/>
          </w:tcPr>
          <w:p w14:paraId="51D2F501">
            <w:pPr>
              <w:snapToGrid w:val="0"/>
              <w:jc w:val="center"/>
              <w:rPr>
                <w:rFonts w:hint="eastAsia" w:ascii="仿宋" w:hAnsi="仿宋" w:eastAsia="仿宋" w:cs="仿宋"/>
                <w:color w:val="000000"/>
                <w:sz w:val="24"/>
                <w:szCs w:val="24"/>
                <w:highlight w:val="none"/>
                <w:lang w:eastAsia="zh-CN"/>
              </w:rPr>
            </w:pPr>
          </w:p>
        </w:tc>
        <w:tc>
          <w:tcPr>
            <w:tcW w:w="5464" w:type="dxa"/>
            <w:tcBorders>
              <w:top w:val="single" w:color="000000" w:sz="4" w:space="0"/>
              <w:left w:val="single" w:color="000000" w:sz="4" w:space="0"/>
              <w:bottom w:val="single" w:color="000000" w:sz="4" w:space="0"/>
              <w:right w:val="single" w:color="000000" w:sz="4" w:space="0"/>
            </w:tcBorders>
            <w:vAlign w:val="center"/>
          </w:tcPr>
          <w:p w14:paraId="236B034A">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对每批待包装产品进行质量检测，确保按照具体品种质量标准出厂检测合格，未及时出具报告的每批扣2分。</w:t>
            </w:r>
          </w:p>
        </w:tc>
        <w:tc>
          <w:tcPr>
            <w:tcW w:w="1012" w:type="dxa"/>
            <w:tcBorders>
              <w:top w:val="single" w:color="000000" w:sz="4" w:space="0"/>
              <w:left w:val="single" w:color="000000" w:sz="4" w:space="0"/>
              <w:bottom w:val="single" w:color="000000" w:sz="4" w:space="0"/>
              <w:right w:val="single" w:color="000000" w:sz="4" w:space="0"/>
            </w:tcBorders>
          </w:tcPr>
          <w:p w14:paraId="24684029">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6ACA5768">
            <w:pPr>
              <w:snapToGrid w:val="0"/>
              <w:rPr>
                <w:rFonts w:hint="eastAsia" w:ascii="仿宋" w:hAnsi="仿宋" w:eastAsia="仿宋" w:cs="仿宋"/>
                <w:color w:val="000000"/>
                <w:sz w:val="24"/>
                <w:szCs w:val="24"/>
                <w:highlight w:val="none"/>
                <w:lang w:eastAsia="zh-CN"/>
              </w:rPr>
            </w:pPr>
          </w:p>
        </w:tc>
      </w:tr>
      <w:tr w14:paraId="279953AE">
        <w:tblPrEx>
          <w:tblCellMar>
            <w:top w:w="0" w:type="dxa"/>
            <w:left w:w="108" w:type="dxa"/>
            <w:bottom w:w="0" w:type="dxa"/>
            <w:right w:w="108" w:type="dxa"/>
          </w:tblCellMar>
        </w:tblPrEx>
        <w:trPr>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947DE45">
            <w:pPr>
              <w:snapToGrid w:val="0"/>
              <w:jc w:val="center"/>
              <w:rPr>
                <w:rFonts w:hint="eastAsia" w:ascii="仿宋" w:hAnsi="仿宋" w:eastAsia="仿宋" w:cs="仿宋"/>
                <w:color w:val="000000"/>
                <w:sz w:val="24"/>
                <w:szCs w:val="24"/>
                <w:highlight w:val="none"/>
                <w:lang w:eastAsia="zh-CN"/>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124B15FB">
            <w:pPr>
              <w:snapToGrid w:val="0"/>
              <w:jc w:val="center"/>
              <w:textAlignment w:val="center"/>
              <w:rPr>
                <w:rFonts w:hint="eastAsia" w:ascii="仿宋" w:hAnsi="仿宋" w:eastAsia="仿宋" w:cs="仿宋"/>
                <w:color w:val="000000"/>
                <w:sz w:val="24"/>
                <w:szCs w:val="24"/>
                <w:highlight w:val="none"/>
              </w:rPr>
            </w:pPr>
            <w:r>
              <w:rPr>
                <w:rStyle w:val="52"/>
                <w:rFonts w:hint="eastAsia" w:ascii="仿宋" w:hAnsi="仿宋" w:eastAsia="仿宋" w:cs="仿宋"/>
                <w:sz w:val="24"/>
                <w:szCs w:val="24"/>
                <w:highlight w:val="none"/>
                <w:lang w:eastAsia="zh-CN" w:bidi="ar"/>
              </w:rPr>
              <w:t>产品交货期</w:t>
            </w:r>
            <w:r>
              <w:rPr>
                <w:rStyle w:val="50"/>
                <w:rFonts w:hint="eastAsia" w:ascii="仿宋" w:hAnsi="仿宋" w:eastAsia="仿宋" w:cs="仿宋"/>
                <w:sz w:val="24"/>
                <w:szCs w:val="24"/>
                <w:highlight w:val="none"/>
                <w:lang w:eastAsia="zh-CN" w:bidi="ar"/>
              </w:rPr>
              <w:br w:type="textWrapping"/>
            </w:r>
            <w:r>
              <w:rPr>
                <w:rStyle w:val="52"/>
                <w:rFonts w:hint="eastAsia" w:ascii="仿宋" w:hAnsi="仿宋" w:eastAsia="仿宋" w:cs="仿宋"/>
                <w:sz w:val="24"/>
                <w:szCs w:val="24"/>
                <w:highlight w:val="none"/>
                <w:lang w:eastAsia="zh-CN" w:bidi="ar"/>
              </w:rPr>
              <w:t xml:space="preserve"> (15分)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27A3D08D">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在物料到货的情况下，根据</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具体产品产品和需求数量投料，按</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的要求发货，无法保证按期交付则扣5分。</w:t>
            </w:r>
          </w:p>
        </w:tc>
        <w:tc>
          <w:tcPr>
            <w:tcW w:w="1012" w:type="dxa"/>
            <w:tcBorders>
              <w:top w:val="single" w:color="000000" w:sz="4" w:space="0"/>
              <w:left w:val="single" w:color="000000" w:sz="4" w:space="0"/>
              <w:bottom w:val="single" w:color="000000" w:sz="4" w:space="0"/>
              <w:right w:val="single" w:color="000000" w:sz="4" w:space="0"/>
            </w:tcBorders>
          </w:tcPr>
          <w:p w14:paraId="023FC010">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19A18FB3">
            <w:pPr>
              <w:snapToGrid w:val="0"/>
              <w:rPr>
                <w:rFonts w:hint="eastAsia" w:ascii="仿宋" w:hAnsi="仿宋" w:eastAsia="仿宋" w:cs="仿宋"/>
                <w:color w:val="000000"/>
                <w:sz w:val="24"/>
                <w:szCs w:val="24"/>
                <w:highlight w:val="none"/>
                <w:lang w:eastAsia="zh-CN"/>
              </w:rPr>
            </w:pPr>
          </w:p>
        </w:tc>
      </w:tr>
      <w:tr w14:paraId="4CAF1521">
        <w:tblPrEx>
          <w:tblCellMar>
            <w:top w:w="0" w:type="dxa"/>
            <w:left w:w="108" w:type="dxa"/>
            <w:bottom w:w="0" w:type="dxa"/>
            <w:right w:w="108" w:type="dxa"/>
          </w:tblCellMar>
        </w:tblPrEx>
        <w:trPr>
          <w:jc w:val="center"/>
        </w:trPr>
        <w:tc>
          <w:tcPr>
            <w:tcW w:w="1190" w:type="dxa"/>
            <w:vMerge w:val="restart"/>
            <w:tcBorders>
              <w:top w:val="single" w:color="000000" w:sz="4" w:space="0"/>
              <w:left w:val="single" w:color="000000" w:sz="4" w:space="0"/>
              <w:bottom w:val="single" w:color="000000" w:sz="4" w:space="0"/>
              <w:right w:val="single" w:color="000000" w:sz="4" w:space="0"/>
            </w:tcBorders>
            <w:vAlign w:val="center"/>
          </w:tcPr>
          <w:p w14:paraId="3FC6020E">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服务质量</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(30分)</w:t>
            </w:r>
          </w:p>
        </w:tc>
        <w:tc>
          <w:tcPr>
            <w:tcW w:w="1360" w:type="dxa"/>
            <w:tcBorders>
              <w:top w:val="single" w:color="000000" w:sz="4" w:space="0"/>
              <w:left w:val="single" w:color="000000" w:sz="4" w:space="0"/>
              <w:bottom w:val="single" w:color="000000" w:sz="4" w:space="0"/>
              <w:right w:val="single" w:color="000000" w:sz="4" w:space="0"/>
            </w:tcBorders>
          </w:tcPr>
          <w:p w14:paraId="0ED19147">
            <w:pPr>
              <w:snapToGrid w:val="0"/>
              <w:jc w:val="center"/>
              <w:textAlignment w:val="top"/>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取样送样</w:t>
            </w:r>
            <w:r>
              <w:rPr>
                <w:rStyle w:val="50"/>
                <w:rFonts w:hint="eastAsia" w:ascii="仿宋" w:hAnsi="仿宋" w:eastAsia="仿宋" w:cs="仿宋"/>
                <w:sz w:val="24"/>
                <w:szCs w:val="24"/>
                <w:highlight w:val="none"/>
                <w:lang w:eastAsia="zh-CN" w:bidi="ar"/>
              </w:rPr>
              <w:br w:type="textWrapping"/>
            </w:r>
            <w:r>
              <w:rPr>
                <w:rStyle w:val="52"/>
                <w:rFonts w:hint="eastAsia" w:ascii="仿宋" w:hAnsi="仿宋" w:eastAsia="仿宋" w:cs="仿宋"/>
                <w:sz w:val="24"/>
                <w:szCs w:val="24"/>
                <w:highlight w:val="none"/>
                <w:lang w:eastAsia="zh-CN" w:bidi="ar"/>
              </w:rPr>
              <w:t>(5分)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17E18D31">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每次生产出成品后，及时按</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要求送样到医院检测，消极推诿不处理的，每发生一次，扣2.5分，扣完为止。</w:t>
            </w:r>
          </w:p>
        </w:tc>
        <w:tc>
          <w:tcPr>
            <w:tcW w:w="1012" w:type="dxa"/>
            <w:tcBorders>
              <w:top w:val="single" w:color="000000" w:sz="4" w:space="0"/>
              <w:left w:val="single" w:color="000000" w:sz="4" w:space="0"/>
              <w:bottom w:val="single" w:color="000000" w:sz="4" w:space="0"/>
              <w:right w:val="single" w:color="000000" w:sz="4" w:space="0"/>
            </w:tcBorders>
          </w:tcPr>
          <w:p w14:paraId="5466EC52">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08911C42">
            <w:pPr>
              <w:snapToGrid w:val="0"/>
              <w:rPr>
                <w:rFonts w:hint="eastAsia" w:ascii="仿宋" w:hAnsi="仿宋" w:eastAsia="仿宋" w:cs="仿宋"/>
                <w:color w:val="000000"/>
                <w:sz w:val="24"/>
                <w:szCs w:val="24"/>
                <w:highlight w:val="none"/>
                <w:lang w:eastAsia="zh-CN"/>
              </w:rPr>
            </w:pPr>
          </w:p>
        </w:tc>
      </w:tr>
      <w:tr w14:paraId="3B5F356F">
        <w:tblPrEx>
          <w:tblCellMar>
            <w:top w:w="0" w:type="dxa"/>
            <w:left w:w="108" w:type="dxa"/>
            <w:bottom w:w="0" w:type="dxa"/>
            <w:right w:w="108" w:type="dxa"/>
          </w:tblCellMar>
        </w:tblPrEx>
        <w:trPr>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A12A1BE">
            <w:pPr>
              <w:snapToGrid w:val="0"/>
              <w:jc w:val="center"/>
              <w:rPr>
                <w:rFonts w:hint="eastAsia" w:ascii="仿宋" w:hAnsi="仿宋" w:eastAsia="仿宋" w:cs="仿宋"/>
                <w:color w:val="000000"/>
                <w:sz w:val="24"/>
                <w:szCs w:val="24"/>
                <w:highlight w:val="none"/>
                <w:lang w:eastAsia="zh-CN"/>
              </w:rPr>
            </w:pPr>
          </w:p>
        </w:tc>
        <w:tc>
          <w:tcPr>
            <w:tcW w:w="1360" w:type="dxa"/>
            <w:tcBorders>
              <w:top w:val="single" w:color="000000" w:sz="4" w:space="0"/>
              <w:left w:val="single" w:color="000000" w:sz="4" w:space="0"/>
              <w:bottom w:val="single" w:color="000000" w:sz="4" w:space="0"/>
              <w:right w:val="single" w:color="000000" w:sz="4" w:space="0"/>
            </w:tcBorders>
          </w:tcPr>
          <w:p w14:paraId="067B934A">
            <w:pPr>
              <w:snapToGrid w:val="0"/>
              <w:jc w:val="center"/>
              <w:textAlignment w:val="top"/>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记 录 送 达</w:t>
            </w:r>
            <w:r>
              <w:rPr>
                <w:rStyle w:val="51"/>
                <w:rFonts w:hint="eastAsia" w:ascii="仿宋" w:hAnsi="仿宋" w:eastAsia="仿宋" w:cs="仿宋"/>
                <w:sz w:val="24"/>
                <w:szCs w:val="24"/>
                <w:highlight w:val="none"/>
                <w:lang w:eastAsia="zh-CN" w:bidi="ar"/>
              </w:rPr>
              <w:br w:type="textWrapping"/>
            </w:r>
            <w:r>
              <w:rPr>
                <w:rStyle w:val="52"/>
                <w:rFonts w:hint="eastAsia" w:ascii="仿宋" w:hAnsi="仿宋" w:eastAsia="仿宋" w:cs="仿宋"/>
                <w:sz w:val="24"/>
                <w:szCs w:val="24"/>
                <w:highlight w:val="none"/>
                <w:lang w:eastAsia="zh-CN" w:bidi="ar"/>
              </w:rPr>
              <w:t>(10分)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2E871A64">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每批产品生产过程的真实记录，在当批成品发出后及时</w:t>
            </w:r>
            <w:r>
              <w:rPr>
                <w:rFonts w:hint="eastAsia" w:ascii="仿宋" w:hAnsi="仿宋" w:eastAsia="仿宋" w:cs="仿宋"/>
                <w:color w:val="000000"/>
                <w:sz w:val="24"/>
                <w:szCs w:val="24"/>
                <w:highlight w:val="none"/>
                <w:lang w:val="en-US" w:eastAsia="zh-CN" w:bidi="ar"/>
              </w:rPr>
              <w:t>提供</w:t>
            </w:r>
            <w:r>
              <w:rPr>
                <w:rFonts w:hint="eastAsia" w:ascii="仿宋" w:hAnsi="仿宋" w:eastAsia="仿宋" w:cs="仿宋"/>
                <w:color w:val="000000"/>
                <w:sz w:val="24"/>
                <w:szCs w:val="24"/>
                <w:highlight w:val="none"/>
                <w:lang w:eastAsia="zh-CN" w:bidi="ar"/>
              </w:rPr>
              <w:t>扫描版记录，不及时每次扣2分，扣完为止。</w:t>
            </w:r>
          </w:p>
        </w:tc>
        <w:tc>
          <w:tcPr>
            <w:tcW w:w="1012" w:type="dxa"/>
            <w:tcBorders>
              <w:top w:val="single" w:color="000000" w:sz="4" w:space="0"/>
              <w:left w:val="single" w:color="000000" w:sz="4" w:space="0"/>
              <w:bottom w:val="single" w:color="000000" w:sz="4" w:space="0"/>
              <w:right w:val="single" w:color="000000" w:sz="4" w:space="0"/>
            </w:tcBorders>
          </w:tcPr>
          <w:p w14:paraId="2A97C4F3">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432D483E">
            <w:pPr>
              <w:snapToGrid w:val="0"/>
              <w:rPr>
                <w:rFonts w:hint="eastAsia" w:ascii="仿宋" w:hAnsi="仿宋" w:eastAsia="仿宋" w:cs="仿宋"/>
                <w:color w:val="000000"/>
                <w:sz w:val="24"/>
                <w:szCs w:val="24"/>
                <w:highlight w:val="none"/>
                <w:lang w:eastAsia="zh-CN"/>
              </w:rPr>
            </w:pPr>
          </w:p>
        </w:tc>
      </w:tr>
      <w:tr w14:paraId="13A3D417">
        <w:tblPrEx>
          <w:tblCellMar>
            <w:top w:w="0" w:type="dxa"/>
            <w:left w:w="108" w:type="dxa"/>
            <w:bottom w:w="0" w:type="dxa"/>
            <w:right w:w="108" w:type="dxa"/>
          </w:tblCellMar>
        </w:tblPrEx>
        <w:trPr>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A591F98">
            <w:pPr>
              <w:snapToGrid w:val="0"/>
              <w:jc w:val="center"/>
              <w:rPr>
                <w:rFonts w:hint="eastAsia" w:ascii="仿宋" w:hAnsi="仿宋" w:eastAsia="仿宋" w:cs="仿宋"/>
                <w:color w:val="000000"/>
                <w:sz w:val="24"/>
                <w:szCs w:val="24"/>
                <w:highlight w:val="none"/>
                <w:lang w:eastAsia="zh-CN"/>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068842C5">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盘点物料和产品</w:t>
            </w:r>
            <w:r>
              <w:rPr>
                <w:rStyle w:val="51"/>
                <w:rFonts w:hint="eastAsia" w:ascii="仿宋" w:hAnsi="仿宋" w:eastAsia="仿宋" w:cs="仿宋"/>
                <w:sz w:val="24"/>
                <w:szCs w:val="24"/>
                <w:highlight w:val="none"/>
                <w:lang w:eastAsia="zh-CN" w:bidi="ar"/>
              </w:rPr>
              <w:br w:type="textWrapping"/>
            </w:r>
            <w:r>
              <w:rPr>
                <w:rStyle w:val="52"/>
                <w:rFonts w:hint="eastAsia" w:ascii="仿宋" w:hAnsi="仿宋" w:eastAsia="仿宋" w:cs="仿宋"/>
                <w:sz w:val="24"/>
                <w:szCs w:val="24"/>
                <w:highlight w:val="none"/>
                <w:lang w:eastAsia="zh-CN" w:bidi="ar"/>
              </w:rPr>
              <w:t xml:space="preserve"> (10分)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2C91BF52">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每月盘点物料和产品，盘点及时发送给医院相关负责人，没有开展月盘点每次扣5分；盘点表发生错误一次扣2分。</w:t>
            </w:r>
          </w:p>
        </w:tc>
        <w:tc>
          <w:tcPr>
            <w:tcW w:w="1012" w:type="dxa"/>
            <w:tcBorders>
              <w:top w:val="single" w:color="000000" w:sz="4" w:space="0"/>
              <w:left w:val="single" w:color="000000" w:sz="4" w:space="0"/>
              <w:bottom w:val="single" w:color="000000" w:sz="4" w:space="0"/>
              <w:right w:val="single" w:color="000000" w:sz="4" w:space="0"/>
            </w:tcBorders>
          </w:tcPr>
          <w:p w14:paraId="44901AC2">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471C211A">
            <w:pPr>
              <w:snapToGrid w:val="0"/>
              <w:rPr>
                <w:rFonts w:hint="eastAsia" w:ascii="仿宋" w:hAnsi="仿宋" w:eastAsia="仿宋" w:cs="仿宋"/>
                <w:color w:val="000000"/>
                <w:sz w:val="24"/>
                <w:szCs w:val="24"/>
                <w:highlight w:val="none"/>
                <w:lang w:eastAsia="zh-CN"/>
              </w:rPr>
            </w:pPr>
          </w:p>
        </w:tc>
      </w:tr>
      <w:tr w14:paraId="619DD2E7">
        <w:tblPrEx>
          <w:tblCellMar>
            <w:top w:w="0" w:type="dxa"/>
            <w:left w:w="108" w:type="dxa"/>
            <w:bottom w:w="0" w:type="dxa"/>
            <w:right w:w="108" w:type="dxa"/>
          </w:tblCellMar>
        </w:tblPrEx>
        <w:trPr>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52B02771">
            <w:pPr>
              <w:snapToGrid w:val="0"/>
              <w:jc w:val="center"/>
              <w:rPr>
                <w:rFonts w:hint="eastAsia" w:ascii="仿宋" w:hAnsi="仿宋" w:eastAsia="仿宋" w:cs="仿宋"/>
                <w:color w:val="000000"/>
                <w:sz w:val="24"/>
                <w:szCs w:val="24"/>
                <w:highlight w:val="none"/>
                <w:lang w:eastAsia="zh-CN"/>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181E4F49">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异常处理</w:t>
            </w:r>
            <w:r>
              <w:rPr>
                <w:rStyle w:val="51"/>
                <w:rFonts w:hint="eastAsia" w:ascii="仿宋" w:hAnsi="仿宋" w:eastAsia="仿宋" w:cs="仿宋"/>
                <w:sz w:val="24"/>
                <w:szCs w:val="24"/>
                <w:highlight w:val="none"/>
                <w:lang w:eastAsia="zh-CN" w:bidi="ar"/>
              </w:rPr>
              <w:br w:type="textWrapping"/>
            </w:r>
            <w:r>
              <w:rPr>
                <w:rStyle w:val="52"/>
                <w:rFonts w:hint="eastAsia" w:ascii="仿宋" w:hAnsi="仿宋" w:eastAsia="仿宋" w:cs="仿宋"/>
                <w:sz w:val="24"/>
                <w:szCs w:val="24"/>
                <w:highlight w:val="none"/>
                <w:lang w:eastAsia="zh-CN" w:bidi="ar"/>
              </w:rPr>
              <w:t>(5分)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2C16D81A">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生产过程中发生异常应立即告知</w:t>
            </w:r>
            <w:r>
              <w:rPr>
                <w:rFonts w:hint="eastAsia" w:ascii="仿宋" w:hAnsi="仿宋" w:eastAsia="仿宋" w:cs="仿宋"/>
                <w:color w:val="000000"/>
                <w:sz w:val="24"/>
                <w:szCs w:val="24"/>
                <w:highlight w:val="none"/>
                <w:lang w:val="en-US" w:eastAsia="zh-CN" w:bidi="ar"/>
              </w:rPr>
              <w:t>采购人</w:t>
            </w:r>
            <w:r>
              <w:rPr>
                <w:rFonts w:hint="eastAsia" w:ascii="仿宋" w:hAnsi="仿宋" w:eastAsia="仿宋" w:cs="仿宋"/>
                <w:color w:val="000000"/>
                <w:sz w:val="24"/>
                <w:szCs w:val="24"/>
                <w:highlight w:val="none"/>
                <w:lang w:eastAsia="zh-CN" w:bidi="ar"/>
              </w:rPr>
              <w:t>，及时解决问题，未告知</w:t>
            </w:r>
            <w:r>
              <w:rPr>
                <w:rFonts w:hint="eastAsia" w:ascii="仿宋" w:hAnsi="仿宋" w:eastAsia="仿宋" w:cs="仿宋"/>
                <w:color w:val="000000"/>
                <w:sz w:val="24"/>
                <w:szCs w:val="24"/>
                <w:highlight w:val="none"/>
                <w:lang w:val="en-US" w:eastAsia="zh-CN" w:bidi="ar"/>
              </w:rPr>
              <w:t>的</w:t>
            </w:r>
            <w:r>
              <w:rPr>
                <w:rFonts w:hint="eastAsia" w:ascii="仿宋" w:hAnsi="仿宋" w:eastAsia="仿宋" w:cs="仿宋"/>
                <w:color w:val="000000"/>
                <w:sz w:val="24"/>
                <w:szCs w:val="24"/>
                <w:highlight w:val="none"/>
                <w:lang w:eastAsia="zh-CN" w:bidi="ar"/>
              </w:rPr>
              <w:t>每次扣5分，不及时</w:t>
            </w:r>
            <w:r>
              <w:rPr>
                <w:rFonts w:hint="eastAsia" w:ascii="仿宋" w:hAnsi="仿宋" w:eastAsia="仿宋" w:cs="仿宋"/>
                <w:color w:val="000000"/>
                <w:sz w:val="24"/>
                <w:szCs w:val="24"/>
                <w:highlight w:val="none"/>
                <w:lang w:val="en-US" w:eastAsia="zh-CN" w:bidi="ar"/>
              </w:rPr>
              <w:t>的</w:t>
            </w:r>
            <w:r>
              <w:rPr>
                <w:rFonts w:hint="eastAsia" w:ascii="仿宋" w:hAnsi="仿宋" w:eastAsia="仿宋" w:cs="仿宋"/>
                <w:color w:val="000000"/>
                <w:sz w:val="24"/>
                <w:szCs w:val="24"/>
                <w:highlight w:val="none"/>
                <w:lang w:eastAsia="zh-CN" w:bidi="ar"/>
              </w:rPr>
              <w:t>每次扣2.5分。</w:t>
            </w:r>
          </w:p>
        </w:tc>
        <w:tc>
          <w:tcPr>
            <w:tcW w:w="1012" w:type="dxa"/>
            <w:tcBorders>
              <w:top w:val="single" w:color="000000" w:sz="4" w:space="0"/>
              <w:left w:val="single" w:color="000000" w:sz="4" w:space="0"/>
              <w:bottom w:val="single" w:color="000000" w:sz="4" w:space="0"/>
              <w:right w:val="single" w:color="000000" w:sz="4" w:space="0"/>
            </w:tcBorders>
          </w:tcPr>
          <w:p w14:paraId="0DF6E774">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0F566423">
            <w:pPr>
              <w:snapToGrid w:val="0"/>
              <w:rPr>
                <w:rFonts w:hint="eastAsia" w:ascii="仿宋" w:hAnsi="仿宋" w:eastAsia="仿宋" w:cs="仿宋"/>
                <w:color w:val="000000"/>
                <w:sz w:val="24"/>
                <w:szCs w:val="24"/>
                <w:highlight w:val="none"/>
                <w:lang w:eastAsia="zh-CN"/>
              </w:rPr>
            </w:pPr>
          </w:p>
        </w:tc>
      </w:tr>
      <w:tr w14:paraId="752675E7">
        <w:tblPrEx>
          <w:tblCellMar>
            <w:top w:w="0" w:type="dxa"/>
            <w:left w:w="108" w:type="dxa"/>
            <w:bottom w:w="0" w:type="dxa"/>
            <w:right w:w="108" w:type="dxa"/>
          </w:tblCellMar>
        </w:tblPrEx>
        <w:trPr>
          <w:jc w:val="center"/>
        </w:trPr>
        <w:tc>
          <w:tcPr>
            <w:tcW w:w="1190" w:type="dxa"/>
            <w:vMerge w:val="restart"/>
            <w:tcBorders>
              <w:top w:val="nil"/>
              <w:left w:val="single" w:color="000000" w:sz="4" w:space="0"/>
              <w:bottom w:val="single" w:color="000000" w:sz="4" w:space="0"/>
              <w:right w:val="single" w:color="000000" w:sz="4" w:space="0"/>
            </w:tcBorders>
            <w:vAlign w:val="center"/>
          </w:tcPr>
          <w:p w14:paraId="48CA7725">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配送服务</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（35）</w:t>
            </w:r>
          </w:p>
        </w:tc>
        <w:tc>
          <w:tcPr>
            <w:tcW w:w="1360" w:type="dxa"/>
            <w:tcBorders>
              <w:top w:val="single" w:color="000000" w:sz="4" w:space="0"/>
              <w:left w:val="single" w:color="000000" w:sz="4" w:space="0"/>
              <w:bottom w:val="single" w:color="000000" w:sz="4" w:space="0"/>
              <w:right w:val="single" w:color="000000" w:sz="4" w:space="0"/>
            </w:tcBorders>
            <w:vAlign w:val="center"/>
          </w:tcPr>
          <w:p w14:paraId="72A41E7C">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合规性</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（15分）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377FF276">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药品需专车配送，不得与其他药品合运，合运扣</w:t>
            </w:r>
            <w:r>
              <w:rPr>
                <w:rFonts w:hint="eastAsia" w:ascii="仿宋" w:hAnsi="仿宋" w:eastAsia="仿宋" w:cs="仿宋"/>
                <w:color w:val="000000"/>
                <w:sz w:val="24"/>
                <w:szCs w:val="24"/>
                <w:highlight w:val="none"/>
                <w:lang w:val="en-US" w:eastAsia="zh-CN" w:bidi="ar"/>
              </w:rPr>
              <w:t>15</w:t>
            </w:r>
            <w:r>
              <w:rPr>
                <w:rFonts w:hint="eastAsia" w:ascii="仿宋" w:hAnsi="仿宋" w:eastAsia="仿宋" w:cs="仿宋"/>
                <w:color w:val="000000"/>
                <w:sz w:val="24"/>
                <w:szCs w:val="24"/>
                <w:highlight w:val="none"/>
                <w:lang w:eastAsia="zh-CN" w:bidi="ar"/>
              </w:rPr>
              <w:t>分；药品能整体存储，并按照需要求拆分配送，不按需求拆分配送扣10分。</w:t>
            </w:r>
          </w:p>
        </w:tc>
        <w:tc>
          <w:tcPr>
            <w:tcW w:w="1012" w:type="dxa"/>
            <w:tcBorders>
              <w:top w:val="single" w:color="000000" w:sz="4" w:space="0"/>
              <w:left w:val="single" w:color="000000" w:sz="4" w:space="0"/>
              <w:bottom w:val="single" w:color="000000" w:sz="4" w:space="0"/>
              <w:right w:val="single" w:color="000000" w:sz="4" w:space="0"/>
            </w:tcBorders>
          </w:tcPr>
          <w:p w14:paraId="6F4C5F63">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55A5127C">
            <w:pPr>
              <w:snapToGrid w:val="0"/>
              <w:rPr>
                <w:rFonts w:hint="eastAsia" w:ascii="仿宋" w:hAnsi="仿宋" w:eastAsia="仿宋" w:cs="仿宋"/>
                <w:color w:val="000000"/>
                <w:sz w:val="24"/>
                <w:szCs w:val="24"/>
                <w:highlight w:val="none"/>
                <w:lang w:eastAsia="zh-CN"/>
              </w:rPr>
            </w:pPr>
          </w:p>
        </w:tc>
      </w:tr>
      <w:tr w14:paraId="3FB5ED54">
        <w:tblPrEx>
          <w:tblCellMar>
            <w:top w:w="0" w:type="dxa"/>
            <w:left w:w="108" w:type="dxa"/>
            <w:bottom w:w="0" w:type="dxa"/>
            <w:right w:w="108" w:type="dxa"/>
          </w:tblCellMar>
        </w:tblPrEx>
        <w:trPr>
          <w:jc w:val="center"/>
        </w:trPr>
        <w:tc>
          <w:tcPr>
            <w:tcW w:w="1190" w:type="dxa"/>
            <w:vMerge w:val="continue"/>
            <w:tcBorders>
              <w:top w:val="nil"/>
              <w:left w:val="single" w:color="000000" w:sz="4" w:space="0"/>
              <w:bottom w:val="single" w:color="000000" w:sz="4" w:space="0"/>
              <w:right w:val="single" w:color="000000" w:sz="4" w:space="0"/>
            </w:tcBorders>
            <w:vAlign w:val="center"/>
          </w:tcPr>
          <w:p w14:paraId="50038616">
            <w:pPr>
              <w:snapToGrid w:val="0"/>
              <w:jc w:val="center"/>
              <w:rPr>
                <w:rFonts w:hint="eastAsia" w:ascii="仿宋" w:hAnsi="仿宋" w:eastAsia="仿宋" w:cs="仿宋"/>
                <w:color w:val="000000"/>
                <w:sz w:val="24"/>
                <w:szCs w:val="24"/>
                <w:highlight w:val="none"/>
                <w:lang w:eastAsia="zh-CN"/>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4794193B">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包装质量</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（10分）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147EBA11">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药品外包装纸箱符合《医药包装用纸和纸板》（GB/T 35594-2023），不符合要求，发现一次扣5分，累计扣分，直至该项扣完为止。</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药品运输出现破包等损坏现象扣2分/次；出现污渍扣2分/次。</w:t>
            </w:r>
          </w:p>
        </w:tc>
        <w:tc>
          <w:tcPr>
            <w:tcW w:w="1012" w:type="dxa"/>
            <w:tcBorders>
              <w:top w:val="single" w:color="000000" w:sz="4" w:space="0"/>
              <w:left w:val="single" w:color="000000" w:sz="4" w:space="0"/>
              <w:bottom w:val="single" w:color="000000" w:sz="4" w:space="0"/>
              <w:right w:val="single" w:color="000000" w:sz="4" w:space="0"/>
            </w:tcBorders>
          </w:tcPr>
          <w:p w14:paraId="0CF9D67C">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0F05F441">
            <w:pPr>
              <w:snapToGrid w:val="0"/>
              <w:rPr>
                <w:rFonts w:hint="eastAsia" w:ascii="仿宋" w:hAnsi="仿宋" w:eastAsia="仿宋" w:cs="仿宋"/>
                <w:color w:val="000000"/>
                <w:sz w:val="24"/>
                <w:szCs w:val="24"/>
                <w:highlight w:val="none"/>
                <w:lang w:eastAsia="zh-CN"/>
              </w:rPr>
            </w:pPr>
          </w:p>
        </w:tc>
      </w:tr>
      <w:tr w14:paraId="20405F4C">
        <w:tblPrEx>
          <w:tblCellMar>
            <w:top w:w="0" w:type="dxa"/>
            <w:left w:w="108" w:type="dxa"/>
            <w:bottom w:w="0" w:type="dxa"/>
            <w:right w:w="108" w:type="dxa"/>
          </w:tblCellMar>
        </w:tblPrEx>
        <w:trPr>
          <w:jc w:val="center"/>
        </w:trPr>
        <w:tc>
          <w:tcPr>
            <w:tcW w:w="1190" w:type="dxa"/>
            <w:vMerge w:val="continue"/>
            <w:tcBorders>
              <w:top w:val="nil"/>
              <w:left w:val="single" w:color="000000" w:sz="4" w:space="0"/>
              <w:bottom w:val="single" w:color="000000" w:sz="4" w:space="0"/>
              <w:right w:val="single" w:color="000000" w:sz="4" w:space="0"/>
            </w:tcBorders>
            <w:vAlign w:val="center"/>
          </w:tcPr>
          <w:p w14:paraId="5DFD1586">
            <w:pPr>
              <w:snapToGrid w:val="0"/>
              <w:jc w:val="center"/>
              <w:rPr>
                <w:rFonts w:hint="eastAsia" w:ascii="仿宋" w:hAnsi="仿宋" w:eastAsia="仿宋" w:cs="仿宋"/>
                <w:color w:val="000000"/>
                <w:sz w:val="24"/>
                <w:szCs w:val="24"/>
                <w:highlight w:val="none"/>
                <w:lang w:eastAsia="zh-CN"/>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3A96576C">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时效性</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（10分）</w:t>
            </w:r>
          </w:p>
        </w:tc>
        <w:tc>
          <w:tcPr>
            <w:tcW w:w="5464" w:type="dxa"/>
            <w:tcBorders>
              <w:top w:val="single" w:color="000000" w:sz="4" w:space="0"/>
              <w:left w:val="single" w:color="000000" w:sz="4" w:space="0"/>
              <w:bottom w:val="single" w:color="000000" w:sz="4" w:space="0"/>
              <w:right w:val="single" w:color="000000" w:sz="4" w:space="0"/>
            </w:tcBorders>
            <w:vAlign w:val="center"/>
          </w:tcPr>
          <w:p w14:paraId="2FDFE1F7">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运输时间延误一次扣5分</w:t>
            </w:r>
          </w:p>
        </w:tc>
        <w:tc>
          <w:tcPr>
            <w:tcW w:w="1012" w:type="dxa"/>
            <w:tcBorders>
              <w:top w:val="single" w:color="000000" w:sz="4" w:space="0"/>
              <w:left w:val="single" w:color="000000" w:sz="4" w:space="0"/>
              <w:bottom w:val="single" w:color="000000" w:sz="4" w:space="0"/>
              <w:right w:val="single" w:color="000000" w:sz="4" w:space="0"/>
            </w:tcBorders>
          </w:tcPr>
          <w:p w14:paraId="60A4AEA7">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59452B6D">
            <w:pPr>
              <w:snapToGrid w:val="0"/>
              <w:rPr>
                <w:rFonts w:hint="eastAsia" w:ascii="仿宋" w:hAnsi="仿宋" w:eastAsia="仿宋" w:cs="仿宋"/>
                <w:color w:val="000000"/>
                <w:sz w:val="24"/>
                <w:szCs w:val="24"/>
                <w:highlight w:val="none"/>
                <w:lang w:eastAsia="zh-CN"/>
              </w:rPr>
            </w:pPr>
          </w:p>
        </w:tc>
      </w:tr>
      <w:tr w14:paraId="70E69AAC">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09B6BC1E">
            <w:pPr>
              <w:snapToGrid w:val="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一票否决</w:t>
            </w:r>
          </w:p>
        </w:tc>
        <w:tc>
          <w:tcPr>
            <w:tcW w:w="6824" w:type="dxa"/>
            <w:gridSpan w:val="2"/>
            <w:tcBorders>
              <w:top w:val="single" w:color="000000" w:sz="4" w:space="0"/>
              <w:left w:val="single" w:color="000000" w:sz="4" w:space="0"/>
              <w:bottom w:val="single" w:color="000000" w:sz="4" w:space="0"/>
              <w:right w:val="single" w:color="000000" w:sz="4" w:space="0"/>
            </w:tcBorders>
            <w:vAlign w:val="center"/>
          </w:tcPr>
          <w:p w14:paraId="2FC479BF">
            <w:pPr>
              <w:snapToGrid w:val="0"/>
              <w:textAlignment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明确因</w:t>
            </w:r>
            <w:r>
              <w:rPr>
                <w:rFonts w:hint="eastAsia" w:ascii="仿宋" w:hAnsi="仿宋" w:eastAsia="仿宋" w:cs="仿宋"/>
                <w:color w:val="000000"/>
                <w:sz w:val="24"/>
                <w:szCs w:val="24"/>
                <w:highlight w:val="none"/>
                <w:lang w:val="en-US" w:eastAsia="zh-CN" w:bidi="ar"/>
              </w:rPr>
              <w:t>供应商</w:t>
            </w:r>
            <w:r>
              <w:rPr>
                <w:rFonts w:hint="eastAsia" w:ascii="仿宋" w:hAnsi="仿宋" w:eastAsia="仿宋" w:cs="仿宋"/>
                <w:color w:val="000000"/>
                <w:sz w:val="24"/>
                <w:szCs w:val="24"/>
                <w:highlight w:val="none"/>
                <w:lang w:eastAsia="zh-CN" w:bidi="ar"/>
              </w:rPr>
              <w:t>原因，生产产品在服用后引发医疗事故纠纷或严重不良后果的，一票否决</w:t>
            </w:r>
          </w:p>
        </w:tc>
        <w:tc>
          <w:tcPr>
            <w:tcW w:w="1012" w:type="dxa"/>
            <w:tcBorders>
              <w:top w:val="single" w:color="000000" w:sz="4" w:space="0"/>
              <w:left w:val="single" w:color="000000" w:sz="4" w:space="0"/>
              <w:bottom w:val="single" w:color="000000" w:sz="4" w:space="0"/>
              <w:right w:val="single" w:color="000000" w:sz="4" w:space="0"/>
            </w:tcBorders>
          </w:tcPr>
          <w:p w14:paraId="68FF4436">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4E66C58C">
            <w:pPr>
              <w:snapToGrid w:val="0"/>
              <w:rPr>
                <w:rFonts w:hint="eastAsia" w:ascii="仿宋" w:hAnsi="仿宋" w:eastAsia="仿宋" w:cs="仿宋"/>
                <w:color w:val="000000"/>
                <w:sz w:val="24"/>
                <w:szCs w:val="24"/>
                <w:highlight w:val="none"/>
                <w:lang w:eastAsia="zh-CN"/>
              </w:rPr>
            </w:pPr>
          </w:p>
        </w:tc>
      </w:tr>
      <w:tr w14:paraId="073FB8C6">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5D841823">
            <w:pPr>
              <w:snapToGrid w:val="0"/>
              <w:jc w:val="center"/>
              <w:textAlignment w:val="center"/>
              <w:rPr>
                <w:rFonts w:hint="eastAsia" w:ascii="仿宋" w:hAnsi="仿宋" w:eastAsia="仿宋" w:cs="仿宋"/>
                <w:color w:val="000000"/>
                <w:sz w:val="24"/>
                <w:szCs w:val="24"/>
                <w:highlight w:val="none"/>
              </w:rPr>
            </w:pPr>
            <w:r>
              <w:rPr>
                <w:rStyle w:val="52"/>
                <w:rFonts w:hint="eastAsia" w:ascii="仿宋" w:hAnsi="仿宋" w:eastAsia="仿宋" w:cs="仿宋"/>
                <w:sz w:val="24"/>
                <w:szCs w:val="24"/>
                <w:highlight w:val="none"/>
                <w:lang w:eastAsia="zh-CN" w:bidi="ar"/>
              </w:rPr>
              <w:t>总分</w:t>
            </w:r>
          </w:p>
        </w:tc>
        <w:tc>
          <w:tcPr>
            <w:tcW w:w="6824" w:type="dxa"/>
            <w:gridSpan w:val="2"/>
            <w:tcBorders>
              <w:top w:val="single" w:color="000000" w:sz="4" w:space="0"/>
              <w:left w:val="single" w:color="000000" w:sz="4" w:space="0"/>
              <w:bottom w:val="single" w:color="000000" w:sz="4" w:space="0"/>
              <w:right w:val="single" w:color="000000" w:sz="4" w:space="0"/>
            </w:tcBorders>
            <w:vAlign w:val="center"/>
          </w:tcPr>
          <w:p w14:paraId="00D5B715">
            <w:pPr>
              <w:snapToGrid w:val="0"/>
              <w:textAlignment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bidi="ar"/>
              </w:rPr>
              <w:t>总分=产品生产+服务质量</w:t>
            </w:r>
            <w:r>
              <w:rPr>
                <w:rFonts w:hint="eastAsia" w:ascii="仿宋" w:hAnsi="仿宋" w:eastAsia="仿宋" w:cs="仿宋"/>
                <w:color w:val="000000"/>
                <w:sz w:val="24"/>
                <w:szCs w:val="24"/>
                <w:highlight w:val="none"/>
                <w:lang w:val="en-US" w:eastAsia="zh-CN" w:bidi="ar"/>
              </w:rPr>
              <w:t>+配送服务</w:t>
            </w:r>
          </w:p>
        </w:tc>
        <w:tc>
          <w:tcPr>
            <w:tcW w:w="1012" w:type="dxa"/>
            <w:tcBorders>
              <w:top w:val="single" w:color="000000" w:sz="4" w:space="0"/>
              <w:left w:val="single" w:color="000000" w:sz="4" w:space="0"/>
              <w:bottom w:val="single" w:color="000000" w:sz="4" w:space="0"/>
              <w:right w:val="single" w:color="000000" w:sz="4" w:space="0"/>
            </w:tcBorders>
          </w:tcPr>
          <w:p w14:paraId="743F97BA">
            <w:pPr>
              <w:snapToGrid w:val="0"/>
              <w:rPr>
                <w:rFonts w:hint="eastAsia" w:ascii="仿宋" w:hAnsi="仿宋" w:eastAsia="仿宋" w:cs="仿宋"/>
                <w:color w:val="000000"/>
                <w:sz w:val="24"/>
                <w:szCs w:val="24"/>
                <w:highlight w:val="none"/>
                <w:lang w:eastAsia="zh-CN"/>
              </w:rPr>
            </w:pPr>
          </w:p>
        </w:tc>
        <w:tc>
          <w:tcPr>
            <w:tcW w:w="542" w:type="dxa"/>
            <w:tcBorders>
              <w:top w:val="single" w:color="000000" w:sz="4" w:space="0"/>
              <w:left w:val="single" w:color="000000" w:sz="4" w:space="0"/>
              <w:bottom w:val="single" w:color="000000" w:sz="4" w:space="0"/>
              <w:right w:val="single" w:color="000000" w:sz="4" w:space="0"/>
            </w:tcBorders>
          </w:tcPr>
          <w:p w14:paraId="14CF014A">
            <w:pPr>
              <w:snapToGrid w:val="0"/>
              <w:rPr>
                <w:rFonts w:hint="eastAsia" w:ascii="仿宋" w:hAnsi="仿宋" w:eastAsia="仿宋" w:cs="仿宋"/>
                <w:color w:val="000000"/>
                <w:sz w:val="24"/>
                <w:szCs w:val="24"/>
                <w:highlight w:val="none"/>
                <w:lang w:eastAsia="zh-CN"/>
              </w:rPr>
            </w:pPr>
          </w:p>
        </w:tc>
      </w:tr>
      <w:tr w14:paraId="3A091C45">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401F040F">
            <w:pPr>
              <w:snapToGrid w:val="0"/>
              <w:jc w:val="center"/>
              <w:textAlignment w:val="center"/>
              <w:rPr>
                <w:rFonts w:hint="eastAsia" w:ascii="仿宋" w:hAnsi="仿宋" w:eastAsia="仿宋" w:cs="仿宋"/>
                <w:color w:val="000000"/>
                <w:sz w:val="24"/>
                <w:szCs w:val="24"/>
                <w:highlight w:val="none"/>
              </w:rPr>
            </w:pPr>
            <w:r>
              <w:rPr>
                <w:rStyle w:val="52"/>
                <w:rFonts w:hint="eastAsia" w:ascii="仿宋" w:hAnsi="仿宋" w:eastAsia="仿宋" w:cs="仿宋"/>
                <w:sz w:val="24"/>
                <w:szCs w:val="24"/>
                <w:highlight w:val="none"/>
                <w:lang w:eastAsia="zh-CN" w:bidi="ar"/>
              </w:rPr>
              <w:t>评价结果</w:t>
            </w:r>
          </w:p>
        </w:tc>
        <w:tc>
          <w:tcPr>
            <w:tcW w:w="6824" w:type="dxa"/>
            <w:gridSpan w:val="2"/>
            <w:tcBorders>
              <w:top w:val="single" w:color="000000" w:sz="4" w:space="0"/>
              <w:left w:val="single" w:color="000000" w:sz="4" w:space="0"/>
              <w:bottom w:val="single" w:color="000000" w:sz="4" w:space="0"/>
              <w:right w:val="single" w:color="000000" w:sz="4" w:space="0"/>
            </w:tcBorders>
            <w:vAlign w:val="center"/>
          </w:tcPr>
          <w:p w14:paraId="03C466CE">
            <w:pPr>
              <w:snapToGrid w:val="0"/>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bidi="ar"/>
              </w:rPr>
              <w:t>合格口    不合格□</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90分及以上为优秀，90分(含)以上情形：不扣款</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90＞得分≥60情形：扣款金额（元）=(90-得分)*200</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eastAsia="zh-CN" w:bidi="ar"/>
              </w:rPr>
              <w:t>得分＜60分，不予支付相应款项。</w:t>
            </w:r>
            <w:r>
              <w:rPr>
                <w:rFonts w:hint="eastAsia" w:ascii="仿宋" w:hAnsi="仿宋" w:eastAsia="仿宋" w:cs="仿宋"/>
                <w:color w:val="000000"/>
                <w:sz w:val="24"/>
                <w:szCs w:val="24"/>
                <w:highlight w:val="none"/>
                <w:lang w:eastAsia="zh-CN" w:bidi="ar"/>
              </w:rPr>
              <w:br w:type="textWrapping"/>
            </w:r>
            <w:r>
              <w:rPr>
                <w:rFonts w:hint="eastAsia" w:ascii="仿宋" w:hAnsi="仿宋" w:eastAsia="仿宋" w:cs="仿宋"/>
                <w:color w:val="000000"/>
                <w:sz w:val="24"/>
                <w:szCs w:val="24"/>
                <w:highlight w:val="none"/>
                <w:lang w:val="en-US" w:eastAsia="zh-CN" w:bidi="ar"/>
              </w:rPr>
              <w:t>每个</w:t>
            </w:r>
            <w:r>
              <w:rPr>
                <w:rFonts w:hint="eastAsia" w:ascii="仿宋" w:hAnsi="仿宋" w:eastAsia="仿宋" w:cs="仿宋"/>
                <w:color w:val="000000"/>
                <w:sz w:val="24"/>
                <w:szCs w:val="24"/>
                <w:highlight w:val="none"/>
                <w:lang w:eastAsia="zh-CN" w:bidi="ar"/>
              </w:rPr>
              <w:t>支付节点进行考核。</w:t>
            </w:r>
          </w:p>
        </w:tc>
        <w:tc>
          <w:tcPr>
            <w:tcW w:w="1012" w:type="dxa"/>
            <w:tcBorders>
              <w:top w:val="single" w:color="000000" w:sz="4" w:space="0"/>
              <w:left w:val="single" w:color="000000" w:sz="4" w:space="0"/>
              <w:bottom w:val="single" w:color="000000" w:sz="4" w:space="0"/>
              <w:right w:val="single" w:color="000000" w:sz="4" w:space="0"/>
            </w:tcBorders>
          </w:tcPr>
          <w:p w14:paraId="2268EE28">
            <w:pPr>
              <w:snapToGrid w:val="0"/>
              <w:rPr>
                <w:rFonts w:hint="eastAsia" w:ascii="仿宋" w:hAnsi="仿宋" w:eastAsia="仿宋" w:cs="仿宋"/>
                <w:color w:val="000000"/>
                <w:sz w:val="24"/>
                <w:szCs w:val="24"/>
                <w:highlight w:val="none"/>
              </w:rPr>
            </w:pPr>
          </w:p>
        </w:tc>
        <w:tc>
          <w:tcPr>
            <w:tcW w:w="542" w:type="dxa"/>
            <w:tcBorders>
              <w:top w:val="single" w:color="000000" w:sz="4" w:space="0"/>
              <w:left w:val="single" w:color="000000" w:sz="4" w:space="0"/>
              <w:bottom w:val="single" w:color="000000" w:sz="4" w:space="0"/>
              <w:right w:val="single" w:color="000000" w:sz="4" w:space="0"/>
            </w:tcBorders>
          </w:tcPr>
          <w:p w14:paraId="742862C4">
            <w:pPr>
              <w:snapToGrid w:val="0"/>
              <w:rPr>
                <w:rFonts w:hint="eastAsia" w:ascii="仿宋" w:hAnsi="仿宋" w:eastAsia="仿宋" w:cs="仿宋"/>
                <w:color w:val="000000"/>
                <w:sz w:val="24"/>
                <w:szCs w:val="24"/>
                <w:highlight w:val="none"/>
              </w:rPr>
            </w:pPr>
          </w:p>
        </w:tc>
      </w:tr>
      <w:tr w14:paraId="0FCD16AB">
        <w:tblPrEx>
          <w:tblCellMar>
            <w:top w:w="0" w:type="dxa"/>
            <w:left w:w="108" w:type="dxa"/>
            <w:bottom w:w="0" w:type="dxa"/>
            <w:right w:w="108" w:type="dxa"/>
          </w:tblCellMar>
        </w:tblPrEx>
        <w:trPr>
          <w:jc w:val="center"/>
        </w:trPr>
        <w:tc>
          <w:tcPr>
            <w:tcW w:w="1190" w:type="dxa"/>
            <w:tcBorders>
              <w:top w:val="single" w:color="000000" w:sz="4" w:space="0"/>
              <w:left w:val="single" w:color="000000" w:sz="4" w:space="0"/>
              <w:bottom w:val="single" w:color="000000" w:sz="4" w:space="0"/>
              <w:right w:val="single" w:color="000000" w:sz="4" w:space="0"/>
            </w:tcBorders>
            <w:vAlign w:val="center"/>
          </w:tcPr>
          <w:p w14:paraId="7CA3159A">
            <w:pPr>
              <w:snapToGrid w:val="0"/>
              <w:jc w:val="center"/>
              <w:textAlignment w:val="center"/>
              <w:rPr>
                <w:rFonts w:hint="eastAsia" w:ascii="仿宋" w:hAnsi="仿宋" w:eastAsia="仿宋" w:cs="仿宋"/>
                <w:color w:val="000000"/>
                <w:sz w:val="24"/>
                <w:szCs w:val="24"/>
                <w:highlight w:val="none"/>
              </w:rPr>
            </w:pPr>
            <w:r>
              <w:rPr>
                <w:rStyle w:val="52"/>
                <w:rFonts w:hint="eastAsia" w:ascii="仿宋" w:hAnsi="仿宋" w:eastAsia="仿宋" w:cs="仿宋"/>
                <w:sz w:val="24"/>
                <w:szCs w:val="24"/>
                <w:highlight w:val="none"/>
                <w:lang w:eastAsia="zh-CN" w:bidi="ar"/>
              </w:rPr>
              <w:t>评价人</w:t>
            </w:r>
          </w:p>
        </w:tc>
        <w:tc>
          <w:tcPr>
            <w:tcW w:w="6824" w:type="dxa"/>
            <w:gridSpan w:val="2"/>
            <w:tcBorders>
              <w:top w:val="single" w:color="000000" w:sz="4" w:space="0"/>
              <w:left w:val="single" w:color="000000" w:sz="4" w:space="0"/>
              <w:bottom w:val="single" w:color="000000" w:sz="4" w:space="0"/>
              <w:right w:val="single" w:color="000000" w:sz="4" w:space="0"/>
            </w:tcBorders>
          </w:tcPr>
          <w:p w14:paraId="0F6C5F38">
            <w:pPr>
              <w:snapToGrid w:val="0"/>
              <w:rPr>
                <w:rFonts w:hint="eastAsia" w:ascii="仿宋" w:hAnsi="仿宋" w:eastAsia="仿宋" w:cs="仿宋"/>
                <w:color w:val="000000"/>
                <w:sz w:val="24"/>
                <w:szCs w:val="24"/>
                <w:highlight w:val="none"/>
              </w:rPr>
            </w:pPr>
          </w:p>
        </w:tc>
        <w:tc>
          <w:tcPr>
            <w:tcW w:w="1012" w:type="dxa"/>
            <w:tcBorders>
              <w:top w:val="single" w:color="000000" w:sz="4" w:space="0"/>
              <w:left w:val="single" w:color="000000" w:sz="4" w:space="0"/>
              <w:bottom w:val="single" w:color="000000" w:sz="4" w:space="0"/>
              <w:right w:val="single" w:color="000000" w:sz="4" w:space="0"/>
            </w:tcBorders>
            <w:vAlign w:val="center"/>
          </w:tcPr>
          <w:p w14:paraId="72C7D4D0">
            <w:pPr>
              <w:snapToGrid w:val="0"/>
              <w:textAlignment w:val="center"/>
              <w:rPr>
                <w:rFonts w:hint="eastAsia" w:ascii="仿宋" w:hAnsi="仿宋" w:eastAsia="仿宋" w:cs="仿宋"/>
                <w:color w:val="000000"/>
                <w:sz w:val="24"/>
                <w:szCs w:val="24"/>
                <w:highlight w:val="none"/>
              </w:rPr>
            </w:pPr>
            <w:r>
              <w:rPr>
                <w:rStyle w:val="52"/>
                <w:rFonts w:hint="eastAsia" w:ascii="仿宋" w:hAnsi="仿宋" w:eastAsia="仿宋" w:cs="仿宋"/>
                <w:sz w:val="24"/>
                <w:szCs w:val="24"/>
                <w:highlight w:val="none"/>
                <w:lang w:eastAsia="zh-CN" w:bidi="ar"/>
              </w:rPr>
              <w:t>日期</w:t>
            </w:r>
          </w:p>
        </w:tc>
        <w:tc>
          <w:tcPr>
            <w:tcW w:w="542" w:type="dxa"/>
            <w:tcBorders>
              <w:top w:val="single" w:color="000000" w:sz="4" w:space="0"/>
              <w:left w:val="single" w:color="000000" w:sz="4" w:space="0"/>
              <w:bottom w:val="single" w:color="000000" w:sz="4" w:space="0"/>
              <w:right w:val="single" w:color="000000" w:sz="4" w:space="0"/>
            </w:tcBorders>
          </w:tcPr>
          <w:p w14:paraId="36CBA010">
            <w:pPr>
              <w:snapToGrid w:val="0"/>
              <w:rPr>
                <w:rFonts w:hint="eastAsia" w:ascii="仿宋" w:hAnsi="仿宋" w:eastAsia="仿宋" w:cs="仿宋"/>
                <w:color w:val="000000"/>
                <w:sz w:val="24"/>
                <w:szCs w:val="24"/>
                <w:highlight w:val="none"/>
              </w:rPr>
            </w:pPr>
          </w:p>
        </w:tc>
      </w:tr>
    </w:tbl>
    <w:p w14:paraId="39FAC3DF">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kern w:val="2"/>
          <w:sz w:val="24"/>
          <w:szCs w:val="24"/>
          <w:lang w:val="en-US" w:eastAsia="zh-CN" w:bidi="ar-SA"/>
        </w:rPr>
      </w:pPr>
    </w:p>
    <w:p w14:paraId="50EFDDDE">
      <w:pPr>
        <w:numPr>
          <w:ilvl w:val="0"/>
          <w:numId w:val="0"/>
        </w:numPr>
        <w:spacing w:line="360" w:lineRule="auto"/>
        <w:rPr>
          <w:rFonts w:hint="default" w:ascii="仿宋" w:hAnsi="仿宋" w:eastAsia="仿宋" w:cs="仿宋"/>
          <w:kern w:val="2"/>
          <w:sz w:val="24"/>
          <w:szCs w:val="24"/>
          <w:lang w:val="en-US" w:eastAsia="zh-CN" w:bidi="ar-SA"/>
        </w:rPr>
      </w:pPr>
    </w:p>
    <w:p w14:paraId="381D2C43">
      <w:pPr>
        <w:numPr>
          <w:ilvl w:val="0"/>
          <w:numId w:val="0"/>
        </w:numPr>
        <w:spacing w:line="360" w:lineRule="auto"/>
        <w:ind w:firstLine="720" w:firstLineChars="300"/>
        <w:rPr>
          <w:rFonts w:hint="default" w:ascii="仿宋" w:hAnsi="仿宋" w:eastAsia="仿宋" w:cs="仿宋"/>
          <w:kern w:val="2"/>
          <w:sz w:val="24"/>
          <w:szCs w:val="24"/>
          <w:lang w:val="en-US" w:eastAsia="zh-CN" w:bidi="ar-SA"/>
        </w:rPr>
      </w:pPr>
    </w:p>
    <w:p w14:paraId="7D92E127">
      <w:pPr>
        <w:numPr>
          <w:ilvl w:val="0"/>
          <w:numId w:val="0"/>
        </w:numPr>
        <w:spacing w:line="360" w:lineRule="auto"/>
        <w:ind w:firstLine="720" w:firstLineChars="300"/>
        <w:rPr>
          <w:rFonts w:hint="default" w:ascii="仿宋" w:hAnsi="仿宋" w:eastAsia="仿宋" w:cs="仿宋"/>
          <w:kern w:val="2"/>
          <w:sz w:val="24"/>
          <w:szCs w:val="24"/>
          <w:lang w:val="en-US" w:eastAsia="zh-CN" w:bidi="ar-SA"/>
        </w:rPr>
      </w:pPr>
    </w:p>
    <w:p w14:paraId="6766BCFC">
      <w:pPr>
        <w:numPr>
          <w:ilvl w:val="0"/>
          <w:numId w:val="0"/>
        </w:numPr>
        <w:spacing w:line="360" w:lineRule="auto"/>
        <w:ind w:firstLine="720" w:firstLineChars="300"/>
        <w:rPr>
          <w:rFonts w:hint="default" w:ascii="仿宋" w:hAnsi="仿宋" w:eastAsia="仿宋" w:cs="仿宋"/>
          <w:kern w:val="2"/>
          <w:sz w:val="24"/>
          <w:szCs w:val="24"/>
          <w:lang w:val="en-US" w:eastAsia="zh-CN" w:bidi="ar-SA"/>
        </w:rPr>
      </w:pPr>
    </w:p>
    <w:p w14:paraId="7B0F2585">
      <w:pPr>
        <w:pStyle w:val="17"/>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79ABD52A">
      <w:pPr>
        <w:rPr>
          <w:rFonts w:hint="eastAsia" w:ascii="仿宋" w:hAnsi="仿宋" w:eastAsia="仿宋" w:cs="仿宋"/>
          <w:sz w:val="24"/>
          <w:szCs w:val="24"/>
        </w:rPr>
      </w:pPr>
      <w:r>
        <w:rPr>
          <w:rFonts w:hint="eastAsia" w:ascii="仿宋" w:hAnsi="仿宋" w:eastAsia="仿宋" w:cs="仿宋"/>
          <w:sz w:val="24"/>
          <w:szCs w:val="24"/>
        </w:rPr>
        <w:br w:type="page"/>
      </w:r>
    </w:p>
    <w:p w14:paraId="108C78E3">
      <w:pPr>
        <w:rPr>
          <w:rFonts w:ascii="Times New Roman" w:hAnsi="Times New Roman" w:eastAsia="宋体" w:cs="Times New Roman"/>
          <w:sz w:val="24"/>
          <w:szCs w:val="24"/>
        </w:rPr>
      </w:pPr>
      <w:r>
        <w:rPr>
          <w:rStyle w:val="21"/>
          <w:rFonts w:hint="default" w:ascii="方正仿宋_GB2312" w:hAnsi="方正仿宋_GB2312" w:eastAsia="方正仿宋_GB2312" w:cs="方正仿宋_GB2312"/>
          <w:kern w:val="2"/>
          <w:sz w:val="28"/>
          <w:szCs w:val="28"/>
        </w:rPr>
        <w:t> </w:t>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tbl>
      <w:tblPr>
        <w:tblStyle w:val="1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843"/>
        <w:gridCol w:w="940"/>
        <w:gridCol w:w="6336"/>
        <w:gridCol w:w="956"/>
      </w:tblGrid>
      <w:tr w14:paraId="17E48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5D8DE61E">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序号</w:t>
            </w:r>
          </w:p>
        </w:tc>
        <w:tc>
          <w:tcPr>
            <w:tcW w:w="429" w:type="pct"/>
            <w:tcBorders>
              <w:top w:val="single" w:color="auto" w:sz="4" w:space="0"/>
              <w:left w:val="single" w:color="auto" w:sz="4" w:space="0"/>
              <w:bottom w:val="single" w:color="auto" w:sz="4" w:space="0"/>
              <w:right w:val="single" w:color="auto" w:sz="4" w:space="0"/>
            </w:tcBorders>
            <w:vAlign w:val="center"/>
          </w:tcPr>
          <w:p w14:paraId="2578B14C">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评审因素</w:t>
            </w:r>
          </w:p>
        </w:tc>
        <w:tc>
          <w:tcPr>
            <w:tcW w:w="478" w:type="pct"/>
            <w:tcBorders>
              <w:top w:val="single" w:color="auto" w:sz="4" w:space="0"/>
              <w:left w:val="single" w:color="auto" w:sz="4" w:space="0"/>
              <w:bottom w:val="single" w:color="auto" w:sz="4" w:space="0"/>
              <w:right w:val="single" w:color="auto" w:sz="4" w:space="0"/>
            </w:tcBorders>
            <w:vAlign w:val="center"/>
          </w:tcPr>
          <w:p w14:paraId="4E32B1E4">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分值</w:t>
            </w:r>
          </w:p>
        </w:tc>
        <w:tc>
          <w:tcPr>
            <w:tcW w:w="3223" w:type="pct"/>
            <w:tcBorders>
              <w:top w:val="single" w:color="auto" w:sz="4" w:space="0"/>
              <w:left w:val="single" w:color="auto" w:sz="4" w:space="0"/>
              <w:bottom w:val="single" w:color="auto" w:sz="4" w:space="0"/>
              <w:right w:val="single" w:color="auto" w:sz="4" w:space="0"/>
            </w:tcBorders>
            <w:vAlign w:val="center"/>
          </w:tcPr>
          <w:p w14:paraId="2CD0408E">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评分标准</w:t>
            </w:r>
          </w:p>
        </w:tc>
        <w:tc>
          <w:tcPr>
            <w:tcW w:w="486" w:type="pct"/>
            <w:tcBorders>
              <w:top w:val="single" w:color="auto" w:sz="4" w:space="0"/>
              <w:left w:val="single" w:color="auto" w:sz="4" w:space="0"/>
              <w:bottom w:val="single" w:color="auto" w:sz="4" w:space="0"/>
              <w:right w:val="single" w:color="auto" w:sz="4" w:space="0"/>
            </w:tcBorders>
            <w:vAlign w:val="center"/>
          </w:tcPr>
          <w:p w14:paraId="5716FE80">
            <w:pPr>
              <w:keepNext w:val="0"/>
              <w:keepLines w:val="0"/>
              <w:pageBreakBefore w:val="0"/>
              <w:widowControl w:val="0"/>
              <w:kinsoku/>
              <w:overflowPunct/>
              <w:autoSpaceDE/>
              <w:autoSpaceDN/>
              <w:bidi w:val="0"/>
              <w:spacing w:line="360" w:lineRule="auto"/>
              <w:jc w:val="center"/>
              <w:textAlignment w:val="auto"/>
              <w:rPr>
                <w:rFonts w:ascii="仿宋" w:hAnsi="仿宋" w:eastAsia="仿宋" w:cs="仿宋"/>
                <w:b/>
                <w:bCs/>
                <w:sz w:val="24"/>
                <w:szCs w:val="24"/>
              </w:rPr>
            </w:pPr>
            <w:r>
              <w:rPr>
                <w:rFonts w:hint="eastAsia" w:ascii="仿宋" w:hAnsi="仿宋" w:eastAsia="仿宋" w:cs="仿宋"/>
                <w:b/>
                <w:bCs/>
                <w:sz w:val="24"/>
                <w:szCs w:val="24"/>
              </w:rPr>
              <w:t>说明</w:t>
            </w:r>
          </w:p>
        </w:tc>
      </w:tr>
      <w:tr w14:paraId="6129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75471A90">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sz w:val="24"/>
                <w:szCs w:val="24"/>
              </w:rPr>
            </w:pPr>
            <w:r>
              <w:rPr>
                <w:rFonts w:hint="eastAsia" w:ascii="仿宋" w:hAnsi="仿宋" w:eastAsia="仿宋" w:cs="仿宋"/>
                <w:sz w:val="24"/>
                <w:szCs w:val="24"/>
              </w:rPr>
              <w:t>1</w:t>
            </w:r>
          </w:p>
        </w:tc>
        <w:tc>
          <w:tcPr>
            <w:tcW w:w="429" w:type="pct"/>
            <w:tcBorders>
              <w:top w:val="single" w:color="auto" w:sz="4" w:space="0"/>
              <w:left w:val="single" w:color="auto" w:sz="4" w:space="0"/>
              <w:bottom w:val="single" w:color="auto" w:sz="4" w:space="0"/>
              <w:right w:val="single" w:color="auto" w:sz="4" w:space="0"/>
            </w:tcBorders>
            <w:vAlign w:val="center"/>
          </w:tcPr>
          <w:p w14:paraId="700D8DEA">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ascii="仿宋" w:hAnsi="仿宋" w:eastAsia="仿宋" w:cs="仿宋"/>
                <w:sz w:val="24"/>
                <w:szCs w:val="24"/>
              </w:rPr>
            </w:pPr>
            <w:r>
              <w:rPr>
                <w:rFonts w:hint="eastAsia" w:ascii="仿宋" w:hAnsi="仿宋" w:eastAsia="仿宋" w:cs="仿宋"/>
                <w:color w:val="auto"/>
                <w:sz w:val="24"/>
                <w:szCs w:val="24"/>
                <w:highlight w:val="none"/>
                <w:lang w:val="en-US" w:eastAsia="zh-CN"/>
              </w:rPr>
              <w:t>价格</w:t>
            </w:r>
          </w:p>
        </w:tc>
        <w:tc>
          <w:tcPr>
            <w:tcW w:w="478" w:type="pct"/>
            <w:tcBorders>
              <w:top w:val="single" w:color="auto" w:sz="4" w:space="0"/>
              <w:left w:val="single" w:color="auto" w:sz="4" w:space="0"/>
              <w:bottom w:val="single" w:color="auto" w:sz="4" w:space="0"/>
              <w:right w:val="single" w:color="auto" w:sz="4" w:space="0"/>
            </w:tcBorders>
            <w:vAlign w:val="center"/>
          </w:tcPr>
          <w:p w14:paraId="5F4D50CB">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ascii="仿宋" w:hAnsi="仿宋" w:eastAsia="仿宋" w:cs="仿宋"/>
                <w:sz w:val="24"/>
                <w:szCs w:val="24"/>
              </w:rPr>
            </w:pPr>
            <w:r>
              <w:rPr>
                <w:rFonts w:hint="eastAsia" w:ascii="仿宋" w:hAnsi="仿宋" w:eastAsia="仿宋" w:cs="仿宋"/>
                <w:color w:val="auto"/>
                <w:sz w:val="24"/>
                <w:szCs w:val="24"/>
                <w:highlight w:val="none"/>
                <w:lang w:val="en-US" w:eastAsia="zh-CN"/>
              </w:rPr>
              <w:t>30分</w:t>
            </w:r>
          </w:p>
        </w:tc>
        <w:tc>
          <w:tcPr>
            <w:tcW w:w="3223" w:type="pct"/>
            <w:tcBorders>
              <w:top w:val="single" w:color="auto" w:sz="4" w:space="0"/>
              <w:left w:val="single" w:color="auto" w:sz="4" w:space="0"/>
              <w:bottom w:val="single" w:color="auto" w:sz="4" w:space="0"/>
              <w:right w:val="single" w:color="auto" w:sz="4" w:space="0"/>
            </w:tcBorders>
            <w:vAlign w:val="center"/>
          </w:tcPr>
          <w:p w14:paraId="4B396142">
            <w:pPr>
              <w:keepNext w:val="0"/>
              <w:keepLines w:val="0"/>
              <w:pageBreakBefore w:val="0"/>
              <w:widowControl w:val="0"/>
              <w:kinsoku/>
              <w:wordWrap/>
              <w:overflowPunct/>
              <w:topLinePunct w:val="0"/>
              <w:autoSpaceDE/>
              <w:autoSpaceDN/>
              <w:bidi w:val="0"/>
              <w:adjustRightInd/>
              <w:snapToGrid/>
              <w:spacing w:line="360" w:lineRule="auto"/>
              <w:ind w:firstLine="28" w:firstLineChars="0"/>
              <w:jc w:val="left"/>
              <w:textAlignment w:val="auto"/>
              <w:rPr>
                <w:rFonts w:hint="default" w:ascii="仿宋" w:hAnsi="仿宋" w:eastAsia="仿宋" w:cs="仿宋"/>
                <w:sz w:val="24"/>
                <w:szCs w:val="24"/>
                <w:lang w:val="en-US"/>
              </w:rPr>
            </w:pPr>
            <w:r>
              <w:rPr>
                <w:rFonts w:hint="default" w:ascii="仿宋" w:hAnsi="仿宋" w:eastAsia="仿宋" w:cs="仿宋"/>
                <w:color w:val="auto"/>
                <w:sz w:val="24"/>
                <w:szCs w:val="24"/>
                <w:highlight w:val="none"/>
                <w:lang w:val="en-US" w:eastAsia="zh-CN"/>
              </w:rPr>
              <w:t>以满足谈判文件要求</w:t>
            </w:r>
            <w:r>
              <w:rPr>
                <w:rFonts w:hint="eastAsia" w:ascii="仿宋" w:hAnsi="仿宋" w:eastAsia="仿宋" w:cs="仿宋"/>
                <w:color w:val="auto"/>
                <w:sz w:val="24"/>
                <w:szCs w:val="24"/>
                <w:highlight w:val="none"/>
                <w:lang w:val="en-US" w:eastAsia="zh-CN"/>
              </w:rPr>
              <w:t>的最低价</w:t>
            </w:r>
            <w:r>
              <w:rPr>
                <w:rFonts w:hint="default" w:ascii="仿宋" w:hAnsi="仿宋" w:eastAsia="仿宋" w:cs="仿宋"/>
                <w:color w:val="auto"/>
                <w:sz w:val="24"/>
                <w:szCs w:val="24"/>
                <w:highlight w:val="none"/>
                <w:lang w:val="en-US" w:eastAsia="zh-CN"/>
              </w:rPr>
              <w:t>为评审基准价，其价格分为满分。其他供应商的报价得分按照下列公式计算：</w:t>
            </w:r>
            <w:r>
              <w:rPr>
                <w:rFonts w:hint="eastAsia" w:ascii="仿宋" w:hAnsi="仿宋" w:eastAsia="仿宋" w:cs="仿宋"/>
                <w:color w:val="auto"/>
                <w:sz w:val="24"/>
                <w:szCs w:val="24"/>
                <w:highlight w:val="none"/>
              </w:rPr>
              <w:t>（基准价/报价）*</w:t>
            </w:r>
            <w:r>
              <w:rPr>
                <w:rFonts w:hint="eastAsia" w:ascii="仿宋" w:hAnsi="仿宋" w:eastAsia="仿宋" w:cs="仿宋"/>
                <w:color w:val="auto"/>
                <w:sz w:val="24"/>
                <w:szCs w:val="24"/>
                <w:highlight w:val="none"/>
                <w:lang w:val="en-US" w:eastAsia="zh-CN"/>
              </w:rPr>
              <w:t>30</w:t>
            </w:r>
          </w:p>
        </w:tc>
        <w:tc>
          <w:tcPr>
            <w:tcW w:w="486" w:type="pct"/>
            <w:tcBorders>
              <w:top w:val="single" w:color="auto" w:sz="4" w:space="0"/>
              <w:left w:val="single" w:color="auto" w:sz="4" w:space="0"/>
              <w:bottom w:val="single" w:color="auto" w:sz="4" w:space="0"/>
              <w:right w:val="single" w:color="auto" w:sz="4" w:space="0"/>
            </w:tcBorders>
            <w:vAlign w:val="center"/>
          </w:tcPr>
          <w:p w14:paraId="40F16A6A">
            <w:pPr>
              <w:keepNext w:val="0"/>
              <w:keepLines w:val="0"/>
              <w:pageBreakBefore w:val="0"/>
              <w:widowControl w:val="0"/>
              <w:kinsoku/>
              <w:overflowPunct/>
              <w:autoSpaceDE/>
              <w:autoSpaceDN/>
              <w:bidi w:val="0"/>
              <w:spacing w:line="360" w:lineRule="auto"/>
              <w:jc w:val="center"/>
              <w:textAlignment w:val="auto"/>
              <w:rPr>
                <w:rFonts w:ascii="仿宋" w:hAnsi="仿宋" w:eastAsia="仿宋" w:cs="仿宋"/>
                <w:sz w:val="24"/>
                <w:szCs w:val="24"/>
              </w:rPr>
            </w:pPr>
          </w:p>
        </w:tc>
      </w:tr>
      <w:tr w14:paraId="2EA6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39ADC8D1">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sz w:val="24"/>
                <w:szCs w:val="24"/>
              </w:rPr>
            </w:pPr>
            <w:r>
              <w:rPr>
                <w:rFonts w:hint="eastAsia" w:ascii="仿宋" w:hAnsi="仿宋" w:eastAsia="仿宋" w:cs="仿宋"/>
                <w:sz w:val="24"/>
                <w:szCs w:val="24"/>
              </w:rPr>
              <w:t>2</w:t>
            </w:r>
          </w:p>
        </w:tc>
        <w:tc>
          <w:tcPr>
            <w:tcW w:w="429" w:type="pct"/>
            <w:tcBorders>
              <w:top w:val="single" w:color="auto" w:sz="4" w:space="0"/>
              <w:left w:val="single" w:color="auto" w:sz="4" w:space="0"/>
              <w:bottom w:val="single" w:color="auto" w:sz="4" w:space="0"/>
              <w:right w:val="single" w:color="auto" w:sz="4" w:space="0"/>
            </w:tcBorders>
            <w:vAlign w:val="center"/>
          </w:tcPr>
          <w:p w14:paraId="53D2349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r>
              <w:rPr>
                <w:rFonts w:hint="eastAsia" w:ascii="仿宋" w:hAnsi="仿宋" w:eastAsia="仿宋" w:cs="仿宋"/>
                <w:color w:val="auto"/>
                <w:sz w:val="24"/>
                <w:szCs w:val="24"/>
              </w:rPr>
              <w:t>业绩</w:t>
            </w:r>
          </w:p>
        </w:tc>
        <w:tc>
          <w:tcPr>
            <w:tcW w:w="478" w:type="pct"/>
            <w:tcBorders>
              <w:top w:val="single" w:color="auto" w:sz="4" w:space="0"/>
              <w:left w:val="single" w:color="auto" w:sz="4" w:space="0"/>
              <w:bottom w:val="single" w:color="auto" w:sz="4" w:space="0"/>
              <w:right w:val="single" w:color="auto" w:sz="4" w:space="0"/>
            </w:tcBorders>
            <w:vAlign w:val="center"/>
          </w:tcPr>
          <w:p w14:paraId="7C72B84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r>
              <w:rPr>
                <w:rFonts w:hint="eastAsia" w:ascii="仿宋" w:hAnsi="仿宋" w:eastAsia="仿宋" w:cs="仿宋"/>
                <w:color w:val="auto"/>
                <w:sz w:val="24"/>
                <w:szCs w:val="24"/>
                <w:lang w:val="en-US" w:eastAsia="zh-CN"/>
              </w:rPr>
              <w:t>15分</w:t>
            </w:r>
          </w:p>
        </w:tc>
        <w:tc>
          <w:tcPr>
            <w:tcW w:w="3223" w:type="pct"/>
            <w:tcBorders>
              <w:top w:val="single" w:color="auto" w:sz="4" w:space="0"/>
              <w:left w:val="single" w:color="auto" w:sz="4" w:space="0"/>
              <w:bottom w:val="single" w:color="auto" w:sz="4" w:space="0"/>
              <w:right w:val="single" w:color="auto" w:sz="4" w:space="0"/>
            </w:tcBorders>
            <w:vAlign w:val="center"/>
          </w:tcPr>
          <w:p w14:paraId="010A59F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仿宋" w:hAnsi="仿宋" w:eastAsia="仿宋" w:cs="仿宋"/>
                <w:sz w:val="24"/>
                <w:szCs w:val="24"/>
                <w:lang w:val="en-US"/>
              </w:rPr>
            </w:pPr>
            <w:r>
              <w:rPr>
                <w:rFonts w:hint="eastAsia" w:ascii="仿宋" w:hAnsi="仿宋" w:eastAsia="仿宋" w:cs="仿宋"/>
                <w:sz w:val="24"/>
                <w:szCs w:val="24"/>
                <w:lang w:eastAsia="zh-CN"/>
              </w:rPr>
              <w:t>供应商</w:t>
            </w:r>
            <w:r>
              <w:rPr>
                <w:rFonts w:hint="eastAsia" w:ascii="仿宋" w:hAnsi="仿宋" w:eastAsia="仿宋" w:cs="仿宋"/>
                <w:sz w:val="24"/>
                <w:szCs w:val="24"/>
                <w:lang w:val="en-US" w:eastAsia="zh-CN"/>
              </w:rPr>
              <w:t>自</w:t>
            </w:r>
            <w:r>
              <w:rPr>
                <w:rFonts w:ascii="仿宋" w:hAnsi="仿宋" w:eastAsia="仿宋" w:cs="仿宋"/>
                <w:sz w:val="24"/>
                <w:szCs w:val="24"/>
              </w:rPr>
              <w:t>202</w:t>
            </w:r>
            <w:r>
              <w:rPr>
                <w:rFonts w:hint="eastAsia" w:ascii="仿宋" w:hAnsi="仿宋" w:eastAsia="仿宋" w:cs="仿宋"/>
                <w:sz w:val="24"/>
                <w:szCs w:val="24"/>
                <w:lang w:val="en-US" w:eastAsia="zh-CN"/>
              </w:rPr>
              <w:t>3</w:t>
            </w:r>
            <w:r>
              <w:rPr>
                <w:rFonts w:ascii="仿宋" w:hAnsi="仿宋" w:eastAsia="仿宋" w:cs="仿宋"/>
                <w:sz w:val="24"/>
                <w:szCs w:val="24"/>
              </w:rPr>
              <w:t>年1月1日（含1日）至递交</w:t>
            </w:r>
            <w:r>
              <w:rPr>
                <w:rFonts w:hint="eastAsia" w:ascii="仿宋" w:hAnsi="仿宋" w:eastAsia="仿宋" w:cs="仿宋"/>
                <w:sz w:val="24"/>
                <w:szCs w:val="24"/>
                <w:lang w:eastAsia="zh-CN"/>
              </w:rPr>
              <w:t>响应文件</w:t>
            </w:r>
            <w:r>
              <w:rPr>
                <w:rFonts w:ascii="仿宋" w:hAnsi="仿宋" w:eastAsia="仿宋" w:cs="仿宋"/>
                <w:sz w:val="24"/>
                <w:szCs w:val="24"/>
              </w:rPr>
              <w:t>截止之日为止</w:t>
            </w:r>
            <w:r>
              <w:rPr>
                <w:rFonts w:hint="eastAsia" w:ascii="仿宋" w:hAnsi="仿宋" w:eastAsia="仿宋" w:cs="仿宋"/>
                <w:sz w:val="24"/>
                <w:szCs w:val="24"/>
                <w:lang w:val="en-US" w:eastAsia="zh-CN"/>
              </w:rPr>
              <w:t>具有2个</w:t>
            </w:r>
            <w:r>
              <w:rPr>
                <w:rFonts w:ascii="仿宋" w:hAnsi="仿宋" w:eastAsia="仿宋" w:cs="仿宋"/>
                <w:sz w:val="24"/>
                <w:szCs w:val="24"/>
              </w:rPr>
              <w:t>的医疗机构制剂委托配制服务项目业绩</w:t>
            </w:r>
            <w:r>
              <w:rPr>
                <w:rFonts w:hint="eastAsia" w:ascii="仿宋" w:hAnsi="仿宋" w:eastAsia="仿宋" w:cs="仿宋"/>
                <w:sz w:val="24"/>
                <w:szCs w:val="24"/>
                <w:lang w:eastAsia="zh-CN"/>
              </w:rPr>
              <w:t>的</w:t>
            </w:r>
            <w:r>
              <w:rPr>
                <w:rFonts w:hint="eastAsia" w:ascii="仿宋" w:hAnsi="仿宋" w:eastAsia="仿宋" w:cs="仿宋"/>
                <w:sz w:val="24"/>
                <w:szCs w:val="24"/>
                <w:lang w:val="en-US" w:eastAsia="zh-CN"/>
              </w:rPr>
              <w:t>得6分，在此基础上，每多提供1个的业绩得3分。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注：提供合同和在药监系统相关部门进行委托生产配制备案批件的复印件加盖供应商公章。</w:t>
            </w:r>
          </w:p>
        </w:tc>
        <w:tc>
          <w:tcPr>
            <w:tcW w:w="486" w:type="pct"/>
            <w:tcBorders>
              <w:top w:val="single" w:color="auto" w:sz="4" w:space="0"/>
              <w:left w:val="single" w:color="auto" w:sz="4" w:space="0"/>
              <w:bottom w:val="single" w:color="auto" w:sz="4" w:space="0"/>
              <w:right w:val="single" w:color="auto" w:sz="4" w:space="0"/>
            </w:tcBorders>
            <w:vAlign w:val="center"/>
          </w:tcPr>
          <w:p w14:paraId="722656D6">
            <w:pPr>
              <w:keepNext w:val="0"/>
              <w:keepLines w:val="0"/>
              <w:pageBreakBefore w:val="0"/>
              <w:widowControl w:val="0"/>
              <w:numPr>
                <w:numId w:val="0"/>
              </w:numPr>
              <w:kinsoku/>
              <w:wordWrap/>
              <w:overflowPunct/>
              <w:topLinePunct w:val="0"/>
              <w:autoSpaceDE/>
              <w:autoSpaceDN/>
              <w:bidi w:val="0"/>
              <w:adjustRightInd/>
              <w:snapToGrid/>
              <w:spacing w:line="360" w:lineRule="auto"/>
              <w:ind w:leftChars="0"/>
              <w:jc w:val="both"/>
              <w:textAlignment w:val="auto"/>
              <w:rPr>
                <w:rFonts w:ascii="仿宋" w:hAnsi="仿宋" w:eastAsia="仿宋" w:cs="仿宋"/>
                <w:sz w:val="24"/>
                <w:szCs w:val="24"/>
              </w:rPr>
            </w:pPr>
          </w:p>
        </w:tc>
      </w:tr>
      <w:tr w14:paraId="343E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top w:val="single" w:color="auto" w:sz="4" w:space="0"/>
              <w:left w:val="single" w:color="auto" w:sz="4" w:space="0"/>
              <w:right w:val="single" w:color="auto" w:sz="4" w:space="0"/>
            </w:tcBorders>
            <w:vAlign w:val="center"/>
          </w:tcPr>
          <w:p w14:paraId="543229D9">
            <w:pPr>
              <w:keepNext w:val="0"/>
              <w:keepLines w:val="0"/>
              <w:pageBreakBefore w:val="0"/>
              <w:widowControl w:val="0"/>
              <w:kinsoku/>
              <w:overflowPunct/>
              <w:autoSpaceDE/>
              <w:autoSpaceDN/>
              <w:bidi w:val="0"/>
              <w:spacing w:line="360" w:lineRule="auto"/>
              <w:ind w:firstLine="28"/>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429" w:type="pct"/>
            <w:tcBorders>
              <w:top w:val="single" w:color="auto" w:sz="4" w:space="0"/>
              <w:left w:val="single" w:color="auto" w:sz="4" w:space="0"/>
              <w:right w:val="single" w:color="auto" w:sz="4" w:space="0"/>
            </w:tcBorders>
            <w:vAlign w:val="center"/>
          </w:tcPr>
          <w:p w14:paraId="2ADDDEA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团队配置</w:t>
            </w:r>
          </w:p>
        </w:tc>
        <w:tc>
          <w:tcPr>
            <w:tcW w:w="478" w:type="pct"/>
            <w:tcBorders>
              <w:top w:val="single" w:color="auto" w:sz="4" w:space="0"/>
              <w:left w:val="single" w:color="auto" w:sz="4" w:space="0"/>
              <w:bottom w:val="single" w:color="auto" w:sz="4" w:space="0"/>
              <w:right w:val="single" w:color="auto" w:sz="4" w:space="0"/>
            </w:tcBorders>
            <w:vAlign w:val="center"/>
          </w:tcPr>
          <w:p w14:paraId="7A076A0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3223" w:type="pct"/>
            <w:tcBorders>
              <w:top w:val="single" w:color="auto" w:sz="4" w:space="0"/>
              <w:left w:val="single" w:color="auto" w:sz="4" w:space="0"/>
              <w:bottom w:val="single" w:color="auto" w:sz="4" w:space="0"/>
              <w:right w:val="single" w:color="auto" w:sz="4" w:space="0"/>
            </w:tcBorders>
            <w:vAlign w:val="center"/>
          </w:tcPr>
          <w:p w14:paraId="57E2581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仿宋" w:hAnsi="仿宋" w:eastAsia="仿宋" w:cs="仿宋"/>
                <w:sz w:val="24"/>
                <w:szCs w:val="24"/>
              </w:rPr>
            </w:pPr>
            <w:r>
              <w:rPr>
                <w:rFonts w:hint="eastAsia" w:ascii="仿宋" w:hAnsi="仿宋" w:eastAsia="仿宋" w:cs="仿宋"/>
                <w:sz w:val="24"/>
                <w:szCs w:val="24"/>
                <w:lang w:eastAsia="zh-CN"/>
              </w:rPr>
              <w:t>供应商</w:t>
            </w:r>
            <w:r>
              <w:rPr>
                <w:rFonts w:ascii="仿宋" w:hAnsi="仿宋" w:eastAsia="仿宋" w:cs="仿宋"/>
                <w:sz w:val="24"/>
                <w:szCs w:val="24"/>
              </w:rPr>
              <w:t>为本项目拟提供的团队成员中：</w:t>
            </w:r>
          </w:p>
          <w:p w14:paraId="5852D0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ascii="仿宋" w:hAnsi="仿宋" w:eastAsia="仿宋" w:cs="仿宋"/>
                <w:sz w:val="24"/>
                <w:szCs w:val="24"/>
              </w:rPr>
            </w:pPr>
            <w:r>
              <w:rPr>
                <w:rFonts w:ascii="仿宋" w:hAnsi="仿宋" w:eastAsia="仿宋" w:cs="仿宋"/>
                <w:kern w:val="2"/>
                <w:sz w:val="24"/>
                <w:szCs w:val="24"/>
                <w:lang w:val="en-US" w:eastAsia="zh-CN" w:bidi="ar-SA"/>
              </w:rPr>
              <w:t>（1）</w:t>
            </w:r>
            <w:r>
              <w:rPr>
                <w:rFonts w:ascii="仿宋" w:hAnsi="仿宋" w:eastAsia="仿宋" w:cs="仿宋"/>
                <w:sz w:val="24"/>
                <w:szCs w:val="24"/>
              </w:rPr>
              <w:t>生产管理负责人（1人）：</w:t>
            </w:r>
            <w:r>
              <w:rPr>
                <w:rFonts w:hint="eastAsia" w:ascii="仿宋" w:hAnsi="仿宋" w:eastAsia="仿宋" w:cs="仿宋"/>
                <w:sz w:val="24"/>
                <w:szCs w:val="24"/>
                <w:lang w:val="en-US" w:eastAsia="zh-CN"/>
              </w:rPr>
              <w:t>具有药学类专业高级（或以上）职称的</w:t>
            </w:r>
            <w:r>
              <w:rPr>
                <w:rFonts w:ascii="仿宋" w:hAnsi="仿宋" w:eastAsia="仿宋" w:cs="仿宋"/>
                <w:sz w:val="24"/>
                <w:szCs w:val="24"/>
              </w:rPr>
              <w:t>，得</w:t>
            </w:r>
            <w:r>
              <w:rPr>
                <w:rFonts w:hint="eastAsia" w:ascii="仿宋" w:hAnsi="仿宋" w:eastAsia="仿宋" w:cs="仿宋"/>
                <w:sz w:val="24"/>
                <w:szCs w:val="24"/>
                <w:lang w:val="en-US" w:eastAsia="zh-CN"/>
              </w:rPr>
              <w:t>5</w:t>
            </w:r>
            <w:r>
              <w:rPr>
                <w:rFonts w:ascii="仿宋" w:hAnsi="仿宋" w:eastAsia="仿宋" w:cs="仿宋"/>
                <w:sz w:val="24"/>
                <w:szCs w:val="24"/>
              </w:rPr>
              <w:t>分。</w:t>
            </w:r>
          </w:p>
          <w:p w14:paraId="7A50AD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ascii="仿宋" w:hAnsi="仿宋" w:eastAsia="仿宋" w:cs="仿宋"/>
                <w:sz w:val="24"/>
                <w:szCs w:val="24"/>
              </w:rPr>
            </w:pPr>
            <w:r>
              <w:rPr>
                <w:rFonts w:ascii="仿宋" w:hAnsi="仿宋" w:eastAsia="仿宋" w:cs="仿宋"/>
                <w:sz w:val="24"/>
                <w:szCs w:val="24"/>
              </w:rPr>
              <w:t>（</w:t>
            </w:r>
            <w:r>
              <w:rPr>
                <w:rFonts w:hint="eastAsia" w:ascii="仿宋" w:hAnsi="仿宋" w:eastAsia="仿宋" w:cs="仿宋"/>
                <w:sz w:val="24"/>
                <w:szCs w:val="24"/>
                <w:lang w:val="en-US" w:eastAsia="zh-CN"/>
              </w:rPr>
              <w:t>2</w:t>
            </w:r>
            <w:r>
              <w:rPr>
                <w:rFonts w:ascii="仿宋" w:hAnsi="仿宋" w:eastAsia="仿宋" w:cs="仿宋"/>
                <w:sz w:val="24"/>
                <w:szCs w:val="24"/>
              </w:rPr>
              <w:t>）质量管理负责人（1人）：</w:t>
            </w:r>
            <w:r>
              <w:rPr>
                <w:rFonts w:hint="eastAsia" w:ascii="仿宋" w:hAnsi="仿宋" w:eastAsia="仿宋" w:cs="仿宋"/>
                <w:sz w:val="24"/>
                <w:szCs w:val="24"/>
                <w:lang w:val="en-US" w:eastAsia="zh-CN"/>
              </w:rPr>
              <w:t>具有药学类专业高级（或以上）职称的</w:t>
            </w:r>
            <w:r>
              <w:rPr>
                <w:rFonts w:ascii="仿宋" w:hAnsi="仿宋" w:eastAsia="仿宋" w:cs="仿宋"/>
                <w:sz w:val="24"/>
                <w:szCs w:val="24"/>
              </w:rPr>
              <w:t>，得</w:t>
            </w:r>
            <w:r>
              <w:rPr>
                <w:rFonts w:hint="eastAsia" w:ascii="仿宋" w:hAnsi="仿宋" w:eastAsia="仿宋" w:cs="仿宋"/>
                <w:sz w:val="24"/>
                <w:szCs w:val="24"/>
                <w:lang w:val="en-US" w:eastAsia="zh-CN"/>
              </w:rPr>
              <w:t>5</w:t>
            </w:r>
            <w:r>
              <w:rPr>
                <w:rFonts w:ascii="仿宋" w:hAnsi="仿宋" w:eastAsia="仿宋" w:cs="仿宋"/>
                <w:sz w:val="24"/>
                <w:szCs w:val="24"/>
              </w:rPr>
              <w:t>分。</w:t>
            </w:r>
          </w:p>
          <w:p w14:paraId="1E18B2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质量授权人（1人）：具有药学类专业高级（或以上）职称的，得5分。</w:t>
            </w:r>
          </w:p>
          <w:p w14:paraId="06FEE6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sz w:val="24"/>
                <w:szCs w:val="24"/>
                <w:lang w:eastAsia="zh-CN"/>
              </w:rPr>
            </w:pPr>
            <w:r>
              <w:rPr>
                <w:rFonts w:ascii="仿宋" w:hAnsi="仿宋" w:eastAsia="仿宋" w:cs="仿宋"/>
                <w:sz w:val="24"/>
                <w:szCs w:val="24"/>
              </w:rPr>
              <w:t>（</w:t>
            </w:r>
            <w:r>
              <w:rPr>
                <w:rFonts w:hint="eastAsia" w:ascii="仿宋" w:hAnsi="仿宋" w:eastAsia="仿宋" w:cs="仿宋"/>
                <w:sz w:val="24"/>
                <w:szCs w:val="24"/>
                <w:lang w:val="en-US" w:eastAsia="zh-CN"/>
              </w:rPr>
              <w:t>4</w:t>
            </w:r>
            <w:r>
              <w:rPr>
                <w:rFonts w:ascii="仿宋" w:hAnsi="仿宋" w:eastAsia="仿宋" w:cs="仿宋"/>
                <w:sz w:val="24"/>
                <w:szCs w:val="24"/>
              </w:rPr>
              <w:t>）团队成员（除生产管理负责人、质量管理负责人以外的其他人员）：</w:t>
            </w:r>
            <w:r>
              <w:rPr>
                <w:rFonts w:hint="eastAsia" w:ascii="仿宋" w:hAnsi="仿宋" w:eastAsia="仿宋" w:cs="仿宋"/>
                <w:sz w:val="24"/>
                <w:szCs w:val="24"/>
                <w:lang w:val="en-US" w:eastAsia="zh-CN"/>
              </w:rPr>
              <w:t>每有1名具有“药学类专业高级（或以上）职称或执业药师或执业中药师专业资格”的</w:t>
            </w:r>
            <w:r>
              <w:rPr>
                <w:rFonts w:ascii="仿宋" w:hAnsi="仿宋" w:eastAsia="仿宋" w:cs="仿宋"/>
                <w:sz w:val="24"/>
                <w:szCs w:val="24"/>
              </w:rPr>
              <w:t>得</w:t>
            </w:r>
            <w:r>
              <w:rPr>
                <w:rFonts w:hint="eastAsia" w:ascii="仿宋" w:hAnsi="仿宋" w:eastAsia="仿宋" w:cs="仿宋"/>
                <w:sz w:val="24"/>
                <w:szCs w:val="24"/>
                <w:lang w:val="en-US" w:eastAsia="zh-CN"/>
              </w:rPr>
              <w:t>5</w:t>
            </w:r>
            <w:r>
              <w:rPr>
                <w:rFonts w:ascii="仿宋" w:hAnsi="仿宋" w:eastAsia="仿宋" w:cs="仿宋"/>
                <w:sz w:val="24"/>
                <w:szCs w:val="24"/>
              </w:rPr>
              <w:t>分，最高10分</w:t>
            </w:r>
            <w:r>
              <w:rPr>
                <w:rFonts w:hint="eastAsia" w:ascii="仿宋" w:hAnsi="仿宋" w:eastAsia="仿宋" w:cs="仿宋"/>
                <w:sz w:val="24"/>
                <w:szCs w:val="24"/>
                <w:lang w:eastAsia="zh-CN"/>
              </w:rPr>
              <w:t>。</w:t>
            </w:r>
          </w:p>
          <w:p w14:paraId="6A219F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①以上人员不重复计算。同一人有多个证书的，只计算一次。②须人员有效的身份证扫描件、有效的职称证书扫描件，同时提供以上人员在职证明或合法雇佣关系证明并加盖供应商公章，未提供或未按要求提供证明材料的不得分。</w:t>
            </w:r>
          </w:p>
        </w:tc>
        <w:tc>
          <w:tcPr>
            <w:tcW w:w="486" w:type="pct"/>
            <w:tcBorders>
              <w:top w:val="single" w:color="auto" w:sz="4" w:space="0"/>
              <w:left w:val="single" w:color="auto" w:sz="4" w:space="0"/>
              <w:bottom w:val="single" w:color="auto" w:sz="4" w:space="0"/>
              <w:right w:val="single" w:color="auto" w:sz="4" w:space="0"/>
            </w:tcBorders>
            <w:vAlign w:val="center"/>
          </w:tcPr>
          <w:p w14:paraId="5BEC0CC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p>
        </w:tc>
      </w:tr>
      <w:tr w14:paraId="6833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left w:val="single" w:color="auto" w:sz="4" w:space="0"/>
              <w:right w:val="single" w:color="auto" w:sz="4" w:space="0"/>
            </w:tcBorders>
            <w:vAlign w:val="center"/>
          </w:tcPr>
          <w:p w14:paraId="3FD35AF3">
            <w:pPr>
              <w:keepNext w:val="0"/>
              <w:keepLines w:val="0"/>
              <w:pageBreakBefore w:val="0"/>
              <w:widowControl w:val="0"/>
              <w:kinsoku/>
              <w:overflowPunct/>
              <w:autoSpaceDE/>
              <w:autoSpaceDN/>
              <w:bidi w:val="0"/>
              <w:spacing w:line="360" w:lineRule="auto"/>
              <w:ind w:firstLine="28"/>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429" w:type="pct"/>
            <w:tcBorders>
              <w:left w:val="single" w:color="auto" w:sz="4" w:space="0"/>
              <w:right w:val="single" w:color="auto" w:sz="4" w:space="0"/>
            </w:tcBorders>
            <w:vAlign w:val="center"/>
          </w:tcPr>
          <w:p w14:paraId="06AF49A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r>
              <w:rPr>
                <w:rFonts w:hint="eastAsia" w:ascii="仿宋" w:hAnsi="仿宋" w:eastAsia="仿宋" w:cs="仿宋"/>
                <w:sz w:val="24"/>
                <w:szCs w:val="24"/>
                <w:lang w:val="en-US" w:eastAsia="zh-CN"/>
              </w:rPr>
              <w:t>质量管理方案</w:t>
            </w:r>
          </w:p>
        </w:tc>
        <w:tc>
          <w:tcPr>
            <w:tcW w:w="478" w:type="pct"/>
            <w:tcBorders>
              <w:top w:val="single" w:color="auto" w:sz="4" w:space="0"/>
              <w:left w:val="single" w:color="auto" w:sz="4" w:space="0"/>
              <w:bottom w:val="single" w:color="auto" w:sz="4" w:space="0"/>
              <w:right w:val="single" w:color="auto" w:sz="4" w:space="0"/>
            </w:tcBorders>
            <w:vAlign w:val="center"/>
          </w:tcPr>
          <w:p w14:paraId="037C01A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r>
              <w:rPr>
                <w:rFonts w:hint="eastAsia" w:ascii="仿宋" w:hAnsi="仿宋" w:eastAsia="仿宋" w:cs="仿宋"/>
                <w:color w:val="auto"/>
                <w:sz w:val="24"/>
                <w:szCs w:val="24"/>
                <w:lang w:val="en-US" w:eastAsia="zh-CN"/>
              </w:rPr>
              <w:t>7.5分</w:t>
            </w:r>
          </w:p>
        </w:tc>
        <w:tc>
          <w:tcPr>
            <w:tcW w:w="3223" w:type="pct"/>
            <w:tcBorders>
              <w:top w:val="single" w:color="auto" w:sz="4" w:space="0"/>
              <w:left w:val="single" w:color="auto" w:sz="4" w:space="0"/>
              <w:bottom w:val="single" w:color="auto" w:sz="4" w:space="0"/>
              <w:right w:val="single" w:color="auto" w:sz="4" w:space="0"/>
            </w:tcBorders>
            <w:vAlign w:val="center"/>
          </w:tcPr>
          <w:p w14:paraId="6533BF01">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供应商提供的</w:t>
            </w:r>
            <w:r>
              <w:rPr>
                <w:rFonts w:hint="eastAsia" w:ascii="仿宋" w:hAnsi="仿宋" w:eastAsia="仿宋" w:cs="仿宋"/>
                <w:color w:val="auto"/>
                <w:sz w:val="24"/>
                <w:szCs w:val="24"/>
                <w:lang w:val="en-US" w:eastAsia="zh-CN"/>
              </w:rPr>
              <w:t>质量管理方案</w:t>
            </w:r>
            <w:r>
              <w:rPr>
                <w:rFonts w:hint="eastAsia" w:ascii="仿宋" w:hAnsi="仿宋" w:eastAsia="仿宋" w:cs="仿宋"/>
                <w:color w:val="auto"/>
                <w:sz w:val="24"/>
                <w:szCs w:val="24"/>
              </w:rPr>
              <w:t>包括</w:t>
            </w:r>
            <w:r>
              <w:rPr>
                <w:rFonts w:hint="eastAsia" w:ascii="仿宋" w:hAnsi="仿宋" w:eastAsia="仿宋" w:cs="仿宋"/>
                <w:color w:val="auto"/>
                <w:sz w:val="24"/>
                <w:szCs w:val="24"/>
                <w:lang w:val="en-US" w:eastAsia="zh-CN"/>
              </w:rPr>
              <w:t>①部门管理方案（至少包含独立的采购、生产、检验等专业部门的管理方案）；②仪器运行方案（至少包含厂房、生产线、库房、设施设备、生产和检验的仪器运行方案）；③人员职责及分工方案；④生产质量管理方案；⑤生产工艺单、质检报告方案。</w:t>
            </w:r>
            <w:r>
              <w:rPr>
                <w:rFonts w:hint="eastAsia" w:ascii="仿宋" w:hAnsi="仿宋" w:eastAsia="仿宋" w:cs="仿宋"/>
                <w:color w:val="auto"/>
                <w:sz w:val="24"/>
                <w:szCs w:val="24"/>
              </w:rPr>
              <w:t>方案内容齐全且没有缺陷的得</w:t>
            </w:r>
            <w:r>
              <w:rPr>
                <w:rFonts w:hint="eastAsia" w:ascii="仿宋" w:hAnsi="仿宋" w:eastAsia="仿宋" w:cs="仿宋"/>
                <w:color w:val="auto"/>
                <w:sz w:val="24"/>
                <w:szCs w:val="24"/>
                <w:lang w:val="en-US" w:eastAsia="zh-CN"/>
              </w:rPr>
              <w:t>7.5</w:t>
            </w:r>
            <w:r>
              <w:rPr>
                <w:rFonts w:hint="eastAsia" w:ascii="仿宋" w:hAnsi="仿宋" w:eastAsia="仿宋" w:cs="仿宋"/>
                <w:color w:val="auto"/>
                <w:sz w:val="24"/>
                <w:szCs w:val="24"/>
              </w:rPr>
              <w:t>分，每有一项内容缺失扣</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分，每有一处内容有缺陷或内容表述不完整的扣</w:t>
            </w:r>
            <w:r>
              <w:rPr>
                <w:rFonts w:hint="eastAsia" w:ascii="仿宋" w:hAnsi="仿宋" w:eastAsia="仿宋" w:cs="仿宋"/>
                <w:color w:val="auto"/>
                <w:sz w:val="24"/>
                <w:szCs w:val="24"/>
                <w:lang w:val="en-US" w:eastAsia="zh-CN"/>
              </w:rPr>
              <w:t>0.75</w:t>
            </w:r>
            <w:r>
              <w:rPr>
                <w:rFonts w:hint="eastAsia" w:ascii="仿宋" w:hAnsi="仿宋" w:eastAsia="仿宋" w:cs="仿宋"/>
                <w:color w:val="auto"/>
                <w:sz w:val="24"/>
                <w:szCs w:val="24"/>
              </w:rPr>
              <w:t>分，直至本项分值扣完为止。</w:t>
            </w:r>
          </w:p>
          <w:p w14:paraId="24F32DD1">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注：注：缺陷</w:t>
            </w:r>
            <w:r>
              <w:rPr>
                <w:rFonts w:hint="eastAsia" w:ascii="仿宋" w:hAnsi="仿宋" w:eastAsia="仿宋" w:cs="仿宋"/>
                <w:color w:val="auto"/>
                <w:sz w:val="24"/>
                <w:szCs w:val="24"/>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486" w:type="pct"/>
            <w:tcBorders>
              <w:top w:val="single" w:color="auto" w:sz="4" w:space="0"/>
              <w:left w:val="single" w:color="auto" w:sz="4" w:space="0"/>
              <w:bottom w:val="single" w:color="auto" w:sz="4" w:space="0"/>
              <w:right w:val="single" w:color="auto" w:sz="4" w:space="0"/>
            </w:tcBorders>
            <w:vAlign w:val="center"/>
          </w:tcPr>
          <w:p w14:paraId="68E0B80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p>
        </w:tc>
      </w:tr>
      <w:tr w14:paraId="1D93D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left w:val="single" w:color="auto" w:sz="4" w:space="0"/>
              <w:right w:val="single" w:color="auto" w:sz="4" w:space="0"/>
            </w:tcBorders>
            <w:vAlign w:val="center"/>
          </w:tcPr>
          <w:p w14:paraId="7CF448B2">
            <w:pPr>
              <w:keepNext w:val="0"/>
              <w:keepLines w:val="0"/>
              <w:pageBreakBefore w:val="0"/>
              <w:widowControl w:val="0"/>
              <w:kinsoku/>
              <w:overflowPunct/>
              <w:autoSpaceDE/>
              <w:autoSpaceDN/>
              <w:bidi w:val="0"/>
              <w:spacing w:line="360" w:lineRule="auto"/>
              <w:ind w:firstLine="28"/>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429" w:type="pct"/>
            <w:tcBorders>
              <w:left w:val="single" w:color="auto" w:sz="4" w:space="0"/>
              <w:right w:val="single" w:color="auto" w:sz="4" w:space="0"/>
            </w:tcBorders>
            <w:vAlign w:val="center"/>
          </w:tcPr>
          <w:p w14:paraId="0A34288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sz w:val="24"/>
                <w:szCs w:val="24"/>
                <w:lang w:val="en-US" w:eastAsia="zh-CN"/>
              </w:rPr>
              <w:t>实施方案</w:t>
            </w:r>
          </w:p>
        </w:tc>
        <w:tc>
          <w:tcPr>
            <w:tcW w:w="478" w:type="pct"/>
            <w:tcBorders>
              <w:top w:val="single" w:color="auto" w:sz="4" w:space="0"/>
              <w:left w:val="single" w:color="auto" w:sz="4" w:space="0"/>
              <w:bottom w:val="single" w:color="auto" w:sz="4" w:space="0"/>
              <w:right w:val="single" w:color="auto" w:sz="4" w:space="0"/>
            </w:tcBorders>
            <w:vAlign w:val="center"/>
          </w:tcPr>
          <w:p w14:paraId="399846F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7.5分</w:t>
            </w:r>
          </w:p>
        </w:tc>
        <w:tc>
          <w:tcPr>
            <w:tcW w:w="3223" w:type="pct"/>
            <w:tcBorders>
              <w:top w:val="single" w:color="auto" w:sz="4" w:space="0"/>
              <w:left w:val="single" w:color="auto" w:sz="4" w:space="0"/>
              <w:bottom w:val="single" w:color="auto" w:sz="4" w:space="0"/>
              <w:right w:val="single" w:color="auto" w:sz="4" w:space="0"/>
            </w:tcBorders>
            <w:vAlign w:val="center"/>
          </w:tcPr>
          <w:p w14:paraId="1498D710">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供应商提供的</w:t>
            </w:r>
            <w:r>
              <w:rPr>
                <w:rFonts w:hint="eastAsia" w:ascii="仿宋" w:hAnsi="仿宋" w:eastAsia="仿宋" w:cs="仿宋"/>
                <w:color w:val="auto"/>
                <w:sz w:val="24"/>
                <w:szCs w:val="24"/>
                <w:lang w:val="en-US" w:eastAsia="zh-CN"/>
              </w:rPr>
              <w:t>实施方案</w:t>
            </w:r>
            <w:r>
              <w:rPr>
                <w:rFonts w:hint="eastAsia" w:ascii="仿宋" w:hAnsi="仿宋" w:eastAsia="仿宋" w:cs="仿宋"/>
                <w:color w:val="auto"/>
                <w:sz w:val="24"/>
                <w:szCs w:val="24"/>
              </w:rPr>
              <w:t>包括</w:t>
            </w:r>
            <w:r>
              <w:rPr>
                <w:rFonts w:hint="eastAsia" w:ascii="仿宋" w:hAnsi="仿宋" w:eastAsia="仿宋" w:cs="仿宋"/>
                <w:color w:val="auto"/>
                <w:sz w:val="24"/>
                <w:szCs w:val="24"/>
                <w:lang w:val="en-US" w:eastAsia="zh-CN"/>
              </w:rPr>
              <w:t>①项目生产服务方案；②项目配送服务方案；③项目验收服务方案；④协助办理制剂委托配制备案服务方案；⑤送检服务方案。</w:t>
            </w:r>
            <w:r>
              <w:rPr>
                <w:rFonts w:hint="eastAsia" w:ascii="仿宋" w:hAnsi="仿宋" w:eastAsia="仿宋" w:cs="仿宋"/>
                <w:color w:val="auto"/>
                <w:sz w:val="24"/>
                <w:szCs w:val="24"/>
              </w:rPr>
              <w:t>方案内容齐全且没有缺陷的得</w:t>
            </w:r>
            <w:r>
              <w:rPr>
                <w:rFonts w:hint="eastAsia" w:ascii="仿宋" w:hAnsi="仿宋" w:eastAsia="仿宋" w:cs="仿宋"/>
                <w:color w:val="auto"/>
                <w:sz w:val="24"/>
                <w:szCs w:val="24"/>
                <w:lang w:val="en-US" w:eastAsia="zh-CN"/>
              </w:rPr>
              <w:t>7.5</w:t>
            </w:r>
            <w:r>
              <w:rPr>
                <w:rFonts w:hint="eastAsia" w:ascii="仿宋" w:hAnsi="仿宋" w:eastAsia="仿宋" w:cs="仿宋"/>
                <w:color w:val="auto"/>
                <w:sz w:val="24"/>
                <w:szCs w:val="24"/>
              </w:rPr>
              <w:t>分，每有一项内容缺失扣</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分，每有一处内容有缺陷或内容表述不完整的扣</w:t>
            </w:r>
            <w:r>
              <w:rPr>
                <w:rFonts w:hint="eastAsia" w:ascii="仿宋" w:hAnsi="仿宋" w:eastAsia="仿宋" w:cs="仿宋"/>
                <w:color w:val="auto"/>
                <w:sz w:val="24"/>
                <w:szCs w:val="24"/>
                <w:lang w:val="en-US" w:eastAsia="zh-CN"/>
              </w:rPr>
              <w:t>0.75</w:t>
            </w:r>
            <w:r>
              <w:rPr>
                <w:rFonts w:hint="eastAsia" w:ascii="仿宋" w:hAnsi="仿宋" w:eastAsia="仿宋" w:cs="仿宋"/>
                <w:color w:val="auto"/>
                <w:sz w:val="24"/>
                <w:szCs w:val="24"/>
              </w:rPr>
              <w:t>分，直至本项分值扣完为止。</w:t>
            </w:r>
          </w:p>
          <w:p w14:paraId="5E7B62AB">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注：注：缺陷</w:t>
            </w:r>
            <w:r>
              <w:rPr>
                <w:rFonts w:hint="eastAsia" w:ascii="仿宋" w:hAnsi="仿宋" w:eastAsia="仿宋" w:cs="仿宋"/>
                <w:color w:val="auto"/>
                <w:sz w:val="24"/>
                <w:szCs w:val="24"/>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486" w:type="pct"/>
            <w:tcBorders>
              <w:top w:val="single" w:color="auto" w:sz="4" w:space="0"/>
              <w:left w:val="single" w:color="auto" w:sz="4" w:space="0"/>
              <w:bottom w:val="single" w:color="auto" w:sz="4" w:space="0"/>
              <w:right w:val="single" w:color="auto" w:sz="4" w:space="0"/>
            </w:tcBorders>
            <w:vAlign w:val="center"/>
          </w:tcPr>
          <w:p w14:paraId="5302510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lang w:val="en-US" w:eastAsia="zh-CN"/>
              </w:rPr>
            </w:pPr>
          </w:p>
        </w:tc>
      </w:tr>
      <w:tr w14:paraId="1B5F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3" w:type="pct"/>
            <w:tcBorders>
              <w:left w:val="single" w:color="auto" w:sz="4" w:space="0"/>
              <w:bottom w:val="single" w:color="auto" w:sz="4" w:space="0"/>
              <w:right w:val="single" w:color="auto" w:sz="4" w:space="0"/>
            </w:tcBorders>
            <w:vAlign w:val="center"/>
          </w:tcPr>
          <w:p w14:paraId="758F6DB2">
            <w:pPr>
              <w:keepNext w:val="0"/>
              <w:keepLines w:val="0"/>
              <w:pageBreakBefore w:val="0"/>
              <w:widowControl w:val="0"/>
              <w:kinsoku/>
              <w:overflowPunct/>
              <w:autoSpaceDE/>
              <w:autoSpaceDN/>
              <w:bidi w:val="0"/>
              <w:spacing w:line="360" w:lineRule="auto"/>
              <w:ind w:firstLine="28"/>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429" w:type="pct"/>
            <w:tcBorders>
              <w:left w:val="single" w:color="auto" w:sz="4" w:space="0"/>
              <w:bottom w:val="single" w:color="auto" w:sz="4" w:space="0"/>
              <w:right w:val="single" w:color="auto" w:sz="4" w:space="0"/>
            </w:tcBorders>
            <w:vAlign w:val="center"/>
          </w:tcPr>
          <w:p w14:paraId="6DD7F3E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仪器设备配置</w:t>
            </w:r>
          </w:p>
        </w:tc>
        <w:tc>
          <w:tcPr>
            <w:tcW w:w="478" w:type="pct"/>
            <w:tcBorders>
              <w:top w:val="single" w:color="auto" w:sz="4" w:space="0"/>
              <w:left w:val="single" w:color="auto" w:sz="4" w:space="0"/>
              <w:bottom w:val="single" w:color="auto" w:sz="4" w:space="0"/>
              <w:right w:val="single" w:color="auto" w:sz="4" w:space="0"/>
            </w:tcBorders>
            <w:vAlign w:val="center"/>
          </w:tcPr>
          <w:p w14:paraId="385CC2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15分</w:t>
            </w:r>
          </w:p>
        </w:tc>
        <w:tc>
          <w:tcPr>
            <w:tcW w:w="3223" w:type="pct"/>
            <w:tcBorders>
              <w:top w:val="single" w:color="auto" w:sz="4" w:space="0"/>
              <w:left w:val="single" w:color="auto" w:sz="4" w:space="0"/>
              <w:bottom w:val="single" w:color="auto" w:sz="4" w:space="0"/>
              <w:right w:val="single" w:color="auto" w:sz="4" w:space="0"/>
            </w:tcBorders>
            <w:vAlign w:val="center"/>
          </w:tcPr>
          <w:p w14:paraId="41E1DF1B">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供应商所配备的制剂车间设备在满足谈判文件实质性要求的基础上，每额外提供以下六类设备中的任意一类（须满足指定规格要求），得2.5分，本项最高得分为15分。</w:t>
            </w:r>
          </w:p>
          <w:p w14:paraId="27D8A59F">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设备名称：1.提取罐（3000L（含）或以上）、2.减压浓缩器（双效浓缩器或单效浓缩器）、3.醇沉罐、4.制粒设备、5.压片机、6.配液罐（带加热灭菌）</w:t>
            </w:r>
          </w:p>
          <w:p w14:paraId="18A6F09B">
            <w:pPr>
              <w:pStyle w:val="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w:t>
            </w:r>
          </w:p>
          <w:p w14:paraId="64CE7078">
            <w:pPr>
              <w:pStyle w:val="7"/>
              <w:keepNext w:val="0"/>
              <w:keepLines w:val="0"/>
              <w:pageBreakBefore w:val="0"/>
              <w:widowControl w:val="0"/>
              <w:numPr>
                <w:ilvl w:val="0"/>
                <w:numId w:val="12"/>
              </w:numPr>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需提供设备清单及设备证明材料（若是供应商自有设备，需提供设备照片、对应设备铭牌照片、对应设备购买发票（或购买合同）；若是供应商租赁设备，需提供设备照片、对应设备铭牌照片、租赁合同（合同期限须覆盖本项目服务期限。）），并加盖供应商公章。</w:t>
            </w:r>
          </w:p>
          <w:p w14:paraId="4AFF6E68">
            <w:pPr>
              <w:pStyle w:val="7"/>
              <w:keepNext w:val="0"/>
              <w:keepLines w:val="0"/>
              <w:pageBreakBefore w:val="0"/>
              <w:widowControl w:val="0"/>
              <w:numPr>
                <w:ilvl w:val="0"/>
                <w:numId w:val="12"/>
              </w:numPr>
              <w:kinsoku/>
              <w:wordWrap/>
              <w:overflowPunct/>
              <w:topLinePunct w:val="0"/>
              <w:autoSpaceDE/>
              <w:autoSpaceDN/>
              <w:bidi w:val="0"/>
              <w:adjustRightInd/>
              <w:snapToGrid/>
              <w:spacing w:after="0" w:line="360" w:lineRule="auto"/>
              <w:ind w:left="0" w:leftChars="0" w:firstLine="0" w:firstLineChars="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上述六类设备，每类仅限计分一次，满分2.5分；同一类别设备即使</w:t>
            </w:r>
            <w:r>
              <w:rPr>
                <w:rFonts w:hint="eastAsia" w:ascii="仿宋" w:hAnsi="仿宋" w:eastAsia="仿宋" w:cs="仿宋"/>
                <w:color w:val="auto"/>
                <w:sz w:val="24"/>
                <w:szCs w:val="24"/>
                <w:lang w:val="en-US" w:eastAsia="zh-CN"/>
              </w:rPr>
              <w:t>额外</w:t>
            </w:r>
            <w:r>
              <w:rPr>
                <w:rFonts w:hint="default" w:ascii="仿宋" w:hAnsi="仿宋" w:eastAsia="仿宋" w:cs="仿宋"/>
                <w:color w:val="auto"/>
                <w:sz w:val="24"/>
                <w:szCs w:val="24"/>
                <w:lang w:val="en-US" w:eastAsia="zh-CN"/>
              </w:rPr>
              <w:t>提供多台，不重复计分。</w:t>
            </w:r>
          </w:p>
        </w:tc>
        <w:tc>
          <w:tcPr>
            <w:tcW w:w="486" w:type="pct"/>
            <w:tcBorders>
              <w:top w:val="single" w:color="auto" w:sz="4" w:space="0"/>
              <w:left w:val="single" w:color="auto" w:sz="4" w:space="0"/>
              <w:right w:val="single" w:color="auto" w:sz="4" w:space="0"/>
            </w:tcBorders>
            <w:vAlign w:val="center"/>
          </w:tcPr>
          <w:p w14:paraId="584BBD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lang w:val="en-US" w:eastAsia="zh-CN"/>
              </w:rPr>
            </w:pPr>
          </w:p>
        </w:tc>
      </w:tr>
    </w:tbl>
    <w:p w14:paraId="320A839F">
      <w:pPr>
        <w:rPr>
          <w:rFonts w:hint="eastAsia" w:ascii="Times New Roman" w:hAnsi="Times New Roman" w:cs="Times New Roman" w:eastAsiaTheme="minorEastAsia"/>
          <w:sz w:val="24"/>
          <w:szCs w:val="24"/>
          <w:lang w:eastAsia="zh-CN"/>
        </w:rPr>
      </w:pPr>
      <w:r>
        <w:rPr>
          <w:rFonts w:ascii="Times New Roman" w:hAnsi="Times New Roman" w:cs="Times New Roman"/>
          <w:sz w:val="24"/>
          <w:szCs w:val="24"/>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3558"/>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3023"/>
      <w:bookmarkStart w:id="50" w:name="_Toc16029"/>
      <w:bookmarkStart w:id="51" w:name="_Toc14829"/>
      <w:bookmarkStart w:id="52" w:name="_Toc21519"/>
      <w:bookmarkStart w:id="53" w:name="_Toc11352"/>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numPr>
          <w:ilvl w:val="0"/>
          <w:numId w:val="0"/>
        </w:numPr>
        <w:ind w:left="0" w:leftChars="0" w:firstLine="0" w:firstLineChars="0"/>
      </w:pPr>
      <w:r>
        <w:rPr>
          <w:rFonts w:hint="eastAsia" w:cs="Times New Roman"/>
          <w:b/>
          <w:kern w:val="2"/>
          <w:sz w:val="32"/>
          <w:szCs w:val="22"/>
          <w:lang w:val="en-US" w:eastAsia="zh-CN" w:bidi="ar-SA"/>
        </w:rPr>
        <w:t>一</w:t>
      </w:r>
      <w:r>
        <w:rPr>
          <w:rFonts w:hint="eastAsia" w:ascii="Times New Roman" w:hAnsi="Times New Roman" w:eastAsia="仿宋" w:cs="Times New Roman"/>
          <w:b/>
          <w:kern w:val="2"/>
          <w:sz w:val="32"/>
          <w:szCs w:val="22"/>
          <w:lang w:val="zh-CN" w:eastAsia="zh-CN" w:bidi="ar-SA"/>
        </w:rPr>
        <w:t>、</w:t>
      </w: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22676"/>
      <w:bookmarkStart w:id="56" w:name="_Toc4305"/>
      <w:bookmarkStart w:id="57" w:name="_Toc31838"/>
      <w:bookmarkStart w:id="58" w:name="_Toc17857"/>
      <w:r>
        <w:rPr>
          <w:rFonts w:ascii="Times New Roman" w:hAnsi="Times New Roman" w:cs="Times New Roman"/>
        </w:rPr>
        <w:br w:type="page"/>
      </w:r>
    </w:p>
    <w:p w14:paraId="23ED41BF">
      <w:pPr>
        <w:pStyle w:val="3"/>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3380B981">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451B036A">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6AFF9F89">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07A172C6">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10AEC285">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4B3813A0">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36FBEEF1">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148D5135">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60852721">
      <w:pPr>
        <w:pStyle w:val="3"/>
        <w:numPr>
          <w:ilvl w:val="0"/>
          <w:numId w:val="0"/>
        </w:numPr>
        <w:ind w:left="0" w:leftChars="0" w:firstLine="0" w:firstLineChars="0"/>
        <w:rPr>
          <w:rFonts w:hint="eastAsia" w:ascii="Times New Roman" w:hAnsi="Times New Roman" w:eastAsia="仿宋" w:cs="Times New Roman"/>
          <w:b/>
          <w:kern w:val="2"/>
          <w:sz w:val="32"/>
          <w:szCs w:val="28"/>
          <w:lang w:val="zh-CN" w:eastAsia="zh-CN" w:bidi="ar-SA"/>
        </w:rPr>
      </w:pPr>
    </w:p>
    <w:p w14:paraId="1801FEBE">
      <w:pPr>
        <w:pStyle w:val="3"/>
        <w:numPr>
          <w:ilvl w:val="0"/>
          <w:numId w:val="0"/>
        </w:numPr>
        <w:ind w:left="0" w:leftChars="0" w:firstLine="0" w:firstLineChars="0"/>
        <w:rPr>
          <w:rStyle w:val="33"/>
          <w:szCs w:val="28"/>
        </w:rPr>
      </w:pPr>
      <w:r>
        <w:rPr>
          <w:bCs/>
        </w:rPr>
        <w:br w:type="page"/>
      </w:r>
      <w:bookmarkStart w:id="59" w:name="_Toc15613"/>
      <w:bookmarkStart w:id="60" w:name="_Toc27186"/>
      <w:bookmarkStart w:id="61" w:name="_Toc30158"/>
      <w:r>
        <w:rPr>
          <w:rFonts w:hint="eastAsia" w:cs="Times New Roman"/>
          <w:b/>
          <w:kern w:val="2"/>
          <w:sz w:val="32"/>
          <w:szCs w:val="28"/>
          <w:lang w:val="en-US" w:eastAsia="zh-CN" w:bidi="ar-SA"/>
        </w:rPr>
        <w:t>三</w:t>
      </w:r>
      <w:r>
        <w:rPr>
          <w:rFonts w:hint="eastAsia" w:ascii="Times New Roman" w:hAnsi="Times New Roman" w:eastAsia="仿宋" w:cs="Times New Roman"/>
          <w:b/>
          <w:kern w:val="2"/>
          <w:sz w:val="32"/>
          <w:szCs w:val="28"/>
          <w:lang w:val="zh-CN" w:eastAsia="zh-CN" w:bidi="ar-SA"/>
        </w:rPr>
        <w:t>、</w:t>
      </w:r>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numPr>
          <w:ilvl w:val="0"/>
          <w:numId w:val="0"/>
        </w:numPr>
        <w:ind w:left="0" w:leftChars="0" w:firstLine="0" w:firstLineChars="0"/>
        <w:rPr>
          <w:szCs w:val="32"/>
        </w:rPr>
      </w:pPr>
      <w:bookmarkStart w:id="65" w:name="_Toc23146"/>
      <w:bookmarkStart w:id="66" w:name="_Toc15508"/>
      <w:r>
        <w:rPr>
          <w:rFonts w:hint="eastAsia" w:cs="Times New Roman"/>
          <w:b/>
          <w:kern w:val="2"/>
          <w:sz w:val="32"/>
          <w:szCs w:val="32"/>
          <w:lang w:val="en-US"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numPr>
          <w:ilvl w:val="0"/>
          <w:numId w:val="0"/>
        </w:numPr>
        <w:ind w:left="0" w:leftChars="0" w:firstLine="0" w:firstLineChars="0"/>
        <w:rPr>
          <w:szCs w:val="32"/>
        </w:rPr>
      </w:pPr>
      <w:r>
        <w:rPr>
          <w:szCs w:val="32"/>
        </w:rPr>
        <w:br w:type="page"/>
      </w:r>
      <w:bookmarkStart w:id="67" w:name="_Toc25638"/>
      <w:bookmarkStart w:id="68" w:name="_Toc20589"/>
      <w:bookmarkStart w:id="69" w:name="_Toc15526"/>
      <w:bookmarkStart w:id="70" w:name="_Toc27661"/>
      <w:bookmarkStart w:id="71" w:name="_Toc11351"/>
      <w:bookmarkStart w:id="72" w:name="_Toc12015"/>
      <w:r>
        <w:rPr>
          <w:rFonts w:hint="eastAsia" w:cs="Times New Roman"/>
          <w:b/>
          <w:kern w:val="2"/>
          <w:sz w:val="32"/>
          <w:szCs w:val="32"/>
          <w:lang w:val="en-US" w:eastAsia="zh-CN" w:bidi="ar-SA"/>
        </w:rPr>
        <w:t>五</w:t>
      </w:r>
      <w:r>
        <w:rPr>
          <w:rFonts w:hint="eastAsia" w:ascii="Times New Roman" w:hAnsi="Times New Roman" w:eastAsia="仿宋" w:cs="Times New Roman"/>
          <w:b/>
          <w:kern w:val="2"/>
          <w:sz w:val="32"/>
          <w:szCs w:val="32"/>
          <w:lang w:val="zh-CN" w:eastAsia="zh-CN" w:bidi="ar-SA"/>
        </w:rPr>
        <w:t>、</w:t>
      </w:r>
      <w:r>
        <w:rPr>
          <w:rStyle w:val="41"/>
          <w:b/>
        </w:rPr>
        <w:t>法定代表人身份证明书</w:t>
      </w:r>
      <w:bookmarkEnd w:id="67"/>
      <w:bookmarkEnd w:id="68"/>
      <w:bookmarkEnd w:id="69"/>
      <w:bookmarkEnd w:id="70"/>
      <w:bookmarkEnd w:id="71"/>
      <w:bookmarkEnd w:id="72"/>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numPr>
          <w:ilvl w:val="0"/>
          <w:numId w:val="0"/>
        </w:numPr>
        <w:ind w:left="0" w:leftChars="0" w:firstLine="0" w:firstLineChars="0"/>
        <w:rPr>
          <w:szCs w:val="32"/>
        </w:rPr>
      </w:pPr>
      <w:r>
        <w:rPr>
          <w:szCs w:val="32"/>
        </w:rPr>
        <w:br w:type="page"/>
      </w:r>
      <w:bookmarkStart w:id="73" w:name="_Toc26969"/>
      <w:bookmarkStart w:id="74" w:name="_Toc23967"/>
      <w:bookmarkStart w:id="75" w:name="_Toc1074"/>
      <w:bookmarkStart w:id="76" w:name="_Toc12967"/>
      <w:bookmarkStart w:id="77" w:name="_Toc2041"/>
      <w:bookmarkStart w:id="78" w:name="_Toc16435"/>
      <w:r>
        <w:rPr>
          <w:rFonts w:hint="eastAsia" w:cs="Times New Roman"/>
          <w:b/>
          <w:kern w:val="2"/>
          <w:sz w:val="32"/>
          <w:szCs w:val="32"/>
          <w:lang w:val="en-US" w:eastAsia="zh-CN" w:bidi="ar-SA"/>
        </w:rPr>
        <w:t>六</w:t>
      </w:r>
      <w:r>
        <w:rPr>
          <w:rFonts w:hint="eastAsia" w:ascii="Times New Roman" w:hAnsi="Times New Roman" w:eastAsia="仿宋" w:cs="Times New Roman"/>
          <w:b/>
          <w:kern w:val="2"/>
          <w:sz w:val="32"/>
          <w:szCs w:val="32"/>
          <w:lang w:val="zh-CN" w:eastAsia="zh-CN" w:bidi="ar-SA"/>
        </w:rPr>
        <w:t>、</w:t>
      </w:r>
      <w:r>
        <w:rPr>
          <w:rStyle w:val="41"/>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7"/>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numPr>
          <w:ilvl w:val="0"/>
          <w:numId w:val="0"/>
        </w:numPr>
        <w:ind w:left="0" w:leftChars="0" w:firstLine="0" w:firstLineChars="0"/>
        <w:rPr>
          <w:bCs/>
          <w:szCs w:val="32"/>
        </w:rPr>
      </w:pPr>
      <w:r>
        <w:rPr>
          <w:szCs w:val="32"/>
        </w:rPr>
        <w:br w:type="page"/>
      </w:r>
      <w:bookmarkStart w:id="79" w:name="_Toc24806"/>
      <w:bookmarkStart w:id="80" w:name="_Toc28634"/>
      <w:bookmarkStart w:id="81" w:name="_Toc1369"/>
      <w:bookmarkStart w:id="82" w:name="_Toc26839"/>
      <w:bookmarkStart w:id="83" w:name="_Toc21082"/>
      <w:bookmarkStart w:id="84" w:name="_Toc31686"/>
      <w:r>
        <w:rPr>
          <w:rFonts w:hint="eastAsia" w:cs="Times New Roman"/>
          <w:b/>
          <w:bCs/>
          <w:kern w:val="2"/>
          <w:sz w:val="32"/>
          <w:szCs w:val="32"/>
          <w:lang w:val="en-US" w:eastAsia="zh-CN" w:bidi="ar-SA"/>
        </w:rPr>
        <w:t>七</w:t>
      </w:r>
      <w:r>
        <w:rPr>
          <w:rFonts w:hint="eastAsia" w:ascii="Times New Roman" w:hAnsi="Times New Roman" w:eastAsia="仿宋" w:cs="Times New Roman"/>
          <w:b/>
          <w:bCs/>
          <w:kern w:val="2"/>
          <w:sz w:val="32"/>
          <w:szCs w:val="32"/>
          <w:lang w:val="zh-CN" w:eastAsia="zh-CN" w:bidi="ar-SA"/>
        </w:rPr>
        <w:t>、</w:t>
      </w:r>
      <w:r>
        <w:rPr>
          <w:rStyle w:val="41"/>
          <w:b/>
        </w:rPr>
        <w:t>评分需要提供的证明材料</w:t>
      </w:r>
      <w:bookmarkEnd w:id="79"/>
      <w:bookmarkEnd w:id="80"/>
      <w:bookmarkEnd w:id="81"/>
      <w:bookmarkEnd w:id="82"/>
      <w:bookmarkEnd w:id="83"/>
      <w:bookmarkEnd w:id="84"/>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numPr>
          <w:ilvl w:val="0"/>
          <w:numId w:val="0"/>
        </w:numPr>
        <w:ind w:left="0" w:leftChars="0" w:firstLine="0" w:firstLineChars="0"/>
      </w:pPr>
      <w:bookmarkStart w:id="88" w:name="_Toc15065"/>
      <w:r>
        <w:rPr>
          <w:rFonts w:hint="eastAsia" w:cs="Times New Roman"/>
          <w:b/>
          <w:kern w:val="2"/>
          <w:sz w:val="32"/>
          <w:szCs w:val="22"/>
          <w:lang w:val="en-US" w:eastAsia="zh-CN" w:bidi="ar-SA"/>
        </w:rPr>
        <w:t>八</w:t>
      </w:r>
      <w:r>
        <w:rPr>
          <w:rFonts w:hint="eastAsia" w:ascii="Times New Roman" w:hAnsi="Times New Roman" w:eastAsia="仿宋" w:cs="Times New Roman"/>
          <w:b/>
          <w:kern w:val="2"/>
          <w:sz w:val="32"/>
          <w:szCs w:val="22"/>
          <w:lang w:val="zh-CN" w:eastAsia="zh-CN" w:bidi="ar-SA"/>
        </w:rPr>
        <w:t>、</w:t>
      </w:r>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ascii="宋体" w:hAnsi="宋体" w:eastAsia="宋体" w:cs="Times New Roman"/>
          <w:b/>
          <w:bCs/>
          <w:szCs w:val="21"/>
          <w:lang w:val="zh-TW" w:eastAsia="zh-TW"/>
        </w:rPr>
        <w:t>所有报价均用人民币表示。运输、安装、调试、检验、培训、调换、差旅费、交通费</w:t>
      </w:r>
      <w:r>
        <w:rPr>
          <w:rFonts w:hint="eastAsia" w:ascii="宋体" w:hAnsi="宋体" w:eastAsia="宋体" w:cs="Times New Roman"/>
          <w:b/>
          <w:bCs/>
          <w:szCs w:val="21"/>
          <w:lang w:val="zh-TW" w:eastAsia="zh-CN"/>
        </w:rPr>
        <w:t>、</w:t>
      </w:r>
      <w:r>
        <w:rPr>
          <w:rFonts w:ascii="宋体" w:hAnsi="宋体" w:eastAsia="宋体" w:cs="Times New Roman"/>
          <w:b/>
          <w:bCs/>
          <w:szCs w:val="21"/>
          <w:lang w:val="zh-TW" w:eastAsia="zh-TW"/>
        </w:rPr>
        <w:t>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5059"/>
        <w:gridCol w:w="2083"/>
        <w:gridCol w:w="1503"/>
      </w:tblGrid>
      <w:tr w14:paraId="71D3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04" w:type="pct"/>
          </w:tcPr>
          <w:p w14:paraId="22B31D3D">
            <w:pPr>
              <w:pStyle w:val="7"/>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序号</w:t>
            </w:r>
          </w:p>
        </w:tc>
        <w:tc>
          <w:tcPr>
            <w:tcW w:w="2572" w:type="pct"/>
          </w:tcPr>
          <w:p w14:paraId="49C04466">
            <w:pPr>
              <w:pStyle w:val="7"/>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报价内容</w:t>
            </w:r>
          </w:p>
        </w:tc>
        <w:tc>
          <w:tcPr>
            <w:tcW w:w="1059" w:type="pct"/>
          </w:tcPr>
          <w:p w14:paraId="3AB602FF">
            <w:pPr>
              <w:pStyle w:val="7"/>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报价（元）</w:t>
            </w:r>
          </w:p>
        </w:tc>
        <w:tc>
          <w:tcPr>
            <w:tcW w:w="764" w:type="pct"/>
          </w:tcPr>
          <w:p w14:paraId="50913C69">
            <w:pPr>
              <w:pStyle w:val="7"/>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备注</w:t>
            </w:r>
          </w:p>
        </w:tc>
      </w:tr>
      <w:tr w14:paraId="090A1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8" w:hRule="atLeast"/>
        </w:trPr>
        <w:tc>
          <w:tcPr>
            <w:tcW w:w="604" w:type="pct"/>
            <w:vAlign w:val="center"/>
          </w:tcPr>
          <w:p w14:paraId="0455A687">
            <w:pPr>
              <w:pStyle w:val="7"/>
              <w:keepNext w:val="0"/>
              <w:keepLines w:val="0"/>
              <w:pageBreakBefore w:val="0"/>
              <w:kinsoku/>
              <w:wordWrap/>
              <w:overflowPunct/>
              <w:topLinePunct w:val="0"/>
              <w:autoSpaceDE/>
              <w:autoSpaceDN/>
              <w:bidi w:val="0"/>
              <w:adjustRightInd/>
              <w:snapToGrid/>
              <w:spacing w:beforeAutospacing="0" w:after="0" w:afterAutospacing="0" w:line="400" w:lineRule="exact"/>
              <w:jc w:val="center"/>
              <w:textAlignment w:val="auto"/>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1</w:t>
            </w:r>
          </w:p>
        </w:tc>
        <w:tc>
          <w:tcPr>
            <w:tcW w:w="2572" w:type="pct"/>
            <w:vAlign w:val="center"/>
          </w:tcPr>
          <w:p w14:paraId="3B087DC7">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400" w:lineRule="exact"/>
              <w:ind w:left="0" w:leftChars="0" w:right="0" w:rightChars="0"/>
              <w:jc w:val="center"/>
              <w:textAlignment w:val="auto"/>
              <w:rPr>
                <w:rFonts w:hint="default" w:ascii="宋体" w:hAnsi="宋体" w:eastAsia="宋体" w:cs="宋体"/>
                <w:color w:val="auto"/>
                <w:kern w:val="2"/>
                <w:sz w:val="21"/>
                <w:szCs w:val="21"/>
                <w:u w:color="000000"/>
                <w:lang w:val="en-US" w:eastAsia="zh-CN" w:bidi="ar-SA"/>
              </w:rPr>
            </w:pPr>
            <w:r>
              <w:rPr>
                <w:rFonts w:hint="default" w:ascii="宋体" w:hAnsi="宋体" w:eastAsia="宋体" w:cs="宋体"/>
                <w:color w:val="auto"/>
                <w:kern w:val="2"/>
                <w:sz w:val="21"/>
                <w:szCs w:val="21"/>
                <w:u w:color="000000"/>
                <w:lang w:val="en-US" w:eastAsia="zh-CN" w:bidi="ar-SA"/>
              </w:rPr>
              <w:t>四川省人民医院中药自制制剂加工生产服务</w:t>
            </w:r>
          </w:p>
        </w:tc>
        <w:tc>
          <w:tcPr>
            <w:tcW w:w="1059" w:type="pct"/>
            <w:vAlign w:val="center"/>
          </w:tcPr>
          <w:p w14:paraId="4F0491CC">
            <w:pPr>
              <w:pStyle w:val="7"/>
              <w:keepNext w:val="0"/>
              <w:keepLines w:val="0"/>
              <w:pageBreakBefore w:val="0"/>
              <w:kinsoku/>
              <w:wordWrap/>
              <w:overflowPunct/>
              <w:topLinePunct w:val="0"/>
              <w:autoSpaceDE/>
              <w:autoSpaceDN/>
              <w:bidi w:val="0"/>
              <w:adjustRightInd/>
              <w:snapToGrid/>
              <w:spacing w:beforeAutospacing="0" w:after="0" w:afterAutospacing="0" w:line="400" w:lineRule="exact"/>
              <w:jc w:val="left"/>
              <w:textAlignment w:val="auto"/>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大写：</w:t>
            </w:r>
          </w:p>
          <w:p w14:paraId="52BEA1C3">
            <w:pPr>
              <w:pStyle w:val="7"/>
              <w:keepNext w:val="0"/>
              <w:keepLines w:val="0"/>
              <w:pageBreakBefore w:val="0"/>
              <w:kinsoku/>
              <w:wordWrap/>
              <w:overflowPunct/>
              <w:topLinePunct w:val="0"/>
              <w:autoSpaceDE/>
              <w:autoSpaceDN/>
              <w:bidi w:val="0"/>
              <w:adjustRightInd/>
              <w:snapToGrid/>
              <w:spacing w:beforeAutospacing="0" w:after="0" w:afterAutospacing="0" w:line="400" w:lineRule="exact"/>
              <w:jc w:val="left"/>
              <w:textAlignment w:val="auto"/>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小写：</w:t>
            </w:r>
          </w:p>
        </w:tc>
        <w:tc>
          <w:tcPr>
            <w:tcW w:w="764" w:type="pct"/>
            <w:vAlign w:val="center"/>
          </w:tcPr>
          <w:p w14:paraId="38616F46">
            <w:pPr>
              <w:pStyle w:val="7"/>
              <w:keepNext w:val="0"/>
              <w:keepLines w:val="0"/>
              <w:pageBreakBefore w:val="0"/>
              <w:kinsoku/>
              <w:wordWrap/>
              <w:overflowPunct/>
              <w:topLinePunct w:val="0"/>
              <w:autoSpaceDE/>
              <w:autoSpaceDN/>
              <w:bidi w:val="0"/>
              <w:adjustRightInd/>
              <w:snapToGrid/>
              <w:spacing w:beforeAutospacing="0" w:after="0" w:afterAutospacing="0" w:line="400" w:lineRule="exact"/>
              <w:jc w:val="center"/>
              <w:textAlignment w:val="auto"/>
              <w:rPr>
                <w:rFonts w:hint="default" w:ascii="宋体" w:hAnsi="宋体" w:eastAsia="宋体" w:cs="宋体"/>
                <w:color w:val="auto"/>
                <w:kern w:val="2"/>
                <w:sz w:val="21"/>
                <w:szCs w:val="21"/>
                <w:u w:color="000000"/>
                <w:lang w:val="en-US" w:eastAsia="zh-CN" w:bidi="ar-SA"/>
              </w:rPr>
            </w:pPr>
          </w:p>
        </w:tc>
      </w:tr>
    </w:tbl>
    <w:p w14:paraId="155A088E">
      <w:pPr>
        <w:widowControl/>
        <w:spacing w:line="360" w:lineRule="auto"/>
        <w:jc w:val="left"/>
        <w:rPr>
          <w:rFonts w:hint="eastAsia" w:ascii="仿宋" w:hAnsi="仿宋" w:eastAsia="仿宋" w:cs="仿宋"/>
          <w:sz w:val="24"/>
          <w:szCs w:val="24"/>
          <w:lang w:val="zh-TW"/>
        </w:rPr>
      </w:pPr>
    </w:p>
    <w:p w14:paraId="75013408">
      <w:pPr>
        <w:widowControl/>
        <w:spacing w:line="360" w:lineRule="auto"/>
        <w:jc w:val="left"/>
        <w:rPr>
          <w:rFonts w:hint="eastAsia" w:ascii="仿宋" w:hAnsi="仿宋" w:eastAsia="仿宋" w:cs="仿宋"/>
          <w:sz w:val="24"/>
          <w:szCs w:val="24"/>
          <w:lang w:val="zh-TW"/>
        </w:rPr>
      </w:pPr>
    </w:p>
    <w:p w14:paraId="18EA93EB">
      <w:pPr>
        <w:widowControl/>
        <w:spacing w:line="360" w:lineRule="auto"/>
        <w:jc w:val="left"/>
        <w:rPr>
          <w:rFonts w:ascii="仿宋" w:hAnsi="仿宋" w:eastAsia="仿宋" w:cs="仿宋"/>
          <w:lang w:val="zh-TW" w:eastAsia="zh-TW"/>
        </w:rPr>
      </w:pPr>
      <w:r>
        <w:rPr>
          <w:rFonts w:hint="eastAsia" w:ascii="仿宋" w:hAnsi="仿宋" w:eastAsia="仿宋" w:cs="仿宋"/>
          <w:sz w:val="24"/>
          <w:szCs w:val="24"/>
          <w:lang w:val="zh-TW"/>
        </w:rPr>
        <w:t>供应商</w:t>
      </w:r>
      <w:r>
        <w:rPr>
          <w:rFonts w:hint="eastAsia" w:ascii="仿宋" w:hAnsi="仿宋" w:eastAsia="仿宋" w:cs="仿宋"/>
          <w:sz w:val="24"/>
          <w:szCs w:val="24"/>
          <w:lang w:val="zh-TW" w:eastAsia="zh-TW"/>
        </w:rPr>
        <w:t>名称：                             （供应商公章）</w:t>
      </w:r>
    </w:p>
    <w:p w14:paraId="7A394D7F">
      <w:pPr>
        <w:widowControl/>
        <w:spacing w:line="360" w:lineRule="auto"/>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035F0B02">
      <w:pPr>
        <w:widowControl/>
        <w:spacing w:line="360" w:lineRule="auto"/>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70360797">
      <w:pPr>
        <w:spacing w:line="360" w:lineRule="auto"/>
        <w:jc w:val="left"/>
        <w:rPr>
          <w:rFonts w:ascii="仿宋" w:hAnsi="仿宋" w:eastAsia="仿宋" w:cs="仿宋"/>
          <w:sz w:val="24"/>
          <w:szCs w:val="24"/>
          <w:u w:val="single"/>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p>
    <w:p w14:paraId="1F09BEFD">
      <w:pPr>
        <w:pStyle w:val="7"/>
        <w:rPr>
          <w:rFonts w:ascii="Times New Roman" w:hAnsi="Times New Roman" w:eastAsia="仿宋" w:cs="Times New Roman"/>
          <w:szCs w:val="21"/>
        </w:rPr>
      </w:pPr>
    </w:p>
    <w:p w14:paraId="6B95BC28">
      <w:pPr>
        <w:rPr>
          <w:rFonts w:ascii="Times New Roman" w:hAnsi="Times New Roman" w:eastAsia="仿宋" w:cs="Times New Roman"/>
          <w:sz w:val="24"/>
          <w:szCs w:val="24"/>
          <w:u w:val="single"/>
        </w:rPr>
      </w:pPr>
      <w:bookmarkStart w:id="89" w:name="_Toc29032"/>
      <w:bookmarkStart w:id="90" w:name="_Toc14685"/>
      <w:bookmarkStart w:id="91" w:name="_Toc30002"/>
      <w:r>
        <w:rPr>
          <w:rFonts w:ascii="Times New Roman" w:hAnsi="Times New Roman" w:eastAsia="仿宋" w:cs="Times New Roman"/>
          <w:sz w:val="24"/>
          <w:szCs w:val="24"/>
          <w:u w:val="single"/>
        </w:rPr>
        <w:br w:type="page"/>
      </w:r>
    </w:p>
    <w:p w14:paraId="6A604D34">
      <w:pPr>
        <w:pStyle w:val="3"/>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C169AF9">
      <w:pPr>
        <w:rPr>
          <w:rFonts w:ascii="Times New Roman" w:hAnsi="Times New Roman" w:eastAsia="仿宋" w:cs="Times New Roman"/>
          <w:b/>
          <w:bCs/>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07270B5">
      <w:pPr>
        <w:pStyle w:val="7"/>
        <w:jc w:val="center"/>
        <w:rPr>
          <w:rFonts w:hint="eastAsia" w:ascii="黑体" w:hAnsi="黑体" w:eastAsia="黑体" w:cs="黑体"/>
          <w:sz w:val="48"/>
          <w:szCs w:val="48"/>
        </w:rPr>
      </w:pPr>
    </w:p>
    <w:p w14:paraId="072CF18F">
      <w:pPr>
        <w:pStyle w:val="7"/>
        <w:jc w:val="center"/>
        <w:rPr>
          <w:rFonts w:hint="eastAsia" w:ascii="黑体" w:hAnsi="黑体" w:eastAsia="黑体" w:cs="黑体"/>
          <w:b/>
          <w:bCs/>
          <w:sz w:val="48"/>
          <w:szCs w:val="48"/>
        </w:rPr>
      </w:pPr>
      <w:r>
        <w:rPr>
          <w:rFonts w:hint="eastAsia" w:ascii="黑体" w:hAnsi="黑体" w:eastAsia="黑体" w:cs="黑体"/>
          <w:b/>
          <w:bCs/>
          <w:sz w:val="48"/>
          <w:szCs w:val="48"/>
        </w:rPr>
        <w:t>***服务项目</w:t>
      </w:r>
    </w:p>
    <w:p w14:paraId="0C224F86">
      <w:pPr>
        <w:pStyle w:val="42"/>
        <w:rPr>
          <w:rFonts w:hint="eastAsia" w:ascii="黑体" w:hAnsi="黑体" w:eastAsia="黑体" w:cs="黑体"/>
          <w:b/>
          <w:bCs/>
          <w:sz w:val="48"/>
          <w:szCs w:val="48"/>
        </w:rPr>
      </w:pPr>
      <w:r>
        <w:rPr>
          <w:rFonts w:hint="eastAsia" w:ascii="黑体" w:hAnsi="黑体" w:eastAsia="黑体" w:cs="黑体"/>
          <w:b/>
          <w:bCs/>
          <w:sz w:val="48"/>
          <w:szCs w:val="48"/>
        </w:rPr>
        <w:t>采购合同</w:t>
      </w:r>
    </w:p>
    <w:p w14:paraId="6FF5C819">
      <w:pPr>
        <w:rPr>
          <w:sz w:val="24"/>
        </w:rPr>
        <w:sectPr>
          <w:headerReference r:id="rId6" w:type="default"/>
          <w:footerReference r:id="rId7" w:type="default"/>
          <w:footerReference r:id="rId8" w:type="even"/>
          <w:type w:val="continuous"/>
          <w:pgSz w:w="11906" w:h="16838"/>
          <w:pgMar w:top="1134" w:right="1134" w:bottom="1134" w:left="1134" w:header="850" w:footer="567" w:gutter="0"/>
          <w:pgNumType w:fmt="decimal" w:start="1"/>
          <w:cols w:space="425" w:num="1"/>
          <w:docGrid w:linePitch="312" w:charSpace="0"/>
        </w:sectPr>
      </w:pPr>
    </w:p>
    <w:p w14:paraId="39B7B953">
      <w:pPr>
        <w:adjustRightInd w:val="0"/>
        <w:ind w:firstLine="420" w:firstLineChars="200"/>
        <w:contextualSpacing/>
        <w:jc w:val="left"/>
        <w:rPr>
          <w:color w:val="000000"/>
          <w:szCs w:val="21"/>
        </w:rPr>
      </w:pPr>
    </w:p>
    <w:p w14:paraId="75B5253A">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569E9FFB">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28964A41">
      <w:pPr>
        <w:contextualSpacing/>
        <w:jc w:val="left"/>
        <w:rPr>
          <w:b/>
          <w:szCs w:val="21"/>
        </w:rPr>
      </w:pPr>
    </w:p>
    <w:p w14:paraId="7CE6BDC8">
      <w:pPr>
        <w:pStyle w:val="30"/>
        <w:numPr>
          <w:ilvl w:val="0"/>
          <w:numId w:val="13"/>
        </w:numPr>
        <w:ind w:left="0" w:firstLine="0" w:firstLineChars="0"/>
        <w:contextualSpacing/>
        <w:jc w:val="left"/>
        <w:rPr>
          <w:b/>
          <w:szCs w:val="21"/>
        </w:rPr>
      </w:pPr>
      <w:r>
        <w:rPr>
          <w:b/>
          <w:szCs w:val="21"/>
        </w:rPr>
        <w:t>合同标的</w:t>
      </w:r>
    </w:p>
    <w:p w14:paraId="36A521D0">
      <w:pPr>
        <w:pStyle w:val="10"/>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230D945E">
      <w:pPr>
        <w:pStyle w:val="10"/>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2B87C389">
      <w:pPr>
        <w:pStyle w:val="10"/>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66F3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DDDCA04">
            <w:pPr>
              <w:pStyle w:val="30"/>
              <w:ind w:firstLine="0" w:firstLineChars="0"/>
              <w:jc w:val="center"/>
              <w:rPr>
                <w:color w:val="000000"/>
                <w:szCs w:val="21"/>
              </w:rPr>
            </w:pPr>
            <w:r>
              <w:rPr>
                <w:color w:val="000000"/>
                <w:szCs w:val="21"/>
              </w:rPr>
              <w:t>序号</w:t>
            </w:r>
          </w:p>
        </w:tc>
        <w:tc>
          <w:tcPr>
            <w:tcW w:w="2977" w:type="dxa"/>
            <w:vAlign w:val="center"/>
          </w:tcPr>
          <w:p w14:paraId="3765F683">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16ED0DD7">
            <w:pPr>
              <w:pStyle w:val="30"/>
              <w:ind w:firstLine="0" w:firstLineChars="0"/>
              <w:jc w:val="center"/>
              <w:rPr>
                <w:color w:val="000000"/>
                <w:szCs w:val="21"/>
              </w:rPr>
            </w:pPr>
            <w:r>
              <w:rPr>
                <w:color w:val="000000"/>
                <w:szCs w:val="21"/>
              </w:rPr>
              <w:t>具体内容</w:t>
            </w:r>
          </w:p>
        </w:tc>
        <w:tc>
          <w:tcPr>
            <w:tcW w:w="963" w:type="dxa"/>
            <w:vAlign w:val="center"/>
          </w:tcPr>
          <w:p w14:paraId="10F85E2E">
            <w:pPr>
              <w:pStyle w:val="30"/>
              <w:ind w:firstLine="0" w:firstLineChars="0"/>
              <w:jc w:val="center"/>
              <w:rPr>
                <w:color w:val="000000"/>
                <w:szCs w:val="21"/>
              </w:rPr>
            </w:pPr>
            <w:r>
              <w:rPr>
                <w:color w:val="000000"/>
                <w:szCs w:val="21"/>
              </w:rPr>
              <w:t>分项价格（万元）</w:t>
            </w:r>
          </w:p>
        </w:tc>
        <w:tc>
          <w:tcPr>
            <w:tcW w:w="2016" w:type="dxa"/>
          </w:tcPr>
          <w:p w14:paraId="5FCC7721">
            <w:pPr>
              <w:pStyle w:val="30"/>
              <w:ind w:firstLine="0" w:firstLineChars="0"/>
              <w:jc w:val="center"/>
              <w:rPr>
                <w:color w:val="000000"/>
                <w:szCs w:val="21"/>
              </w:rPr>
            </w:pPr>
            <w:r>
              <w:rPr>
                <w:color w:val="000000"/>
                <w:szCs w:val="21"/>
              </w:rPr>
              <w:t>备注</w:t>
            </w:r>
          </w:p>
        </w:tc>
      </w:tr>
      <w:tr w14:paraId="404D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5AC1382">
            <w:pPr>
              <w:pStyle w:val="30"/>
              <w:ind w:firstLine="0" w:firstLineChars="0"/>
              <w:jc w:val="center"/>
              <w:rPr>
                <w:color w:val="000000"/>
                <w:szCs w:val="21"/>
              </w:rPr>
            </w:pPr>
            <w:r>
              <w:rPr>
                <w:rFonts w:hint="eastAsia"/>
                <w:color w:val="000000"/>
                <w:szCs w:val="21"/>
              </w:rPr>
              <w:t>1</w:t>
            </w:r>
          </w:p>
        </w:tc>
        <w:tc>
          <w:tcPr>
            <w:tcW w:w="2977" w:type="dxa"/>
            <w:vAlign w:val="center"/>
          </w:tcPr>
          <w:p w14:paraId="6B5E68E0">
            <w:pPr>
              <w:pStyle w:val="30"/>
              <w:ind w:firstLine="0" w:firstLineChars="0"/>
              <w:rPr>
                <w:color w:val="000000"/>
                <w:szCs w:val="21"/>
              </w:rPr>
            </w:pPr>
          </w:p>
        </w:tc>
        <w:tc>
          <w:tcPr>
            <w:tcW w:w="3686" w:type="dxa"/>
            <w:vAlign w:val="center"/>
          </w:tcPr>
          <w:p w14:paraId="1CD2CC81">
            <w:pPr>
              <w:pStyle w:val="30"/>
              <w:ind w:firstLine="0" w:firstLineChars="0"/>
              <w:rPr>
                <w:color w:val="000000"/>
                <w:szCs w:val="21"/>
              </w:rPr>
            </w:pPr>
          </w:p>
        </w:tc>
        <w:tc>
          <w:tcPr>
            <w:tcW w:w="963" w:type="dxa"/>
            <w:vAlign w:val="center"/>
          </w:tcPr>
          <w:p w14:paraId="6079B404">
            <w:pPr>
              <w:pStyle w:val="30"/>
              <w:ind w:firstLine="0" w:firstLineChars="0"/>
              <w:jc w:val="center"/>
              <w:rPr>
                <w:color w:val="000000"/>
                <w:szCs w:val="21"/>
              </w:rPr>
            </w:pPr>
          </w:p>
        </w:tc>
        <w:tc>
          <w:tcPr>
            <w:tcW w:w="2016" w:type="dxa"/>
          </w:tcPr>
          <w:p w14:paraId="049FA6CF">
            <w:pPr>
              <w:pStyle w:val="30"/>
              <w:ind w:firstLine="0" w:firstLineChars="0"/>
              <w:rPr>
                <w:color w:val="000000"/>
                <w:szCs w:val="21"/>
              </w:rPr>
            </w:pPr>
          </w:p>
        </w:tc>
      </w:tr>
      <w:tr w14:paraId="555B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317147E">
            <w:pPr>
              <w:pStyle w:val="30"/>
              <w:ind w:firstLine="0" w:firstLineChars="0"/>
              <w:jc w:val="center"/>
              <w:rPr>
                <w:color w:val="000000"/>
                <w:szCs w:val="21"/>
              </w:rPr>
            </w:pPr>
            <w:r>
              <w:rPr>
                <w:rFonts w:hint="eastAsia"/>
                <w:color w:val="000000"/>
                <w:szCs w:val="21"/>
              </w:rPr>
              <w:t>2</w:t>
            </w:r>
          </w:p>
        </w:tc>
        <w:tc>
          <w:tcPr>
            <w:tcW w:w="2977" w:type="dxa"/>
            <w:vAlign w:val="center"/>
          </w:tcPr>
          <w:p w14:paraId="418168C4">
            <w:pPr>
              <w:pStyle w:val="30"/>
              <w:ind w:firstLine="0" w:firstLineChars="0"/>
              <w:rPr>
                <w:color w:val="000000"/>
                <w:szCs w:val="21"/>
              </w:rPr>
            </w:pPr>
          </w:p>
        </w:tc>
        <w:tc>
          <w:tcPr>
            <w:tcW w:w="3686" w:type="dxa"/>
            <w:vAlign w:val="center"/>
          </w:tcPr>
          <w:p w14:paraId="0E60A133">
            <w:pPr>
              <w:pStyle w:val="30"/>
              <w:ind w:firstLine="0" w:firstLineChars="0"/>
              <w:rPr>
                <w:color w:val="000000"/>
                <w:szCs w:val="21"/>
              </w:rPr>
            </w:pPr>
          </w:p>
        </w:tc>
        <w:tc>
          <w:tcPr>
            <w:tcW w:w="963" w:type="dxa"/>
            <w:vAlign w:val="center"/>
          </w:tcPr>
          <w:p w14:paraId="41E3C21C">
            <w:pPr>
              <w:pStyle w:val="30"/>
              <w:ind w:firstLine="0" w:firstLineChars="0"/>
              <w:jc w:val="center"/>
              <w:rPr>
                <w:color w:val="000000"/>
                <w:szCs w:val="21"/>
              </w:rPr>
            </w:pPr>
          </w:p>
        </w:tc>
        <w:tc>
          <w:tcPr>
            <w:tcW w:w="2016" w:type="dxa"/>
          </w:tcPr>
          <w:p w14:paraId="2E7B5A94">
            <w:pPr>
              <w:pStyle w:val="30"/>
              <w:ind w:firstLine="0" w:firstLineChars="0"/>
              <w:rPr>
                <w:color w:val="000000"/>
                <w:szCs w:val="21"/>
              </w:rPr>
            </w:pPr>
          </w:p>
        </w:tc>
      </w:tr>
      <w:tr w14:paraId="2A7A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BB1286B">
            <w:pPr>
              <w:pStyle w:val="30"/>
              <w:ind w:firstLine="0" w:firstLineChars="0"/>
              <w:jc w:val="center"/>
              <w:rPr>
                <w:color w:val="000000"/>
                <w:szCs w:val="21"/>
              </w:rPr>
            </w:pPr>
            <w:r>
              <w:rPr>
                <w:rFonts w:hint="eastAsia"/>
                <w:color w:val="000000"/>
                <w:szCs w:val="21"/>
              </w:rPr>
              <w:t>3</w:t>
            </w:r>
          </w:p>
        </w:tc>
        <w:tc>
          <w:tcPr>
            <w:tcW w:w="2977" w:type="dxa"/>
            <w:vAlign w:val="center"/>
          </w:tcPr>
          <w:p w14:paraId="1F8737AB">
            <w:pPr>
              <w:pStyle w:val="30"/>
              <w:ind w:firstLine="0" w:firstLineChars="0"/>
              <w:rPr>
                <w:color w:val="000000"/>
                <w:szCs w:val="21"/>
              </w:rPr>
            </w:pPr>
          </w:p>
        </w:tc>
        <w:tc>
          <w:tcPr>
            <w:tcW w:w="3686" w:type="dxa"/>
            <w:vAlign w:val="center"/>
          </w:tcPr>
          <w:p w14:paraId="18F76F89">
            <w:pPr>
              <w:pStyle w:val="30"/>
              <w:ind w:firstLine="0" w:firstLineChars="0"/>
              <w:rPr>
                <w:color w:val="000000"/>
                <w:szCs w:val="21"/>
              </w:rPr>
            </w:pPr>
          </w:p>
        </w:tc>
        <w:tc>
          <w:tcPr>
            <w:tcW w:w="963" w:type="dxa"/>
            <w:vAlign w:val="center"/>
          </w:tcPr>
          <w:p w14:paraId="64C2CB78">
            <w:pPr>
              <w:pStyle w:val="30"/>
              <w:ind w:firstLine="0" w:firstLineChars="0"/>
              <w:jc w:val="center"/>
              <w:rPr>
                <w:color w:val="000000"/>
                <w:szCs w:val="21"/>
              </w:rPr>
            </w:pPr>
          </w:p>
        </w:tc>
        <w:tc>
          <w:tcPr>
            <w:tcW w:w="2016" w:type="dxa"/>
          </w:tcPr>
          <w:p w14:paraId="7E20DFA3">
            <w:pPr>
              <w:pStyle w:val="30"/>
              <w:ind w:firstLine="0" w:firstLineChars="0"/>
              <w:rPr>
                <w:color w:val="000000"/>
                <w:szCs w:val="21"/>
              </w:rPr>
            </w:pPr>
          </w:p>
        </w:tc>
      </w:tr>
      <w:tr w14:paraId="1EB0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BC771BE">
            <w:pPr>
              <w:pStyle w:val="30"/>
              <w:ind w:firstLine="0" w:firstLineChars="0"/>
              <w:jc w:val="center"/>
              <w:rPr>
                <w:color w:val="000000"/>
                <w:szCs w:val="21"/>
              </w:rPr>
            </w:pPr>
            <w:r>
              <w:rPr>
                <w:color w:val="000000"/>
                <w:szCs w:val="21"/>
              </w:rPr>
              <w:t>…</w:t>
            </w:r>
          </w:p>
        </w:tc>
        <w:tc>
          <w:tcPr>
            <w:tcW w:w="2977" w:type="dxa"/>
            <w:vAlign w:val="center"/>
          </w:tcPr>
          <w:p w14:paraId="04E5BB11">
            <w:pPr>
              <w:pStyle w:val="30"/>
              <w:ind w:firstLine="0" w:firstLineChars="0"/>
              <w:rPr>
                <w:color w:val="000000"/>
                <w:szCs w:val="21"/>
              </w:rPr>
            </w:pPr>
          </w:p>
        </w:tc>
        <w:tc>
          <w:tcPr>
            <w:tcW w:w="3686" w:type="dxa"/>
            <w:vAlign w:val="center"/>
          </w:tcPr>
          <w:p w14:paraId="2F70214A">
            <w:pPr>
              <w:pStyle w:val="30"/>
              <w:ind w:firstLine="0" w:firstLineChars="0"/>
              <w:rPr>
                <w:color w:val="000000"/>
                <w:szCs w:val="21"/>
              </w:rPr>
            </w:pPr>
          </w:p>
        </w:tc>
        <w:tc>
          <w:tcPr>
            <w:tcW w:w="963" w:type="dxa"/>
            <w:vAlign w:val="center"/>
          </w:tcPr>
          <w:p w14:paraId="6CE5E8BF">
            <w:pPr>
              <w:pStyle w:val="30"/>
              <w:ind w:firstLine="0" w:firstLineChars="0"/>
              <w:jc w:val="center"/>
              <w:rPr>
                <w:color w:val="000000"/>
                <w:szCs w:val="21"/>
              </w:rPr>
            </w:pPr>
          </w:p>
        </w:tc>
        <w:tc>
          <w:tcPr>
            <w:tcW w:w="2016" w:type="dxa"/>
          </w:tcPr>
          <w:p w14:paraId="61CEA681">
            <w:pPr>
              <w:pStyle w:val="30"/>
              <w:ind w:firstLine="0" w:firstLineChars="0"/>
              <w:rPr>
                <w:color w:val="000000"/>
                <w:szCs w:val="21"/>
              </w:rPr>
            </w:pPr>
          </w:p>
        </w:tc>
      </w:tr>
    </w:tbl>
    <w:p w14:paraId="62F83615">
      <w:pPr>
        <w:pStyle w:val="30"/>
        <w:numPr>
          <w:ilvl w:val="0"/>
          <w:numId w:val="13"/>
        </w:numPr>
        <w:ind w:firstLineChars="0"/>
        <w:jc w:val="left"/>
        <w:rPr>
          <w:b/>
          <w:szCs w:val="21"/>
        </w:rPr>
      </w:pPr>
      <w:r>
        <w:rPr>
          <w:b/>
          <w:szCs w:val="21"/>
        </w:rPr>
        <w:t>合同</w:t>
      </w:r>
      <w:r>
        <w:rPr>
          <w:rFonts w:hint="eastAsia"/>
          <w:b/>
          <w:szCs w:val="21"/>
        </w:rPr>
        <w:t>价款</w:t>
      </w:r>
    </w:p>
    <w:p w14:paraId="3C8D0F46">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2A14CAD5">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6890C0B">
      <w:pPr>
        <w:ind w:firstLine="480"/>
        <w:contextualSpacing/>
        <w:jc w:val="left"/>
      </w:pPr>
      <w:r>
        <w:rPr>
          <w:color w:val="000000"/>
          <w:szCs w:val="21"/>
          <w:shd w:val="clear" w:color="auto" w:fill="FFFFFF"/>
        </w:rPr>
        <w:sym w:font="Wingdings" w:char="F0A8"/>
      </w:r>
      <w:r>
        <w:rPr>
          <w:rFonts w:hint="eastAsia"/>
        </w:rPr>
        <w:t>半包服务</w:t>
      </w:r>
    </w:p>
    <w:p w14:paraId="0CC5B8F0">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4E1B7E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5ECF06EF">
      <w:pPr>
        <w:ind w:firstLine="480"/>
        <w:contextualSpacing/>
        <w:jc w:val="left"/>
      </w:pPr>
      <w:r>
        <w:rPr>
          <w:color w:val="000000"/>
          <w:szCs w:val="21"/>
          <w:shd w:val="clear" w:color="auto" w:fill="FFFFFF"/>
        </w:rPr>
        <w:sym w:font="Wingdings" w:char="F0A8"/>
      </w:r>
      <w:r>
        <w:rPr>
          <w:rFonts w:hint="eastAsia"/>
        </w:rPr>
        <w:t>按实结算</w:t>
      </w:r>
    </w:p>
    <w:p w14:paraId="4C61772A">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332C7129">
      <w:pPr>
        <w:pStyle w:val="30"/>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14:paraId="2C3146DA">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1423F2FE">
      <w:pPr>
        <w:pStyle w:val="30"/>
        <w:jc w:val="left"/>
        <w:rPr>
          <w:bCs/>
          <w:szCs w:val="21"/>
        </w:rPr>
      </w:pPr>
    </w:p>
    <w:p w14:paraId="62779ECC">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464AFDB0">
      <w:pPr>
        <w:pStyle w:val="30"/>
        <w:jc w:val="left"/>
        <w:rPr>
          <w:bCs/>
          <w:szCs w:val="21"/>
        </w:rPr>
      </w:pPr>
    </w:p>
    <w:p w14:paraId="6A3C3496">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5632EB63">
      <w:pPr>
        <w:pStyle w:val="30"/>
        <w:numPr>
          <w:ilvl w:val="0"/>
          <w:numId w:val="13"/>
        </w:numPr>
        <w:ind w:left="0" w:firstLine="0" w:firstLineChars="0"/>
        <w:contextualSpacing/>
        <w:jc w:val="left"/>
        <w:rPr>
          <w:b/>
          <w:szCs w:val="21"/>
        </w:rPr>
      </w:pPr>
      <w:r>
        <w:rPr>
          <w:b/>
          <w:szCs w:val="21"/>
        </w:rPr>
        <w:t>服务</w:t>
      </w:r>
      <w:r>
        <w:rPr>
          <w:rFonts w:hint="eastAsia"/>
          <w:b/>
          <w:szCs w:val="21"/>
        </w:rPr>
        <w:t>方案</w:t>
      </w:r>
    </w:p>
    <w:p w14:paraId="4116CF6A">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07A88384">
      <w:pPr>
        <w:pStyle w:val="30"/>
        <w:numPr>
          <w:ilvl w:val="0"/>
          <w:numId w:val="13"/>
        </w:numPr>
        <w:ind w:left="0" w:firstLine="0" w:firstLineChars="0"/>
        <w:contextualSpacing/>
        <w:jc w:val="left"/>
        <w:rPr>
          <w:b/>
          <w:szCs w:val="21"/>
        </w:rPr>
      </w:pPr>
      <w:r>
        <w:rPr>
          <w:b/>
          <w:szCs w:val="21"/>
        </w:rPr>
        <w:t>验收</w:t>
      </w:r>
    </w:p>
    <w:p w14:paraId="1A7922C3">
      <w:pPr>
        <w:pStyle w:val="30"/>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14:paraId="68C59930">
      <w:pPr>
        <w:pStyle w:val="30"/>
        <w:numPr>
          <w:ilvl w:val="0"/>
          <w:numId w:val="15"/>
        </w:numPr>
        <w:ind w:left="0" w:firstLine="0" w:firstLineChars="0"/>
        <w:contextualSpacing/>
        <w:rPr>
          <w:szCs w:val="21"/>
        </w:rPr>
      </w:pPr>
      <w:r>
        <w:rPr>
          <w:szCs w:val="21"/>
        </w:rPr>
        <w:t>验收方案：</w:t>
      </w:r>
    </w:p>
    <w:p w14:paraId="51ECDF43">
      <w:pPr>
        <w:pStyle w:val="30"/>
        <w:numPr>
          <w:ilvl w:val="0"/>
          <w:numId w:val="16"/>
        </w:numPr>
        <w:ind w:firstLineChars="0"/>
        <w:contextualSpacing/>
        <w:rPr>
          <w:color w:val="000000"/>
          <w:szCs w:val="21"/>
        </w:rPr>
      </w:pPr>
      <w:r>
        <w:rPr>
          <w:rFonts w:hint="eastAsia"/>
          <w:color w:val="000000"/>
          <w:szCs w:val="21"/>
        </w:rPr>
        <w:t>验收主体：甲方</w:t>
      </w:r>
    </w:p>
    <w:p w14:paraId="63B7C061">
      <w:pPr>
        <w:pStyle w:val="30"/>
        <w:numPr>
          <w:ilvl w:val="0"/>
          <w:numId w:val="16"/>
        </w:numPr>
        <w:ind w:firstLineChars="0"/>
        <w:contextualSpacing/>
        <w:rPr>
          <w:color w:val="000000"/>
          <w:szCs w:val="21"/>
        </w:rPr>
      </w:pPr>
      <w:r>
        <w:rPr>
          <w:rFonts w:hint="eastAsia"/>
          <w:color w:val="000000"/>
          <w:szCs w:val="21"/>
        </w:rPr>
        <w:t>验收组织方式：自行验收</w:t>
      </w:r>
    </w:p>
    <w:p w14:paraId="37AA1859">
      <w:pPr>
        <w:pStyle w:val="30"/>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34E68F3B">
      <w:pPr>
        <w:pStyle w:val="30"/>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7092305E">
      <w:pPr>
        <w:pStyle w:val="30"/>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006A2DF0">
      <w:pPr>
        <w:pStyle w:val="30"/>
        <w:numPr>
          <w:ilvl w:val="0"/>
          <w:numId w:val="16"/>
        </w:numPr>
        <w:ind w:firstLineChars="0"/>
        <w:contextualSpacing/>
        <w:rPr>
          <w:color w:val="000000"/>
          <w:szCs w:val="21"/>
        </w:rPr>
      </w:pPr>
      <w:r>
        <w:rPr>
          <w:rFonts w:hint="eastAsia"/>
          <w:color w:val="000000"/>
          <w:szCs w:val="21"/>
        </w:rPr>
        <w:t>履约</w:t>
      </w:r>
      <w:r>
        <w:rPr>
          <w:color w:val="000000"/>
          <w:szCs w:val="21"/>
        </w:rPr>
        <w:t>验收时间：</w:t>
      </w:r>
    </w:p>
    <w:p w14:paraId="4AB5B6C7">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04E961D8">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0D917A83">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1DAF90C">
      <w:pPr>
        <w:pStyle w:val="17"/>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F26E619">
      <w:pPr>
        <w:pStyle w:val="30"/>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76EBB83">
      <w:pPr>
        <w:pStyle w:val="30"/>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9FDB2BB">
      <w:pPr>
        <w:pStyle w:val="30"/>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4EC9822">
      <w:pPr>
        <w:pStyle w:val="30"/>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0F94FA0C">
      <w:pPr>
        <w:pStyle w:val="30"/>
        <w:numPr>
          <w:ilvl w:val="0"/>
          <w:numId w:val="16"/>
        </w:numPr>
        <w:ind w:firstLineChars="0"/>
        <w:contextualSpacing/>
        <w:rPr>
          <w:szCs w:val="21"/>
        </w:rPr>
      </w:pPr>
      <w:r>
        <w:rPr>
          <w:szCs w:val="21"/>
        </w:rPr>
        <w:t>验收标准：</w:t>
      </w:r>
    </w:p>
    <w:p w14:paraId="0CE3557D">
      <w:pPr>
        <w:pStyle w:val="17"/>
        <w:numPr>
          <w:ilvl w:val="0"/>
          <w:numId w:val="17"/>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58040EA0">
      <w:pPr>
        <w:pStyle w:val="17"/>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5A75D7B3">
      <w:pPr>
        <w:pStyle w:val="17"/>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283FAB1E">
      <w:pPr>
        <w:pStyle w:val="17"/>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3480A5DD">
      <w:pPr>
        <w:pStyle w:val="17"/>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6757EE71">
      <w:pPr>
        <w:pStyle w:val="17"/>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37258BDD">
      <w:pPr>
        <w:pStyle w:val="30"/>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173AC65D">
      <w:pPr>
        <w:pStyle w:val="30"/>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480856C">
      <w:pPr>
        <w:pStyle w:val="30"/>
        <w:numPr>
          <w:ilvl w:val="0"/>
          <w:numId w:val="13"/>
        </w:numPr>
        <w:ind w:left="0" w:firstLine="0" w:firstLineChars="0"/>
        <w:contextualSpacing/>
        <w:jc w:val="left"/>
        <w:rPr>
          <w:b/>
          <w:szCs w:val="21"/>
        </w:rPr>
      </w:pPr>
      <w:r>
        <w:rPr>
          <w:b/>
          <w:szCs w:val="21"/>
        </w:rPr>
        <w:t>付款方式</w:t>
      </w:r>
    </w:p>
    <w:p w14:paraId="071555B8">
      <w:pPr>
        <w:pStyle w:val="10"/>
        <w:numPr>
          <w:ilvl w:val="0"/>
          <w:numId w:val="18"/>
        </w:numPr>
        <w:spacing w:after="0" w:line="240" w:lineRule="auto"/>
        <w:ind w:left="227" w:leftChars="0" w:hanging="227"/>
        <w:contextualSpacing/>
        <w:jc w:val="left"/>
        <w:rPr>
          <w:szCs w:val="21"/>
        </w:rPr>
      </w:pPr>
      <w:r>
        <w:rPr>
          <w:szCs w:val="21"/>
        </w:rPr>
        <w:t>履约保证金：</w:t>
      </w:r>
    </w:p>
    <w:p w14:paraId="6D148876">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30ACF5AC">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639710E7">
      <w:pPr>
        <w:pStyle w:val="10"/>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036BD3F">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16BDB112">
      <w:pPr>
        <w:pStyle w:val="17"/>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3AEB682D">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6151BA33">
      <w:pPr>
        <w:pStyle w:val="17"/>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99" w:name="OLE_LINK30"/>
      <w:r>
        <w:rPr>
          <w:rFonts w:hint="eastAsia"/>
          <w:szCs w:val="21"/>
        </w:rPr>
        <w:t>固定部分价款</w:t>
      </w:r>
      <w:bookmarkEnd w:id="99"/>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3B3117F4">
      <w:pPr>
        <w:pStyle w:val="17"/>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6AFB72AD">
      <w:pPr>
        <w:pStyle w:val="10"/>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67124EAB">
      <w:pPr>
        <w:pStyle w:val="10"/>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3F6DABE0">
      <w:pPr>
        <w:pStyle w:val="30"/>
        <w:numPr>
          <w:ilvl w:val="0"/>
          <w:numId w:val="13"/>
        </w:numPr>
        <w:ind w:left="0" w:firstLine="0" w:firstLineChars="0"/>
        <w:contextualSpacing/>
        <w:jc w:val="left"/>
        <w:rPr>
          <w:b/>
          <w:szCs w:val="21"/>
        </w:rPr>
      </w:pPr>
      <w:r>
        <w:rPr>
          <w:b/>
          <w:szCs w:val="21"/>
        </w:rPr>
        <w:t>双方权利与义务</w:t>
      </w:r>
    </w:p>
    <w:p w14:paraId="45617B9C">
      <w:pPr>
        <w:pStyle w:val="10"/>
        <w:numPr>
          <w:ilvl w:val="0"/>
          <w:numId w:val="19"/>
        </w:numPr>
        <w:spacing w:after="0" w:line="240" w:lineRule="auto"/>
        <w:ind w:left="227" w:leftChars="0" w:hanging="227"/>
        <w:contextualSpacing/>
        <w:jc w:val="left"/>
        <w:rPr>
          <w:szCs w:val="21"/>
        </w:rPr>
      </w:pPr>
      <w:r>
        <w:rPr>
          <w:szCs w:val="21"/>
        </w:rPr>
        <w:t>甲方权利与义务</w:t>
      </w:r>
    </w:p>
    <w:p w14:paraId="105FDC90">
      <w:pPr>
        <w:pStyle w:val="30"/>
        <w:numPr>
          <w:ilvl w:val="0"/>
          <w:numId w:val="20"/>
        </w:numPr>
        <w:adjustRightInd w:val="0"/>
        <w:ind w:left="525" w:hanging="525" w:hangingChars="250"/>
        <w:contextualSpacing/>
        <w:jc w:val="left"/>
        <w:rPr>
          <w:szCs w:val="21"/>
        </w:rPr>
      </w:pPr>
      <w:r>
        <w:rPr>
          <w:szCs w:val="21"/>
        </w:rPr>
        <w:t>按合同约定向乙方支付费用。</w:t>
      </w:r>
    </w:p>
    <w:p w14:paraId="48A41EA7">
      <w:pPr>
        <w:pStyle w:val="30"/>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14:paraId="046AAD6D">
      <w:pPr>
        <w:pStyle w:val="30"/>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238E349C">
      <w:pPr>
        <w:pStyle w:val="30"/>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7807979">
      <w:pPr>
        <w:pStyle w:val="10"/>
        <w:numPr>
          <w:ilvl w:val="0"/>
          <w:numId w:val="19"/>
        </w:numPr>
        <w:spacing w:after="0" w:line="240" w:lineRule="auto"/>
        <w:ind w:left="227" w:leftChars="0" w:hanging="227"/>
        <w:contextualSpacing/>
        <w:jc w:val="left"/>
        <w:rPr>
          <w:szCs w:val="21"/>
        </w:rPr>
      </w:pPr>
      <w:r>
        <w:rPr>
          <w:szCs w:val="21"/>
        </w:rPr>
        <w:t>乙方权利与义务</w:t>
      </w:r>
    </w:p>
    <w:p w14:paraId="3BAFC67D">
      <w:pPr>
        <w:pStyle w:val="10"/>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34ADBBAC">
      <w:pPr>
        <w:pStyle w:val="10"/>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110D56FC">
      <w:pPr>
        <w:pStyle w:val="10"/>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271DBAB2">
      <w:pPr>
        <w:pStyle w:val="10"/>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7E08A767">
      <w:pPr>
        <w:pStyle w:val="10"/>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41DCBE5E">
      <w:pPr>
        <w:pStyle w:val="30"/>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70D792A9">
      <w:pPr>
        <w:pStyle w:val="10"/>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08B22EF">
      <w:pPr>
        <w:pStyle w:val="30"/>
        <w:numPr>
          <w:ilvl w:val="0"/>
          <w:numId w:val="22"/>
        </w:numPr>
        <w:ind w:left="0" w:firstLine="0" w:firstLineChars="0"/>
        <w:rPr>
          <w:szCs w:val="21"/>
        </w:rPr>
      </w:pPr>
      <w:r>
        <w:rPr>
          <w:szCs w:val="21"/>
        </w:rPr>
        <w:t>乙方违约责任：</w:t>
      </w:r>
    </w:p>
    <w:p w14:paraId="11DE5330">
      <w:pPr>
        <w:pStyle w:val="10"/>
        <w:numPr>
          <w:ilvl w:val="0"/>
          <w:numId w:val="23"/>
        </w:numPr>
        <w:spacing w:after="0" w:line="240" w:lineRule="auto"/>
        <w:ind w:left="525" w:leftChars="0" w:hanging="525" w:hangingChars="250"/>
        <w:contextualSpacing/>
        <w:jc w:val="left"/>
        <w:rPr>
          <w:szCs w:val="21"/>
        </w:rPr>
      </w:pPr>
      <w:bookmarkStart w:id="100" w:name="OLE_LINK18"/>
      <w:bookmarkStart w:id="101"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3D04371">
      <w:pPr>
        <w:pStyle w:val="10"/>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0EA0DFDE">
      <w:pPr>
        <w:pStyle w:val="10"/>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467FED00">
      <w:pPr>
        <w:pStyle w:val="10"/>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6604DEAE">
      <w:pPr>
        <w:pStyle w:val="10"/>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1C0A5810">
      <w:pPr>
        <w:pStyle w:val="10"/>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0"/>
    <w:bookmarkEnd w:id="101"/>
    <w:p w14:paraId="409ABFC9">
      <w:pPr>
        <w:pStyle w:val="10"/>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56DAF73">
      <w:pPr>
        <w:pStyle w:val="10"/>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791A2F92">
      <w:pPr>
        <w:pStyle w:val="10"/>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0CA6A06">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D6B6A2C">
      <w:pPr>
        <w:pStyle w:val="30"/>
        <w:numPr>
          <w:ilvl w:val="0"/>
          <w:numId w:val="13"/>
        </w:numPr>
        <w:ind w:left="0" w:firstLine="0" w:firstLineChars="0"/>
        <w:contextualSpacing/>
        <w:jc w:val="left"/>
        <w:rPr>
          <w:b/>
          <w:szCs w:val="21"/>
        </w:rPr>
      </w:pPr>
      <w:r>
        <w:rPr>
          <w:b/>
          <w:szCs w:val="21"/>
        </w:rPr>
        <w:t>不可抗力</w:t>
      </w:r>
    </w:p>
    <w:p w14:paraId="5E666D02">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21E33C99">
      <w:pPr>
        <w:pStyle w:val="30"/>
        <w:numPr>
          <w:ilvl w:val="0"/>
          <w:numId w:val="13"/>
        </w:numPr>
        <w:ind w:left="0" w:firstLine="0" w:firstLineChars="0"/>
        <w:contextualSpacing/>
        <w:jc w:val="left"/>
        <w:rPr>
          <w:b/>
          <w:szCs w:val="21"/>
        </w:rPr>
      </w:pPr>
      <w:r>
        <w:rPr>
          <w:b/>
          <w:szCs w:val="21"/>
        </w:rPr>
        <w:t>合同终止及解除</w:t>
      </w:r>
    </w:p>
    <w:p w14:paraId="213ADFED">
      <w:pPr>
        <w:pStyle w:val="30"/>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699EABF2">
      <w:pPr>
        <w:pStyle w:val="30"/>
        <w:numPr>
          <w:ilvl w:val="0"/>
          <w:numId w:val="24"/>
        </w:numPr>
        <w:ind w:left="0" w:firstLine="0" w:firstLineChars="0"/>
        <w:rPr>
          <w:szCs w:val="21"/>
        </w:rPr>
      </w:pPr>
      <w:r>
        <w:rPr>
          <w:szCs w:val="21"/>
        </w:rPr>
        <w:t>在甲、乙任何一方有严重违约行为时，另一方有权单方解除合同。</w:t>
      </w:r>
    </w:p>
    <w:p w14:paraId="7B8D7720">
      <w:pPr>
        <w:pStyle w:val="30"/>
        <w:numPr>
          <w:ilvl w:val="0"/>
          <w:numId w:val="13"/>
        </w:numPr>
        <w:ind w:left="0" w:firstLine="0" w:firstLineChars="0"/>
        <w:contextualSpacing/>
        <w:jc w:val="left"/>
        <w:rPr>
          <w:b/>
          <w:szCs w:val="21"/>
        </w:rPr>
      </w:pPr>
      <w:r>
        <w:rPr>
          <w:b/>
          <w:szCs w:val="21"/>
        </w:rPr>
        <w:t>争议解决办法</w:t>
      </w:r>
    </w:p>
    <w:p w14:paraId="6D288A5D">
      <w:pPr>
        <w:pStyle w:val="30"/>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DB54F47">
      <w:pPr>
        <w:pStyle w:val="30"/>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16ECE123">
      <w:pPr>
        <w:pStyle w:val="30"/>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14:paraId="068943D6">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A3841D7">
      <w:pPr>
        <w:pStyle w:val="35"/>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14:paraId="56E708C3">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C80C5D9">
      <w:pPr>
        <w:pStyle w:val="30"/>
        <w:numPr>
          <w:ilvl w:val="0"/>
          <w:numId w:val="13"/>
        </w:numPr>
        <w:ind w:left="0" w:firstLine="0" w:firstLineChars="0"/>
        <w:contextualSpacing/>
        <w:jc w:val="left"/>
        <w:rPr>
          <w:b/>
          <w:szCs w:val="21"/>
        </w:rPr>
      </w:pPr>
      <w:r>
        <w:rPr>
          <w:b/>
          <w:szCs w:val="21"/>
        </w:rPr>
        <w:t>其他</w:t>
      </w:r>
    </w:p>
    <w:p w14:paraId="344DB365">
      <w:pPr>
        <w:pStyle w:val="30"/>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14:paraId="781844B3">
      <w:pPr>
        <w:pStyle w:val="30"/>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40EB361A">
      <w:pPr>
        <w:pStyle w:val="30"/>
        <w:numPr>
          <w:ilvl w:val="0"/>
          <w:numId w:val="13"/>
        </w:numPr>
        <w:ind w:left="0" w:firstLine="0" w:firstLineChars="0"/>
        <w:contextualSpacing/>
        <w:jc w:val="left"/>
        <w:rPr>
          <w:b/>
          <w:szCs w:val="21"/>
        </w:rPr>
      </w:pPr>
      <w:r>
        <w:rPr>
          <w:b/>
          <w:szCs w:val="21"/>
        </w:rPr>
        <w:t>合同附件</w:t>
      </w:r>
    </w:p>
    <w:p w14:paraId="69A4B3B4">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61BCEA9B">
      <w:pPr>
        <w:jc w:val="left"/>
        <w:outlineLvl w:val="0"/>
        <w:rPr>
          <w:szCs w:val="21"/>
        </w:rPr>
      </w:pPr>
      <w:r>
        <w:rPr>
          <w:rFonts w:hint="eastAsia"/>
          <w:szCs w:val="21"/>
        </w:rPr>
        <w:t>附件1《</w:t>
      </w:r>
      <w:bookmarkStart w:id="102" w:name="OLE_LINK32"/>
      <w:r>
        <w:rPr>
          <w:rFonts w:hint="eastAsia"/>
          <w:szCs w:val="21"/>
        </w:rPr>
        <w:t>结算单价清单</w:t>
      </w:r>
      <w:bookmarkEnd w:id="102"/>
      <w:r>
        <w:rPr>
          <w:rFonts w:hint="eastAsia"/>
          <w:szCs w:val="21"/>
        </w:rPr>
        <w:t>》</w:t>
      </w:r>
    </w:p>
    <w:p w14:paraId="50CE82BD">
      <w:pPr>
        <w:jc w:val="left"/>
        <w:outlineLvl w:val="0"/>
        <w:rPr>
          <w:szCs w:val="21"/>
        </w:rPr>
      </w:pPr>
      <w:r>
        <w:rPr>
          <w:rFonts w:hint="eastAsia"/>
          <w:szCs w:val="21"/>
        </w:rPr>
        <w:t>附件2《考核标准》</w:t>
      </w:r>
    </w:p>
    <w:p w14:paraId="5BC2060E">
      <w:pPr>
        <w:jc w:val="left"/>
        <w:outlineLvl w:val="0"/>
        <w:rPr>
          <w:szCs w:val="21"/>
        </w:rPr>
      </w:pPr>
      <w:r>
        <w:rPr>
          <w:szCs w:val="21"/>
        </w:rPr>
        <w:t>附件3《服务</w:t>
      </w:r>
      <w:r>
        <w:rPr>
          <w:rFonts w:hint="eastAsia"/>
          <w:szCs w:val="21"/>
        </w:rPr>
        <w:t>方案</w:t>
      </w:r>
      <w:r>
        <w:rPr>
          <w:szCs w:val="21"/>
        </w:rPr>
        <w:t>》</w:t>
      </w:r>
    </w:p>
    <w:p w14:paraId="4794CD38">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007CE32C">
        <w:tblPrEx>
          <w:tblCellMar>
            <w:top w:w="0" w:type="dxa"/>
            <w:left w:w="0" w:type="dxa"/>
            <w:bottom w:w="0" w:type="dxa"/>
            <w:right w:w="0" w:type="dxa"/>
          </w:tblCellMar>
        </w:tblPrEx>
        <w:trPr>
          <w:trHeight w:val="519" w:hRule="atLeast"/>
          <w:jc w:val="center"/>
        </w:trPr>
        <w:tc>
          <w:tcPr>
            <w:tcW w:w="10214" w:type="dxa"/>
            <w:gridSpan w:val="2"/>
          </w:tcPr>
          <w:p w14:paraId="525C5BAE">
            <w:pPr>
              <w:rPr>
                <w:szCs w:val="21"/>
              </w:rPr>
            </w:pPr>
            <w:r>
              <w:rPr>
                <w:szCs w:val="21"/>
              </w:rPr>
              <w:t>签订时间：</w:t>
            </w:r>
            <w:r>
              <w:t>202*</w:t>
            </w:r>
            <w:r>
              <w:rPr>
                <w:szCs w:val="21"/>
              </w:rPr>
              <w:t>年***月***日</w:t>
            </w:r>
          </w:p>
        </w:tc>
      </w:tr>
      <w:tr w14:paraId="654386ED">
        <w:tblPrEx>
          <w:tblCellMar>
            <w:top w:w="0" w:type="dxa"/>
            <w:left w:w="0" w:type="dxa"/>
            <w:bottom w:w="0" w:type="dxa"/>
            <w:right w:w="0" w:type="dxa"/>
          </w:tblCellMar>
        </w:tblPrEx>
        <w:trPr>
          <w:jc w:val="center"/>
        </w:trPr>
        <w:tc>
          <w:tcPr>
            <w:tcW w:w="4967" w:type="dxa"/>
          </w:tcPr>
          <w:p w14:paraId="30442CD4">
            <w:pPr>
              <w:rPr>
                <w:szCs w:val="21"/>
              </w:rPr>
            </w:pPr>
            <w:r>
              <w:rPr>
                <w:szCs w:val="21"/>
              </w:rPr>
              <w:t>甲方：四川省人民医院（盖章）</w:t>
            </w:r>
          </w:p>
          <w:p w14:paraId="3ECA0AE5">
            <w:pPr>
              <w:rPr>
                <w:szCs w:val="21"/>
              </w:rPr>
            </w:pPr>
            <w:r>
              <w:rPr>
                <w:szCs w:val="21"/>
              </w:rPr>
              <w:t>法定代表人（授权代表签字）：</w:t>
            </w:r>
          </w:p>
          <w:p w14:paraId="7D13C357">
            <w:pPr>
              <w:rPr>
                <w:szCs w:val="21"/>
              </w:rPr>
            </w:pPr>
            <w:r>
              <w:rPr>
                <w:szCs w:val="21"/>
              </w:rPr>
              <w:t>地    址：四川省成都市一环路西二段32号</w:t>
            </w:r>
          </w:p>
          <w:p w14:paraId="60AF3DA5">
            <w:pPr>
              <w:rPr>
                <w:szCs w:val="21"/>
              </w:rPr>
            </w:pPr>
            <w:r>
              <w:rPr>
                <w:szCs w:val="21"/>
              </w:rPr>
              <w:t>开户银行：建设银行成都青羊支行</w:t>
            </w:r>
          </w:p>
          <w:p w14:paraId="76F89622">
            <w:pPr>
              <w:rPr>
                <w:szCs w:val="21"/>
              </w:rPr>
            </w:pPr>
            <w:r>
              <w:rPr>
                <w:szCs w:val="21"/>
              </w:rPr>
              <w:t>账号：5100 1446 4360 5037 4282</w:t>
            </w:r>
          </w:p>
        </w:tc>
        <w:tc>
          <w:tcPr>
            <w:tcW w:w="5247" w:type="dxa"/>
          </w:tcPr>
          <w:p w14:paraId="79348524">
            <w:pPr>
              <w:rPr>
                <w:szCs w:val="21"/>
              </w:rPr>
            </w:pPr>
            <w:r>
              <w:rPr>
                <w:szCs w:val="21"/>
              </w:rPr>
              <w:t>乙方：</w:t>
            </w:r>
            <w:permStart w:id="2" w:edGrp="everyone"/>
            <w:r>
              <w:rPr>
                <w:szCs w:val="21"/>
              </w:rPr>
              <w:t>***</w:t>
            </w:r>
            <w:permEnd w:id="2"/>
            <w:r>
              <w:rPr>
                <w:szCs w:val="21"/>
              </w:rPr>
              <w:t>（盖章）</w:t>
            </w:r>
          </w:p>
          <w:p w14:paraId="340C2CE3">
            <w:pPr>
              <w:rPr>
                <w:szCs w:val="21"/>
              </w:rPr>
            </w:pPr>
            <w:r>
              <w:rPr>
                <w:szCs w:val="21"/>
              </w:rPr>
              <w:t>法定代表人（授权代表签字）：</w:t>
            </w:r>
          </w:p>
          <w:p w14:paraId="32CD6881">
            <w:pPr>
              <w:rPr>
                <w:szCs w:val="21"/>
              </w:rPr>
            </w:pPr>
            <w:r>
              <w:rPr>
                <w:szCs w:val="21"/>
              </w:rPr>
              <w:t>地址：</w:t>
            </w:r>
            <w:permStart w:id="3" w:edGrp="everyone"/>
            <w:r>
              <w:rPr>
                <w:szCs w:val="21"/>
              </w:rPr>
              <w:t>***</w:t>
            </w:r>
            <w:permEnd w:id="3"/>
          </w:p>
          <w:p w14:paraId="7E8F70B0">
            <w:pPr>
              <w:rPr>
                <w:szCs w:val="21"/>
              </w:rPr>
            </w:pPr>
            <w:r>
              <w:rPr>
                <w:szCs w:val="21"/>
              </w:rPr>
              <w:t>开户银行：</w:t>
            </w:r>
            <w:permStart w:id="4" w:edGrp="everyone"/>
            <w:r>
              <w:rPr>
                <w:szCs w:val="21"/>
              </w:rPr>
              <w:t>***</w:t>
            </w:r>
          </w:p>
          <w:permEnd w:id="4"/>
          <w:p w14:paraId="02B4EFC3">
            <w:pPr>
              <w:widowControl/>
              <w:jc w:val="left"/>
            </w:pPr>
            <w:r>
              <w:rPr>
                <w:szCs w:val="21"/>
              </w:rPr>
              <w:t>账号：</w:t>
            </w:r>
            <w:permStart w:id="5" w:edGrp="everyone"/>
            <w:r>
              <w:rPr>
                <w:szCs w:val="21"/>
              </w:rPr>
              <w:t>***</w:t>
            </w:r>
            <w:permEnd w:id="5"/>
          </w:p>
        </w:tc>
      </w:tr>
    </w:tbl>
    <w:p w14:paraId="7DBA7748">
      <w:pPr>
        <w:widowControl/>
        <w:jc w:val="left"/>
        <w:rPr>
          <w:szCs w:val="21"/>
        </w:rPr>
        <w:sectPr>
          <w:headerReference r:id="rId9" w:type="default"/>
          <w:footerReference r:id="rId10" w:type="default"/>
          <w:type w:val="continuous"/>
          <w:pgSz w:w="11906" w:h="16838"/>
          <w:pgMar w:top="851" w:right="1134" w:bottom="851" w:left="1134" w:header="0" w:footer="567" w:gutter="0"/>
          <w:pgNumType w:fmt="decimal"/>
          <w:cols w:space="425" w:num="1"/>
          <w:docGrid w:linePitch="312" w:charSpace="0"/>
        </w:sectPr>
      </w:pPr>
    </w:p>
    <w:p w14:paraId="54450E91">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407E78B6">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3159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80D3DC">
            <w:pPr>
              <w:widowControl/>
              <w:jc w:val="center"/>
              <w:rPr>
                <w:b/>
                <w:bCs/>
                <w:szCs w:val="21"/>
              </w:rPr>
            </w:pPr>
            <w:r>
              <w:rPr>
                <w:rFonts w:hint="eastAsia"/>
                <w:b/>
                <w:bCs/>
                <w:szCs w:val="21"/>
              </w:rPr>
              <w:t>序号</w:t>
            </w:r>
          </w:p>
        </w:tc>
        <w:tc>
          <w:tcPr>
            <w:tcW w:w="3686" w:type="dxa"/>
            <w:vAlign w:val="center"/>
          </w:tcPr>
          <w:p w14:paraId="39B8FD21">
            <w:pPr>
              <w:widowControl/>
              <w:jc w:val="center"/>
              <w:rPr>
                <w:b/>
                <w:bCs/>
                <w:szCs w:val="21"/>
              </w:rPr>
            </w:pPr>
            <w:r>
              <w:rPr>
                <w:rFonts w:hint="eastAsia"/>
                <w:b/>
                <w:bCs/>
                <w:szCs w:val="21"/>
              </w:rPr>
              <w:t>结算项目名称</w:t>
            </w:r>
          </w:p>
        </w:tc>
        <w:tc>
          <w:tcPr>
            <w:tcW w:w="3402" w:type="dxa"/>
            <w:vAlign w:val="center"/>
          </w:tcPr>
          <w:p w14:paraId="4E7DDC48">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1DCC395">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0B75DB1">
            <w:pPr>
              <w:widowControl/>
              <w:jc w:val="center"/>
              <w:rPr>
                <w:b/>
                <w:bCs/>
                <w:szCs w:val="21"/>
              </w:rPr>
            </w:pPr>
            <w:r>
              <w:rPr>
                <w:rFonts w:hint="eastAsia"/>
                <w:b/>
                <w:bCs/>
                <w:szCs w:val="21"/>
              </w:rPr>
              <w:t>结算单价</w:t>
            </w:r>
          </w:p>
        </w:tc>
      </w:tr>
      <w:tr w14:paraId="35098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14DCC84">
            <w:pPr>
              <w:widowControl/>
              <w:jc w:val="center"/>
              <w:rPr>
                <w:szCs w:val="21"/>
              </w:rPr>
            </w:pPr>
            <w:r>
              <w:rPr>
                <w:rFonts w:hint="eastAsia"/>
                <w:szCs w:val="21"/>
              </w:rPr>
              <w:t>1</w:t>
            </w:r>
          </w:p>
        </w:tc>
        <w:tc>
          <w:tcPr>
            <w:tcW w:w="3686" w:type="dxa"/>
            <w:vAlign w:val="center"/>
          </w:tcPr>
          <w:p w14:paraId="467FF793">
            <w:pPr>
              <w:widowControl/>
              <w:jc w:val="left"/>
              <w:rPr>
                <w:szCs w:val="21"/>
              </w:rPr>
            </w:pPr>
          </w:p>
        </w:tc>
        <w:tc>
          <w:tcPr>
            <w:tcW w:w="3402" w:type="dxa"/>
            <w:vAlign w:val="center"/>
          </w:tcPr>
          <w:p w14:paraId="486F0286">
            <w:pPr>
              <w:widowControl/>
              <w:jc w:val="left"/>
              <w:rPr>
                <w:szCs w:val="21"/>
              </w:rPr>
            </w:pPr>
          </w:p>
        </w:tc>
        <w:tc>
          <w:tcPr>
            <w:tcW w:w="992" w:type="dxa"/>
            <w:vAlign w:val="center"/>
          </w:tcPr>
          <w:p w14:paraId="17FD0268">
            <w:pPr>
              <w:widowControl/>
              <w:jc w:val="center"/>
              <w:rPr>
                <w:szCs w:val="21"/>
              </w:rPr>
            </w:pPr>
          </w:p>
        </w:tc>
        <w:tc>
          <w:tcPr>
            <w:tcW w:w="986" w:type="dxa"/>
            <w:vAlign w:val="center"/>
          </w:tcPr>
          <w:p w14:paraId="2B150AA3">
            <w:pPr>
              <w:widowControl/>
              <w:jc w:val="center"/>
              <w:rPr>
                <w:szCs w:val="21"/>
              </w:rPr>
            </w:pPr>
          </w:p>
        </w:tc>
      </w:tr>
      <w:tr w14:paraId="4E0F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89ACE6D">
            <w:pPr>
              <w:widowControl/>
              <w:jc w:val="center"/>
              <w:rPr>
                <w:szCs w:val="21"/>
              </w:rPr>
            </w:pPr>
            <w:r>
              <w:rPr>
                <w:rFonts w:hint="eastAsia"/>
                <w:szCs w:val="21"/>
              </w:rPr>
              <w:t>2</w:t>
            </w:r>
          </w:p>
        </w:tc>
        <w:tc>
          <w:tcPr>
            <w:tcW w:w="3686" w:type="dxa"/>
            <w:vAlign w:val="center"/>
          </w:tcPr>
          <w:p w14:paraId="60B45D42">
            <w:pPr>
              <w:widowControl/>
              <w:jc w:val="left"/>
              <w:rPr>
                <w:szCs w:val="21"/>
              </w:rPr>
            </w:pPr>
          </w:p>
        </w:tc>
        <w:tc>
          <w:tcPr>
            <w:tcW w:w="3402" w:type="dxa"/>
            <w:vAlign w:val="center"/>
          </w:tcPr>
          <w:p w14:paraId="15F7AE77">
            <w:pPr>
              <w:widowControl/>
              <w:jc w:val="left"/>
              <w:rPr>
                <w:szCs w:val="21"/>
              </w:rPr>
            </w:pPr>
          </w:p>
        </w:tc>
        <w:tc>
          <w:tcPr>
            <w:tcW w:w="992" w:type="dxa"/>
            <w:vAlign w:val="center"/>
          </w:tcPr>
          <w:p w14:paraId="72FC5032">
            <w:pPr>
              <w:widowControl/>
              <w:jc w:val="center"/>
              <w:rPr>
                <w:szCs w:val="21"/>
              </w:rPr>
            </w:pPr>
          </w:p>
        </w:tc>
        <w:tc>
          <w:tcPr>
            <w:tcW w:w="986" w:type="dxa"/>
            <w:vAlign w:val="center"/>
          </w:tcPr>
          <w:p w14:paraId="32489161">
            <w:pPr>
              <w:widowControl/>
              <w:jc w:val="center"/>
              <w:rPr>
                <w:szCs w:val="21"/>
              </w:rPr>
            </w:pPr>
          </w:p>
        </w:tc>
      </w:tr>
      <w:tr w14:paraId="1BE2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32E7EE36">
            <w:pPr>
              <w:widowControl/>
              <w:jc w:val="center"/>
              <w:rPr>
                <w:szCs w:val="21"/>
              </w:rPr>
            </w:pPr>
            <w:r>
              <w:rPr>
                <w:szCs w:val="21"/>
              </w:rPr>
              <w:t>…</w:t>
            </w:r>
          </w:p>
        </w:tc>
        <w:tc>
          <w:tcPr>
            <w:tcW w:w="3686" w:type="dxa"/>
            <w:vAlign w:val="center"/>
          </w:tcPr>
          <w:p w14:paraId="7DC1D0EB">
            <w:pPr>
              <w:widowControl/>
              <w:jc w:val="left"/>
              <w:rPr>
                <w:szCs w:val="21"/>
              </w:rPr>
            </w:pPr>
          </w:p>
        </w:tc>
        <w:tc>
          <w:tcPr>
            <w:tcW w:w="3402" w:type="dxa"/>
            <w:vAlign w:val="center"/>
          </w:tcPr>
          <w:p w14:paraId="430D4218">
            <w:pPr>
              <w:widowControl/>
              <w:jc w:val="left"/>
              <w:rPr>
                <w:szCs w:val="21"/>
              </w:rPr>
            </w:pPr>
          </w:p>
        </w:tc>
        <w:tc>
          <w:tcPr>
            <w:tcW w:w="992" w:type="dxa"/>
            <w:vAlign w:val="center"/>
          </w:tcPr>
          <w:p w14:paraId="1CB9ADD7">
            <w:pPr>
              <w:widowControl/>
              <w:jc w:val="center"/>
              <w:rPr>
                <w:szCs w:val="21"/>
              </w:rPr>
            </w:pPr>
          </w:p>
        </w:tc>
        <w:tc>
          <w:tcPr>
            <w:tcW w:w="986" w:type="dxa"/>
            <w:vAlign w:val="center"/>
          </w:tcPr>
          <w:p w14:paraId="753E0531">
            <w:pPr>
              <w:widowControl/>
              <w:jc w:val="center"/>
              <w:rPr>
                <w:szCs w:val="21"/>
              </w:rPr>
            </w:pPr>
          </w:p>
        </w:tc>
      </w:tr>
    </w:tbl>
    <w:p w14:paraId="1CEF4127">
      <w:pPr>
        <w:widowControl/>
        <w:jc w:val="left"/>
        <w:rPr>
          <w:szCs w:val="21"/>
        </w:rPr>
        <w:sectPr>
          <w:footerReference r:id="rId11" w:type="default"/>
          <w:pgSz w:w="11906" w:h="16838"/>
          <w:pgMar w:top="851" w:right="1134" w:bottom="851" w:left="1134" w:header="0" w:footer="567" w:gutter="0"/>
          <w:pgNumType w:fmt="decimal"/>
          <w:cols w:space="425" w:num="1"/>
          <w:docGrid w:linePitch="312" w:charSpace="0"/>
        </w:sectPr>
      </w:pPr>
    </w:p>
    <w:p w14:paraId="295909B1">
      <w:pPr>
        <w:widowControl/>
        <w:jc w:val="left"/>
        <w:rPr>
          <w:rFonts w:ascii="宋体" w:hAnsi="宋体"/>
          <w:b/>
          <w:bCs/>
          <w:szCs w:val="21"/>
        </w:rPr>
      </w:pPr>
      <w:r>
        <w:rPr>
          <w:rFonts w:hint="eastAsia" w:ascii="宋体" w:hAnsi="宋体"/>
          <w:b/>
          <w:bCs/>
          <w:szCs w:val="21"/>
        </w:rPr>
        <w:t>附件2：考核标准</w:t>
      </w:r>
    </w:p>
    <w:p w14:paraId="688B6C77"/>
    <w:p w14:paraId="4C9070A8">
      <w:r>
        <w:rPr>
          <w:rFonts w:hint="eastAsia"/>
        </w:rPr>
        <w:t>*</w:t>
      </w:r>
      <w:r>
        <w:t>*</w:t>
      </w:r>
    </w:p>
    <w:p w14:paraId="284BB4E3"/>
    <w:p w14:paraId="45606E08"/>
    <w:p w14:paraId="34602B54"/>
    <w:p w14:paraId="79BEE550"/>
    <w:p w14:paraId="24208F4B">
      <w:r>
        <w:br w:type="page"/>
      </w:r>
    </w:p>
    <w:p w14:paraId="242E0CC2">
      <w:pPr>
        <w:bidi w:val="0"/>
        <w:jc w:val="left"/>
        <w:rPr>
          <w:rFonts w:asciiTheme="minorHAnsi" w:hAnsiTheme="minorHAnsi" w:eastAsiaTheme="minorEastAsia" w:cstheme="minorBidi"/>
          <w:kern w:val="2"/>
          <w:sz w:val="21"/>
          <w:szCs w:val="22"/>
          <w:lang w:val="en-US" w:eastAsia="zh-CN" w:bidi="ar-SA"/>
        </w:rPr>
      </w:pPr>
    </w:p>
    <w:p w14:paraId="7EF4C97A">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423B63B">
      <w:pPr>
        <w:rPr>
          <w:rFonts w:hint="eastAsia"/>
        </w:rPr>
      </w:pPr>
    </w:p>
    <w:p w14:paraId="7AB53BD0">
      <w:r>
        <w:rPr>
          <w:rFonts w:hint="eastAsia"/>
        </w:rPr>
        <w:t>*</w:t>
      </w:r>
      <w:r>
        <w:t>*</w:t>
      </w:r>
    </w:p>
    <w:p w14:paraId="57B74785">
      <w:pPr>
        <w:rPr>
          <w:rFonts w:ascii="Times New Roman" w:hAnsi="Times New Roman"/>
        </w:rPr>
      </w:pPr>
    </w:p>
    <w:sectPr>
      <w:headerReference r:id="rId12" w:type="default"/>
      <w:footerReference r:id="rId13"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9CC3C0E-D254-4423-A2DA-BFE5C44F287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538C44B-3017-4DE3-AA55-4B251E2317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994D27D8-C02D-4B61-8619-5EF5644F4BB7}"/>
  </w:font>
  <w:font w:name="仿宋">
    <w:panose1 w:val="02010609060101010101"/>
    <w:charset w:val="86"/>
    <w:family w:val="modern"/>
    <w:pitch w:val="default"/>
    <w:sig w:usb0="800002BF" w:usb1="38CF7CFA" w:usb2="00000016" w:usb3="00000000" w:csb0="00040001" w:csb1="00000000"/>
    <w:embedRegular r:id="rId4" w:fontKey="{F8FAA52F-F6D8-4A01-B1BE-B094D9D86C5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5" w:fontKey="{5B34F583-3D7C-41E3-876C-BC065098C1B0}"/>
  </w:font>
  <w:font w:name="方正仿宋_GB2312">
    <w:panose1 w:val="02000000000000000000"/>
    <w:charset w:val="86"/>
    <w:family w:val="auto"/>
    <w:pitch w:val="default"/>
    <w:sig w:usb0="A00002BF" w:usb1="184F6CFA" w:usb2="00000012" w:usb3="00000000" w:csb0="00040001" w:csb1="00000000"/>
    <w:embedRegular r:id="rId6" w:fontKey="{5AA22FFF-8EA3-4597-A328-0A13A044E6EC}"/>
  </w:font>
  <w:font w:name="Wingdings 2">
    <w:altName w:val="Wingdings"/>
    <w:panose1 w:val="05020102010507070707"/>
    <w:charset w:val="4D"/>
    <w:family w:val="decorative"/>
    <w:pitch w:val="default"/>
    <w:sig w:usb0="00000000" w:usb1="00000000" w:usb2="00000000" w:usb3="00000000" w:csb0="80000000" w:csb1="00000000"/>
    <w:embedRegular r:id="rId7" w:fontKey="{0865EEA0-B563-4958-A6EF-6C52FA95B3C9}"/>
  </w:font>
  <w:font w:name="微软雅黑">
    <w:panose1 w:val="020B0503020204020204"/>
    <w:charset w:val="86"/>
    <w:family w:val="swiss"/>
    <w:pitch w:val="default"/>
    <w:sig w:usb0="80000287" w:usb1="2ACF3C50" w:usb2="00000016" w:usb3="00000000" w:csb0="0004001F" w:csb1="00000000"/>
    <w:embedRegular r:id="rId8" w:fontKey="{0C07F9A9-61EC-419B-8EF0-B9C91113DF5F}"/>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Wingdings">
    <w:panose1 w:val="05000000000000000000"/>
    <w:charset w:val="00"/>
    <w:family w:val="auto"/>
    <w:pitch w:val="default"/>
    <w:sig w:usb0="00000000" w:usb1="00000000" w:usb2="00000000" w:usb3="00000000" w:csb0="80000000" w:csb1="00000000"/>
    <w:embedRegular r:id="rId9" w:fontKey="{769E8D70-4783-4CE6-92E2-68C86DEAB5AF}"/>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5F0D4">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57452">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9F57452">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9F72F">
    <w:pPr>
      <w:pStyle w:val="12"/>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1676C5CD">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2A26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6190A3">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6190A3">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50C44">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E52FD">
                          <w:pPr>
                            <w:pStyle w:val="12"/>
                          </w:pPr>
                          <w:r>
                            <w:t xml:space="preserve">第 </w:t>
                          </w:r>
                          <w:r>
                            <w:fldChar w:fldCharType="begin"/>
                          </w:r>
                          <w:r>
                            <w:instrText xml:space="preserve"> PAGE  \* MERGEFORMAT </w:instrText>
                          </w:r>
                          <w:r>
                            <w:fldChar w:fldCharType="separate"/>
                          </w:r>
                          <w:r>
                            <w:t>33</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2DE52FD">
                    <w:pPr>
                      <w:pStyle w:val="12"/>
                    </w:pPr>
                    <w:r>
                      <w:t xml:space="preserve">第 </w:t>
                    </w:r>
                    <w:r>
                      <w:fldChar w:fldCharType="begin"/>
                    </w:r>
                    <w:r>
                      <w:instrText xml:space="preserve"> PAGE  \* MERGEFORMAT </w:instrText>
                    </w:r>
                    <w:r>
                      <w:fldChar w:fldCharType="separate"/>
                    </w:r>
                    <w:r>
                      <w:t>33</w:t>
                    </w:r>
                    <w:r>
                      <w:fldChar w:fldCharType="end"/>
                    </w:r>
                    <w:r>
                      <w:t xml:space="preserve"> 页 共 </w:t>
                    </w:r>
                    <w:r>
                      <w:rPr>
                        <w:rFonts w:hint="eastAsia"/>
                        <w:lang w:val="en-US" w:eastAsia="zh-CN"/>
                      </w:rPr>
                      <w:t>39</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EB81FC">
                          <w:pPr>
                            <w:pStyle w:val="12"/>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AEB81FC">
                    <w:pPr>
                      <w:pStyle w:val="12"/>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39</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3ABAF">
    <w:pPr>
      <w:pStyle w:val="13"/>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3"/>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3"/>
      <w:pBdr>
        <w:bottom w:val="single" w:color="auto" w:sz="4" w:space="1"/>
      </w:pBdr>
      <w:jc w:val="right"/>
      <w:rPr>
        <w:rFonts w:ascii="Times New Roman" w:hAnsi="Times New Roman" w:cs="Times New Roman"/>
        <w:color w:val="0000FF"/>
        <w:highlight w:val="green"/>
      </w:rPr>
    </w:pPr>
    <w:r>
      <w:rPr>
        <w:kern w:val="0"/>
      </w:rPr>
      <w:t>HTMB-</w:t>
    </w:r>
    <w:r>
      <w:rPr>
        <w:rFonts w:hint="eastAsia"/>
        <w:kern w:val="0"/>
      </w:rPr>
      <w:t>FW</w:t>
    </w:r>
    <w:r>
      <w:rPr>
        <w:kern w:val="0"/>
      </w:rPr>
      <w:t>-YN01-202</w:t>
    </w:r>
    <w:r>
      <w:rPr>
        <w:rFonts w:hint="eastAsia"/>
        <w:kern w:val="0"/>
      </w:rPr>
      <w:t>504</w:t>
    </w:r>
    <w:r>
      <w:rPr>
        <w:kern w:val="0"/>
      </w:rPr>
      <w:t>（试行）</w:t>
    </w:r>
  </w:p>
  <w:p w14:paraId="2C59B872">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D4E73CE9"/>
    <w:multiLevelType w:val="singleLevel"/>
    <w:tmpl w:val="D4E73CE9"/>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1"/>
  </w:num>
  <w:num w:numId="10">
    <w:abstractNumId w:val="0"/>
  </w:num>
  <w:num w:numId="11">
    <w:abstractNumId w:val="5"/>
  </w:num>
  <w:num w:numId="12">
    <w:abstractNumId w:val="2"/>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336B85"/>
    <w:rsid w:val="01A57B52"/>
    <w:rsid w:val="02416986"/>
    <w:rsid w:val="02E67CC7"/>
    <w:rsid w:val="04F25C61"/>
    <w:rsid w:val="05547DD6"/>
    <w:rsid w:val="058C78B0"/>
    <w:rsid w:val="05E13064"/>
    <w:rsid w:val="078A573C"/>
    <w:rsid w:val="093A3733"/>
    <w:rsid w:val="09F46AB9"/>
    <w:rsid w:val="0A1E3924"/>
    <w:rsid w:val="0A37177B"/>
    <w:rsid w:val="0AC57997"/>
    <w:rsid w:val="0B4508AE"/>
    <w:rsid w:val="0CF161C9"/>
    <w:rsid w:val="0E0B7FF0"/>
    <w:rsid w:val="0F891B8A"/>
    <w:rsid w:val="10B827E1"/>
    <w:rsid w:val="117A5014"/>
    <w:rsid w:val="127F05A0"/>
    <w:rsid w:val="136D78F8"/>
    <w:rsid w:val="15CC4977"/>
    <w:rsid w:val="162A4F7D"/>
    <w:rsid w:val="166531DF"/>
    <w:rsid w:val="16A82A66"/>
    <w:rsid w:val="18325562"/>
    <w:rsid w:val="1994787E"/>
    <w:rsid w:val="19A94E0F"/>
    <w:rsid w:val="1BCD4CC1"/>
    <w:rsid w:val="1DD000AF"/>
    <w:rsid w:val="1E09745A"/>
    <w:rsid w:val="1F9E432F"/>
    <w:rsid w:val="208E4203"/>
    <w:rsid w:val="213A6C19"/>
    <w:rsid w:val="218A6C15"/>
    <w:rsid w:val="23D4489F"/>
    <w:rsid w:val="240C70BC"/>
    <w:rsid w:val="248B05EE"/>
    <w:rsid w:val="262001B9"/>
    <w:rsid w:val="26875669"/>
    <w:rsid w:val="27B87AF9"/>
    <w:rsid w:val="27E80EA9"/>
    <w:rsid w:val="280414A1"/>
    <w:rsid w:val="28570368"/>
    <w:rsid w:val="28810F26"/>
    <w:rsid w:val="28BD3D65"/>
    <w:rsid w:val="29C5318E"/>
    <w:rsid w:val="2A07333F"/>
    <w:rsid w:val="2B502F98"/>
    <w:rsid w:val="2C9A0A9E"/>
    <w:rsid w:val="2CFC0179"/>
    <w:rsid w:val="2D9B30D1"/>
    <w:rsid w:val="2DA70D65"/>
    <w:rsid w:val="2E6D6953"/>
    <w:rsid w:val="2E7E0C1C"/>
    <w:rsid w:val="2EDE06DE"/>
    <w:rsid w:val="303F4FD0"/>
    <w:rsid w:val="32D57EA5"/>
    <w:rsid w:val="33F0290A"/>
    <w:rsid w:val="3427766B"/>
    <w:rsid w:val="343706EB"/>
    <w:rsid w:val="34666435"/>
    <w:rsid w:val="351A08D0"/>
    <w:rsid w:val="36334CE5"/>
    <w:rsid w:val="374C4D4B"/>
    <w:rsid w:val="38402264"/>
    <w:rsid w:val="3A551407"/>
    <w:rsid w:val="3B033C36"/>
    <w:rsid w:val="3C3500B9"/>
    <w:rsid w:val="3E5D4E8E"/>
    <w:rsid w:val="3F806379"/>
    <w:rsid w:val="3FE25336"/>
    <w:rsid w:val="407A02DD"/>
    <w:rsid w:val="40A813E8"/>
    <w:rsid w:val="419B020F"/>
    <w:rsid w:val="41E56928"/>
    <w:rsid w:val="42075FF8"/>
    <w:rsid w:val="42842020"/>
    <w:rsid w:val="44945080"/>
    <w:rsid w:val="454C16A2"/>
    <w:rsid w:val="468567BB"/>
    <w:rsid w:val="4782487D"/>
    <w:rsid w:val="4A5E3897"/>
    <w:rsid w:val="4A9D03EA"/>
    <w:rsid w:val="4B31068E"/>
    <w:rsid w:val="4BA55220"/>
    <w:rsid w:val="4BAD0151"/>
    <w:rsid w:val="4C8F75A2"/>
    <w:rsid w:val="4DAD4403"/>
    <w:rsid w:val="4E8C008E"/>
    <w:rsid w:val="4EB573D4"/>
    <w:rsid w:val="4FEF758C"/>
    <w:rsid w:val="50771A9C"/>
    <w:rsid w:val="50B95086"/>
    <w:rsid w:val="51282E6E"/>
    <w:rsid w:val="51C47F6D"/>
    <w:rsid w:val="52490CEB"/>
    <w:rsid w:val="5455382C"/>
    <w:rsid w:val="54DB358F"/>
    <w:rsid w:val="58D215DA"/>
    <w:rsid w:val="5B7E3F39"/>
    <w:rsid w:val="5CC83D27"/>
    <w:rsid w:val="5D0A3490"/>
    <w:rsid w:val="5D595B2D"/>
    <w:rsid w:val="5D7E0D39"/>
    <w:rsid w:val="5E9D3F29"/>
    <w:rsid w:val="60384CD1"/>
    <w:rsid w:val="60655808"/>
    <w:rsid w:val="612260FC"/>
    <w:rsid w:val="62465E1A"/>
    <w:rsid w:val="63A9427A"/>
    <w:rsid w:val="63D462B1"/>
    <w:rsid w:val="63EA067C"/>
    <w:rsid w:val="641A3596"/>
    <w:rsid w:val="64D96647"/>
    <w:rsid w:val="655B51E5"/>
    <w:rsid w:val="65E40ADA"/>
    <w:rsid w:val="66330B86"/>
    <w:rsid w:val="66E22203"/>
    <w:rsid w:val="676A303A"/>
    <w:rsid w:val="680770F2"/>
    <w:rsid w:val="683E6876"/>
    <w:rsid w:val="68B812C9"/>
    <w:rsid w:val="69CC2ACC"/>
    <w:rsid w:val="69D50CF4"/>
    <w:rsid w:val="6A565853"/>
    <w:rsid w:val="6A5D6955"/>
    <w:rsid w:val="6B313FBD"/>
    <w:rsid w:val="6BBF1117"/>
    <w:rsid w:val="6C487AFD"/>
    <w:rsid w:val="6CB24363"/>
    <w:rsid w:val="6DA83F0A"/>
    <w:rsid w:val="6EA93466"/>
    <w:rsid w:val="6EDB1D7B"/>
    <w:rsid w:val="6FCF0795"/>
    <w:rsid w:val="71381023"/>
    <w:rsid w:val="735A24C5"/>
    <w:rsid w:val="73714961"/>
    <w:rsid w:val="754D1D92"/>
    <w:rsid w:val="758350A9"/>
    <w:rsid w:val="767676B6"/>
    <w:rsid w:val="77D73344"/>
    <w:rsid w:val="783C419C"/>
    <w:rsid w:val="78725FEB"/>
    <w:rsid w:val="7A5E7D4D"/>
    <w:rsid w:val="7B560FD7"/>
    <w:rsid w:val="7B5F74F8"/>
    <w:rsid w:val="7B690630"/>
    <w:rsid w:val="7C5123F4"/>
    <w:rsid w:val="7D040AB6"/>
    <w:rsid w:val="7D1105AE"/>
    <w:rsid w:val="7D4119E6"/>
    <w:rsid w:val="7DAF162B"/>
    <w:rsid w:val="7DC42B41"/>
    <w:rsid w:val="7DF95559"/>
    <w:rsid w:val="7FBC16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next w:val="9"/>
    <w:unhideWhenUsed/>
    <w:qFormat/>
    <w:uiPriority w:val="99"/>
    <w:pPr>
      <w:ind w:firstLine="630"/>
    </w:pPr>
    <w:rPr>
      <w:rFonts w:ascii="Calibri"/>
      <w:sz w:val="32"/>
      <w:szCs w:val="20"/>
    </w:rPr>
  </w:style>
  <w:style w:type="paragraph" w:styleId="9">
    <w:name w:val="Body Text First Indent 2"/>
    <w:basedOn w:val="8"/>
    <w:next w:val="7"/>
    <w:link w:val="37"/>
    <w:unhideWhenUsed/>
    <w:qFormat/>
    <w:uiPriority w:val="99"/>
    <w:pPr>
      <w:spacing w:after="120" w:line="360" w:lineRule="auto"/>
      <w:ind w:left="420" w:leftChars="200" w:firstLine="420" w:firstLineChars="200"/>
    </w:pPr>
    <w:rPr>
      <w:rFonts w:ascii="宋体" w:hAnsi="Times New Roman"/>
      <w:kern w:val="0"/>
      <w:sz w:val="21"/>
      <w:szCs w:val="24"/>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39"/>
    <w:qFormat/>
    <w:uiPriority w:val="0"/>
    <w:rPr>
      <w:b/>
      <w:bCs/>
    </w:rPr>
  </w:style>
  <w:style w:type="paragraph" w:styleId="17">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qFormat/>
    <w:uiPriority w:val="0"/>
    <w:rPr>
      <w:color w:val="0000FF"/>
      <w:u w:val="single"/>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9"/>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0"/>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 w:type="paragraph" w:customStyle="1" w:styleId="43">
    <w:name w:val="Table Paragraph"/>
    <w:basedOn w:val="1"/>
    <w:autoRedefine/>
    <w:qFormat/>
    <w:uiPriority w:val="1"/>
    <w:rPr>
      <w:rFonts w:ascii="宋体" w:hAnsi="宋体" w:eastAsia="宋体" w:cs="宋体"/>
      <w:lang w:val="zh-CN" w:bidi="zh-CN"/>
    </w:rPr>
  </w:style>
  <w:style w:type="paragraph" w:customStyle="1" w:styleId="44">
    <w:name w:val="Table Text"/>
    <w:basedOn w:val="1"/>
    <w:semiHidden/>
    <w:qFormat/>
    <w:uiPriority w:val="0"/>
    <w:rPr>
      <w:rFonts w:ascii="仿宋" w:hAnsi="仿宋" w:eastAsia="仿宋" w:cs="仿宋"/>
      <w:sz w:val="22"/>
      <w:szCs w:val="22"/>
    </w:rPr>
  </w:style>
  <w:style w:type="table" w:customStyle="1" w:styleId="45">
    <w:name w:val="Table Normal1"/>
    <w:semiHidden/>
    <w:unhideWhenUsed/>
    <w:qFormat/>
    <w:uiPriority w:val="0"/>
    <w:tblPr>
      <w:tblCellMar>
        <w:top w:w="0" w:type="dxa"/>
        <w:left w:w="0" w:type="dxa"/>
        <w:bottom w:w="0" w:type="dxa"/>
        <w:right w:w="0" w:type="dxa"/>
      </w:tblCellMar>
    </w:tblPr>
  </w:style>
  <w:style w:type="character" w:customStyle="1" w:styleId="46">
    <w:name w:val="15"/>
    <w:qFormat/>
    <w:uiPriority w:val="0"/>
    <w:rPr>
      <w:rFonts w:hint="default" w:ascii="Times New Roman" w:hAnsi="Times New Roman" w:cs="Times New Roman"/>
      <w:b/>
    </w:rPr>
  </w:style>
  <w:style w:type="character" w:customStyle="1" w:styleId="47">
    <w:name w:val="font31"/>
    <w:basedOn w:val="20"/>
    <w:qFormat/>
    <w:uiPriority w:val="0"/>
    <w:rPr>
      <w:rFonts w:ascii="宋体" w:hAnsi="宋体" w:eastAsia="宋体" w:cs="宋体"/>
      <w:b/>
      <w:bCs/>
      <w:color w:val="000000"/>
      <w:sz w:val="24"/>
      <w:szCs w:val="24"/>
      <w:u w:val="none"/>
    </w:rPr>
  </w:style>
  <w:style w:type="character" w:customStyle="1" w:styleId="48">
    <w:name w:val="font41"/>
    <w:basedOn w:val="20"/>
    <w:qFormat/>
    <w:uiPriority w:val="0"/>
    <w:rPr>
      <w:rFonts w:hint="default" w:ascii="Arial" w:hAnsi="Arial" w:cs="Arial"/>
      <w:color w:val="000000"/>
      <w:sz w:val="15"/>
      <w:szCs w:val="15"/>
      <w:u w:val="none"/>
    </w:rPr>
  </w:style>
  <w:style w:type="character" w:customStyle="1" w:styleId="49">
    <w:name w:val="font51"/>
    <w:basedOn w:val="20"/>
    <w:qFormat/>
    <w:uiPriority w:val="0"/>
    <w:rPr>
      <w:rFonts w:ascii="宋体" w:hAnsi="宋体" w:eastAsia="宋体" w:cs="宋体"/>
      <w:color w:val="000000"/>
      <w:sz w:val="24"/>
      <w:szCs w:val="24"/>
      <w:u w:val="none"/>
    </w:rPr>
  </w:style>
  <w:style w:type="character" w:customStyle="1" w:styleId="50">
    <w:name w:val="font61"/>
    <w:basedOn w:val="20"/>
    <w:qFormat/>
    <w:uiPriority w:val="0"/>
    <w:rPr>
      <w:rFonts w:hint="default" w:ascii="Arial" w:hAnsi="Arial" w:cs="Arial"/>
      <w:color w:val="000000"/>
      <w:sz w:val="12"/>
      <w:szCs w:val="12"/>
      <w:u w:val="none"/>
    </w:rPr>
  </w:style>
  <w:style w:type="character" w:customStyle="1" w:styleId="51">
    <w:name w:val="font71"/>
    <w:basedOn w:val="20"/>
    <w:qFormat/>
    <w:uiPriority w:val="0"/>
    <w:rPr>
      <w:rFonts w:hint="default" w:ascii="Arial" w:hAnsi="Arial" w:cs="Arial"/>
      <w:color w:val="000000"/>
      <w:sz w:val="13"/>
      <w:szCs w:val="13"/>
      <w:u w:val="none"/>
    </w:rPr>
  </w:style>
  <w:style w:type="character" w:customStyle="1" w:styleId="52">
    <w:name w:val="font21"/>
    <w:basedOn w:val="20"/>
    <w:qFormat/>
    <w:uiPriority w:val="0"/>
    <w:rPr>
      <w:rFonts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4125</Words>
  <Characters>4273</Characters>
  <Lines>67</Lines>
  <Paragraphs>19</Paragraphs>
  <TotalTime>19</TotalTime>
  <ScaleCrop>false</ScaleCrop>
  <LinksUpToDate>false</LinksUpToDate>
  <CharactersWithSpaces>4350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2026-01-21T03:24:04Z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A9921D8BD01743818CE99202F23789CA_13</vt:lpwstr>
  </property>
  <property fmtid="{D5CDD505-2E9C-101B-9397-08002B2CF9AE}" pid="4" name="KSOTemplateDocerSaveRecord">
    <vt:lpwstr>eyJoZGlkIjoiMmYzMjBlOTBlMmU5YzA1ZjM4ZDczZjBmYWNjYjE4M2UiLCJ1c2VySWQiOiI2NTgwMTYxNjcifQ==</vt:lpwstr>
  </property>
</Properties>
</file>