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全自动骨髓染色仪</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3"/>
        <w:rPr>
          <w:rFonts w:ascii="Times New Roman" w:hAnsi="Times New Roman" w:cs="Times New Roman"/>
        </w:rPr>
      </w:pPr>
      <w:bookmarkStart w:id="0" w:name="_Toc20358"/>
      <w:bookmarkStart w:id="1" w:name="_Toc21919"/>
      <w:bookmarkStart w:id="2" w:name="_Toc62832406"/>
      <w:bookmarkStart w:id="3" w:name="_Toc471310326"/>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全自动骨髓染色仪</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YXZ20261551</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详见谈判文件第四章</w:t>
            </w:r>
            <w:r>
              <w:rPr>
                <w:rFonts w:hint="eastAsia" w:ascii="Times New Roman" w:hAnsi="Times New Roman" w:eastAsia="仿宋" w:cs="Times New Roman"/>
                <w:sz w:val="22"/>
                <w:lang w:eastAsia="zh-CN"/>
              </w:rPr>
              <w:t>，试剂耗材报价要求详见第四章。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u w:val="single"/>
                <w:lang w:val="en-US" w:eastAsia="zh-CN"/>
              </w:rPr>
              <w:t>1000.00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en-US" w:eastAsia="zh-CN"/>
              </w:rPr>
              <w:t>/</w:t>
            </w:r>
            <w:r>
              <w:rPr>
                <w:rFonts w:ascii="Times New Roman" w:hAnsi="Times New Roman" w:eastAsia="仿宋" w:cs="Times New Roman"/>
                <w:sz w:val="22"/>
                <w:szCs w:val="22"/>
                <w:lang w:val="zh-CN"/>
              </w:rPr>
              <w:t>；</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en-US" w:eastAsia="zh-CN"/>
              </w:rPr>
              <w:t>/</w:t>
            </w:r>
            <w:r>
              <w:rPr>
                <w:rFonts w:hint="eastAsia" w:ascii="Times New Roman" w:hAnsi="Times New Roman" w:eastAsia="仿宋" w:cs="Times New Roman"/>
                <w:sz w:val="22"/>
                <w:szCs w:val="22"/>
                <w:lang w:val="zh-CN"/>
              </w:rPr>
              <w:t>。</w:t>
            </w:r>
          </w:p>
          <w:p>
            <w:pPr>
              <w:pStyle w:val="28"/>
              <w:numPr>
                <w:ilvl w:val="0"/>
                <w:numId w:val="0"/>
              </w:numPr>
              <w:tabs>
                <w:tab w:val="left" w:pos="218"/>
              </w:tabs>
              <w:spacing w:line="360" w:lineRule="auto"/>
              <w:ind w:left="218" w:leftChars="104" w:firstLine="0" w:firstLineChars="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bidi="ar-SA"/>
              </w:rPr>
              <w:t>5.</w:t>
            </w:r>
            <w:r>
              <w:rPr>
                <w:rFonts w:ascii="Times New Roman" w:hAnsi="Times New Roman" w:eastAsia="仿宋" w:cs="Times New Roman"/>
                <w:sz w:val="22"/>
                <w:szCs w:val="22"/>
                <w:lang w:val="zh-CN"/>
              </w:rPr>
              <w:t>履约保证金不予退还情形：</w:t>
            </w:r>
            <w:r>
              <w:rPr>
                <w:rFonts w:hint="eastAsia" w:ascii="Times New Roman" w:hAnsi="Times New Roman" w:eastAsia="仿宋" w:cs="Times New Roman"/>
                <w:sz w:val="22"/>
                <w:szCs w:val="22"/>
                <w:lang w:val="en-US"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6" w:name="_Toc24154"/>
      <w:bookmarkStart w:id="7" w:name="_Toc22329"/>
      <w:bookmarkStart w:id="8" w:name="_Toc14460"/>
      <w:bookmarkStart w:id="117" w:name="_GoBack"/>
      <w:bookmarkEnd w:id="117"/>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全自动骨髓染色仪设备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1" w:type="pct"/>
            <w:vAlign w:val="center"/>
          </w:tcPr>
          <w:p>
            <w:pPr>
              <w:tabs>
                <w:tab w:val="left" w:pos="1134"/>
              </w:tabs>
              <w:snapToGrid w:val="0"/>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pPr>
              <w:tabs>
                <w:tab w:val="left" w:pos="1134"/>
              </w:tabs>
              <w:snapToGrid w:val="0"/>
              <w:jc w:val="center"/>
              <w:rPr>
                <w:rFonts w:hint="eastAsia"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pPr>
              <w:tabs>
                <w:tab w:val="left" w:pos="1134"/>
              </w:tabs>
              <w:snapToGrid w:val="0"/>
              <w:jc w:val="center"/>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pPr>
              <w:tabs>
                <w:tab w:val="left" w:pos="1134"/>
              </w:tabs>
              <w:snapToGrid w:val="0"/>
              <w:jc w:val="center"/>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pPr>
              <w:tabs>
                <w:tab w:val="left" w:pos="1134"/>
              </w:tabs>
              <w:snapToGrid w:val="0"/>
              <w:jc w:val="center"/>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pPr>
              <w:tabs>
                <w:tab w:val="left" w:pos="1134"/>
              </w:tabs>
              <w:snapToGrid w:val="0"/>
              <w:jc w:val="center"/>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pPr>
              <w:tabs>
                <w:tab w:val="left" w:pos="1134"/>
              </w:tabs>
              <w:snapToGrid w:val="0"/>
              <w:jc w:val="center"/>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pPr>
              <w:tabs>
                <w:tab w:val="left" w:pos="1134"/>
              </w:tabs>
              <w:snapToGrid w:val="0"/>
              <w:jc w:val="center"/>
              <w:rPr>
                <w:rFonts w:hint="eastAsia"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1"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vertAlign w:val="baseline"/>
                <w:lang w:val="en-US" w:eastAsia="zh-CN"/>
              </w:rPr>
              <w:t>全自动骨髓染色仪</w:t>
            </w:r>
          </w:p>
        </w:tc>
        <w:tc>
          <w:tcPr>
            <w:tcW w:w="528"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465" w:type="pct"/>
            <w:shd w:val="clear" w:color="auto" w:fill="auto"/>
            <w:vAlign w:val="center"/>
          </w:tcPr>
          <w:p>
            <w:pPr>
              <w:pStyle w:val="2"/>
              <w:widowControl w:val="0"/>
              <w:numPr>
                <w:ilvl w:val="0"/>
                <w:numId w:val="0"/>
              </w:numPr>
              <w:ind w:left="0" w:leftChars="0" w:firstLine="0" w:firstLineChars="0"/>
              <w:jc w:val="center"/>
              <w:rPr>
                <w:rFonts w:hint="eastAsia" w:ascii="仿宋" w:hAnsi="仿宋" w:eastAsia="仿宋" w:cs="仿宋"/>
                <w:b/>
                <w:color w:val="auto"/>
                <w:kern w:val="2"/>
                <w:sz w:val="24"/>
                <w:szCs w:val="24"/>
                <w:vertAlign w:val="baseline"/>
                <w:lang w:val="en-US" w:eastAsia="zh-CN" w:bidi="ar-SA"/>
              </w:rPr>
            </w:pPr>
            <w:r>
              <w:rPr>
                <w:rFonts w:hint="eastAsia" w:ascii="仿宋" w:hAnsi="仿宋" w:eastAsia="仿宋" w:cs="仿宋"/>
                <w:sz w:val="24"/>
                <w:szCs w:val="24"/>
                <w:vertAlign w:val="baseline"/>
                <w:lang w:val="en-US" w:eastAsia="zh-CN"/>
              </w:rPr>
              <w:t>台</w:t>
            </w:r>
          </w:p>
        </w:tc>
        <w:tc>
          <w:tcPr>
            <w:tcW w:w="704"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516"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2"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★1.具备骨髓涂片全自动瑞氏-吉姆萨染色功能。</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▲2.染色方法：独立浸染染色。</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▲3.每批次染色时间≤30分钟。</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4.染色通量≥10片/批。</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5.具备≥3种染色程序，可自定义调节染色时间和染色步骤。</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6.具备自动清洗保养功能，具备实时报警功能。</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★7.试剂耗材要求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7.1. 配套试剂（包含质控品、校准品）具备国家药品监督管理局注册证或备案凭证，且注册或备案资料或产品说明书中明确注明：适用于参与投标的设备（设备品牌、型号需一致）。</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7.2. 配套试剂（包含质控品、校准品）拟开展项目名称、预估检测量、试剂限高价如下：</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4375"/>
        <w:gridCol w:w="3145"/>
        <w:gridCol w:w="2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375"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bCs w:val="0"/>
                <w:sz w:val="24"/>
                <w:szCs w:val="24"/>
              </w:rPr>
            </w:pPr>
            <w:r>
              <w:rPr>
                <w:rFonts w:hint="eastAsia" w:ascii="仿宋" w:hAnsi="仿宋" w:eastAsia="仿宋" w:cs="仿宋"/>
                <w:b/>
                <w:bCs w:val="0"/>
                <w:sz w:val="24"/>
                <w:szCs w:val="24"/>
              </w:rPr>
              <w:t>拟开展项目名称</w:t>
            </w:r>
          </w:p>
        </w:tc>
        <w:tc>
          <w:tcPr>
            <w:tcW w:w="3145"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bCs w:val="0"/>
                <w:sz w:val="24"/>
                <w:szCs w:val="24"/>
              </w:rPr>
            </w:pPr>
            <w:r>
              <w:rPr>
                <w:rFonts w:hint="eastAsia" w:ascii="仿宋" w:hAnsi="仿宋" w:eastAsia="仿宋" w:cs="仿宋"/>
                <w:b/>
                <w:bCs w:val="0"/>
                <w:sz w:val="24"/>
                <w:szCs w:val="24"/>
              </w:rPr>
              <w:t>预估年检测量（人次）</w:t>
            </w:r>
          </w:p>
        </w:tc>
        <w:tc>
          <w:tcPr>
            <w:tcW w:w="2327"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bCs w:val="0"/>
                <w:sz w:val="24"/>
                <w:szCs w:val="24"/>
              </w:rPr>
            </w:pPr>
            <w:r>
              <w:rPr>
                <w:rFonts w:hint="eastAsia" w:ascii="仿宋" w:hAnsi="仿宋" w:eastAsia="仿宋" w:cs="仿宋"/>
                <w:b/>
                <w:bCs w:val="0"/>
                <w:sz w:val="24"/>
                <w:szCs w:val="24"/>
              </w:rPr>
              <w:t>限高价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375"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val="0"/>
                <w:bCs/>
                <w:sz w:val="24"/>
                <w:szCs w:val="24"/>
              </w:rPr>
            </w:pPr>
            <w:r>
              <w:rPr>
                <w:rFonts w:hint="eastAsia" w:ascii="仿宋" w:hAnsi="仿宋" w:eastAsia="仿宋" w:cs="仿宋"/>
                <w:b w:val="0"/>
                <w:bCs/>
                <w:sz w:val="24"/>
                <w:szCs w:val="24"/>
              </w:rPr>
              <w:t>骨髓检查</w:t>
            </w:r>
          </w:p>
        </w:tc>
        <w:tc>
          <w:tcPr>
            <w:tcW w:w="3145"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val="0"/>
                <w:bCs/>
                <w:sz w:val="24"/>
                <w:szCs w:val="24"/>
              </w:rPr>
            </w:pPr>
            <w:r>
              <w:rPr>
                <w:rFonts w:hint="eastAsia" w:ascii="仿宋" w:hAnsi="仿宋" w:eastAsia="仿宋" w:cs="仿宋"/>
                <w:b w:val="0"/>
                <w:bCs/>
                <w:sz w:val="24"/>
                <w:szCs w:val="24"/>
              </w:rPr>
              <w:t>10000</w:t>
            </w:r>
          </w:p>
        </w:tc>
        <w:tc>
          <w:tcPr>
            <w:tcW w:w="2327" w:type="dxa"/>
            <w:shd w:val="clear" w:color="auto" w:fill="auto"/>
            <w:tcMar>
              <w:top w:w="0" w:type="dxa"/>
              <w:left w:w="105" w:type="dxa"/>
              <w:bottom w:w="0" w:type="dxa"/>
              <w:right w:w="105" w:type="dxa"/>
            </w:tcMar>
            <w:vAlign w:val="top"/>
          </w:tcPr>
          <w:p>
            <w:pPr>
              <w:tabs>
                <w:tab w:val="left" w:pos="1134"/>
              </w:tabs>
              <w:snapToGrid w:val="0"/>
              <w:jc w:val="center"/>
              <w:rPr>
                <w:rFonts w:hint="eastAsia" w:ascii="仿宋" w:hAnsi="仿宋" w:eastAsia="仿宋" w:cs="仿宋"/>
                <w:b w:val="0"/>
                <w:bCs/>
                <w:sz w:val="24"/>
                <w:szCs w:val="24"/>
              </w:rPr>
            </w:pPr>
            <w:r>
              <w:rPr>
                <w:rFonts w:hint="eastAsia" w:ascii="仿宋" w:hAnsi="仿宋" w:eastAsia="仿宋" w:cs="仿宋"/>
                <w:b w:val="0"/>
                <w:bCs/>
                <w:sz w:val="24"/>
                <w:szCs w:val="24"/>
              </w:rPr>
              <w:t>6.5元/人次</w:t>
            </w:r>
          </w:p>
        </w:tc>
      </w:tr>
    </w:tbl>
    <w:p>
      <w:pPr>
        <w:pStyle w:val="14"/>
        <w:widowControl/>
        <w:numPr>
          <w:ilvl w:val="0"/>
          <w:numId w:val="0"/>
        </w:numPr>
        <w:spacing w:before="0" w:beforeAutospacing="0" w:after="0" w:afterAutospacing="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2.交付地点：四川省人民医院（院本部、东院、草堂老年医学中心）</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3.质保期：验收合格后不低于8年。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5.付款条件：验收合格后，供应商须在5日内向采购人出具合法有效票据及其它相关请款资料，采购人自收到上述票据及资料后55日内向供应商支付合同总金额的100%。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7.售后服务要求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default" w:ascii="仿宋" w:hAnsi="仿宋" w:eastAsia="仿宋" w:cs="仿宋"/>
          <w:color w:val="000000" w:themeColor="text1"/>
          <w:sz w:val="24"/>
          <w:szCs w:val="24"/>
          <w:lang w:val="en-US" w:eastAsia="zh-CN"/>
          <w14:textFill>
            <w14:solidFill>
              <w14:schemeClr w14:val="tx1"/>
            </w14:solidFill>
          </w14:textFill>
        </w:rPr>
        <w:t>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val="en-US" w:eastAsia="zh-CN"/>
          <w14:textFill>
            <w14:solidFill>
              <w14:schemeClr w14:val="tx1"/>
            </w14:solidFill>
          </w14:textFill>
        </w:rPr>
        <w:t>如在质保期内出现质量问题，供应商须在接到通知后2小时内响应，24小时内到场维修，并承担相关费用。</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default" w:ascii="仿宋" w:hAnsi="仿宋" w:eastAsia="仿宋" w:cs="仿宋"/>
          <w:color w:val="000000" w:themeColor="text1"/>
          <w:sz w:val="24"/>
          <w:szCs w:val="24"/>
          <w:lang w:val="en-US" w:eastAsia="zh-CN"/>
          <w14:textFill>
            <w14:solidFill>
              <w14:schemeClr w14:val="tx1"/>
            </w14:solidFill>
          </w14:textFill>
        </w:rPr>
        <w:t>如设备在质保期内因同一故障经供应商两次维修仍不能达到合同约定的技术要求及国家法律法规规定的质量标准，采购人有权要求供应商更换全新设备或退货，并追究供应商违约责任。</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default" w:ascii="仿宋" w:hAnsi="仿宋" w:eastAsia="仿宋" w:cs="仿宋"/>
          <w:color w:val="000000" w:themeColor="text1"/>
          <w:sz w:val="24"/>
          <w:szCs w:val="24"/>
          <w:lang w:val="en-US" w:eastAsia="zh-CN"/>
          <w14:textFill>
            <w14:solidFill>
              <w14:schemeClr w14:val="tx1"/>
            </w14:solidFill>
          </w14:textFill>
        </w:rPr>
        <w:t>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default" w:ascii="仿宋" w:hAnsi="仿宋" w:eastAsia="仿宋" w:cs="仿宋"/>
          <w:color w:val="000000" w:themeColor="text1"/>
          <w:sz w:val="24"/>
          <w:szCs w:val="24"/>
          <w:lang w:val="en-US" w:eastAsia="zh-CN"/>
          <w14:textFill>
            <w14:solidFill>
              <w14:schemeClr w14:val="tx1"/>
            </w14:solidFill>
          </w14:textFill>
        </w:rPr>
        <w:t>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default" w:ascii="仿宋" w:hAnsi="仿宋" w:eastAsia="仿宋" w:cs="仿宋"/>
          <w:color w:val="000000" w:themeColor="text1"/>
          <w:sz w:val="24"/>
          <w:szCs w:val="24"/>
          <w:lang w:val="en-US" w:eastAsia="zh-CN"/>
          <w14:textFill>
            <w14:solidFill>
              <w14:schemeClr w14:val="tx1"/>
            </w14:solidFill>
          </w14:textFill>
        </w:rPr>
        <w:t>供</w:t>
      </w:r>
      <w:r>
        <w:rPr>
          <w:rFonts w:hint="default" w:ascii="仿宋" w:hAnsi="仿宋" w:eastAsia="仿宋" w:cs="仿宋"/>
          <w:color w:val="000000" w:themeColor="text1"/>
          <w:sz w:val="24"/>
          <w:szCs w:val="24"/>
          <w:highlight w:val="none"/>
          <w:lang w:val="en-US" w:eastAsia="zh-CN"/>
          <w14:textFill>
            <w14:solidFill>
              <w14:schemeClr w14:val="tx1"/>
            </w14:solidFill>
          </w14:textFill>
        </w:rPr>
        <w:t>应商须指派专人负责与采购人联系售后服务事宜。</w:t>
      </w:r>
    </w:p>
    <w:p>
      <w:pPr>
        <w:pStyle w:val="14"/>
        <w:widowControl/>
        <w:spacing w:beforeAutospacing="0" w:afterAutospacing="0" w:line="288"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w:t>
      </w:r>
      <w:r>
        <w:rPr>
          <w:rFonts w:hint="eastAsia" w:ascii="仿宋" w:hAnsi="仿宋" w:eastAsia="仿宋" w:cs="仿宋"/>
          <w:color w:val="auto"/>
          <w:kern w:val="2"/>
          <w:sz w:val="24"/>
          <w:szCs w:val="24"/>
          <w:highlight w:val="none"/>
          <w:lang w:val="en-US" w:eastAsia="zh-CN" w:bidi="ar-SA"/>
        </w:rPr>
        <w:t>本次设备与试剂分别签订合同，</w:t>
      </w:r>
      <w:r>
        <w:rPr>
          <w:rFonts w:hint="eastAsia" w:ascii="仿宋" w:hAnsi="仿宋" w:eastAsia="仿宋" w:cs="仿宋"/>
          <w:color w:val="000000" w:themeColor="text1"/>
          <w:sz w:val="24"/>
          <w:szCs w:val="24"/>
          <w:highlight w:val="none"/>
          <w14:textFill>
            <w14:solidFill>
              <w14:schemeClr w14:val="tx1"/>
            </w14:solidFill>
          </w14:textFill>
        </w:rPr>
        <w:t>签订合同须使用本谈判</w:t>
      </w:r>
      <w:r>
        <w:rPr>
          <w:rFonts w:hint="eastAsia" w:ascii="仿宋" w:hAnsi="仿宋" w:eastAsia="仿宋" w:cs="仿宋"/>
          <w:sz w:val="24"/>
          <w:szCs w:val="24"/>
          <w:highlight w:val="none"/>
        </w:rPr>
        <w:t>文件中提供的模板（详见第七章），具体条款以谈判文件、响应文件及双方另行约定为准</w:t>
      </w:r>
      <w:r>
        <w:rPr>
          <w:rFonts w:hint="eastAsia" w:ascii="仿宋" w:hAnsi="仿宋" w:eastAsia="仿宋" w:cs="仿宋"/>
          <w:sz w:val="24"/>
          <w:szCs w:val="24"/>
          <w:highlight w:val="none"/>
          <w:lang w:eastAsia="zh-CN"/>
        </w:rPr>
        <w:t>。</w:t>
      </w:r>
    </w:p>
    <w:p>
      <w:pPr>
        <w:pStyle w:val="14"/>
        <w:widowControl/>
        <w:spacing w:beforeAutospacing="0" w:afterAutospacing="0" w:line="288"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9.供应商须在投标文件中单独提供配置清单（不同产品分别提供，格式详见投标文件格式），采购人将以此为依据进行验收。 该包技术参数中无实质性配置要求，若涉及设备正常运行所需的其他配置内容，投标人在配置清单中列明涉及的产品名称、型号（若有）、数量即可，供应商可根据投标产品实际情况确定是否单独报价。</w:t>
      </w:r>
    </w:p>
    <w:p>
      <w:pPr>
        <w:pStyle w:val="14"/>
        <w:widowControl/>
        <w:spacing w:beforeAutospacing="0" w:afterAutospacing="0" w:line="288"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10.供应商提供的产品的生产日期与到货日期时间间隔不超过3个月，供应商提供承诺函，格式自拟。</w:t>
      </w:r>
    </w:p>
    <w:p>
      <w:pPr>
        <w:pStyle w:val="14"/>
        <w:widowControl/>
        <w:spacing w:beforeAutospacing="0" w:afterAutospacing="0" w:line="288" w:lineRule="auto"/>
        <w:ind w:firstLine="480" w:firstLineChars="200"/>
        <w:rPr>
          <w:rFonts w:hint="eastAsia"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sz w:val="24"/>
          <w:szCs w:val="24"/>
          <w:highlight w:val="none"/>
          <w:lang w:val="en-US" w:eastAsia="zh-CN"/>
        </w:rPr>
        <w:t>11.</w:t>
      </w:r>
      <w:r>
        <w:rPr>
          <w:rFonts w:hint="eastAsia" w:ascii="仿宋" w:hAnsi="仿宋" w:eastAsia="仿宋" w:cs="仿宋"/>
          <w:bCs w:val="0"/>
          <w:color w:val="auto"/>
          <w:spacing w:val="0"/>
          <w:kern w:val="2"/>
          <w:sz w:val="24"/>
          <w:szCs w:val="24"/>
          <w:highlight w:val="none"/>
          <w:lang w:val="en-US" w:eastAsia="zh-CN" w:bidi="ar-SA"/>
        </w:rPr>
        <w:t>耗材、试剂服务要求：</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.1.后续供货试剂应与本项目性能验证时提供的试剂保持质量一致。</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.2.按采购人的要求，按时按量完成产品配送工作；如响应产品需要冷链运输，供应商应具备完善的冷链运输条件。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.3.安排服务人员配送产品至服务地点内采购人指定位置，并配合采购人进行验收等相关工作。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.4.配送服务地点：四川省人民医院（含所有院区）。</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.5.交付耗材、试剂时产品剩余有效期不少于半年；服务期内，供应商应对效期临近的产品进行调换或退货，相关费用包含在本项目报价内。</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.6.如响应产品属于四川省医械集中采购及医药价格监管平台挂网产品，应满足以下要求：</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（1）若响应产品已纳入价格联动采购范围的，本次响应时在四川省医械集中采购及医药价格监管平台须已完成挂网销售相关工作。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（2）若响应产品未纳入价格联动采购范围的，其生产企业应提供书面承诺，供货前，以不高于本次响应最终报价的价格，在四川省医械集中采购及医药价格监管平台完成备案采购相关事宜。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（3）供应商须配合采购人完成产品挂网采购相关工作。</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.7.供货服务期：合同签订生效之日起3年</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11</w:t>
      </w:r>
      <w:r>
        <w:rPr>
          <w:rFonts w:hint="default" w:ascii="仿宋" w:hAnsi="仿宋" w:eastAsia="仿宋" w:cs="仿宋"/>
          <w:bCs w:val="0"/>
          <w:color w:val="auto"/>
          <w:spacing w:val="0"/>
          <w:kern w:val="2"/>
          <w:sz w:val="24"/>
          <w:szCs w:val="24"/>
          <w:highlight w:val="none"/>
          <w:lang w:val="en-US" w:eastAsia="zh-CN" w:bidi="ar-SA"/>
        </w:rPr>
        <w:t>.8.耗材、试剂付款条件：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（1）本项目每月按照成交单价进行结算，如服务期内价格下调，经供应商与采购人确认后，以下调后的价格进行结算。</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2）每月结算前，供应商应与采购人确认实际验收数量及支付金额，并在每月最后3日内向采购人提交合法有效票据及其它相关请款资料（如采购人因实际工作需要，需在其它时间提交，以采购人另行通知为准），采购人接到供应商上述票据及资料后30日内支付相应货款。</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eastAsia" w:ascii="仿宋" w:hAnsi="仿宋" w:eastAsia="仿宋" w:cs="仿宋"/>
          <w:bCs w:val="0"/>
          <w:color w:val="auto"/>
          <w:spacing w:val="0"/>
          <w:kern w:val="2"/>
          <w:sz w:val="24"/>
          <w:szCs w:val="24"/>
          <w:highlight w:val="none"/>
          <w:lang w:val="en-US" w:eastAsia="zh-CN" w:bidi="ar-SA"/>
        </w:rPr>
        <w:t>12</w:t>
      </w:r>
      <w:r>
        <w:rPr>
          <w:rFonts w:hint="default" w:ascii="仿宋" w:hAnsi="仿宋" w:eastAsia="仿宋" w:cs="仿宋"/>
          <w:bCs w:val="0"/>
          <w:color w:val="auto"/>
          <w:spacing w:val="0"/>
          <w:kern w:val="2"/>
          <w:sz w:val="24"/>
          <w:szCs w:val="24"/>
          <w:highlight w:val="none"/>
          <w:lang w:val="en-US" w:eastAsia="zh-CN" w:bidi="ar-SA"/>
        </w:rPr>
        <w:t>.耗材试剂验收要求：</w:t>
      </w:r>
    </w:p>
    <w:tbl>
      <w:tblPr>
        <w:tblStyle w:val="19"/>
        <w:tblW w:w="49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7"/>
        <w:gridCol w:w="6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履约验收时间</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收货时即时验收。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验收主体</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验收组织方式</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自行验收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验收方式</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现场整体验收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验收程序</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分批验收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验收内容</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按照基于本项目采购需求编制的采购文件要求及供应商响应文件情况，由供应商向采购人交付的全部内容。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验收标准</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1.国家相关法律法规、行业标准、技术规范。</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5.参照《财政部关于进一步加强政府采购需求和履约验收管理的指导意见》（财库〔2016〕205号）的要求进行验收。</w:t>
            </w:r>
          </w:p>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6.其他标准：无。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是否邀请本项目的其他供应商</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是否邀请专家</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是否邀请服务对象</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7"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是否邀请第三方检测机构</w:t>
            </w:r>
          </w:p>
        </w:tc>
        <w:tc>
          <w:tcPr>
            <w:tcW w:w="6640" w:type="dxa"/>
            <w:vAlign w:val="center"/>
          </w:tcPr>
          <w:p>
            <w:pPr>
              <w:pStyle w:val="14"/>
              <w:widowControl/>
              <w:spacing w:beforeAutospacing="0" w:afterAutospacing="0" w:line="288" w:lineRule="auto"/>
              <w:ind w:firstLine="480" w:firstLineChars="200"/>
              <w:rPr>
                <w:rFonts w:hint="default" w:ascii="仿宋" w:hAnsi="仿宋" w:eastAsia="仿宋" w:cs="仿宋"/>
                <w:bCs w:val="0"/>
                <w:color w:val="auto"/>
                <w:spacing w:val="0"/>
                <w:kern w:val="2"/>
                <w:sz w:val="24"/>
                <w:szCs w:val="24"/>
                <w:highlight w:val="none"/>
                <w:lang w:val="en-US" w:eastAsia="zh-CN" w:bidi="ar-SA"/>
              </w:rPr>
            </w:pPr>
            <w:r>
              <w:rPr>
                <w:rFonts w:hint="default" w:ascii="仿宋" w:hAnsi="仿宋" w:eastAsia="仿宋" w:cs="仿宋"/>
                <w:bCs w:val="0"/>
                <w:color w:val="auto"/>
                <w:spacing w:val="0"/>
                <w:kern w:val="2"/>
                <w:sz w:val="24"/>
                <w:szCs w:val="24"/>
                <w:highlight w:val="none"/>
                <w:lang w:val="en-US" w:eastAsia="zh-CN" w:bidi="ar-SA"/>
              </w:rPr>
              <w:t>否</w:t>
            </w:r>
          </w:p>
        </w:tc>
      </w:tr>
    </w:tbl>
    <w:p>
      <w:pPr>
        <w:pStyle w:val="14"/>
        <w:widowControl/>
        <w:spacing w:beforeAutospacing="0" w:afterAutospacing="0" w:line="288" w:lineRule="auto"/>
        <w:ind w:firstLine="480" w:firstLineChars="200"/>
        <w:rPr>
          <w:rFonts w:hint="default" w:ascii="仿宋" w:hAnsi="仿宋" w:eastAsia="仿宋" w:cs="仿宋"/>
          <w:sz w:val="24"/>
          <w:szCs w:val="24"/>
          <w:highlight w:val="none"/>
          <w:lang w:val="en-US" w:eastAsia="zh-CN"/>
        </w:rPr>
      </w:pPr>
    </w:p>
    <w:p>
      <w:pPr>
        <w:pStyle w:val="16"/>
        <w:adjustRightInd w:val="0"/>
        <w:spacing w:before="0" w:after="0" w:line="240" w:lineRule="auto"/>
        <w:ind w:left="0" w:leftChars="0" w:firstLine="0" w:firstLineChars="0"/>
        <w:rPr>
          <w:rFonts w:hint="eastAsia" w:ascii="Times New Roman" w:hAnsi="Times New Roman" w:eastAsia="仿宋" w:cs="Times New Roman"/>
          <w:b/>
          <w:bCs/>
          <w:sz w:val="24"/>
          <w:szCs w:val="24"/>
          <w:highlight w:val="none"/>
          <w:lang w:val="en-US" w:eastAsia="zh-CN"/>
        </w:rPr>
      </w:pPr>
      <w:r>
        <w:rPr>
          <w:rFonts w:hint="eastAsia" w:ascii="Times New Roman" w:hAnsi="Times New Roman" w:eastAsia="仿宋" w:cs="Times New Roman"/>
          <w:b/>
          <w:bCs/>
          <w:sz w:val="24"/>
          <w:szCs w:val="24"/>
          <w:highlight w:val="none"/>
          <w:lang w:val="en-US" w:eastAsia="zh-CN"/>
        </w:rPr>
        <w:t>五、其他要求</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highlight w:val="none"/>
        </w:rPr>
      </w:pPr>
      <w:r>
        <w:rPr>
          <w:rFonts w:hint="default" w:ascii="仿宋" w:hAnsi="仿宋" w:eastAsia="仿宋" w:cs="仿宋"/>
          <w:kern w:val="2"/>
          <w:sz w:val="24"/>
          <w:szCs w:val="24"/>
          <w:highlight w:val="none"/>
        </w:rPr>
        <w:t>1、</w:t>
      </w:r>
      <w:r>
        <w:rPr>
          <w:rFonts w:hint="default" w:ascii="仿宋" w:hAnsi="仿宋" w:eastAsia="仿宋" w:cs="仿宋"/>
          <w:kern w:val="2"/>
          <w:sz w:val="24"/>
          <w:szCs w:val="24"/>
          <w:highlight w:val="none"/>
          <w:lang w:val="en-US"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default" w:ascii="仿宋" w:hAnsi="仿宋" w:eastAsia="仿宋" w:cs="仿宋"/>
          <w:kern w:val="2"/>
          <w:sz w:val="24"/>
          <w:szCs w:val="24"/>
          <w:highlight w:val="none"/>
        </w:rPr>
        <w:t>。</w:t>
      </w:r>
    </w:p>
    <w:p>
      <w:pPr>
        <w:pStyle w:val="14"/>
        <w:widowControl/>
        <w:numPr>
          <w:ilvl w:val="0"/>
          <w:numId w:val="0"/>
        </w:numPr>
        <w:spacing w:beforeAutospacing="0" w:afterAutospacing="0" w:line="288" w:lineRule="auto"/>
        <w:ind w:firstLine="480" w:firstLineChars="200"/>
        <w:rPr>
          <w:rFonts w:ascii="Times New Roman" w:hAnsi="Times New Roman" w:eastAsia="仿宋" w:cs="Times New Roman"/>
          <w:sz w:val="24"/>
          <w:szCs w:val="24"/>
        </w:rPr>
      </w:pPr>
      <w:r>
        <w:rPr>
          <w:rFonts w:hint="default" w:ascii="仿宋" w:hAnsi="仿宋" w:eastAsia="仿宋" w:cs="仿宋"/>
          <w:kern w:val="2"/>
          <w:sz w:val="24"/>
          <w:szCs w:val="24"/>
          <w:highlight w:val="none"/>
        </w:rPr>
        <w:t>2、</w:t>
      </w:r>
      <w:r>
        <w:rPr>
          <w:rFonts w:hint="default" w:ascii="仿宋" w:hAnsi="仿宋" w:eastAsia="仿宋" w:cs="仿宋"/>
          <w:kern w:val="2"/>
          <w:sz w:val="24"/>
          <w:szCs w:val="24"/>
          <w:highlight w:val="none"/>
          <w:lang w:val="en-US" w:eastAsia="zh-CN"/>
        </w:rPr>
        <w:t>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w:t>
      </w:r>
      <w:r>
        <w:rPr>
          <w:rFonts w:hint="default" w:ascii="仿宋" w:hAnsi="仿宋" w:eastAsia="仿宋" w:cs="仿宋"/>
          <w:kern w:val="2"/>
          <w:sz w:val="24"/>
          <w:szCs w:val="24"/>
          <w:lang w:val="en-US" w:eastAsia="zh-CN"/>
        </w:rPr>
        <w:t>依法处理</w:t>
      </w:r>
      <w:r>
        <w:rPr>
          <w:rFonts w:hint="default" w:ascii="仿宋" w:hAnsi="仿宋" w:eastAsia="仿宋" w:cs="仿宋"/>
          <w:kern w:val="2"/>
          <w:sz w:val="24"/>
          <w:szCs w:val="24"/>
        </w:rPr>
        <w:t>。</w:t>
      </w:r>
    </w:p>
    <w:p>
      <w:pPr>
        <w:pStyle w:val="16"/>
        <w:spacing w:before="0" w:after="0" w:line="288"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pStyle w:val="3"/>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ind w:firstLine="0"/>
              <w:jc w:val="left"/>
              <w:rPr>
                <w:rFonts w:ascii="仿宋" w:hAnsi="仿宋" w:eastAsia="仿宋" w:cs="仿宋"/>
                <w:sz w:val="24"/>
              </w:rPr>
            </w:pPr>
            <w:r>
              <w:rPr>
                <w:rFonts w:ascii="Times New Roman" w:hAnsi="Times New Roman" w:cs="Times New Roman"/>
              </w:rPr>
              <w:br w:type="page"/>
            </w: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4021" w:type="dxa"/>
            <w:vAlign w:val="center"/>
          </w:tcPr>
          <w:p>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1.设备报价分（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报价为设备评标基准价，其价格分为本项满分；</w:t>
            </w:r>
          </w:p>
          <w:p>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设备报价分得分=(设备</w:t>
            </w:r>
            <w:r>
              <w:rPr>
                <w:rFonts w:hint="eastAsia" w:ascii="仿宋" w:hAnsi="仿宋" w:eastAsia="仿宋" w:cs="仿宋"/>
                <w:b w:val="0"/>
                <w:bCs/>
                <w:color w:val="auto"/>
                <w:sz w:val="24"/>
                <w:szCs w:val="24"/>
                <w:highlight w:val="none"/>
                <w:lang w:val="en-US" w:eastAsia="zh-CN"/>
              </w:rPr>
              <w:t>谈判基准价</w:t>
            </w:r>
            <w:r>
              <w:rPr>
                <w:rFonts w:hint="eastAsia" w:ascii="仿宋" w:hAnsi="仿宋" w:eastAsia="仿宋" w:cs="仿宋"/>
                <w:color w:val="auto"/>
                <w:sz w:val="24"/>
                <w:highlight w:val="none"/>
              </w:rPr>
              <w:t>／设备报价)×</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p>
          <w:p>
            <w:pPr>
              <w:wordWrap w:val="0"/>
              <w:rPr>
                <w:rFonts w:ascii="仿宋" w:hAnsi="仿宋" w:eastAsia="仿宋" w:cs="仿宋"/>
                <w:sz w:val="24"/>
              </w:rPr>
            </w:pPr>
            <w:r>
              <w:rPr>
                <w:rFonts w:hint="eastAsia" w:ascii="仿宋" w:hAnsi="仿宋" w:eastAsia="仿宋" w:cs="仿宋"/>
                <w:color w:val="auto"/>
                <w:sz w:val="24"/>
                <w:highlight w:val="none"/>
              </w:rPr>
              <w:t>2. 试剂</w:t>
            </w:r>
            <w:r>
              <w:rPr>
                <w:rFonts w:hint="eastAsia" w:ascii="仿宋" w:hAnsi="仿宋" w:eastAsia="仿宋" w:cs="仿宋"/>
                <w:color w:val="auto"/>
                <w:sz w:val="24"/>
                <w:highlight w:val="none"/>
                <w:lang w:val="en-US" w:eastAsia="zh-CN"/>
              </w:rPr>
              <w:t>报价分</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27</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val="en-US" w:eastAsia="zh-CN"/>
              </w:rPr>
              <w:t>满</w:t>
            </w:r>
            <w:r>
              <w:rPr>
                <w:rFonts w:hint="eastAsia" w:ascii="仿宋" w:hAnsi="仿宋" w:eastAsia="仿宋" w:cs="仿宋"/>
                <w:b w:val="0"/>
                <w:bCs/>
                <w:color w:val="auto"/>
                <w:sz w:val="24"/>
                <w:szCs w:val="24"/>
                <w:highlight w:val="none"/>
                <w:lang w:val="en-US" w:eastAsia="zh-CN"/>
              </w:rPr>
              <w:t>足谈判文件要求，且价格按检测项目报价最低的试剂评审价为谈判基准价，其价格分为满分。其他供应商的价格分统一按照下列公式计算：试剂报价分得分=(谈判基准价／试剂评审价)×27。</w:t>
            </w:r>
          </w:p>
        </w:tc>
        <w:tc>
          <w:tcPr>
            <w:tcW w:w="2177" w:type="dxa"/>
            <w:vAlign w:val="center"/>
          </w:tcPr>
          <w:p>
            <w:pPr>
              <w:wordWrap w:val="0"/>
              <w:rPr>
                <w:rFonts w:hint="eastAsia" w:ascii="仿宋" w:hAnsi="仿宋" w:eastAsia="仿宋" w:cs="仿宋"/>
                <w:sz w:val="24"/>
              </w:rPr>
            </w:pPr>
            <w:r>
              <w:rPr>
                <w:rFonts w:hint="eastAsia" w:ascii="仿宋" w:hAnsi="仿宋" w:eastAsia="仿宋" w:cs="仿宋"/>
                <w:sz w:val="24"/>
                <w:lang w:val="en-US" w:eastAsia="zh-CN"/>
              </w:rPr>
              <w:t>1.</w:t>
            </w:r>
            <w:r>
              <w:rPr>
                <w:rFonts w:hint="eastAsia" w:ascii="仿宋" w:hAnsi="仿宋" w:eastAsia="仿宋" w:cs="仿宋"/>
                <w:sz w:val="24"/>
              </w:rPr>
              <w:t>以供应商提供的响应报价为准。</w:t>
            </w:r>
          </w:p>
          <w:p>
            <w:pPr>
              <w:pStyle w:val="2"/>
              <w:rPr>
                <w:rFonts w:ascii="仿宋" w:hAnsi="仿宋" w:eastAsia="仿宋" w:cs="仿宋"/>
                <w:sz w:val="24"/>
              </w:rPr>
            </w:pPr>
            <w:r>
              <w:rPr>
                <w:rFonts w:hint="eastAsia" w:ascii="仿宋" w:hAnsi="仿宋" w:eastAsia="仿宋" w:cs="仿宋"/>
                <w:sz w:val="24"/>
                <w:lang w:val="en-US" w:eastAsia="zh-CN"/>
              </w:rPr>
              <w:t>2.</w:t>
            </w:r>
            <w:r>
              <w:rPr>
                <w:rFonts w:hint="eastAsia" w:ascii="仿宋" w:hAnsi="仿宋" w:eastAsia="仿宋" w:cs="仿宋"/>
                <w:b w:val="0"/>
                <w:bCs/>
                <w:color w:val="auto"/>
                <w:sz w:val="24"/>
                <w:szCs w:val="24"/>
                <w:highlight w:val="none"/>
                <w:lang w:val="en-US" w:eastAsia="zh-CN"/>
              </w:rPr>
              <w:t>按检测项目报价</w:t>
            </w:r>
            <w:r>
              <w:rPr>
                <w:rFonts w:hint="eastAsia" w:ascii="仿宋" w:hAnsi="仿宋" w:eastAsia="仿宋" w:cs="仿宋"/>
                <w:color w:val="auto"/>
                <w:sz w:val="24"/>
                <w:highlight w:val="none"/>
                <w:lang w:val="en-US" w:eastAsia="zh-CN"/>
              </w:rPr>
              <w:t>试剂评审价=</w:t>
            </w:r>
            <w:r>
              <w:rPr>
                <w:rFonts w:hint="eastAsia" w:ascii="仿宋" w:hAnsi="仿宋" w:eastAsia="仿宋" w:cs="仿宋"/>
                <w:b w:val="0"/>
                <w:bCs/>
                <w:sz w:val="24"/>
                <w:szCs w:val="24"/>
              </w:rPr>
              <w:t>骨髓检查</w:t>
            </w:r>
            <w:r>
              <w:rPr>
                <w:rFonts w:hint="eastAsia" w:ascii="仿宋" w:hAnsi="仿宋" w:eastAsia="仿宋" w:cs="仿宋"/>
                <w:b w:val="0"/>
                <w:bCs/>
                <w:color w:val="auto"/>
                <w:sz w:val="24"/>
                <w:szCs w:val="24"/>
                <w:highlight w:val="none"/>
                <w:lang w:val="en-US" w:eastAsia="zh-CN"/>
              </w:rPr>
              <w:t>报价*预估年检测量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2"/>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2"/>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lang w:val="zh-CN"/>
        </w:rPr>
      </w:pPr>
    </w:p>
    <w:p>
      <w:pPr>
        <w:rPr>
          <w:rFonts w:ascii="Times New Roman" w:hAnsi="Times New Roman" w:cs="Times New Roman"/>
        </w:rPr>
      </w:pPr>
      <w:r>
        <w:rPr>
          <w:rFonts w:ascii="Times New Roman" w:hAnsi="Times New Roman" w:cs="Times New Roman"/>
        </w:rPr>
        <w:br w:type="page"/>
      </w:r>
    </w:p>
    <w:p>
      <w:pPr>
        <w:pStyle w:val="3"/>
        <w:rPr>
          <w:rFonts w:ascii="Times New Roman" w:hAnsi="Times New Roman" w:cs="Times New Roman"/>
        </w:rPr>
      </w:pPr>
      <w:bookmarkStart w:id="19" w:name="_Toc22827"/>
      <w:bookmarkStart w:id="20" w:name="_Toc3094"/>
      <w:bookmarkStart w:id="21" w:name="_Toc28171"/>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5913"/>
      <w:bookmarkStart w:id="23" w:name="_Toc29819"/>
      <w:bookmarkStart w:id="24" w:name="_Toc4960"/>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19851"/>
      <w:bookmarkStart w:id="26" w:name="_Toc9428"/>
      <w:bookmarkStart w:id="27" w:name="_Toc30609"/>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9041"/>
      <w:bookmarkStart w:id="29" w:name="_Toc1544"/>
      <w:bookmarkStart w:id="30" w:name="_Toc32352"/>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1472"/>
      <w:bookmarkStart w:id="32" w:name="_Toc24097"/>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17163"/>
      <w:bookmarkStart w:id="34" w:name="_Toc1690"/>
      <w:bookmarkStart w:id="35" w:name="_Toc32749"/>
      <w:bookmarkStart w:id="36" w:name="_Toc24859"/>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24123"/>
      <w:bookmarkStart w:id="38" w:name="_Toc6803"/>
      <w:bookmarkStart w:id="39" w:name="_Toc17905"/>
      <w:bookmarkStart w:id="40" w:name="_Toc3558"/>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989"/>
      <w:bookmarkStart w:id="42" w:name="_Toc27135"/>
      <w:bookmarkStart w:id="43" w:name="_Toc27526"/>
      <w:bookmarkStart w:id="44" w:name="_Toc5996"/>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19987"/>
      <w:bookmarkStart w:id="46" w:name="_Toc2031"/>
      <w:bookmarkStart w:id="47" w:name="_Toc5056"/>
      <w:bookmarkStart w:id="48" w:name="_Toc7233"/>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14829"/>
      <w:bookmarkStart w:id="50" w:name="_Toc3023"/>
      <w:bookmarkStart w:id="51" w:name="_Toc21519"/>
      <w:bookmarkStart w:id="52" w:name="_Toc6482"/>
      <w:bookmarkStart w:id="53" w:name="_Toc11352"/>
      <w:bookmarkStart w:id="54" w:name="_Toc1602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4"/>
        <w:ind w:firstLine="0"/>
      </w:pPr>
      <w:r>
        <w:t>承诺函</w:t>
      </w:r>
      <w:bookmarkEnd w:id="49"/>
      <w:bookmarkEnd w:id="50"/>
      <w:bookmarkEnd w:id="51"/>
      <w:bookmarkEnd w:id="52"/>
      <w:bookmarkEnd w:id="53"/>
      <w:bookmarkEnd w:id="54"/>
    </w:p>
    <w:p>
      <w:pPr>
        <w:pStyle w:val="2"/>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22676"/>
      <w:bookmarkStart w:id="56" w:name="_Toc4305"/>
      <w:bookmarkStart w:id="57" w:name="_Toc30971"/>
      <w:bookmarkStart w:id="58" w:name="_Toc31838"/>
      <w:bookmarkStart w:id="59" w:name="_Toc17857"/>
      <w:r>
        <w:rPr>
          <w:rFonts w:ascii="Times New Roman" w:hAnsi="Times New Roman" w:cs="Times New Roman"/>
        </w:rPr>
        <w:br w:type="page"/>
      </w:r>
    </w:p>
    <w:p>
      <w:pPr>
        <w:pStyle w:val="4"/>
        <w:ind w:firstLine="0"/>
      </w:pPr>
      <w:r>
        <w:t>具有独立承担民事责任的能力</w:t>
      </w:r>
      <w:bookmarkEnd w:id="55"/>
      <w:bookmarkEnd w:id="56"/>
      <w:bookmarkEnd w:id="57"/>
      <w:bookmarkEnd w:id="58"/>
      <w:bookmarkEnd w:id="59"/>
    </w:p>
    <w:p>
      <w:pPr>
        <w:pStyle w:val="2"/>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4"/>
        <w:ind w:firstLine="0"/>
        <w:rPr>
          <w:rStyle w:val="32"/>
          <w:szCs w:val="28"/>
        </w:rPr>
      </w:pPr>
      <w:r>
        <w:rPr>
          <w:bCs/>
        </w:rPr>
        <w:br w:type="page"/>
      </w:r>
      <w:bookmarkStart w:id="60" w:name="_Toc15613"/>
      <w:bookmarkStart w:id="61" w:name="_Toc27186"/>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25357"/>
      <w:bookmarkStart w:id="64" w:name="_Toc13706"/>
      <w:bookmarkStart w:id="65" w:name="_Toc13904"/>
    </w:p>
    <w:p>
      <w:pPr>
        <w:pStyle w:val="4"/>
        <w:ind w:firstLine="0"/>
        <w:rPr>
          <w:szCs w:val="32"/>
        </w:rPr>
      </w:pPr>
      <w:bookmarkStart w:id="66" w:name="_Toc15508"/>
      <w:bookmarkStart w:id="67" w:name="_Toc23146"/>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4"/>
        <w:ind w:firstLine="0"/>
        <w:rPr>
          <w:szCs w:val="32"/>
        </w:rPr>
      </w:pPr>
      <w:r>
        <w:rPr>
          <w:szCs w:val="32"/>
        </w:rPr>
        <w:br w:type="page"/>
      </w:r>
      <w:bookmarkStart w:id="68" w:name="_Toc12015"/>
      <w:bookmarkStart w:id="69" w:name="_Toc15526"/>
      <w:bookmarkStart w:id="70" w:name="_Toc20589"/>
      <w:bookmarkStart w:id="71" w:name="_Toc27661"/>
      <w:bookmarkStart w:id="72" w:name="_Toc11351"/>
      <w:bookmarkStart w:id="73" w:name="_Toc25638"/>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2"/>
        <w:snapToGrid w:val="0"/>
        <w:spacing w:after="0" w:line="500" w:lineRule="exact"/>
        <w:ind w:firstLine="480" w:firstLineChars="200"/>
        <w:rPr>
          <w:rFonts w:ascii="Times New Roman" w:hAnsi="Times New Roman" w:eastAsia="仿宋" w:cs="Times New Roman"/>
          <w:sz w:val="24"/>
        </w:rPr>
      </w:pPr>
    </w:p>
    <w:p>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4"/>
        <w:ind w:firstLine="0"/>
        <w:rPr>
          <w:szCs w:val="32"/>
        </w:rPr>
      </w:pPr>
      <w:r>
        <w:rPr>
          <w:szCs w:val="32"/>
        </w:rPr>
        <w:br w:type="page"/>
      </w:r>
      <w:bookmarkStart w:id="74" w:name="_Toc16435"/>
      <w:bookmarkStart w:id="75" w:name="_Toc1074"/>
      <w:bookmarkStart w:id="76" w:name="_Toc2041"/>
      <w:bookmarkStart w:id="77" w:name="_Toc12967"/>
      <w:bookmarkStart w:id="78" w:name="_Toc23967"/>
      <w:bookmarkStart w:id="79" w:name="_Toc26969"/>
      <w:r>
        <w:rPr>
          <w:rStyle w:val="40"/>
          <w:b/>
        </w:rPr>
        <w:t>采购需求偏离表</w:t>
      </w:r>
      <w:bookmarkEnd w:id="74"/>
      <w:bookmarkEnd w:id="75"/>
      <w:bookmarkEnd w:id="76"/>
      <w:bookmarkEnd w:id="77"/>
      <w:bookmarkEnd w:id="78"/>
      <w:bookmarkEnd w:id="79"/>
    </w:p>
    <w:p>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4"/>
        <w:ind w:firstLine="0"/>
        <w:rPr>
          <w:bCs/>
          <w:szCs w:val="32"/>
        </w:rPr>
      </w:pPr>
      <w:r>
        <w:rPr>
          <w:szCs w:val="32"/>
        </w:rPr>
        <w:br w:type="page"/>
      </w:r>
      <w:bookmarkStart w:id="80" w:name="_Toc21082"/>
      <w:bookmarkStart w:id="81" w:name="_Toc28634"/>
      <w:bookmarkStart w:id="82" w:name="_Toc24806"/>
      <w:bookmarkStart w:id="83" w:name="_Toc26839"/>
      <w:bookmarkStart w:id="84" w:name="_Toc1369"/>
      <w:bookmarkStart w:id="85" w:name="_Toc31686"/>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2605"/>
      <w:bookmarkStart w:id="87" w:name="_Toc24494"/>
      <w:bookmarkStart w:id="88" w:name="_Toc3871"/>
    </w:p>
    <w:p>
      <w:pPr>
        <w:pStyle w:val="4"/>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1"/>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1"/>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1"/>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1"/>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0"/>
        </w:numPr>
        <w:ind w:firstLine="0" w:firstLineChars="0"/>
        <w:jc w:val="left"/>
        <w:rPr>
          <w:rFonts w:hint="eastAsia" w:ascii="宋体" w:hAnsi="宋体" w:eastAsia="宋体"/>
          <w:b/>
          <w:bCs/>
          <w:color w:val="auto"/>
          <w:szCs w:val="21"/>
          <w:highlight w:val="none"/>
          <w:lang w:val="en-US" w:eastAsia="zh-CN"/>
        </w:rPr>
      </w:pPr>
      <w:r>
        <w:rPr>
          <w:rFonts w:hint="eastAsia" w:ascii="宋体" w:hAnsi="宋体" w:eastAsia="宋体" w:cstheme="minorBidi"/>
          <w:b/>
          <w:bCs/>
          <w:color w:val="auto"/>
          <w:kern w:val="2"/>
          <w:sz w:val="21"/>
          <w:szCs w:val="21"/>
          <w:lang w:val="en-US" w:eastAsia="zh-CN" w:bidi="ar-SA"/>
        </w:rPr>
        <w:t>3.</w:t>
      </w: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numPr>
          <w:ilvl w:val="0"/>
          <w:numId w:val="0"/>
        </w:numPr>
        <w:ind w:left="0" w:leftChars="0" w:firstLine="0" w:firstLineChars="0"/>
        <w:jc w:val="left"/>
        <w:rPr>
          <w:rFonts w:hint="eastAsia" w:ascii="宋体" w:hAnsi="宋体" w:eastAsia="宋体"/>
          <w:b/>
          <w:bCs/>
          <w:szCs w:val="21"/>
        </w:rPr>
      </w:pPr>
      <w:r>
        <w:rPr>
          <w:rFonts w:hint="eastAsia" w:ascii="宋体" w:hAnsi="宋体" w:eastAsia="宋体" w:cstheme="minorBidi"/>
          <w:b/>
          <w:bCs/>
          <w:kern w:val="2"/>
          <w:sz w:val="21"/>
          <w:szCs w:val="21"/>
          <w:lang w:val="en-US" w:eastAsia="zh-CN" w:bidi="ar-SA"/>
        </w:rPr>
        <w:t>4.</w:t>
      </w:r>
      <w:r>
        <w:rPr>
          <w:rFonts w:hint="eastAsia" w:ascii="宋体" w:hAnsi="宋体" w:eastAsia="宋体"/>
          <w:b/>
          <w:bCs/>
          <w:szCs w:val="21"/>
        </w:rPr>
        <w:t>耗材试剂按检测项目报价</w:t>
      </w:r>
    </w:p>
    <w:tbl>
      <w:tblPr>
        <w:tblStyle w:val="18"/>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930"/>
        <w:gridCol w:w="2674"/>
        <w:gridCol w:w="2066"/>
        <w:gridCol w:w="2135"/>
        <w:gridCol w:w="1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931"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bCs w:val="0"/>
                <w:sz w:val="24"/>
                <w:szCs w:val="24"/>
              </w:rPr>
            </w:pPr>
            <w:r>
              <w:rPr>
                <w:rFonts w:hint="eastAsia" w:ascii="仿宋" w:hAnsi="仿宋" w:eastAsia="仿宋" w:cs="仿宋"/>
                <w:b/>
                <w:bCs w:val="0"/>
                <w:sz w:val="24"/>
                <w:szCs w:val="24"/>
              </w:rPr>
              <w:t>拟开展项目名称</w:t>
            </w:r>
          </w:p>
        </w:tc>
        <w:tc>
          <w:tcPr>
            <w:tcW w:w="2675"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bCs w:val="0"/>
                <w:sz w:val="24"/>
                <w:szCs w:val="24"/>
              </w:rPr>
            </w:pPr>
            <w:r>
              <w:rPr>
                <w:rFonts w:hint="eastAsia" w:ascii="仿宋" w:hAnsi="仿宋" w:eastAsia="仿宋" w:cs="仿宋"/>
                <w:b/>
                <w:bCs w:val="0"/>
                <w:sz w:val="24"/>
                <w:szCs w:val="24"/>
              </w:rPr>
              <w:t>预估年检测量（人次）</w:t>
            </w:r>
          </w:p>
        </w:tc>
        <w:tc>
          <w:tcPr>
            <w:tcW w:w="2066"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bCs w:val="0"/>
                <w:sz w:val="24"/>
                <w:szCs w:val="24"/>
                <w:lang w:eastAsia="zh-CN"/>
              </w:rPr>
            </w:pPr>
            <w:r>
              <w:rPr>
                <w:rFonts w:hint="eastAsia" w:ascii="仿宋" w:hAnsi="仿宋" w:eastAsia="仿宋" w:cs="仿宋"/>
                <w:b/>
                <w:bCs w:val="0"/>
                <w:sz w:val="24"/>
                <w:szCs w:val="24"/>
              </w:rPr>
              <w:t>限高价</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rPr>
              <w:t>元/人次</w:t>
            </w:r>
            <w:r>
              <w:rPr>
                <w:rFonts w:hint="eastAsia" w:ascii="仿宋" w:hAnsi="仿宋" w:eastAsia="仿宋" w:cs="仿宋"/>
                <w:b/>
                <w:bCs w:val="0"/>
                <w:sz w:val="24"/>
                <w:szCs w:val="24"/>
                <w:lang w:eastAsia="zh-CN"/>
              </w:rPr>
              <w:t>）</w:t>
            </w:r>
          </w:p>
        </w:tc>
        <w:tc>
          <w:tcPr>
            <w:tcW w:w="2135" w:type="dxa"/>
            <w:shd w:val="clear" w:color="auto" w:fill="auto"/>
            <w:tcMar>
              <w:top w:w="0" w:type="dxa"/>
              <w:left w:w="105" w:type="dxa"/>
              <w:bottom w:w="0" w:type="dxa"/>
              <w:right w:w="105" w:type="dxa"/>
            </w:tcMar>
            <w:vAlign w:val="center"/>
          </w:tcPr>
          <w:p>
            <w:pPr>
              <w:pStyle w:val="14"/>
              <w:keepNext w:val="0"/>
              <w:keepLines w:val="0"/>
              <w:widowControl/>
              <w:suppressLineNumbers w:val="0"/>
              <w:ind w:left="0" w:leftChars="0" w:right="0" w:rightChars="0"/>
              <w:jc w:val="center"/>
              <w:rPr>
                <w:rFonts w:hint="eastAsia" w:ascii="仿宋" w:hAnsi="仿宋" w:eastAsia="仿宋" w:cs="仿宋"/>
                <w:b/>
                <w:bCs/>
                <w:kern w:val="0"/>
                <w:sz w:val="24"/>
                <w:szCs w:val="24"/>
                <w:lang w:val="en-US" w:eastAsia="zh-CN" w:bidi="ar"/>
              </w:rPr>
            </w:pPr>
            <w:r>
              <w:rPr>
                <w:rFonts w:hint="eastAsia" w:ascii="仿宋" w:hAnsi="仿宋" w:eastAsia="仿宋" w:cs="仿宋"/>
                <w:b/>
                <w:bCs/>
                <w:sz w:val="24"/>
                <w:szCs w:val="24"/>
                <w:lang w:val="en-US" w:eastAsia="zh-CN"/>
              </w:rPr>
              <w:t>报价</w:t>
            </w:r>
            <w:r>
              <w:rPr>
                <w:rFonts w:hint="eastAsia" w:ascii="仿宋" w:hAnsi="仿宋" w:eastAsia="仿宋" w:cs="仿宋"/>
                <w:b/>
                <w:bCs/>
                <w:sz w:val="24"/>
                <w:szCs w:val="24"/>
                <w:lang w:eastAsia="zh-CN"/>
              </w:rPr>
              <w:t>（</w:t>
            </w:r>
            <w:r>
              <w:rPr>
                <w:rFonts w:hint="eastAsia" w:ascii="仿宋" w:hAnsi="仿宋" w:eastAsia="仿宋" w:cs="仿宋"/>
                <w:b/>
                <w:bCs/>
                <w:sz w:val="24"/>
                <w:szCs w:val="24"/>
              </w:rPr>
              <w:t>元/人次</w:t>
            </w:r>
            <w:r>
              <w:rPr>
                <w:rFonts w:hint="eastAsia" w:ascii="仿宋" w:hAnsi="仿宋" w:eastAsia="仿宋" w:cs="仿宋"/>
                <w:b/>
                <w:bCs/>
                <w:sz w:val="24"/>
                <w:szCs w:val="24"/>
                <w:lang w:eastAsia="zh-CN"/>
              </w:rPr>
              <w:t>）</w:t>
            </w:r>
          </w:p>
        </w:tc>
        <w:tc>
          <w:tcPr>
            <w:tcW w:w="1024" w:type="dxa"/>
            <w:shd w:val="clear" w:color="auto" w:fill="auto"/>
            <w:tcMar>
              <w:top w:w="0" w:type="dxa"/>
              <w:left w:w="105" w:type="dxa"/>
              <w:bottom w:w="0" w:type="dxa"/>
              <w:right w:w="105" w:type="dxa"/>
            </w:tcMar>
            <w:vAlign w:val="center"/>
          </w:tcPr>
          <w:p>
            <w:pPr>
              <w:pStyle w:val="14"/>
              <w:keepNext w:val="0"/>
              <w:keepLines w:val="0"/>
              <w:widowControl/>
              <w:suppressLineNumbers w:val="0"/>
              <w:ind w:left="0" w:leftChars="0" w:right="0" w:rightChars="0"/>
              <w:jc w:val="center"/>
              <w:rPr>
                <w:rFonts w:hint="eastAsia" w:ascii="仿宋" w:hAnsi="仿宋" w:eastAsia="仿宋" w:cs="仿宋"/>
                <w:b/>
                <w:bCs/>
                <w:kern w:val="0"/>
                <w:sz w:val="24"/>
                <w:szCs w:val="24"/>
                <w:lang w:val="en-US" w:eastAsia="zh-CN" w:bidi="ar"/>
              </w:rPr>
            </w:pPr>
            <w:r>
              <w:rPr>
                <w:rFonts w:hint="eastAsia" w:ascii="仿宋" w:hAnsi="仿宋" w:eastAsia="仿宋" w:cs="仿宋"/>
                <w:b/>
                <w:bCs/>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931"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val="0"/>
                <w:bCs/>
                <w:sz w:val="24"/>
                <w:szCs w:val="24"/>
              </w:rPr>
            </w:pPr>
            <w:r>
              <w:rPr>
                <w:rFonts w:hint="eastAsia" w:ascii="仿宋" w:hAnsi="仿宋" w:eastAsia="仿宋" w:cs="仿宋"/>
                <w:b w:val="0"/>
                <w:bCs/>
                <w:sz w:val="24"/>
                <w:szCs w:val="24"/>
              </w:rPr>
              <w:t>骨髓检查</w:t>
            </w:r>
          </w:p>
        </w:tc>
        <w:tc>
          <w:tcPr>
            <w:tcW w:w="2675" w:type="dxa"/>
            <w:shd w:val="clear" w:color="auto" w:fill="auto"/>
            <w:tcMar>
              <w:top w:w="0" w:type="dxa"/>
              <w:left w:w="105" w:type="dxa"/>
              <w:bottom w:w="0" w:type="dxa"/>
              <w:right w:w="105" w:type="dxa"/>
            </w:tcMar>
            <w:vAlign w:val="center"/>
          </w:tcPr>
          <w:p>
            <w:pPr>
              <w:tabs>
                <w:tab w:val="left" w:pos="1134"/>
              </w:tabs>
              <w:snapToGrid w:val="0"/>
              <w:jc w:val="center"/>
              <w:rPr>
                <w:rFonts w:hint="eastAsia" w:ascii="仿宋" w:hAnsi="仿宋" w:eastAsia="仿宋" w:cs="仿宋"/>
                <w:b w:val="0"/>
                <w:bCs/>
                <w:sz w:val="24"/>
                <w:szCs w:val="24"/>
              </w:rPr>
            </w:pPr>
            <w:r>
              <w:rPr>
                <w:rFonts w:hint="eastAsia" w:ascii="仿宋" w:hAnsi="仿宋" w:eastAsia="仿宋" w:cs="仿宋"/>
                <w:b w:val="0"/>
                <w:bCs/>
                <w:sz w:val="24"/>
                <w:szCs w:val="24"/>
              </w:rPr>
              <w:t>10000</w:t>
            </w:r>
          </w:p>
        </w:tc>
        <w:tc>
          <w:tcPr>
            <w:tcW w:w="2066" w:type="dxa"/>
            <w:shd w:val="clear" w:color="auto" w:fill="auto"/>
            <w:tcMar>
              <w:top w:w="0" w:type="dxa"/>
              <w:left w:w="105" w:type="dxa"/>
              <w:bottom w:w="0" w:type="dxa"/>
              <w:right w:w="105" w:type="dxa"/>
            </w:tcMar>
            <w:vAlign w:val="top"/>
          </w:tcPr>
          <w:p>
            <w:pPr>
              <w:tabs>
                <w:tab w:val="left" w:pos="1134"/>
              </w:tabs>
              <w:snapToGrid w:val="0"/>
              <w:jc w:val="center"/>
              <w:rPr>
                <w:rFonts w:hint="eastAsia" w:ascii="仿宋" w:hAnsi="仿宋" w:eastAsia="仿宋" w:cs="仿宋"/>
                <w:b w:val="0"/>
                <w:bCs/>
                <w:sz w:val="24"/>
                <w:szCs w:val="24"/>
              </w:rPr>
            </w:pPr>
            <w:r>
              <w:rPr>
                <w:rFonts w:hint="eastAsia" w:ascii="仿宋" w:hAnsi="仿宋" w:eastAsia="仿宋" w:cs="仿宋"/>
                <w:b w:val="0"/>
                <w:bCs/>
                <w:sz w:val="24"/>
                <w:szCs w:val="24"/>
              </w:rPr>
              <w:t>6.5</w:t>
            </w:r>
          </w:p>
        </w:tc>
        <w:tc>
          <w:tcPr>
            <w:tcW w:w="2135" w:type="dxa"/>
            <w:shd w:val="clear" w:color="auto" w:fill="auto"/>
            <w:tcMar>
              <w:top w:w="0" w:type="dxa"/>
              <w:left w:w="105" w:type="dxa"/>
              <w:bottom w:w="0" w:type="dxa"/>
              <w:right w:w="105" w:type="dxa"/>
            </w:tcMar>
            <w:vAlign w:val="top"/>
          </w:tcPr>
          <w:p>
            <w:pPr>
              <w:tabs>
                <w:tab w:val="left" w:pos="1134"/>
              </w:tabs>
              <w:snapToGrid w:val="0"/>
              <w:jc w:val="center"/>
              <w:rPr>
                <w:rFonts w:hint="eastAsia" w:ascii="仿宋" w:hAnsi="仿宋" w:eastAsia="仿宋" w:cs="仿宋"/>
                <w:b w:val="0"/>
                <w:bCs/>
                <w:sz w:val="24"/>
                <w:szCs w:val="24"/>
              </w:rPr>
            </w:pPr>
          </w:p>
        </w:tc>
        <w:tc>
          <w:tcPr>
            <w:tcW w:w="1024" w:type="dxa"/>
            <w:shd w:val="clear" w:color="auto" w:fill="auto"/>
            <w:tcMar>
              <w:top w:w="0" w:type="dxa"/>
              <w:left w:w="105" w:type="dxa"/>
              <w:bottom w:w="0" w:type="dxa"/>
              <w:right w:w="105" w:type="dxa"/>
            </w:tcMar>
            <w:vAlign w:val="top"/>
          </w:tcPr>
          <w:p>
            <w:pPr>
              <w:tabs>
                <w:tab w:val="left" w:pos="1134"/>
              </w:tabs>
              <w:snapToGrid w:val="0"/>
              <w:jc w:val="center"/>
              <w:rPr>
                <w:rFonts w:hint="eastAsia" w:ascii="仿宋" w:hAnsi="仿宋" w:eastAsia="仿宋" w:cs="仿宋"/>
                <w:b w:val="0"/>
                <w:bCs/>
                <w:sz w:val="24"/>
                <w:szCs w:val="24"/>
              </w:rPr>
            </w:pPr>
          </w:p>
        </w:tc>
      </w:tr>
    </w:tbl>
    <w:p>
      <w:pPr>
        <w:pStyle w:val="16"/>
        <w:numPr>
          <w:ilvl w:val="0"/>
          <w:numId w:val="0"/>
        </w:numPr>
        <w:ind w:leftChars="0"/>
        <w:jc w:val="left"/>
        <w:rPr>
          <w:rFonts w:hint="default" w:ascii="宋体" w:hAnsi="宋体" w:eastAsia="宋体"/>
          <w:b/>
          <w:bCs/>
          <w:szCs w:val="21"/>
          <w:lang w:val="en-US" w:eastAsia="zh-CN"/>
        </w:rPr>
      </w:pPr>
    </w:p>
    <w:p>
      <w:pPr>
        <w:pStyle w:val="16"/>
        <w:ind w:firstLine="0"/>
        <w:jc w:val="left"/>
        <w:rPr>
          <w:rFonts w:hint="eastAsia"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.耗材明细表（若有，请填写，作为后期采购人采购耗材参考依据）</w:t>
      </w:r>
    </w:p>
    <w:p>
      <w:pPr>
        <w:pStyle w:val="16"/>
        <w:ind w:firstLine="0"/>
        <w:jc w:val="left"/>
        <w:rPr>
          <w:rFonts w:hint="eastAsia" w:ascii="宋体" w:hAnsi="宋体" w:eastAsia="宋体"/>
          <w:b/>
          <w:bCs/>
          <w:szCs w:val="21"/>
        </w:rPr>
      </w:pPr>
      <w:r>
        <w:rPr>
          <w:rFonts w:hint="eastAsia" w:ascii="宋体" w:hAnsi="宋体" w:eastAsia="宋体"/>
          <w:b/>
          <w:bCs/>
          <w:color w:val="auto"/>
          <w:szCs w:val="21"/>
          <w:highlight w:val="none"/>
          <w:lang w:val="en-US" w:eastAsia="zh-CN"/>
        </w:rPr>
        <w:t>检测项目1：骨髓检查</w:t>
      </w:r>
      <w:r>
        <w:rPr>
          <w:rFonts w:hint="eastAsia" w:ascii="宋体" w:hAnsi="宋体" w:eastAsia="宋体" w:cstheme="minorBidi"/>
          <w:b/>
          <w:bCs/>
          <w:color w:val="auto"/>
          <w:sz w:val="21"/>
          <w:szCs w:val="21"/>
          <w:highlight w:val="none"/>
          <w:lang w:eastAsia="zh-CN"/>
        </w:rPr>
        <w:t>。</w:t>
      </w:r>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bookmarkStart w:id="90" w:name="_Toc18900"/>
            <w:r>
              <w:rPr>
                <w:rFonts w:hint="eastAsia"/>
                <w:b/>
                <w:kern w:val="0"/>
                <w:szCs w:val="21"/>
              </w:rPr>
              <w:t>序号</w:t>
            </w:r>
            <w:bookmarkEnd w:id="90"/>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bookmarkStart w:id="91" w:name="_Toc10106"/>
            <w:r>
              <w:rPr>
                <w:rFonts w:hint="eastAsia"/>
                <w:b/>
                <w:kern w:val="0"/>
                <w:szCs w:val="21"/>
              </w:rPr>
              <w:t>产品名称</w:t>
            </w:r>
            <w:bookmarkEnd w:id="91"/>
          </w:p>
        </w:tc>
        <w:tc>
          <w:tcPr>
            <w:tcW w:w="791" w:type="pct"/>
            <w:vAlign w:val="center"/>
          </w:tcPr>
          <w:p>
            <w:pPr>
              <w:spacing w:line="460" w:lineRule="exact"/>
              <w:jc w:val="center"/>
              <w:outlineLvl w:val="0"/>
              <w:rPr>
                <w:b/>
                <w:kern w:val="0"/>
                <w:szCs w:val="21"/>
              </w:rPr>
            </w:pPr>
            <w:bookmarkStart w:id="92" w:name="_Toc21630"/>
            <w:r>
              <w:rPr>
                <w:rFonts w:hint="eastAsia"/>
                <w:b/>
                <w:kern w:val="0"/>
                <w:szCs w:val="21"/>
              </w:rPr>
              <w:t>规格型号</w:t>
            </w:r>
            <w:bookmarkEnd w:id="92"/>
          </w:p>
        </w:tc>
        <w:tc>
          <w:tcPr>
            <w:tcW w:w="908" w:type="pct"/>
            <w:vAlign w:val="center"/>
          </w:tcPr>
          <w:p>
            <w:pPr>
              <w:spacing w:line="460" w:lineRule="exact"/>
              <w:jc w:val="center"/>
              <w:outlineLvl w:val="0"/>
              <w:rPr>
                <w:b/>
                <w:kern w:val="0"/>
                <w:szCs w:val="21"/>
              </w:rPr>
            </w:pPr>
            <w:bookmarkStart w:id="93" w:name="_Toc31424"/>
            <w:r>
              <w:rPr>
                <w:rFonts w:hint="eastAsia"/>
                <w:b/>
                <w:kern w:val="0"/>
                <w:szCs w:val="21"/>
              </w:rPr>
              <w:t>制造商</w:t>
            </w:r>
            <w:bookmarkEnd w:id="93"/>
          </w:p>
        </w:tc>
        <w:tc>
          <w:tcPr>
            <w:tcW w:w="518" w:type="pct"/>
            <w:vAlign w:val="center"/>
          </w:tcPr>
          <w:p>
            <w:pPr>
              <w:spacing w:line="460" w:lineRule="exact"/>
              <w:jc w:val="center"/>
              <w:outlineLvl w:val="0"/>
              <w:rPr>
                <w:b/>
                <w:kern w:val="0"/>
                <w:szCs w:val="21"/>
              </w:rPr>
            </w:pPr>
            <w:bookmarkStart w:id="94" w:name="_Toc17023"/>
            <w:r>
              <w:rPr>
                <w:rFonts w:hint="eastAsia"/>
                <w:b/>
                <w:kern w:val="0"/>
                <w:szCs w:val="21"/>
              </w:rPr>
              <w:t>单位</w:t>
            </w:r>
            <w:bookmarkEnd w:id="94"/>
          </w:p>
        </w:tc>
        <w:tc>
          <w:tcPr>
            <w:tcW w:w="747" w:type="pct"/>
            <w:vAlign w:val="center"/>
          </w:tcPr>
          <w:p>
            <w:pPr>
              <w:spacing w:line="460" w:lineRule="exact"/>
              <w:jc w:val="center"/>
              <w:outlineLvl w:val="0"/>
              <w:rPr>
                <w:b/>
                <w:kern w:val="0"/>
                <w:szCs w:val="21"/>
              </w:rPr>
            </w:pPr>
            <w:bookmarkStart w:id="95" w:name="_Toc13405"/>
            <w:r>
              <w:rPr>
                <w:rFonts w:hint="eastAsia"/>
                <w:b/>
                <w:kern w:val="0"/>
                <w:szCs w:val="21"/>
              </w:rPr>
              <w:t>单价（元）</w:t>
            </w:r>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bookmarkStart w:id="96" w:name="_Toc22879"/>
            <w:r>
              <w:rPr>
                <w:rFonts w:hint="eastAsia"/>
                <w:kern w:val="0"/>
                <w:szCs w:val="21"/>
              </w:rPr>
              <w:t>1</w:t>
            </w:r>
            <w:bookmarkEnd w:id="96"/>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bookmarkStart w:id="97" w:name="_Toc14524"/>
            <w:r>
              <w:rPr>
                <w:rFonts w:hint="eastAsia"/>
                <w:kern w:val="0"/>
                <w:sz w:val="20"/>
                <w:szCs w:val="21"/>
              </w:rPr>
              <w:t>2</w:t>
            </w:r>
            <w:bookmarkEnd w:id="97"/>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bookmarkStart w:id="98" w:name="_Toc13547"/>
            <w:r>
              <w:rPr>
                <w:kern w:val="0"/>
                <w:sz w:val="20"/>
                <w:szCs w:val="21"/>
              </w:rPr>
              <w:t>…</w:t>
            </w:r>
            <w:bookmarkEnd w:id="98"/>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6</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bookmarkStart w:id="99" w:name="_Toc8502"/>
            <w:r>
              <w:rPr>
                <w:rFonts w:hint="eastAsia"/>
                <w:b/>
                <w:kern w:val="0"/>
                <w:szCs w:val="21"/>
              </w:rPr>
              <w:t>序号</w:t>
            </w:r>
            <w:bookmarkEnd w:id="99"/>
          </w:p>
        </w:tc>
        <w:tc>
          <w:tcPr>
            <w:tcW w:w="850" w:type="pct"/>
            <w:vAlign w:val="center"/>
          </w:tcPr>
          <w:p>
            <w:pPr>
              <w:spacing w:line="460" w:lineRule="exact"/>
              <w:jc w:val="center"/>
              <w:outlineLvl w:val="0"/>
              <w:rPr>
                <w:b/>
                <w:kern w:val="0"/>
                <w:szCs w:val="21"/>
              </w:rPr>
            </w:pPr>
            <w:bookmarkStart w:id="100" w:name="_Toc27328"/>
            <w:r>
              <w:rPr>
                <w:rFonts w:hint="eastAsia"/>
                <w:b/>
                <w:kern w:val="0"/>
                <w:szCs w:val="21"/>
              </w:rPr>
              <w:t>产品名称</w:t>
            </w:r>
            <w:bookmarkEnd w:id="100"/>
          </w:p>
        </w:tc>
        <w:tc>
          <w:tcPr>
            <w:tcW w:w="791" w:type="pct"/>
            <w:vAlign w:val="center"/>
          </w:tcPr>
          <w:p>
            <w:pPr>
              <w:spacing w:line="460" w:lineRule="exact"/>
              <w:jc w:val="center"/>
              <w:outlineLvl w:val="0"/>
              <w:rPr>
                <w:b/>
                <w:kern w:val="0"/>
                <w:szCs w:val="21"/>
              </w:rPr>
            </w:pPr>
            <w:bookmarkStart w:id="101" w:name="_Toc4118"/>
            <w:r>
              <w:rPr>
                <w:rFonts w:hint="eastAsia"/>
                <w:b/>
                <w:kern w:val="0"/>
                <w:szCs w:val="21"/>
              </w:rPr>
              <w:t>规格型号</w:t>
            </w:r>
            <w:bookmarkEnd w:id="101"/>
          </w:p>
        </w:tc>
        <w:tc>
          <w:tcPr>
            <w:tcW w:w="907" w:type="pct"/>
            <w:vAlign w:val="center"/>
          </w:tcPr>
          <w:p>
            <w:pPr>
              <w:spacing w:line="460" w:lineRule="exact"/>
              <w:jc w:val="center"/>
              <w:outlineLvl w:val="0"/>
              <w:rPr>
                <w:b/>
                <w:kern w:val="0"/>
                <w:szCs w:val="21"/>
              </w:rPr>
            </w:pPr>
            <w:bookmarkStart w:id="102" w:name="_Toc21162"/>
            <w:r>
              <w:rPr>
                <w:rFonts w:hint="eastAsia"/>
                <w:b/>
                <w:kern w:val="0"/>
                <w:szCs w:val="21"/>
              </w:rPr>
              <w:t>制造商</w:t>
            </w:r>
            <w:bookmarkEnd w:id="102"/>
          </w:p>
        </w:tc>
        <w:tc>
          <w:tcPr>
            <w:tcW w:w="516" w:type="pct"/>
            <w:vAlign w:val="center"/>
          </w:tcPr>
          <w:p>
            <w:pPr>
              <w:spacing w:line="460" w:lineRule="exact"/>
              <w:jc w:val="center"/>
              <w:outlineLvl w:val="0"/>
              <w:rPr>
                <w:b/>
                <w:kern w:val="0"/>
                <w:szCs w:val="21"/>
              </w:rPr>
            </w:pPr>
            <w:bookmarkStart w:id="103" w:name="_Toc2524"/>
            <w:r>
              <w:rPr>
                <w:rFonts w:hint="eastAsia"/>
                <w:b/>
                <w:kern w:val="0"/>
                <w:szCs w:val="21"/>
              </w:rPr>
              <w:t>单位</w:t>
            </w:r>
            <w:bookmarkEnd w:id="103"/>
          </w:p>
        </w:tc>
        <w:tc>
          <w:tcPr>
            <w:tcW w:w="747" w:type="pct"/>
            <w:vAlign w:val="center"/>
          </w:tcPr>
          <w:p>
            <w:pPr>
              <w:spacing w:line="460" w:lineRule="exact"/>
              <w:jc w:val="center"/>
              <w:outlineLvl w:val="0"/>
              <w:rPr>
                <w:b/>
                <w:kern w:val="0"/>
                <w:szCs w:val="21"/>
              </w:rPr>
            </w:pPr>
            <w:bookmarkStart w:id="104" w:name="_Toc25451"/>
            <w:r>
              <w:rPr>
                <w:rFonts w:hint="eastAsia"/>
                <w:b/>
                <w:kern w:val="0"/>
                <w:szCs w:val="21"/>
              </w:rPr>
              <w:t>单价（元）</w:t>
            </w:r>
            <w:bookmarkEnd w:id="104"/>
          </w:p>
        </w:tc>
        <w:tc>
          <w:tcPr>
            <w:tcW w:w="747" w:type="pct"/>
            <w:vAlign w:val="center"/>
          </w:tcPr>
          <w:p>
            <w:pPr>
              <w:spacing w:line="460" w:lineRule="exact"/>
              <w:jc w:val="center"/>
              <w:outlineLvl w:val="0"/>
              <w:rPr>
                <w:b/>
                <w:kern w:val="0"/>
                <w:szCs w:val="21"/>
              </w:rPr>
            </w:pPr>
            <w:bookmarkStart w:id="105" w:name="_Toc9598"/>
            <w:r>
              <w:rPr>
                <w:rFonts w:hint="eastAsia"/>
                <w:b/>
                <w:kern w:val="0"/>
                <w:szCs w:val="21"/>
              </w:rPr>
              <w:t>备注</w:t>
            </w:r>
            <w:bookmarkEnd w:id="10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bookmarkStart w:id="106" w:name="_Toc20085"/>
            <w:r>
              <w:rPr>
                <w:rFonts w:hint="eastAsia"/>
                <w:kern w:val="0"/>
                <w:szCs w:val="21"/>
              </w:rPr>
              <w:t>1</w:t>
            </w:r>
            <w:bookmarkEnd w:id="106"/>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bookmarkStart w:id="107" w:name="_Toc13232"/>
            <w:r>
              <w:rPr>
                <w:rFonts w:hint="eastAsia"/>
                <w:kern w:val="0"/>
                <w:sz w:val="20"/>
                <w:szCs w:val="21"/>
              </w:rPr>
              <w:t>2</w:t>
            </w:r>
            <w:bookmarkEnd w:id="107"/>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bookmarkStart w:id="108" w:name="_Toc6795"/>
            <w:r>
              <w:rPr>
                <w:kern w:val="0"/>
                <w:sz w:val="20"/>
                <w:szCs w:val="21"/>
              </w:rPr>
              <w:t>…</w:t>
            </w:r>
            <w:bookmarkEnd w:id="108"/>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2"/>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109" w:name="_Toc29032"/>
      <w:bookmarkStart w:id="110" w:name="_Toc30002"/>
      <w:bookmarkStart w:id="111" w:name="_Toc14685"/>
    </w:p>
    <w:p>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pPr>
        <w:pStyle w:val="4"/>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2"/>
        <w:rPr>
          <w:rFonts w:ascii="Times New Roman" w:hAnsi="Times New Roman" w:eastAsia="宋体" w:cs="Times New Roman"/>
          <w:color w:val="auto"/>
          <w:highlight w:val="none"/>
        </w:rPr>
      </w:pPr>
    </w:p>
    <w:p>
      <w:pPr>
        <w:pStyle w:val="29"/>
        <w:numPr>
          <w:ilvl w:val="0"/>
          <w:numId w:val="12"/>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4"/>
        <w:ind w:firstLine="0"/>
      </w:pPr>
      <w:r>
        <w:t>供应商认为需要提供的其他材料</w:t>
      </w:r>
      <w:bookmarkEnd w:id="86"/>
      <w:bookmarkEnd w:id="87"/>
      <w:bookmarkEnd w:id="88"/>
      <w:bookmarkEnd w:id="109"/>
      <w:bookmarkEnd w:id="110"/>
      <w:bookmarkEnd w:id="111"/>
    </w:p>
    <w:p>
      <w:pPr>
        <w:pStyle w:val="2"/>
        <w:jc w:val="center"/>
        <w:rPr>
          <w:rFonts w:ascii="Times New Roman" w:hAnsi="Times New Roman" w:eastAsia="仿宋" w:cs="Times New Roman"/>
        </w:rPr>
      </w:pPr>
    </w:p>
    <w:p>
      <w:pPr>
        <w:pStyle w:val="2"/>
        <w:jc w:val="center"/>
        <w:rPr>
          <w:rFonts w:ascii="Times New Roman" w:hAnsi="Times New Roman" w:eastAsia="仿宋" w:cs="Times New Roman"/>
        </w:rPr>
      </w:pPr>
    </w:p>
    <w:p>
      <w:pPr>
        <w:pStyle w:val="2"/>
        <w:jc w:val="center"/>
        <w:rPr>
          <w:rFonts w:ascii="Times New Roman" w:hAnsi="Times New Roman" w:eastAsia="仿宋" w:cs="Times New Roman"/>
        </w:rPr>
      </w:pPr>
    </w:p>
    <w:p>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112" w:name="_Toc20691"/>
      <w:bookmarkStart w:id="113" w:name="_Toc5447"/>
      <w:r>
        <w:rPr>
          <w:rFonts w:ascii="Times New Roman" w:hAnsi="Times New Roman" w:eastAsia="黑体" w:cs="Times New Roman"/>
          <w:b/>
          <w:sz w:val="36"/>
          <w:szCs w:val="32"/>
        </w:rPr>
        <w:br w:type="page"/>
      </w:r>
    </w:p>
    <w:p>
      <w:pPr>
        <w:pStyle w:val="3"/>
        <w:rPr>
          <w:rFonts w:ascii="Times New Roman" w:hAnsi="Times New Roman" w:cs="Times New Roman"/>
        </w:rPr>
      </w:pPr>
      <w:bookmarkStart w:id="114" w:name="_Toc10625"/>
      <w:r>
        <w:rPr>
          <w:rFonts w:ascii="Times New Roman" w:hAnsi="Times New Roman" w:cs="Times New Roman"/>
        </w:rPr>
        <w:t>合同条款（仅成交后使用）</w:t>
      </w:r>
      <w:bookmarkEnd w:id="112"/>
      <w:bookmarkEnd w:id="113"/>
      <w:bookmarkEnd w:id="114"/>
    </w:p>
    <w:p>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2"/>
        <w:rPr>
          <w:rFonts w:ascii="Times New Roman" w:hAnsi="Times New Roman" w:eastAsia="宋体" w:cs="Times New Roman"/>
          <w:color w:val="auto"/>
          <w:highlight w:val="none"/>
        </w:rPr>
      </w:pP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4"/>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5"/>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7"/>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7"/>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18"/>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7"/>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1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0"/>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4"/>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bookmarkStart w:id="115" w:name="OLE_LINK17"/>
      <w:bookmarkStart w:id="116"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5"/>
    <w:bookmarkEnd w:id="116"/>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6"/>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29"/>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3"/>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0"/>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1"/>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2"/>
        <w:rPr>
          <w:rFonts w:ascii="Times New Roman" w:hAnsi="Times New Roman" w:eastAsia="宋体" w:cs="Times New Roman"/>
          <w:color w:val="auto"/>
          <w:highlight w:val="none"/>
        </w:rPr>
      </w:pPr>
    </w:p>
    <w:p>
      <w:pPr>
        <w:pStyle w:val="29"/>
        <w:numPr>
          <w:ilvl w:val="0"/>
          <w:numId w:val="1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cs="Times New Roman"/>
          <w:b/>
          <w:bCs/>
          <w:sz w:val="44"/>
          <w:szCs w:val="52"/>
        </w:rPr>
      </w:pPr>
      <w:r>
        <w:rPr>
          <w:rFonts w:ascii="Times New Roman" w:hAnsi="Times New Roman" w:cs="Times New Roman"/>
          <w:b/>
          <w:bCs/>
          <w:sz w:val="44"/>
          <w:szCs w:val="52"/>
        </w:rPr>
        <w:br w:type="page"/>
      </w:r>
    </w:p>
    <w:p>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pPr>
        <w:rPr>
          <w:rFonts w:ascii="Times New Roman" w:hAnsi="Times New Roman" w:eastAsia="仿宋" w:cs="Times New Roman"/>
          <w:sz w:val="28"/>
          <w:szCs w:val="28"/>
        </w:rPr>
      </w:pPr>
      <w:r>
        <w:rPr>
          <w:rFonts w:ascii="Times New Roman" w:hAnsi="Times New Roman" w:eastAsia="仿宋" w:cs="Times New Roman"/>
          <w:sz w:val="28"/>
          <w:szCs w:val="28"/>
        </w:rPr>
        <w:t>乙方：</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pPr>
        <w:ind w:firstLine="560" w:firstLineChars="200"/>
        <w:rPr>
          <w:rFonts w:ascii="Times New Roman" w:hAnsi="Times New Roman" w:eastAsia="仿宋" w:cs="Times New Roman"/>
          <w:sz w:val="28"/>
          <w:szCs w:val="28"/>
        </w:rPr>
      </w:pPr>
    </w:p>
    <w:p>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pPr>
        <w:ind w:firstLine="4200" w:firstLineChars="1500"/>
        <w:rPr>
          <w:rFonts w:ascii="Times New Roman" w:hAnsi="Times New Roman" w:eastAsia="仿宋" w:cs="Times New Roman"/>
          <w:sz w:val="28"/>
          <w:szCs w:val="28"/>
        </w:rPr>
      </w:pPr>
    </w:p>
    <w:p>
      <w:pPr>
        <w:jc w:val="right"/>
        <w:rPr>
          <w:rStyle w:val="33"/>
          <w:rFonts w:ascii="Times New Roman" w:hAnsi="Times New Roman" w:eastAsia="宋体" w:cs="Times New Roman"/>
          <w:b/>
          <w:bCs/>
          <w:sz w:val="32"/>
          <w:szCs w:val="32"/>
        </w:rPr>
      </w:pPr>
      <w:r>
        <w:rPr>
          <w:rFonts w:ascii="Times New Roman" w:hAnsi="Times New Roman" w:cs="Times New Roman"/>
        </w:rPr>
        <w:t>年   月   日</w:t>
      </w:r>
    </w:p>
    <w:p>
      <w:pPr>
        <w:pStyle w:val="26"/>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4C158C4-A6C0-4F0A-BEF2-BDB627E0ABE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57D0DC8-80CA-4BDA-B1DF-44E4337ACE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FAD8BD3-160A-4014-84B0-E79EE4E972C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FFED021C-0E2F-41A0-8526-071499235756}"/>
  </w:font>
  <w:font w:name="Wingdings 2">
    <w:altName w:val="Wingdings"/>
    <w:panose1 w:val="05020102010507070707"/>
    <w:charset w:val="4D"/>
    <w:family w:val="decorative"/>
    <w:pitch w:val="default"/>
    <w:sig w:usb0="00000000" w:usb1="00000000" w:usb2="00000000" w:usb3="00000000" w:csb0="80000000" w:csb1="00000000"/>
    <w:embedRegular r:id="rId5" w:fontKey="{CE2C22C9-61B7-404A-AAB3-E2A7A4C568A1}"/>
  </w:font>
  <w:font w:name="Songti SC">
    <w:altName w:val="宋体"/>
    <w:panose1 w:val="02010600040101010101"/>
    <w:charset w:val="86"/>
    <w:family w:val="auto"/>
    <w:pitch w:val="default"/>
    <w:sig w:usb0="00000000" w:usb1="00000000" w:usb2="00000010" w:usb3="00000000" w:csb0="0004009F" w:csb1="00000000"/>
    <w:embedRegular r:id="rId6" w:fontKey="{8E97771B-5E22-4FCD-8F13-5E5FEF0B0858}"/>
  </w:font>
  <w:font w:name="微软雅黑">
    <w:panose1 w:val="020B0503020204020204"/>
    <w:charset w:val="86"/>
    <w:family w:val="auto"/>
    <w:pitch w:val="default"/>
    <w:sig w:usb0="80000287" w:usb1="2ACF3C50" w:usb2="00000016" w:usb3="00000000" w:csb0="0004001F" w:csb1="00000000"/>
    <w:embedRegular r:id="rId7" w:fontKey="{67668A7D-9668-4F2B-8E64-D05B3A722136}"/>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A69C7D9"/>
    <w:multiLevelType w:val="singleLevel"/>
    <w:tmpl w:val="3A69C7D9"/>
    <w:lvl w:ilvl="0" w:tentative="0">
      <w:start w:val="1"/>
      <w:numFmt w:val="decimal"/>
      <w:lvlText w:val="(%1)"/>
      <w:lvlJc w:val="left"/>
      <w:pPr>
        <w:ind w:left="425" w:hanging="425"/>
      </w:pPr>
      <w:rPr>
        <w:rFonts w:hint="default"/>
      </w:rPr>
    </w:lvl>
  </w:abstractNum>
  <w:abstractNum w:abstractNumId="1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0">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5"/>
  </w:num>
  <w:num w:numId="2">
    <w:abstractNumId w:val="3"/>
  </w:num>
  <w:num w:numId="3">
    <w:abstractNumId w:val="19"/>
  </w:num>
  <w:num w:numId="4">
    <w:abstractNumId w:val="29"/>
  </w:num>
  <w:num w:numId="5">
    <w:abstractNumId w:val="12"/>
  </w:num>
  <w:num w:numId="6">
    <w:abstractNumId w:val="24"/>
  </w:num>
  <w:num w:numId="7">
    <w:abstractNumId w:val="18"/>
  </w:num>
  <w:num w:numId="8">
    <w:abstractNumId w:val="2"/>
  </w:num>
  <w:num w:numId="9">
    <w:abstractNumId w:val="0"/>
  </w:num>
  <w:num w:numId="10">
    <w:abstractNumId w:val="4"/>
  </w:num>
  <w:num w:numId="11">
    <w:abstractNumId w:val="1"/>
  </w:num>
  <w:num w:numId="12">
    <w:abstractNumId w:val="10"/>
  </w:num>
  <w:num w:numId="13">
    <w:abstractNumId w:val="16"/>
  </w:num>
  <w:num w:numId="14">
    <w:abstractNumId w:val="6"/>
  </w:num>
  <w:num w:numId="15">
    <w:abstractNumId w:val="30"/>
  </w:num>
  <w:num w:numId="16">
    <w:abstractNumId w:val="28"/>
  </w:num>
  <w:num w:numId="17">
    <w:abstractNumId w:val="22"/>
  </w:num>
  <w:num w:numId="18">
    <w:abstractNumId w:val="8"/>
  </w:num>
  <w:num w:numId="19">
    <w:abstractNumId w:val="13"/>
  </w:num>
  <w:num w:numId="20">
    <w:abstractNumId w:val="7"/>
  </w:num>
  <w:num w:numId="21">
    <w:abstractNumId w:val="14"/>
  </w:num>
  <w:num w:numId="22">
    <w:abstractNumId w:val="26"/>
  </w:num>
  <w:num w:numId="23">
    <w:abstractNumId w:val="25"/>
  </w:num>
  <w:num w:numId="24">
    <w:abstractNumId w:val="20"/>
  </w:num>
  <w:num w:numId="25">
    <w:abstractNumId w:val="17"/>
  </w:num>
  <w:num w:numId="26">
    <w:abstractNumId w:val="9"/>
  </w:num>
  <w:num w:numId="27">
    <w:abstractNumId w:val="5"/>
  </w:num>
  <w:num w:numId="28">
    <w:abstractNumId w:val="11"/>
  </w:num>
  <w:num w:numId="29">
    <w:abstractNumId w:val="23"/>
  </w:num>
  <w:num w:numId="30">
    <w:abstractNumId w:val="27"/>
  </w:num>
  <w:num w:numId="31">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trackRevisions w:val="1"/>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3DB78FA"/>
    <w:rsid w:val="04AB6DA8"/>
    <w:rsid w:val="058C78B0"/>
    <w:rsid w:val="05E13064"/>
    <w:rsid w:val="078A573C"/>
    <w:rsid w:val="093A3733"/>
    <w:rsid w:val="0B4508AE"/>
    <w:rsid w:val="0CF161C9"/>
    <w:rsid w:val="0E0B7FF0"/>
    <w:rsid w:val="0F904004"/>
    <w:rsid w:val="117A5014"/>
    <w:rsid w:val="127F05A0"/>
    <w:rsid w:val="136D78F8"/>
    <w:rsid w:val="15CC4977"/>
    <w:rsid w:val="162A4F7D"/>
    <w:rsid w:val="16A82A66"/>
    <w:rsid w:val="1994787E"/>
    <w:rsid w:val="1ADC0421"/>
    <w:rsid w:val="1BCC54CD"/>
    <w:rsid w:val="1DD000AF"/>
    <w:rsid w:val="1E09745A"/>
    <w:rsid w:val="1E176351"/>
    <w:rsid w:val="22935D1D"/>
    <w:rsid w:val="23D4489F"/>
    <w:rsid w:val="262001B9"/>
    <w:rsid w:val="27B87AF9"/>
    <w:rsid w:val="27E80EA9"/>
    <w:rsid w:val="280414A1"/>
    <w:rsid w:val="28570368"/>
    <w:rsid w:val="29C5318E"/>
    <w:rsid w:val="2B502F98"/>
    <w:rsid w:val="2C9A0A9E"/>
    <w:rsid w:val="2DA70D65"/>
    <w:rsid w:val="3427766B"/>
    <w:rsid w:val="343706EB"/>
    <w:rsid w:val="351A08D0"/>
    <w:rsid w:val="35CC78FE"/>
    <w:rsid w:val="36334CE5"/>
    <w:rsid w:val="365D3E1D"/>
    <w:rsid w:val="3A551407"/>
    <w:rsid w:val="3B033C36"/>
    <w:rsid w:val="3E5D4E8E"/>
    <w:rsid w:val="3F833062"/>
    <w:rsid w:val="3FE25336"/>
    <w:rsid w:val="41076015"/>
    <w:rsid w:val="41EE2D31"/>
    <w:rsid w:val="42075FF8"/>
    <w:rsid w:val="42842020"/>
    <w:rsid w:val="443D46D9"/>
    <w:rsid w:val="468567BB"/>
    <w:rsid w:val="4782487D"/>
    <w:rsid w:val="4B31068E"/>
    <w:rsid w:val="4BA55220"/>
    <w:rsid w:val="4BAD0151"/>
    <w:rsid w:val="4BDE2053"/>
    <w:rsid w:val="4C184E09"/>
    <w:rsid w:val="4C8F75A2"/>
    <w:rsid w:val="4DAD4403"/>
    <w:rsid w:val="4E0B0B8B"/>
    <w:rsid w:val="4E8C008E"/>
    <w:rsid w:val="4FEF758C"/>
    <w:rsid w:val="50771A9C"/>
    <w:rsid w:val="51C47F6D"/>
    <w:rsid w:val="520879A0"/>
    <w:rsid w:val="53E04CDC"/>
    <w:rsid w:val="5455382C"/>
    <w:rsid w:val="58A9755A"/>
    <w:rsid w:val="5D0A3490"/>
    <w:rsid w:val="5D7E0D39"/>
    <w:rsid w:val="5E9D3F29"/>
    <w:rsid w:val="60384CD1"/>
    <w:rsid w:val="60655808"/>
    <w:rsid w:val="60F86CEE"/>
    <w:rsid w:val="63A9427A"/>
    <w:rsid w:val="63D462B1"/>
    <w:rsid w:val="641A3596"/>
    <w:rsid w:val="64D96647"/>
    <w:rsid w:val="655B51E5"/>
    <w:rsid w:val="65E40ADA"/>
    <w:rsid w:val="66330B86"/>
    <w:rsid w:val="66E22203"/>
    <w:rsid w:val="68AA6162"/>
    <w:rsid w:val="68B812C9"/>
    <w:rsid w:val="69D50CF4"/>
    <w:rsid w:val="6C487AFD"/>
    <w:rsid w:val="6CB24363"/>
    <w:rsid w:val="6D155306"/>
    <w:rsid w:val="6EA93466"/>
    <w:rsid w:val="6F3C2A4E"/>
    <w:rsid w:val="6FCF0795"/>
    <w:rsid w:val="71381023"/>
    <w:rsid w:val="71696852"/>
    <w:rsid w:val="73714961"/>
    <w:rsid w:val="754D1D92"/>
    <w:rsid w:val="758350A9"/>
    <w:rsid w:val="76792E50"/>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style>
  <w:style w:type="paragraph" w:styleId="6">
    <w:name w:val="Normal Indent"/>
    <w:basedOn w:val="1"/>
    <w:autoRedefine/>
    <w:qFormat/>
    <w:uiPriority w:val="0"/>
    <w:pPr>
      <w:ind w:firstLine="420" w:firstLineChars="200"/>
    </w:pPr>
    <w:rPr>
      <w:kern w:val="0"/>
      <w:sz w:val="24"/>
      <w:szCs w:val="20"/>
    </w:rPr>
  </w:style>
  <w:style w:type="paragraph" w:styleId="7">
    <w:name w:val="annotation text"/>
    <w:basedOn w:val="1"/>
    <w:link w:val="37"/>
    <w:autoRedefine/>
    <w:qFormat/>
    <w:uiPriority w:val="0"/>
    <w:pPr>
      <w:jc w:val="left"/>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8"/>
    <w:autoRedefine/>
    <w:qFormat/>
    <w:uiPriority w:val="0"/>
    <w:rPr>
      <w:b/>
      <w:bCs/>
    </w:rPr>
  </w:style>
  <w:style w:type="paragraph" w:styleId="16">
    <w:name w:val="Body Text First Indent"/>
    <w:basedOn w:val="2"/>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7"/>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4"/>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3"/>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1230</Words>
  <Characters>1300</Characters>
  <Lines>72</Lines>
  <Paragraphs>20</Paragraphs>
  <TotalTime>9</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2026-11-03T07:46:34Z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9F54279AEB8A4D82A1E6CED170AC5DAB_13</vt:lpwstr>
  </property>
  <property fmtid="{D5CDD505-2E9C-101B-9397-08002B2CF9AE}" pid="4" name="KSOTemplateDocerSaveRecord">
    <vt:lpwstr>eyJoZGlkIjoiZTE3YzY5ZGRmMGZjYjE3ZTA2OTZlNGYxY2RlMGIzMDkiLCJ1c2VySWQiOiI3MDMxOTM4MzkifQ==</vt:lpwstr>
  </property>
</Properties>
</file>