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default" w:ascii="Times New Roman" w:hAnsi="Times New Roman" w:eastAsia="黑体" w:cs="Times New Roman"/>
          <w:b/>
          <w:spacing w:val="24"/>
          <w:sz w:val="56"/>
          <w:szCs w:val="56"/>
          <w:lang w:val="en-US"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图书采购项目（2）</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11</w:t>
      </w:r>
      <w:bookmarkStart w:id="104" w:name="_GoBack"/>
      <w:bookmarkEnd w:id="104"/>
      <w:r>
        <w:rPr>
          <w:rFonts w:ascii="Times New Roman" w:hAnsi="Times New Roman" w:eastAsia="黑体" w:cs="Times New Roman"/>
          <w:b/>
          <w:sz w:val="36"/>
          <w:szCs w:val="36"/>
          <w:lang w:val="zh-CN"/>
        </w:rPr>
        <w:t>月</w:t>
      </w:r>
    </w:p>
    <w:p w14:paraId="6794095B">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4"/>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4"/>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1907"/>
      <w:bookmarkStart w:id="1" w:name="_Toc62832406"/>
      <w:bookmarkStart w:id="2" w:name="_Toc3240"/>
      <w:bookmarkStart w:id="3" w:name="_Toc471310326"/>
      <w:bookmarkStart w:id="4" w:name="_Toc21919"/>
      <w:bookmarkStart w:id="5" w:name="_Toc20358"/>
      <w:r>
        <w:rPr>
          <w:rFonts w:ascii="Times New Roman" w:hAnsi="Times New Roman" w:cs="Times New Roman"/>
        </w:rPr>
        <w:t>谈判邀请</w:t>
      </w:r>
      <w:bookmarkEnd w:id="0"/>
      <w:bookmarkEnd w:id="1"/>
      <w:bookmarkEnd w:id="2"/>
      <w:bookmarkEnd w:id="3"/>
      <w:bookmarkEnd w:id="4"/>
      <w:bookmarkEnd w:id="5"/>
    </w:p>
    <w:tbl>
      <w:tblPr>
        <w:tblStyle w:val="19"/>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5"/>
        <w:gridCol w:w="1869"/>
        <w:gridCol w:w="7204"/>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四川省人民医院图书采购项目（</w:t>
            </w:r>
            <w:r>
              <w:rPr>
                <w:rFonts w:hint="eastAsia" w:ascii="Times New Roman" w:hAnsi="Times New Roman" w:eastAsia="仿宋" w:cs="Times New Roman"/>
                <w:sz w:val="22"/>
                <w:lang w:val="en-US" w:eastAsia="zh-CN"/>
              </w:rPr>
              <w:t>2）</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2" w:hRule="atLeast"/>
        </w:trPr>
        <w:tc>
          <w:tcPr>
            <w:tcW w:w="568" w:type="dxa"/>
            <w:vAlign w:val="center"/>
          </w:tcPr>
          <w:p w14:paraId="288B2DA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CGZX-TSQ20261029</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687FF3F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本项目为据实结算项目，根据图书码洋价</w:t>
            </w:r>
            <w:r>
              <w:rPr>
                <w:rFonts w:hint="eastAsia" w:ascii="Times New Roman" w:hAnsi="Times New Roman" w:eastAsia="仿宋" w:cs="Times New Roman"/>
                <w:sz w:val="22"/>
              </w:rPr>
              <w:t>填报</w:t>
            </w:r>
            <w:r>
              <w:rPr>
                <w:rFonts w:hint="eastAsia" w:ascii="Times New Roman" w:hAnsi="Times New Roman" w:eastAsia="仿宋" w:cs="Times New Roman"/>
                <w:sz w:val="22"/>
                <w:lang w:val="en-US" w:eastAsia="zh-CN"/>
              </w:rPr>
              <w:t>折扣率</w:t>
            </w:r>
            <w:r>
              <w:rPr>
                <w:rFonts w:hint="eastAsia" w:ascii="Times New Roman" w:hAnsi="Times New Roman" w:eastAsia="仿宋" w:cs="Times New Roman"/>
                <w:sz w:val="22"/>
              </w:rPr>
              <w:t>，支付上限</w:t>
            </w:r>
            <w:r>
              <w:rPr>
                <w:rFonts w:hint="eastAsia" w:ascii="Times New Roman" w:hAnsi="Times New Roman" w:eastAsia="仿宋" w:cs="Times New Roman"/>
                <w:sz w:val="22"/>
                <w:lang w:val="en-US" w:eastAsia="zh-CN"/>
              </w:rPr>
              <w:t>为32</w:t>
            </w:r>
            <w:r>
              <w:rPr>
                <w:rFonts w:hint="eastAsia" w:ascii="Times New Roman" w:hAnsi="Times New Roman" w:eastAsia="仿宋" w:cs="Times New Roman"/>
                <w:sz w:val="22"/>
              </w:rPr>
              <w:t>万元。</w:t>
            </w:r>
            <w:r>
              <w:rPr>
                <w:rFonts w:hint="eastAsia" w:ascii="Times New Roman" w:hAnsi="Times New Roman" w:eastAsia="仿宋" w:cs="Times New Roman"/>
                <w:sz w:val="22"/>
                <w:lang w:val="en-US" w:eastAsia="zh-CN"/>
              </w:rPr>
              <w:t>折扣率</w:t>
            </w:r>
            <w:r>
              <w:rPr>
                <w:rFonts w:hint="eastAsia" w:ascii="Times New Roman" w:hAnsi="Times New Roman" w:eastAsia="仿宋" w:cs="Times New Roman"/>
                <w:sz w:val="22"/>
              </w:rPr>
              <w:t>为负数或者</w:t>
            </w:r>
            <w:r>
              <w:rPr>
                <w:rFonts w:hint="eastAsia" w:ascii="Times New Roman" w:hAnsi="Times New Roman" w:eastAsia="仿宋" w:cs="Times New Roman"/>
                <w:sz w:val="22"/>
                <w:lang w:val="en-US" w:eastAsia="zh-CN"/>
              </w:rPr>
              <w:t>≥75</w:t>
            </w:r>
            <w:r>
              <w:rPr>
                <w:rFonts w:hint="eastAsia" w:ascii="Times New Roman" w:hAnsi="Times New Roman" w:eastAsia="仿宋" w:cs="Times New Roman"/>
                <w:sz w:val="22"/>
              </w:rPr>
              <w:t>%的，其</w:t>
            </w:r>
            <w:r>
              <w:rPr>
                <w:rFonts w:hint="eastAsia" w:ascii="Times New Roman" w:hAnsi="Times New Roman" w:eastAsia="仿宋" w:cs="Times New Roman"/>
                <w:sz w:val="22"/>
                <w:lang w:val="en-US" w:eastAsia="zh-CN"/>
              </w:rPr>
              <w:t>响应</w:t>
            </w:r>
            <w:r>
              <w:rPr>
                <w:rFonts w:hint="eastAsia" w:ascii="Times New Roman" w:hAnsi="Times New Roman" w:eastAsia="仿宋" w:cs="Times New Roman"/>
                <w:sz w:val="22"/>
              </w:rPr>
              <w:t>文件</w:t>
            </w:r>
            <w:r>
              <w:rPr>
                <w:rFonts w:hint="default" w:ascii="Times New Roman" w:hAnsi="Times New Roman" w:eastAsia="仿宋" w:cs="Times New Roman"/>
                <w:sz w:val="22"/>
                <w:lang w:val="en-US" w:eastAsia="zh-CN"/>
              </w:rPr>
              <w:t>作无效处理</w:t>
            </w:r>
            <w:r>
              <w:rPr>
                <w:rFonts w:hint="eastAsia" w:ascii="Times New Roman" w:hAnsi="Times New Roman" w:eastAsia="仿宋" w:cs="Times New Roman"/>
                <w:sz w:val="22"/>
              </w:rPr>
              <w:t>。</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30"/>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9"/>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74DF3540">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9"/>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9"/>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1.</w:t>
            </w:r>
            <w:r>
              <w:rPr>
                <w:rFonts w:ascii="Times New Roman" w:hAnsi="Times New Roman" w:eastAsia="仿宋" w:cs="Times New Roman"/>
                <w:sz w:val="22"/>
                <w:szCs w:val="22"/>
                <w:lang w:val="zh-CN"/>
              </w:rPr>
              <w:t>交款金额：</w:t>
            </w:r>
          </w:p>
          <w:p w14:paraId="00EA646A">
            <w:pPr>
              <w:pStyle w:val="29"/>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2.</w:t>
            </w: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9"/>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9"/>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9"/>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9"/>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3.</w:t>
            </w:r>
            <w:r>
              <w:rPr>
                <w:rFonts w:ascii="Times New Roman" w:hAnsi="Times New Roman" w:eastAsia="仿宋" w:cs="Times New Roman"/>
                <w:sz w:val="22"/>
                <w:szCs w:val="22"/>
                <w:lang w:val="zh-CN"/>
              </w:rPr>
              <w:t>交款时间：</w:t>
            </w:r>
          </w:p>
          <w:p w14:paraId="0E07F203">
            <w:pPr>
              <w:pStyle w:val="29"/>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9"/>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9"/>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4.</w:t>
            </w: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自服务完成且验收合格后，采购人接到供应商退还申请后30个工作日内，一次性无息退还全部履约保证金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9"/>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5.</w:t>
            </w:r>
            <w:r>
              <w:rPr>
                <w:rFonts w:ascii="Times New Roman" w:hAnsi="Times New Roman" w:eastAsia="仿宋" w:cs="Times New Roman"/>
                <w:sz w:val="22"/>
                <w:szCs w:val="22"/>
                <w:lang w:val="zh-CN"/>
              </w:rPr>
              <w:t>履约保证金不予退还情形：</w:t>
            </w:r>
          </w:p>
          <w:p w14:paraId="7A65F462">
            <w:pPr>
              <w:pStyle w:val="29"/>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9"/>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7A456483">
            <w:pPr>
              <w:pStyle w:val="29"/>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5ED38A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w:t>
            </w:r>
            <w:r>
              <w:rPr>
                <w:rFonts w:hint="eastAsia" w:ascii="Times New Roman" w:hAnsi="Times New Roman" w:eastAsia="仿宋" w:cs="Times New Roman"/>
                <w:sz w:val="22"/>
                <w:lang w:val="en-US" w:eastAsia="zh-CN"/>
              </w:rPr>
              <w:t>最低</w:t>
            </w:r>
            <w:r>
              <w:rPr>
                <w:rFonts w:ascii="Times New Roman" w:hAnsi="Times New Roman" w:eastAsia="仿宋" w:cs="Times New Roman"/>
                <w:sz w:val="22"/>
              </w:rPr>
              <w:t>的为成交供应商，</w:t>
            </w:r>
            <w:r>
              <w:rPr>
                <w:rFonts w:hint="eastAsia" w:ascii="Times New Roman" w:hAnsi="Times New Roman" w:eastAsia="仿宋" w:cs="Times New Roman"/>
                <w:sz w:val="22"/>
              </w:rPr>
              <w:t>若得分相同且报价亦相同，则采取随机抽取的方式确定成交供应商</w:t>
            </w:r>
            <w:r>
              <w:rPr>
                <w:rFonts w:hint="eastAsia" w:ascii="Times New Roman" w:hAnsi="Times New Roman" w:eastAsia="仿宋" w:cs="Times New Roman"/>
                <w:sz w:val="22"/>
                <w:lang w:eastAsia="zh-CN"/>
              </w:rPr>
              <w:t>。</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9"/>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9"/>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9"/>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w:t>
            </w:r>
            <w:r>
              <w:rPr>
                <w:rFonts w:ascii="Times New Roman" w:hAnsi="Times New Roman" w:eastAsia="仿宋" w:cs="Times New Roman"/>
                <w:b/>
                <w:bCs/>
                <w:sz w:val="22"/>
              </w:rPr>
              <w:t>招标采购中心</w:t>
            </w:r>
          </w:p>
          <w:p w14:paraId="716ADC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甘</w:t>
            </w:r>
            <w:r>
              <w:rPr>
                <w:rFonts w:ascii="Times New Roman" w:hAnsi="Times New Roman" w:eastAsia="仿宋" w:cs="Times New Roman"/>
                <w:sz w:val="22"/>
              </w:rPr>
              <w:t>老师028-</w:t>
            </w:r>
            <w:r>
              <w:rPr>
                <w:rFonts w:hint="eastAsia" w:ascii="Times New Roman" w:hAnsi="Times New Roman" w:eastAsia="仿宋" w:cs="Times New Roman"/>
                <w:sz w:val="22"/>
              </w:rPr>
              <w:t>87393665</w:t>
            </w:r>
          </w:p>
          <w:p w14:paraId="32CEDDED">
            <w:pPr>
              <w:spacing w:line="360" w:lineRule="auto"/>
              <w:ind w:left="210" w:leftChars="100"/>
              <w:rPr>
                <w:rFonts w:hint="eastAsia" w:ascii="仿宋" w:hAnsi="仿宋" w:eastAsia="仿宋" w:cs="仿宋"/>
                <w:b/>
                <w:bCs/>
                <w:color w:val="auto"/>
                <w:sz w:val="22"/>
                <w:szCs w:val="22"/>
                <w:lang w:eastAsia="zh-CN"/>
              </w:rPr>
            </w:pPr>
            <w:r>
              <w:rPr>
                <w:rFonts w:ascii="Times New Roman" w:hAnsi="Times New Roman" w:eastAsia="仿宋" w:cs="Times New Roman"/>
                <w:sz w:val="22"/>
              </w:rPr>
              <w:t>（2）归口部门：</w:t>
            </w:r>
            <w:r>
              <w:rPr>
                <w:rFonts w:hint="eastAsia" w:ascii="仿宋" w:hAnsi="仿宋" w:eastAsia="仿宋" w:cs="仿宋"/>
                <w:b/>
                <w:bCs/>
                <w:color w:val="auto"/>
                <w:sz w:val="22"/>
                <w:szCs w:val="22"/>
                <w:lang w:val="en-US" w:eastAsia="zh-CN"/>
              </w:rPr>
              <w:t>图书期刊部</w:t>
            </w:r>
          </w:p>
          <w:p w14:paraId="4524AB95">
            <w:pPr>
              <w:spacing w:line="36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Times New Roman" w:hAnsi="Times New Roman" w:eastAsia="仿宋" w:cs="Times New Roman"/>
                <w:sz w:val="22"/>
                <w:lang w:val="en-US" w:eastAsia="zh-CN"/>
              </w:rPr>
              <w:t>郭老师 028-87394691</w:t>
            </w:r>
          </w:p>
          <w:p w14:paraId="418C3619">
            <w:pPr>
              <w:spacing w:line="360" w:lineRule="auto"/>
              <w:ind w:firstLine="220" w:firstLine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1"/>
        <w:gridCol w:w="1995"/>
        <w:gridCol w:w="7008"/>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8"/>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8"/>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8"/>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8"/>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8"/>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8"/>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8"/>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8"/>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8"/>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8"/>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630325390@qq.com</w:t>
            </w:r>
            <w:r>
              <w:rPr>
                <w:rFonts w:ascii="Times New Roman" w:hAnsi="Times New Roman" w:eastAsia="仿宋" w:cs="Times New Roman"/>
                <w:sz w:val="22"/>
                <w:szCs w:val="22"/>
              </w:rPr>
              <w:t>。</w:t>
            </w:r>
          </w:p>
          <w:p w14:paraId="7D5E8660">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8"/>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9"/>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9"/>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9"/>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9"/>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9"/>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9"/>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2820"/>
        <w:gridCol w:w="5916"/>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4"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6"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4"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4"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6"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4"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4"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6"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4"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4"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6"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4" w:type="dxa"/>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6"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4" w:type="dxa"/>
            <w:vMerge w:val="continue"/>
            <w:vAlign w:val="center"/>
          </w:tcPr>
          <w:p w14:paraId="6CEC038F">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6"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4" w:type="dxa"/>
            <w:vMerge w:val="continue"/>
            <w:vAlign w:val="center"/>
          </w:tcPr>
          <w:p w14:paraId="4207E63E">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6"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4" w:type="dxa"/>
            <w:vMerge w:val="continue"/>
            <w:vAlign w:val="center"/>
          </w:tcPr>
          <w:p w14:paraId="6DD5AEEF">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6"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4" w:type="dxa"/>
            <w:vMerge w:val="continue"/>
            <w:vAlign w:val="center"/>
          </w:tcPr>
          <w:p w14:paraId="65D0010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4"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6"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4" w:type="dxa"/>
            <w:vMerge w:val="continue"/>
            <w:vAlign w:val="center"/>
          </w:tcPr>
          <w:p w14:paraId="653C02A3">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914"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6" w:type="dxa"/>
            <w:vAlign w:val="center"/>
          </w:tcPr>
          <w:p w14:paraId="1D430456">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供应商提供有效的《中华人民共和国出版物经营许可证》</w:t>
            </w:r>
          </w:p>
        </w:tc>
        <w:tc>
          <w:tcPr>
            <w:tcW w:w="6054" w:type="dxa"/>
            <w:vAlign w:val="center"/>
          </w:tcPr>
          <w:p w14:paraId="2F64669A">
            <w:pPr>
              <w:jc w:val="left"/>
              <w:rPr>
                <w:rFonts w:hint="default" w:ascii="Times New Roman" w:hAnsi="Times New Roman" w:eastAsia="仿宋" w:cs="Times New Roman"/>
                <w:bCs/>
                <w:kern w:val="0"/>
                <w:sz w:val="22"/>
                <w:lang w:val="en-US" w:eastAsia="zh-CN"/>
              </w:rPr>
            </w:pPr>
            <w:r>
              <w:rPr>
                <w:rFonts w:hint="eastAsia" w:ascii="Times New Roman" w:hAnsi="Times New Roman" w:eastAsia="仿宋" w:cs="Times New Roman"/>
                <w:bCs/>
                <w:kern w:val="0"/>
                <w:sz w:val="22"/>
                <w:lang w:val="en-US" w:eastAsia="zh-CN"/>
              </w:rPr>
              <w:t>提供证书证明材料并加盖供应商公章</w:t>
            </w:r>
          </w:p>
        </w:tc>
      </w:tr>
    </w:tbl>
    <w:p w14:paraId="379FCCB3">
      <w:pPr>
        <w:rPr>
          <w:rFonts w:ascii="Times New Roman" w:hAnsi="Times New Roman" w:cs="Times New Roman"/>
        </w:rPr>
      </w:pPr>
      <w:r>
        <w:rPr>
          <w:rFonts w:ascii="Times New Roman" w:hAnsi="Times New Roman" w:cs="Times New Roman"/>
        </w:rPr>
        <w:br w:type="page"/>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297"/>
        <w:gridCol w:w="6438"/>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14EF0F2A">
      <w:pPr>
        <w:pStyle w:val="17"/>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ascii="仿宋" w:hAnsi="仿宋" w:eastAsia="仿宋"/>
          <w:b/>
          <w:bCs/>
          <w:sz w:val="24"/>
          <w:szCs w:val="24"/>
        </w:rPr>
      </w:pPr>
      <w:r>
        <w:rPr>
          <w:rFonts w:hint="eastAsia" w:ascii="仿宋" w:hAnsi="仿宋" w:eastAsia="仿宋"/>
          <w:b/>
          <w:bCs/>
          <w:sz w:val="24"/>
          <w:szCs w:val="24"/>
        </w:rPr>
        <w:t>一、项目简介</w:t>
      </w:r>
    </w:p>
    <w:p w14:paraId="39FF877B">
      <w:pPr>
        <w:pStyle w:val="17"/>
        <w:keepNext w:val="0"/>
        <w:keepLines w:val="0"/>
        <w:pageBreakBefore w:val="0"/>
        <w:widowControl w:val="0"/>
        <w:kinsoku/>
        <w:wordWrap/>
        <w:overflowPunct/>
        <w:topLinePunct w:val="0"/>
        <w:autoSpaceDE/>
        <w:autoSpaceDN/>
        <w:bidi w:val="0"/>
        <w:adjustRightInd/>
        <w:spacing w:line="360" w:lineRule="auto"/>
        <w:ind w:left="0" w:leftChars="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本项目拟确定一家供应商为采购人提供图书。</w:t>
      </w:r>
    </w:p>
    <w:p w14:paraId="7AECA23C">
      <w:pPr>
        <w:pStyle w:val="17"/>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仿宋" w:hAnsi="仿宋" w:eastAsia="仿宋"/>
          <w:b/>
          <w:bCs/>
          <w:sz w:val="24"/>
          <w:szCs w:val="24"/>
          <w:lang w:eastAsia="zh-CN"/>
        </w:rPr>
      </w:pPr>
      <w:r>
        <w:rPr>
          <w:rFonts w:hint="eastAsia" w:ascii="仿宋" w:hAnsi="仿宋" w:eastAsia="仿宋"/>
          <w:b/>
          <w:bCs/>
          <w:sz w:val="24"/>
          <w:szCs w:val="24"/>
        </w:rPr>
        <w:t>二、</w:t>
      </w:r>
      <w:r>
        <w:rPr>
          <w:rFonts w:hint="eastAsia" w:ascii="仿宋" w:hAnsi="仿宋" w:eastAsia="仿宋"/>
          <w:b/>
          <w:bCs/>
          <w:sz w:val="24"/>
          <w:szCs w:val="24"/>
          <w:lang w:val="en-US" w:eastAsia="zh-CN"/>
        </w:rPr>
        <w:t>技术要求</w:t>
      </w:r>
    </w:p>
    <w:p w14:paraId="02664BEC">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1、合法性要求：供应商必须承诺提供的所有图书为合法的正版出版物，同时保证提供的产品内容必须符合我国相关法律法规规定。供应商应保证本项目供货的图书不会产生第三方提出侵犯其专利权、商标权或者其他知识产权而引起的法律和经济纠纷，如因专利权、商标权或者其他知识产权而引起的法律和经济纠纷、不良影响和后果全部由供应商承担，采购人不承担任何责任；如给采购人造成经济损失，供应商应以采购人损失总金额的20倍进行赔偿，</w:t>
      </w:r>
      <w:r>
        <w:rPr>
          <w:rFonts w:hint="eastAsia" w:ascii="仿宋" w:hAnsi="仿宋" w:eastAsia="仿宋" w:cs="仿宋"/>
          <w:kern w:val="2"/>
          <w:sz w:val="24"/>
          <w:szCs w:val="24"/>
          <w:lang w:val="en-US" w:eastAsia="zh-CN"/>
        </w:rPr>
        <w:t>同时采购人有权拒付所有未付款项，并单方面解除合同</w:t>
      </w:r>
      <w:r>
        <w:rPr>
          <w:rFonts w:hint="eastAsia" w:ascii="仿宋" w:hAnsi="仿宋" w:eastAsia="仿宋" w:cs="仿宋"/>
          <w:kern w:val="2"/>
          <w:sz w:val="24"/>
          <w:szCs w:val="24"/>
        </w:rPr>
        <w:t>。（需提供承诺函并加盖供应商公章</w:t>
      </w:r>
      <w:r>
        <w:rPr>
          <w:rFonts w:hint="eastAsia" w:ascii="仿宋" w:hAnsi="仿宋" w:eastAsia="仿宋" w:cs="仿宋"/>
          <w:kern w:val="2"/>
          <w:sz w:val="24"/>
          <w:szCs w:val="24"/>
          <w:lang w:eastAsia="zh-CN"/>
        </w:rPr>
        <w:t>，</w:t>
      </w:r>
      <w:r>
        <w:rPr>
          <w:rFonts w:hint="eastAsia" w:ascii="仿宋" w:hAnsi="仿宋" w:eastAsia="仿宋" w:cs="仿宋"/>
          <w:kern w:val="2"/>
          <w:sz w:val="24"/>
          <w:szCs w:val="24"/>
          <w:lang w:val="en-US" w:eastAsia="zh-CN"/>
        </w:rPr>
        <w:t>格式自拟</w:t>
      </w:r>
      <w:r>
        <w:rPr>
          <w:rFonts w:hint="eastAsia" w:ascii="仿宋" w:hAnsi="仿宋" w:eastAsia="仿宋" w:cs="仿宋"/>
          <w:kern w:val="2"/>
          <w:sz w:val="24"/>
          <w:szCs w:val="24"/>
        </w:rPr>
        <w:t>）</w:t>
      </w:r>
    </w:p>
    <w:p w14:paraId="619C74F4">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2、采购图书的内容及品种：本项目供应商提供的图书必须符合采购人馆藏文献建设需求</w:t>
      </w:r>
      <w:r>
        <w:rPr>
          <w:rFonts w:hint="eastAsia" w:ascii="仿宋" w:hAnsi="仿宋" w:eastAsia="仿宋" w:cs="仿宋"/>
          <w:kern w:val="2"/>
          <w:sz w:val="24"/>
          <w:szCs w:val="24"/>
          <w:lang w:eastAsia="zh-CN"/>
        </w:rPr>
        <w:t>，</w:t>
      </w:r>
      <w:r>
        <w:rPr>
          <w:rFonts w:hint="eastAsia" w:ascii="仿宋" w:hAnsi="仿宋" w:eastAsia="仿宋" w:cs="仿宋"/>
          <w:kern w:val="2"/>
          <w:sz w:val="24"/>
          <w:szCs w:val="24"/>
        </w:rPr>
        <w:t>即医学专业图书(非科普类)</w:t>
      </w:r>
      <w:r>
        <w:rPr>
          <w:rFonts w:hint="eastAsia" w:ascii="仿宋" w:hAnsi="仿宋" w:eastAsia="仿宋" w:cs="仿宋"/>
          <w:kern w:val="2"/>
          <w:sz w:val="24"/>
          <w:szCs w:val="24"/>
          <w:lang w:eastAsia="zh-CN"/>
        </w:rPr>
        <w:t>。</w:t>
      </w:r>
      <w:r>
        <w:rPr>
          <w:rFonts w:hint="eastAsia" w:ascii="仿宋" w:hAnsi="仿宋" w:eastAsia="仿宋" w:cs="仿宋"/>
          <w:kern w:val="2"/>
          <w:sz w:val="24"/>
          <w:szCs w:val="24"/>
        </w:rPr>
        <w:t>应包含近两年全国所有出版社的内地版中文图书新书可供书目，尤其是重要出版社出版的所有科技类或根据采购人需求整理相关专题书目（需提供重要出版社授权书复印件）。对于因各种原因下架或停售的图书，供应商有义务及时告知采购人下架或取消订单。</w:t>
      </w:r>
    </w:p>
    <w:p w14:paraId="2221D3DE">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注：重要出版社是指：人民卫生出版社、中国协和医科大学出版社、北京大学医学出版社、军事科学出版社、第四军医大学出版社、中国医药科技出版社、中国中医药出版社、科学出版社、清华大学出版社、上海科学技术出版社、复旦大学出版社、华中科技大学出版社、四川大学出版社、科学技术文献出版社、天津科技翻译出版有限公司、世界图书出版公司。</w:t>
      </w:r>
    </w:p>
    <w:p w14:paraId="7BD15F8A">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★3、图书采访数据要求：</w:t>
      </w:r>
      <w:r>
        <w:rPr>
          <w:rFonts w:hint="eastAsia" w:ascii="仿宋" w:hAnsi="仿宋" w:eastAsia="仿宋" w:cs="仿宋"/>
          <w:kern w:val="2"/>
          <w:sz w:val="24"/>
          <w:szCs w:val="24"/>
          <w:lang w:val="en-US" w:eastAsia="zh-CN"/>
        </w:rPr>
        <w:t>供应商应每个月向采购人提供符合以下要求的中文图书电子版新书征订目录</w:t>
      </w:r>
      <w:r>
        <w:rPr>
          <w:rFonts w:hint="eastAsia" w:ascii="仿宋" w:hAnsi="仿宋" w:eastAsia="仿宋" w:cs="仿宋"/>
          <w:kern w:val="2"/>
          <w:sz w:val="24"/>
          <w:szCs w:val="24"/>
        </w:rPr>
        <w:t>，征订书目数据要求内容详实、准确，格式完整。书目信息包含：ISBN号、书名、著者、价格、出版地、出版者、出版时间、丛编项、版本、尺寸、页码、读者对象、内容简介、中图法分类号等详细信息。</w:t>
      </w:r>
    </w:p>
    <w:p w14:paraId="7738600A">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4、采购组织要求：供应商接到订单后应在7个工作日内加以确认，快速高效的组织采购，并在发货前向采购人提供正式的结算清单，内容包括书名、ISBN号、著者、人民币码洋价、实洋价、出版社、出版时间等信息。供应商应能够满足采购人自拟订购目录图书的组织。此外，供应商还应能够满足采购人专题目录图书采选的需求。供应商所供图书必须与采购人提供的图书订单相符合，不得擅自更换或搭配未订购的图书，否则由此造成的所有经济损失和后果均由供应商承担。</w:t>
      </w:r>
    </w:p>
    <w:p w14:paraId="0F0BE3E7">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 xml:space="preserve">★5、现场采购能力：供应商应具现场选书场所，能满足采购人参加全国大型书市、图书展览会或指定地点现场采购图书的要求，具备现采的查重条件和能力。现场采购图书经查重后由供应商通向采购人提供采购清单，经采购人确定后供应商实施配送。 </w:t>
      </w:r>
    </w:p>
    <w:p w14:paraId="4145E42E">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★6、订单查重服务：供应商应提供订单查重服务，对采购人发送的订单进行查重；如果发生订重情况，则由供应商承担全部责任。</w:t>
      </w:r>
    </w:p>
    <w:p w14:paraId="121470D5">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7、订单跟踪服务：供应商收到采购人图书采购订单后应于7个工作日内以电话、电子邮件或者其他网络沟通方式及时回告，快速高效组织配书，并提供订单跟踪服务，对每批次订单图书的订购情况进行跟踪；其中不能订到的图书及其原因应及时通知采购人；图书的价格、书名、ISBN、内容、读者对象等任何信息发生变化也应及时通知采购人，以便采购人及时确认是否继续订购。</w:t>
      </w:r>
    </w:p>
    <w:p w14:paraId="6453D924">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★8、图书补缺服务：供应商能根据采购人对缺藏图书的补缺需求，组织采购以往年度出版的中文图书。</w:t>
      </w:r>
    </w:p>
    <w:p w14:paraId="101538C3">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★9、问题反馈能力：对采购人在整个合同执行期间反映的所有问题，供应商都应指定专人快速响应，并在3日内给予答复，尽快协调解决好所有的问题。</w:t>
      </w:r>
    </w:p>
    <w:p w14:paraId="19A82237">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★10、图书加工要求：供应商须严格按照采购人的需求，提供图书的全加工服务，自备所需资料和设备。供应商应按照采购人要求提供以下加工服务：</w:t>
      </w:r>
    </w:p>
    <w:p w14:paraId="7E11A86B">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1）编目数据加工。供应商应能够提供带有中图分类号的标准采访和编目MARC数据及EXCEL数据。录入采购方系统的书目数据能保证分类准确、编目完整准确且与书标对应无误，带有中图分类的图书编目数据需添加种次号形成索书号。提供的所有数据能在采购人系统无障碍的使用。</w:t>
      </w:r>
    </w:p>
    <w:p w14:paraId="6D902E6A">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（2）图书加工。图书到馆前应完成加装磁条、加盖馆藏章、粘贴条码、打制索书号（中图分类号/种次号）后覆膜等工作。</w:t>
      </w:r>
    </w:p>
    <w:p w14:paraId="74B8D203">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（3）图书上架。图书到馆后，负责按照采购人要求移架并将新书上架至指定位置。</w:t>
      </w:r>
    </w:p>
    <w:p w14:paraId="4BF317CA">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11、到馆要求：</w:t>
      </w:r>
    </w:p>
    <w:p w14:paraId="04266DB8">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（1）供应商应承诺采购人图书馆所选图书的到书率95%及以上。（提供承诺函并加盖供应商公章</w:t>
      </w:r>
      <w:r>
        <w:rPr>
          <w:rFonts w:hint="eastAsia" w:ascii="仿宋" w:hAnsi="仿宋" w:eastAsia="仿宋" w:cs="仿宋"/>
          <w:kern w:val="2"/>
          <w:sz w:val="24"/>
          <w:szCs w:val="24"/>
          <w:lang w:eastAsia="zh-CN"/>
        </w:rPr>
        <w:t>，</w:t>
      </w:r>
      <w:r>
        <w:rPr>
          <w:rFonts w:hint="eastAsia" w:ascii="仿宋" w:hAnsi="仿宋" w:eastAsia="仿宋" w:cs="仿宋"/>
          <w:kern w:val="2"/>
          <w:sz w:val="24"/>
          <w:szCs w:val="24"/>
          <w:lang w:val="en-US" w:eastAsia="zh-CN"/>
        </w:rPr>
        <w:t>格式自拟</w:t>
      </w:r>
      <w:r>
        <w:rPr>
          <w:rFonts w:hint="eastAsia" w:ascii="仿宋" w:hAnsi="仿宋" w:eastAsia="仿宋" w:cs="仿宋"/>
          <w:kern w:val="2"/>
          <w:sz w:val="24"/>
          <w:szCs w:val="24"/>
        </w:rPr>
        <w:t>）</w:t>
      </w:r>
    </w:p>
    <w:p w14:paraId="24422D3A">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 xml:space="preserve">★（2）根据采购人的图书订单，充分核实订单的图书册数和金额，根据采购人提供的订单数目组织图书，并及时向采购人通报图书组织情况，对于未组织到的图书说明原因，以便采购人及时更换图书品种，对于交货到期未送到的图书采购人不予以支付。 </w:t>
      </w:r>
    </w:p>
    <w:p w14:paraId="07700019">
      <w:pPr>
        <w:pStyle w:val="17"/>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cs="仿宋"/>
          <w:kern w:val="2"/>
          <w:sz w:val="24"/>
          <w:szCs w:val="24"/>
        </w:rPr>
        <w:t>★（3）供应商应将订购图书送达采购人图书馆指定地点，随书提供图书清单,清单上注明图书种数、册数、码洋、号段、书名、书号、出版社、定价、复本、登记号等信息，以便于图书验收。</w:t>
      </w:r>
    </w:p>
    <w:p w14:paraId="41676DEF">
      <w:pPr>
        <w:pStyle w:val="17"/>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default" w:ascii="仿宋" w:hAnsi="仿宋" w:eastAsia="仿宋"/>
          <w:b/>
          <w:bCs/>
          <w:sz w:val="24"/>
          <w:szCs w:val="24"/>
          <w:lang w:val="en-US" w:eastAsia="zh-CN"/>
        </w:rPr>
      </w:pPr>
      <w:r>
        <w:rPr>
          <w:rFonts w:hint="eastAsia" w:ascii="仿宋" w:hAnsi="仿宋" w:eastAsia="仿宋"/>
          <w:b/>
          <w:bCs/>
          <w:sz w:val="24"/>
          <w:szCs w:val="24"/>
          <w:lang w:val="en-US" w:eastAsia="zh-CN"/>
        </w:rPr>
        <w:t>三、售后服务</w:t>
      </w:r>
    </w:p>
    <w:p w14:paraId="216D0797">
      <w:pPr>
        <w:pStyle w:val="17"/>
        <w:keepNext w:val="0"/>
        <w:keepLines w:val="0"/>
        <w:pageBreakBefore w:val="0"/>
        <w:widowControl w:val="0"/>
        <w:kinsoku/>
        <w:wordWrap/>
        <w:overflowPunct/>
        <w:topLinePunct w:val="0"/>
        <w:autoSpaceDE/>
        <w:autoSpaceDN/>
        <w:bidi w:val="0"/>
        <w:adjustRightInd/>
        <w:spacing w:before="0" w:after="0" w:line="360" w:lineRule="auto"/>
        <w:ind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退书：在验收图书过程中如有差错，出现订购重复、装订、印刷质量问题或有到馆上架前的破损、随书附件（光盘、磁带等）不完整（丢失、破损）、图书加工错误等情况，无论是否已作前期加工，供应商承诺无条件给予退订或调换，由此产生的费用由供应商承担。（提供承诺函并加盖供应商公章，格式自拟）</w:t>
      </w:r>
    </w:p>
    <w:p w14:paraId="60E8EC55">
      <w:pPr>
        <w:pStyle w:val="17"/>
        <w:keepNext w:val="0"/>
        <w:keepLines w:val="0"/>
        <w:pageBreakBefore w:val="0"/>
        <w:widowControl w:val="0"/>
        <w:kinsoku/>
        <w:wordWrap/>
        <w:overflowPunct/>
        <w:topLinePunct w:val="0"/>
        <w:autoSpaceDE/>
        <w:autoSpaceDN/>
        <w:bidi w:val="0"/>
        <w:adjustRightInd/>
        <w:spacing w:before="0" w:after="0" w:line="360" w:lineRule="auto"/>
        <w:ind w:firstLine="480" w:firstLineChars="200"/>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★2、退货响应时间:3个工作日响应;调换图书需在20个工作日到馆。</w:t>
      </w:r>
    </w:p>
    <w:p w14:paraId="21184C79">
      <w:pPr>
        <w:pStyle w:val="17"/>
        <w:keepNext w:val="0"/>
        <w:keepLines w:val="0"/>
        <w:pageBreakBefore w:val="0"/>
        <w:widowControl w:val="0"/>
        <w:kinsoku/>
        <w:wordWrap/>
        <w:overflowPunct/>
        <w:topLinePunct w:val="0"/>
        <w:autoSpaceDE/>
        <w:autoSpaceDN/>
        <w:bidi w:val="0"/>
        <w:adjustRightInd/>
        <w:spacing w:before="0" w:after="0" w:line="360" w:lineRule="auto"/>
        <w:ind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★3、采访数据：供应商一年内补充添加采购人所定购图书的标准 MARC 采访数据，包括：ISBN 号、书名、著者、出版社、单价、分类号和内容提要等。要求数据准确。 </w:t>
      </w:r>
    </w:p>
    <w:p w14:paraId="12864792">
      <w:pPr>
        <w:pStyle w:val="17"/>
        <w:keepNext w:val="0"/>
        <w:keepLines w:val="0"/>
        <w:pageBreakBefore w:val="0"/>
        <w:widowControl w:val="0"/>
        <w:kinsoku/>
        <w:wordWrap/>
        <w:overflowPunct/>
        <w:topLinePunct w:val="0"/>
        <w:autoSpaceDE/>
        <w:autoSpaceDN/>
        <w:bidi w:val="0"/>
        <w:adjustRightInd/>
        <w:spacing w:before="0" w:after="0" w:line="360" w:lineRule="auto"/>
        <w:ind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★4、供应商负责将图书送到采购人指定地点，如错发到货地点，因此给采购人造成损失由供应商承担责任。</w:t>
      </w:r>
    </w:p>
    <w:p w14:paraId="63A36D3D">
      <w:pPr>
        <w:pStyle w:val="17"/>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仿宋" w:hAnsi="仿宋" w:eastAsia="仿宋"/>
          <w:b/>
          <w:bCs/>
          <w:sz w:val="24"/>
          <w:szCs w:val="24"/>
          <w:lang w:val="en-US" w:eastAsia="zh-CN"/>
        </w:rPr>
      </w:pPr>
      <w:r>
        <w:rPr>
          <w:rFonts w:hint="eastAsia" w:ascii="仿宋" w:hAnsi="仿宋" w:eastAsia="仿宋" w:cstheme="minorBidi"/>
          <w:b/>
          <w:bCs/>
          <w:kern w:val="2"/>
          <w:sz w:val="24"/>
          <w:szCs w:val="24"/>
          <w:lang w:val="en-US" w:eastAsia="zh-CN" w:bidi="ar-SA"/>
        </w:rPr>
        <w:t>四、</w:t>
      </w:r>
      <w:r>
        <w:rPr>
          <w:rFonts w:hint="eastAsia" w:ascii="仿宋" w:hAnsi="仿宋" w:eastAsia="仿宋"/>
          <w:b/>
          <w:bCs/>
          <w:sz w:val="24"/>
          <w:szCs w:val="24"/>
          <w:lang w:val="en-US" w:eastAsia="zh-CN"/>
        </w:rPr>
        <w:t>其他要求</w:t>
      </w:r>
    </w:p>
    <w:p w14:paraId="7DD46FCE">
      <w:pPr>
        <w:pStyle w:val="15"/>
        <w:keepNext w:val="0"/>
        <w:keepLines w:val="0"/>
        <w:widowControl/>
        <w:suppressLineNumbers w:val="0"/>
        <w:autoSpaceDE w:val="0"/>
        <w:autoSpaceDN/>
        <w:spacing w:before="0" w:beforeAutospacing="0" w:after="0" w:afterAutospacing="0" w:line="360" w:lineRule="auto"/>
        <w:ind w:left="0" w:firstLine="48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1.2023年1月1日（以合同签订时间为准）至今，供应商具有类似医学专业图书供货项目业绩（非医学科普）。</w:t>
      </w:r>
    </w:p>
    <w:p w14:paraId="41C54C40">
      <w:pPr>
        <w:pStyle w:val="15"/>
        <w:keepNext w:val="0"/>
        <w:keepLines w:val="0"/>
        <w:widowControl/>
        <w:suppressLineNumbers w:val="0"/>
        <w:autoSpaceDE w:val="0"/>
        <w:autoSpaceDN/>
        <w:spacing w:before="0" w:beforeAutospacing="0" w:after="0" w:afterAutospacing="0" w:line="360" w:lineRule="auto"/>
        <w:ind w:left="0" w:firstLine="48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2.供应商拥有自身产权归属或长期专属自用的仓储库房（提供库房产权证或租赁合同复印件）。</w:t>
      </w:r>
    </w:p>
    <w:p w14:paraId="4A43E806">
      <w:pPr>
        <w:pStyle w:val="15"/>
        <w:keepNext w:val="0"/>
        <w:keepLines w:val="0"/>
        <w:widowControl/>
        <w:suppressLineNumbers w:val="0"/>
        <w:autoSpaceDE w:val="0"/>
        <w:autoSpaceDN/>
        <w:spacing w:before="0" w:beforeAutospacing="0" w:after="0" w:afterAutospacing="0" w:line="360" w:lineRule="auto"/>
        <w:ind w:left="0" w:firstLine="48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3.供应商提供的在职服务人员，具有出版物发行员证书。</w:t>
      </w:r>
    </w:p>
    <w:p w14:paraId="6B15FC7C">
      <w:pPr>
        <w:pStyle w:val="15"/>
        <w:keepNext w:val="0"/>
        <w:keepLines w:val="0"/>
        <w:widowControl/>
        <w:suppressLineNumbers w:val="0"/>
        <w:autoSpaceDE w:val="0"/>
        <w:autoSpaceDN/>
        <w:spacing w:before="0" w:beforeAutospacing="0" w:after="0" w:afterAutospacing="0" w:line="360" w:lineRule="auto"/>
        <w:ind w:left="0" w:firstLine="48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4.供应商提供的在职服务人员，具有国家图书馆编目员上岗证书。</w:t>
      </w:r>
    </w:p>
    <w:p w14:paraId="40D7ACF5">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textAlignment w:val="auto"/>
        <w:rPr>
          <w:rFonts w:hint="eastAsia" w:ascii="仿宋" w:hAnsi="仿宋" w:eastAsia="仿宋"/>
          <w:sz w:val="24"/>
          <w:szCs w:val="24"/>
          <w:lang w:val="en-US" w:eastAsia="zh-CN"/>
        </w:rPr>
      </w:pPr>
      <w:r>
        <w:rPr>
          <w:rFonts w:hint="eastAsia" w:ascii="仿宋" w:hAnsi="仿宋" w:eastAsia="仿宋"/>
          <w:b/>
          <w:bCs/>
          <w:sz w:val="24"/>
          <w:szCs w:val="24"/>
        </w:rPr>
        <w:t>★</w:t>
      </w:r>
      <w:r>
        <w:rPr>
          <w:rFonts w:hint="eastAsia" w:ascii="仿宋" w:hAnsi="仿宋" w:eastAsia="仿宋"/>
          <w:b/>
          <w:bCs/>
          <w:sz w:val="24"/>
          <w:szCs w:val="24"/>
          <w:lang w:val="en-US" w:eastAsia="zh-CN"/>
        </w:rPr>
        <w:t>五</w:t>
      </w:r>
      <w:r>
        <w:rPr>
          <w:rFonts w:hint="eastAsia" w:ascii="仿宋" w:hAnsi="仿宋" w:eastAsia="仿宋"/>
          <w:b/>
          <w:bCs/>
          <w:sz w:val="24"/>
          <w:szCs w:val="24"/>
        </w:rPr>
        <w:t>、商务要求：</w:t>
      </w:r>
      <w:r>
        <w:rPr>
          <w:rFonts w:hint="eastAsia" w:ascii="仿宋" w:hAnsi="仿宋" w:eastAsia="仿宋"/>
          <w:sz w:val="24"/>
          <w:szCs w:val="24"/>
        </w:rPr>
        <w:cr/>
      </w:r>
      <w:r>
        <w:rPr>
          <w:rFonts w:hint="eastAsia" w:ascii="仿宋" w:hAnsi="仿宋" w:eastAsia="仿宋"/>
          <w:sz w:val="24"/>
          <w:szCs w:val="24"/>
        </w:rPr>
        <w:t xml:space="preserve">    </w:t>
      </w:r>
      <w:r>
        <w:rPr>
          <w:rFonts w:hint="eastAsia" w:ascii="仿宋" w:hAnsi="仿宋" w:eastAsia="仿宋"/>
          <w:sz w:val="24"/>
          <w:szCs w:val="24"/>
          <w:lang w:val="en-US" w:eastAsia="zh-CN"/>
        </w:rPr>
        <w:t>1、资金支付条款：</w:t>
      </w:r>
    </w:p>
    <w:p w14:paraId="3F993952">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据实结算：年度服务期满，且服务期内订购的最后一批图书经采购人验收合格后，根据服务期内实际验收数量向采购人提供结算费用清单进行确认，并在确认后5日内向采购人出具合法有效票据及其它相关请款资料，采购人自收到上述票据及资料后55日内，向供应商支付上述结算费用。</w:t>
      </w:r>
    </w:p>
    <w:p w14:paraId="4B8BE712">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注：图书的人民币实洋付款价格=码洋价×成交折扣率。供应商所提供的图书价格为包干价，包括图书及随书附件（光盘、软件等），从订购到运抵采购人指定交货地点所发生费用、有关服务和所有税费的总和，支付上限为人民币320000元</w:t>
      </w:r>
      <w:r>
        <w:rPr>
          <w:rFonts w:hint="eastAsia" w:ascii="新宋体" w:hAnsi="新宋体" w:eastAsia="新宋体" w:cs="新宋体"/>
          <w:b w:val="0"/>
          <w:sz w:val="24"/>
          <w:szCs w:val="24"/>
          <w:vertAlign w:val="baseline"/>
          <w:lang w:val="en-US" w:eastAsia="zh-CN"/>
        </w:rPr>
        <w:t>（含税）。</w:t>
      </w:r>
    </w:p>
    <w:p w14:paraId="0CFC479C">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2、服务地点：四川省人民医院（包括所有院区）</w:t>
      </w:r>
    </w:p>
    <w:p w14:paraId="55EDF900">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3、服务期限：自合同签订生效之日起3年，合同一年一签，经考核合格后续签下一年度合同。</w:t>
      </w:r>
    </w:p>
    <w:p w14:paraId="7A961E17">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4、验收方案：</w:t>
      </w:r>
    </w:p>
    <w:p w14:paraId="3FC00D41">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4.1验收时间：供应商每批图书送货到采购人指定地点后，采购人在5个工作日内组织验收。</w:t>
      </w:r>
    </w:p>
    <w:p w14:paraId="6535A4ED">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4.2验收主体：采购人      </w:t>
      </w:r>
    </w:p>
    <w:p w14:paraId="633EDF57">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4.3验收组织方式：自行验收</w:t>
      </w:r>
    </w:p>
    <w:p w14:paraId="5CBA117C">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4.4验收方式：现场整体验收  </w:t>
      </w:r>
    </w:p>
    <w:p w14:paraId="4BCC10C4">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4.5验收程序：分期/分段验收</w:t>
      </w:r>
    </w:p>
    <w:p w14:paraId="5CFAF8C3">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4.6验收内容：按照基于本项目采购需求编制的采购文件要求及供应商响应文件情况，由供应商向采购人提供的每批次货物及相关服务。</w:t>
      </w:r>
    </w:p>
    <w:p w14:paraId="67A3D54A">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4.7验收标准：</w:t>
      </w:r>
    </w:p>
    <w:p w14:paraId="6E5B72F2">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4.7.1国家相关法律法规、行业标准、技术规范。</w:t>
      </w:r>
    </w:p>
    <w:p w14:paraId="32E13DE9">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4.7.2基于本项目采购需求编制的谈判文件相关技术、服务要求、成交供应商响应文件相关响应内容。</w:t>
      </w:r>
    </w:p>
    <w:p w14:paraId="5A6D8FFF">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4.7.3产品生产厂家出具的产品说明书、技术白皮书、医疗器械注册证或备案凭证等官方技术资料（如涉及）。</w:t>
      </w:r>
    </w:p>
    <w:p w14:paraId="61113540">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4.7.4如验收时，采购人与供应商认为本项目验收标准中的技术指标、质量要求等内容存在相互抵触或对其理解存在异议，应按照其中更严格的要求、标准等进行验收。</w:t>
      </w:r>
    </w:p>
    <w:p w14:paraId="00D4921E">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4.7.5参照《财政部关于进一步加强政府采购需求和履约验收管理的指导意见》（财库〔2016〕205号）的要求进行验收。</w:t>
      </w:r>
    </w:p>
    <w:p w14:paraId="1B9CF56E">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4.7.6 如本项目验收方式为考核验收，则考核结果须为合格。</w:t>
      </w:r>
    </w:p>
    <w:p w14:paraId="023C64C9">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4.7.7其他验收标准：无</w:t>
      </w:r>
    </w:p>
    <w:p w14:paraId="49984B29">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4.8其它验收要求：无</w:t>
      </w:r>
    </w:p>
    <w:p w14:paraId="5CB269A6">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4.9是否委托第三方机构验收：否。</w:t>
      </w:r>
    </w:p>
    <w:p w14:paraId="30E14106">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4.10是否邀请本项目的其他供应商：否</w:t>
      </w:r>
    </w:p>
    <w:p w14:paraId="3998DE96">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4.11是否邀请服务对象：否</w:t>
      </w:r>
    </w:p>
    <w:p w14:paraId="31F1EF7B">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4.12是否邀请专家：否</w:t>
      </w:r>
    </w:p>
    <w:p w14:paraId="5DEE1425">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5.违约责任</w:t>
      </w:r>
    </w:p>
    <w:p w14:paraId="069E8F35">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本项目履约期间，采购人和供应商任何一方场违约，导致双方无法继续履约的，另一方有权解除合同，并有权追究违约方的违约责任。</w:t>
      </w:r>
    </w:p>
    <w:p w14:paraId="2ACA2D1D">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6.考核要求</w:t>
      </w:r>
    </w:p>
    <w:p w14:paraId="0E8CB5B1">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firstLine="480" w:firstLineChars="200"/>
        <w:textAlignment w:val="auto"/>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服务期满9个月后，在10个工作日内进行考核评分，年度考核90 分及以上为合格，90 分以下为不合格。考核不合格。采购人有权取消(终止)服务合同。考核合格续签下一年度合同。</w:t>
      </w:r>
    </w:p>
    <w:p w14:paraId="5E4A7AF9">
      <w:pP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br w:type="page"/>
      </w:r>
    </w:p>
    <w:p w14:paraId="62699835">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firstLine="480" w:firstLineChars="200"/>
        <w:textAlignment w:val="auto"/>
        <w:rPr>
          <w:rFonts w:hint="default" w:ascii="仿宋" w:hAnsi="仿宋" w:eastAsia="仿宋" w:cstheme="minorBidi"/>
          <w:kern w:val="2"/>
          <w:sz w:val="24"/>
          <w:szCs w:val="24"/>
          <w:lang w:val="en-US" w:eastAsia="zh-CN" w:bidi="ar-SA"/>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08"/>
        <w:gridCol w:w="4084"/>
        <w:gridCol w:w="2458"/>
        <w:gridCol w:w="1288"/>
      </w:tblGrid>
      <w:tr w14:paraId="127E7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808"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68D002">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b/>
                <w:bCs/>
                <w:kern w:val="2"/>
                <w:sz w:val="24"/>
                <w:szCs w:val="24"/>
                <w:lang w:val="en-US" w:eastAsia="zh-CN" w:bidi="ar-SA"/>
              </w:rPr>
            </w:pPr>
            <w:r>
              <w:rPr>
                <w:rFonts w:hint="eastAsia" w:ascii="仿宋" w:hAnsi="仿宋" w:eastAsia="仿宋" w:cstheme="minorBidi"/>
                <w:b/>
                <w:bCs/>
                <w:kern w:val="2"/>
                <w:sz w:val="24"/>
                <w:szCs w:val="24"/>
                <w:lang w:val="en-US" w:eastAsia="zh-CN" w:bidi="ar-SA"/>
              </w:rPr>
              <w:t>合同名称</w:t>
            </w:r>
          </w:p>
        </w:tc>
        <w:tc>
          <w:tcPr>
            <w:tcW w:w="4084"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AA89AAF">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b/>
                <w:bCs/>
                <w:kern w:val="2"/>
                <w:sz w:val="24"/>
                <w:szCs w:val="24"/>
                <w:lang w:val="en-US" w:eastAsia="zh-CN" w:bidi="ar-SA"/>
              </w:rPr>
            </w:pPr>
          </w:p>
        </w:tc>
        <w:tc>
          <w:tcPr>
            <w:tcW w:w="2458"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052C304">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b/>
                <w:bCs/>
                <w:kern w:val="2"/>
                <w:sz w:val="24"/>
                <w:szCs w:val="24"/>
                <w:lang w:val="en-US" w:eastAsia="zh-CN" w:bidi="ar-SA"/>
              </w:rPr>
            </w:pPr>
            <w:r>
              <w:rPr>
                <w:rFonts w:hint="eastAsia" w:ascii="仿宋" w:hAnsi="仿宋" w:eastAsia="仿宋" w:cstheme="minorBidi"/>
                <w:b/>
                <w:bCs/>
                <w:kern w:val="2"/>
                <w:sz w:val="24"/>
                <w:szCs w:val="24"/>
                <w:lang w:val="en-US" w:eastAsia="zh-CN" w:bidi="ar-SA"/>
              </w:rPr>
              <w:t>服务期限</w:t>
            </w:r>
          </w:p>
        </w:tc>
        <w:tc>
          <w:tcPr>
            <w:tcW w:w="1288"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0E74789">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left"/>
              <w:textAlignment w:val="auto"/>
              <w:rPr>
                <w:rFonts w:hint="default" w:ascii="仿宋" w:hAnsi="仿宋" w:eastAsia="仿宋" w:cstheme="minorBidi"/>
                <w:b/>
                <w:bCs/>
                <w:kern w:val="2"/>
                <w:sz w:val="24"/>
                <w:szCs w:val="24"/>
                <w:lang w:val="en-US" w:eastAsia="zh-CN" w:bidi="ar-SA"/>
              </w:rPr>
            </w:pPr>
          </w:p>
        </w:tc>
      </w:tr>
      <w:tr w14:paraId="51C20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80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BB7EFCB">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b/>
                <w:bCs/>
                <w:kern w:val="2"/>
                <w:sz w:val="24"/>
                <w:szCs w:val="24"/>
                <w:lang w:val="en-US" w:eastAsia="zh-CN" w:bidi="ar-SA"/>
              </w:rPr>
            </w:pPr>
            <w:r>
              <w:rPr>
                <w:rFonts w:hint="eastAsia" w:ascii="仿宋" w:hAnsi="仿宋" w:eastAsia="仿宋" w:cstheme="minorBidi"/>
                <w:b/>
                <w:bCs/>
                <w:kern w:val="2"/>
                <w:sz w:val="24"/>
                <w:szCs w:val="24"/>
                <w:lang w:val="en-US" w:eastAsia="zh-CN" w:bidi="ar-SA"/>
              </w:rPr>
              <w:t>供应商名称</w:t>
            </w: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20A2C81">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b/>
                <w:bCs/>
                <w:kern w:val="2"/>
                <w:sz w:val="24"/>
                <w:szCs w:val="24"/>
                <w:lang w:val="en-US" w:eastAsia="zh-CN" w:bidi="ar-SA"/>
              </w:rPr>
            </w:pP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85D2B5">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b/>
                <w:bCs/>
                <w:kern w:val="2"/>
                <w:sz w:val="24"/>
                <w:szCs w:val="24"/>
                <w:lang w:val="en-US" w:eastAsia="zh-CN" w:bidi="ar-SA"/>
              </w:rPr>
            </w:pPr>
            <w:r>
              <w:rPr>
                <w:rFonts w:hint="eastAsia" w:ascii="仿宋" w:hAnsi="仿宋" w:eastAsia="仿宋" w:cstheme="minorBidi"/>
                <w:b/>
                <w:bCs/>
                <w:kern w:val="2"/>
                <w:sz w:val="24"/>
                <w:szCs w:val="24"/>
                <w:lang w:val="en-US" w:eastAsia="zh-CN" w:bidi="ar-SA"/>
              </w:rPr>
              <w:t>合同编号</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28C0D7F">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left"/>
              <w:textAlignment w:val="auto"/>
              <w:rPr>
                <w:rFonts w:hint="default" w:ascii="仿宋" w:hAnsi="仿宋" w:eastAsia="仿宋" w:cstheme="minorBidi"/>
                <w:b/>
                <w:bCs/>
                <w:kern w:val="2"/>
                <w:sz w:val="24"/>
                <w:szCs w:val="24"/>
                <w:lang w:val="en-US" w:eastAsia="zh-CN" w:bidi="ar-SA"/>
              </w:rPr>
            </w:pPr>
          </w:p>
        </w:tc>
      </w:tr>
      <w:tr w14:paraId="3C763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80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6DA6EB7">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b/>
                <w:bCs/>
                <w:kern w:val="2"/>
                <w:sz w:val="24"/>
                <w:szCs w:val="24"/>
                <w:lang w:val="en-US" w:eastAsia="zh-CN" w:bidi="ar-SA"/>
              </w:rPr>
            </w:pPr>
            <w:r>
              <w:rPr>
                <w:rFonts w:hint="eastAsia" w:ascii="仿宋" w:hAnsi="仿宋" w:eastAsia="仿宋" w:cstheme="minorBidi"/>
                <w:b/>
                <w:bCs/>
                <w:kern w:val="2"/>
                <w:sz w:val="24"/>
                <w:szCs w:val="24"/>
                <w:lang w:val="en-US" w:eastAsia="zh-CN" w:bidi="ar-SA"/>
              </w:rPr>
              <w:t>供应商联系人</w:t>
            </w: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CCFF4A1">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b/>
                <w:bCs/>
                <w:kern w:val="2"/>
                <w:sz w:val="24"/>
                <w:szCs w:val="24"/>
                <w:lang w:val="en-US" w:eastAsia="zh-CN" w:bidi="ar-SA"/>
              </w:rPr>
            </w:pP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6241D49">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b/>
                <w:bCs/>
                <w:kern w:val="2"/>
                <w:sz w:val="24"/>
                <w:szCs w:val="24"/>
                <w:lang w:val="en-US" w:eastAsia="zh-CN" w:bidi="ar-SA"/>
              </w:rPr>
            </w:pPr>
            <w:r>
              <w:rPr>
                <w:rFonts w:hint="eastAsia" w:ascii="仿宋" w:hAnsi="仿宋" w:eastAsia="仿宋" w:cstheme="minorBidi"/>
                <w:b/>
                <w:bCs/>
                <w:kern w:val="2"/>
                <w:sz w:val="24"/>
                <w:szCs w:val="24"/>
                <w:lang w:val="en-US" w:eastAsia="zh-CN" w:bidi="ar-SA"/>
              </w:rPr>
              <w:t>联系电话</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2BD6204">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left"/>
              <w:textAlignment w:val="auto"/>
              <w:rPr>
                <w:rFonts w:hint="default" w:ascii="仿宋" w:hAnsi="仿宋" w:eastAsia="仿宋" w:cstheme="minorBidi"/>
                <w:b/>
                <w:bCs/>
                <w:kern w:val="2"/>
                <w:sz w:val="24"/>
                <w:szCs w:val="24"/>
                <w:lang w:val="en-US" w:eastAsia="zh-CN" w:bidi="ar-SA"/>
              </w:rPr>
            </w:pPr>
          </w:p>
        </w:tc>
      </w:tr>
      <w:tr w14:paraId="37A85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80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434A542">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b/>
                <w:bCs/>
                <w:kern w:val="2"/>
                <w:sz w:val="24"/>
                <w:szCs w:val="24"/>
                <w:lang w:val="en-US" w:eastAsia="zh-CN" w:bidi="ar-SA"/>
              </w:rPr>
            </w:pPr>
            <w:r>
              <w:rPr>
                <w:rFonts w:hint="eastAsia" w:ascii="仿宋" w:hAnsi="仿宋" w:eastAsia="仿宋" w:cstheme="minorBidi"/>
                <w:b/>
                <w:bCs/>
                <w:kern w:val="2"/>
                <w:sz w:val="24"/>
                <w:szCs w:val="24"/>
                <w:lang w:val="en-US" w:eastAsia="zh-CN" w:bidi="ar-SA"/>
              </w:rPr>
              <w:t>评价项目</w:t>
            </w: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8608722">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b/>
                <w:bCs/>
                <w:kern w:val="2"/>
                <w:sz w:val="24"/>
                <w:szCs w:val="24"/>
                <w:lang w:val="en-US" w:eastAsia="zh-CN" w:bidi="ar-SA"/>
              </w:rPr>
            </w:pPr>
            <w:r>
              <w:rPr>
                <w:rFonts w:hint="eastAsia" w:ascii="仿宋" w:hAnsi="仿宋" w:eastAsia="仿宋" w:cstheme="minorBidi"/>
                <w:b/>
                <w:bCs/>
                <w:kern w:val="2"/>
                <w:sz w:val="24"/>
                <w:szCs w:val="24"/>
                <w:lang w:val="en-US" w:eastAsia="zh-CN" w:bidi="ar-SA"/>
              </w:rPr>
              <w:t>评价分项</w:t>
            </w: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7DDAF5B">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b/>
                <w:bCs/>
                <w:kern w:val="2"/>
                <w:sz w:val="24"/>
                <w:szCs w:val="24"/>
                <w:lang w:val="en-US" w:eastAsia="zh-CN" w:bidi="ar-SA"/>
              </w:rPr>
            </w:pPr>
            <w:r>
              <w:rPr>
                <w:rFonts w:hint="eastAsia" w:ascii="仿宋" w:hAnsi="仿宋" w:eastAsia="仿宋" w:cstheme="minorBidi"/>
                <w:b/>
                <w:bCs/>
                <w:kern w:val="2"/>
                <w:sz w:val="24"/>
                <w:szCs w:val="24"/>
                <w:lang w:val="en-US" w:eastAsia="zh-CN" w:bidi="ar-SA"/>
              </w:rPr>
              <w:t>评价分值</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54DF5DA">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b/>
                <w:bCs/>
                <w:kern w:val="2"/>
                <w:sz w:val="24"/>
                <w:szCs w:val="24"/>
                <w:lang w:val="en-US" w:eastAsia="zh-CN" w:bidi="ar-SA"/>
              </w:rPr>
            </w:pPr>
            <w:r>
              <w:rPr>
                <w:rFonts w:hint="eastAsia" w:ascii="仿宋" w:hAnsi="仿宋" w:eastAsia="仿宋" w:cstheme="minorBidi"/>
                <w:b/>
                <w:bCs/>
                <w:kern w:val="2"/>
                <w:sz w:val="24"/>
                <w:szCs w:val="24"/>
                <w:lang w:val="en-US" w:eastAsia="zh-CN" w:bidi="ar-SA"/>
              </w:rPr>
              <w:t>评价结果（得分）</w:t>
            </w:r>
          </w:p>
        </w:tc>
      </w:tr>
      <w:tr w14:paraId="6D32B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75" w:hRule="atLeast"/>
        </w:trPr>
        <w:tc>
          <w:tcPr>
            <w:tcW w:w="1808"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290A332">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关键评估项</w:t>
            </w:r>
          </w:p>
          <w:p w14:paraId="4E1423B6">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（一票否决）</w:t>
            </w: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6522997">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both"/>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服务过程中是否出现重大失误，造成后续工作无法进展或重大经济损失</w:t>
            </w: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5D2C2FF">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是/否</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B2FBBB1">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kern w:val="2"/>
                <w:sz w:val="24"/>
                <w:szCs w:val="24"/>
                <w:lang w:val="en-US" w:eastAsia="zh-CN" w:bidi="ar-SA"/>
              </w:rPr>
            </w:pPr>
          </w:p>
        </w:tc>
      </w:tr>
      <w:tr w14:paraId="175F4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90" w:hRule="atLeast"/>
        </w:trPr>
        <w:tc>
          <w:tcPr>
            <w:tcW w:w="1808"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D95B220">
            <w:pPr>
              <w:keepNext w:val="0"/>
              <w:keepLines w:val="0"/>
              <w:pageBreakBefore w:val="0"/>
              <w:kinsoku/>
              <w:wordWrap/>
              <w:overflowPunct/>
              <w:topLinePunct w:val="0"/>
              <w:autoSpaceDN/>
              <w:bidi w:val="0"/>
              <w:adjustRightInd/>
              <w:snapToGrid/>
              <w:spacing w:beforeAutospacing="0" w:afterAutospacing="0" w:line="360" w:lineRule="auto"/>
              <w:jc w:val="center"/>
              <w:textAlignment w:val="auto"/>
              <w:rPr>
                <w:rFonts w:hint="eastAsia" w:ascii="仿宋" w:hAnsi="仿宋" w:eastAsia="仿宋" w:cstheme="minorBidi"/>
                <w:kern w:val="2"/>
                <w:sz w:val="24"/>
                <w:szCs w:val="24"/>
                <w:lang w:val="en-US" w:eastAsia="zh-CN" w:bidi="ar-SA"/>
              </w:rPr>
            </w:pP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7110F95">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both"/>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是否出现严重违反医院规定以及实施贿赂采购人工作人员</w:t>
            </w: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569AC05">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是/否</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6BC37D9">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kern w:val="2"/>
                <w:sz w:val="24"/>
                <w:szCs w:val="24"/>
                <w:lang w:val="en-US" w:eastAsia="zh-CN" w:bidi="ar-SA"/>
              </w:rPr>
            </w:pPr>
          </w:p>
        </w:tc>
      </w:tr>
      <w:tr w14:paraId="1BB39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0" w:hRule="atLeast"/>
        </w:trPr>
        <w:tc>
          <w:tcPr>
            <w:tcW w:w="1808"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0048B92">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服务质量评价</w:t>
            </w:r>
          </w:p>
          <w:p w14:paraId="0EB200E8">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（60%）</w:t>
            </w: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72DC675">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both"/>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服务是否在合同约定时间内</w:t>
            </w: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FDEE3AA">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20</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60F9770">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kern w:val="2"/>
                <w:sz w:val="24"/>
                <w:szCs w:val="24"/>
                <w:lang w:val="en-US" w:eastAsia="zh-CN" w:bidi="ar-SA"/>
              </w:rPr>
            </w:pPr>
          </w:p>
        </w:tc>
      </w:tr>
      <w:tr w14:paraId="087EA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808"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725B247">
            <w:pPr>
              <w:keepNext w:val="0"/>
              <w:keepLines w:val="0"/>
              <w:pageBreakBefore w:val="0"/>
              <w:kinsoku/>
              <w:wordWrap/>
              <w:overflowPunct/>
              <w:topLinePunct w:val="0"/>
              <w:autoSpaceDN/>
              <w:bidi w:val="0"/>
              <w:adjustRightInd/>
              <w:snapToGrid/>
              <w:spacing w:beforeAutospacing="0" w:afterAutospacing="0" w:line="360" w:lineRule="auto"/>
              <w:jc w:val="center"/>
              <w:textAlignment w:val="auto"/>
              <w:rPr>
                <w:rFonts w:hint="eastAsia" w:ascii="仿宋" w:hAnsi="仿宋" w:eastAsia="仿宋" w:cstheme="minorBidi"/>
                <w:kern w:val="2"/>
                <w:sz w:val="24"/>
                <w:szCs w:val="24"/>
                <w:lang w:val="en-US" w:eastAsia="zh-CN" w:bidi="ar-SA"/>
              </w:rPr>
            </w:pP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B15EADA">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both"/>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提供产品及服务配套的使用介绍资料是否附合采购人要求</w:t>
            </w: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F70F003">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20</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6975364">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kern w:val="2"/>
                <w:sz w:val="24"/>
                <w:szCs w:val="24"/>
                <w:lang w:val="en-US" w:eastAsia="zh-CN" w:bidi="ar-SA"/>
              </w:rPr>
            </w:pPr>
          </w:p>
        </w:tc>
      </w:tr>
      <w:tr w14:paraId="122E3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1808"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9D47B1A">
            <w:pPr>
              <w:keepNext w:val="0"/>
              <w:keepLines w:val="0"/>
              <w:pageBreakBefore w:val="0"/>
              <w:kinsoku/>
              <w:wordWrap/>
              <w:overflowPunct/>
              <w:topLinePunct w:val="0"/>
              <w:autoSpaceDN/>
              <w:bidi w:val="0"/>
              <w:adjustRightInd/>
              <w:snapToGrid/>
              <w:spacing w:beforeAutospacing="0" w:afterAutospacing="0" w:line="360" w:lineRule="auto"/>
              <w:jc w:val="center"/>
              <w:textAlignment w:val="auto"/>
              <w:rPr>
                <w:rFonts w:hint="eastAsia" w:ascii="仿宋" w:hAnsi="仿宋" w:eastAsia="仿宋" w:cstheme="minorBidi"/>
                <w:kern w:val="2"/>
                <w:sz w:val="24"/>
                <w:szCs w:val="24"/>
                <w:lang w:val="en-US" w:eastAsia="zh-CN" w:bidi="ar-SA"/>
              </w:rPr>
            </w:pP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A522699">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both"/>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是否严格履行合同规定条款</w:t>
            </w: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596BD39">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20</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340537">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kern w:val="2"/>
                <w:sz w:val="24"/>
                <w:szCs w:val="24"/>
                <w:lang w:val="en-US" w:eastAsia="zh-CN" w:bidi="ar-SA"/>
              </w:rPr>
            </w:pPr>
          </w:p>
        </w:tc>
      </w:tr>
      <w:tr w14:paraId="6C64A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5" w:hRule="atLeast"/>
        </w:trPr>
        <w:tc>
          <w:tcPr>
            <w:tcW w:w="1808"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160F1B7">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售后响应情况</w:t>
            </w:r>
          </w:p>
          <w:p w14:paraId="0D9A7F7B">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（30%）</w:t>
            </w: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9231229">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both"/>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图书供货及配套数据异常处置评价</w:t>
            </w: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06EB1FE">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10</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6EBC370">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kern w:val="2"/>
                <w:sz w:val="24"/>
                <w:szCs w:val="24"/>
                <w:lang w:val="en-US" w:eastAsia="zh-CN" w:bidi="ar-SA"/>
              </w:rPr>
            </w:pPr>
          </w:p>
        </w:tc>
      </w:tr>
      <w:tr w14:paraId="7A587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0" w:hRule="atLeast"/>
        </w:trPr>
        <w:tc>
          <w:tcPr>
            <w:tcW w:w="1808"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8FC3651">
            <w:pPr>
              <w:keepNext w:val="0"/>
              <w:keepLines w:val="0"/>
              <w:pageBreakBefore w:val="0"/>
              <w:kinsoku/>
              <w:wordWrap/>
              <w:overflowPunct/>
              <w:topLinePunct w:val="0"/>
              <w:autoSpaceDN/>
              <w:bidi w:val="0"/>
              <w:adjustRightInd/>
              <w:snapToGrid/>
              <w:spacing w:beforeAutospacing="0" w:afterAutospacing="0" w:line="360" w:lineRule="auto"/>
              <w:jc w:val="center"/>
              <w:textAlignment w:val="auto"/>
              <w:rPr>
                <w:rFonts w:hint="eastAsia" w:ascii="仿宋" w:hAnsi="仿宋" w:eastAsia="仿宋" w:cstheme="minorBidi"/>
                <w:kern w:val="2"/>
                <w:sz w:val="24"/>
                <w:szCs w:val="24"/>
                <w:lang w:val="en-US" w:eastAsia="zh-CN" w:bidi="ar-SA"/>
              </w:rPr>
            </w:pP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CA2C9DB">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both"/>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图书相关问题售后响应评价</w:t>
            </w: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4CB2603">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10</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292D8A9">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kern w:val="2"/>
                <w:sz w:val="24"/>
                <w:szCs w:val="24"/>
                <w:lang w:val="en-US" w:eastAsia="zh-CN" w:bidi="ar-SA"/>
              </w:rPr>
            </w:pPr>
          </w:p>
        </w:tc>
      </w:tr>
      <w:tr w14:paraId="64C91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35" w:hRule="atLeast"/>
        </w:trPr>
        <w:tc>
          <w:tcPr>
            <w:tcW w:w="1808"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73C67C">
            <w:pPr>
              <w:keepNext w:val="0"/>
              <w:keepLines w:val="0"/>
              <w:pageBreakBefore w:val="0"/>
              <w:kinsoku/>
              <w:wordWrap/>
              <w:overflowPunct/>
              <w:topLinePunct w:val="0"/>
              <w:autoSpaceDN/>
              <w:bidi w:val="0"/>
              <w:adjustRightInd/>
              <w:snapToGrid/>
              <w:spacing w:beforeAutospacing="0" w:afterAutospacing="0" w:line="360" w:lineRule="auto"/>
              <w:jc w:val="center"/>
              <w:textAlignment w:val="auto"/>
              <w:rPr>
                <w:rFonts w:hint="eastAsia" w:ascii="仿宋" w:hAnsi="仿宋" w:eastAsia="仿宋" w:cstheme="minorBidi"/>
                <w:kern w:val="2"/>
                <w:sz w:val="24"/>
                <w:szCs w:val="24"/>
                <w:lang w:val="en-US" w:eastAsia="zh-CN" w:bidi="ar-SA"/>
              </w:rPr>
            </w:pP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B6AF11C">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both"/>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配套采访数据更新保障评价</w:t>
            </w: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BE9F972">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10</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4660007">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kern w:val="2"/>
                <w:sz w:val="24"/>
                <w:szCs w:val="24"/>
                <w:lang w:val="en-US" w:eastAsia="zh-CN" w:bidi="ar-SA"/>
              </w:rPr>
            </w:pPr>
          </w:p>
        </w:tc>
      </w:tr>
      <w:tr w14:paraId="6CA79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80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8A0F1CC">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客服(10%)</w:t>
            </w: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A8D2BE1">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both"/>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图书业务咨询协助服务评价</w:t>
            </w: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7C19E69">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10</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F8A3A38">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kern w:val="2"/>
                <w:sz w:val="24"/>
                <w:szCs w:val="24"/>
                <w:lang w:val="en-US" w:eastAsia="zh-CN" w:bidi="ar-SA"/>
              </w:rPr>
            </w:pPr>
          </w:p>
        </w:tc>
      </w:tr>
      <w:tr w14:paraId="42E56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trPr>
        <w:tc>
          <w:tcPr>
            <w:tcW w:w="9638" w:type="dxa"/>
            <w:gridSpan w:val="4"/>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6FEE551">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firstLine="480" w:firstLineChars="200"/>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 xml:space="preserve">合格□                                </w:t>
            </w:r>
          </w:p>
          <w:p w14:paraId="1F4EF0A4">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firstLine="480" w:firstLineChars="200"/>
              <w:jc w:val="left"/>
              <w:textAlignment w:val="auto"/>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不合格□</w:t>
            </w:r>
          </w:p>
          <w:p w14:paraId="1DC924D8">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firstLine="480" w:firstLineChars="200"/>
              <w:jc w:val="left"/>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得分：</w:t>
            </w:r>
          </w:p>
        </w:tc>
      </w:tr>
      <w:tr w14:paraId="18827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45" w:hRule="atLeast"/>
        </w:trPr>
        <w:tc>
          <w:tcPr>
            <w:tcW w:w="5892"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6A07E87">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总体评价</w:t>
            </w:r>
          </w:p>
        </w:tc>
        <w:tc>
          <w:tcPr>
            <w:tcW w:w="3746"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EC31D4E">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kern w:val="2"/>
                <w:sz w:val="24"/>
                <w:szCs w:val="24"/>
                <w:lang w:val="en-US" w:eastAsia="zh-CN" w:bidi="ar-SA"/>
              </w:rPr>
            </w:pPr>
          </w:p>
        </w:tc>
      </w:tr>
      <w:tr w14:paraId="26103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40" w:hRule="atLeast"/>
        </w:trPr>
        <w:tc>
          <w:tcPr>
            <w:tcW w:w="9638" w:type="dxa"/>
            <w:gridSpan w:val="4"/>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A4E9416">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评价人员签字：</w:t>
            </w:r>
          </w:p>
        </w:tc>
      </w:tr>
    </w:tbl>
    <w:p w14:paraId="75ED08AB">
      <w:pPr>
        <w:pStyle w:val="17"/>
        <w:ind w:firstLine="0"/>
        <w:rPr>
          <w:rFonts w:ascii="Times New Roman" w:hAnsi="Times New Roman" w:eastAsia="仿宋" w:cs="Times New Roman"/>
          <w:sz w:val="24"/>
          <w:szCs w:val="24"/>
        </w:rPr>
      </w:pPr>
    </w:p>
    <w:p w14:paraId="4A6A2942">
      <w:pPr>
        <w:pStyle w:val="17"/>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65BDB4CC">
      <w:pPr>
        <w:rPr>
          <w:rFonts w:ascii="Times New Roman" w:hAnsi="Times New Roman" w:eastAsia="宋体" w:cs="Times New Roman"/>
          <w:sz w:val="24"/>
          <w:szCs w:val="24"/>
        </w:rPr>
      </w:pPr>
      <w:r>
        <w:rPr>
          <w:rFonts w:ascii="Times New Roman" w:hAnsi="Times New Roman" w:eastAsia="宋体" w:cs="Times New Roman"/>
          <w:sz w:val="24"/>
          <w:szCs w:val="24"/>
        </w:rPr>
        <w:br w:type="page"/>
      </w:r>
    </w:p>
    <w:p w14:paraId="04DAF2E0">
      <w:pPr>
        <w:spacing w:line="360" w:lineRule="auto"/>
        <w:jc w:val="left"/>
        <w:rPr>
          <w:rFonts w:ascii="Times New Roman" w:hAnsi="Times New Roman" w:eastAsia="宋体" w:cs="Times New Roman"/>
          <w:sz w:val="24"/>
          <w:szCs w:val="24"/>
        </w:rPr>
      </w:pPr>
    </w:p>
    <w:p w14:paraId="1E53B04C">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7E701686">
      <w:pPr>
        <w:rPr>
          <w:rFonts w:ascii="Times New Roman" w:hAnsi="Times New Roman" w:cs="Times New Roman"/>
        </w:rPr>
      </w:pPr>
    </w:p>
    <w:tbl>
      <w:tblPr>
        <w:tblStyle w:val="19"/>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384"/>
        <w:gridCol w:w="709"/>
        <w:gridCol w:w="6520"/>
      </w:tblGrid>
      <w:tr w14:paraId="0F523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96" w:type="dxa"/>
            <w:noWrap/>
            <w:vAlign w:val="center"/>
          </w:tcPr>
          <w:p w14:paraId="2EDAB20C">
            <w:pPr>
              <w:rPr>
                <w:rFonts w:ascii="仿宋" w:hAnsi="仿宋" w:eastAsia="仿宋" w:cs="宋体"/>
                <w:b/>
                <w:bCs/>
                <w:sz w:val="24"/>
              </w:rPr>
            </w:pPr>
            <w:r>
              <w:br w:type="page"/>
            </w:r>
            <w:r>
              <w:rPr>
                <w:rFonts w:hint="eastAsia" w:ascii="仿宋" w:hAnsi="仿宋" w:eastAsia="仿宋" w:cs="宋体"/>
                <w:b/>
                <w:bCs/>
                <w:sz w:val="24"/>
              </w:rPr>
              <w:t>序号</w:t>
            </w:r>
          </w:p>
        </w:tc>
        <w:tc>
          <w:tcPr>
            <w:tcW w:w="1384" w:type="dxa"/>
            <w:noWrap/>
            <w:vAlign w:val="center"/>
          </w:tcPr>
          <w:p w14:paraId="16ED5299">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评分因素</w:t>
            </w:r>
          </w:p>
          <w:p w14:paraId="29868210">
            <w:pPr>
              <w:spacing w:line="400" w:lineRule="exact"/>
              <w:ind w:firstLine="28"/>
              <w:jc w:val="center"/>
              <w:rPr>
                <w:rFonts w:ascii="仿宋" w:hAnsi="仿宋" w:eastAsia="仿宋" w:cs="宋体"/>
                <w:b/>
                <w:bCs/>
                <w:sz w:val="24"/>
              </w:rPr>
            </w:pPr>
            <w:r>
              <w:rPr>
                <w:rFonts w:hint="eastAsia" w:ascii="仿宋" w:hAnsi="仿宋" w:eastAsia="仿宋" w:cs="宋体"/>
                <w:b/>
                <w:bCs/>
                <w:sz w:val="24"/>
              </w:rPr>
              <w:t>及权重</w:t>
            </w:r>
          </w:p>
        </w:tc>
        <w:tc>
          <w:tcPr>
            <w:tcW w:w="709" w:type="dxa"/>
            <w:noWrap/>
            <w:vAlign w:val="center"/>
          </w:tcPr>
          <w:p w14:paraId="2838686B">
            <w:pPr>
              <w:spacing w:line="400" w:lineRule="exact"/>
              <w:ind w:firstLine="28"/>
              <w:jc w:val="center"/>
              <w:rPr>
                <w:rFonts w:ascii="仿宋" w:hAnsi="仿宋" w:eastAsia="仿宋" w:cs="宋体"/>
                <w:b/>
                <w:bCs/>
                <w:sz w:val="24"/>
              </w:rPr>
            </w:pPr>
            <w:r>
              <w:rPr>
                <w:rFonts w:hint="eastAsia" w:ascii="仿宋" w:hAnsi="仿宋" w:eastAsia="仿宋" w:cs="宋体"/>
                <w:b/>
                <w:bCs/>
                <w:sz w:val="24"/>
              </w:rPr>
              <w:t>分值</w:t>
            </w:r>
          </w:p>
        </w:tc>
        <w:tc>
          <w:tcPr>
            <w:tcW w:w="6520" w:type="dxa"/>
            <w:noWrap/>
            <w:vAlign w:val="center"/>
          </w:tcPr>
          <w:p w14:paraId="170AAB16">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评分标准</w:t>
            </w:r>
          </w:p>
        </w:tc>
      </w:tr>
      <w:tr w14:paraId="00CCB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96" w:type="dxa"/>
            <w:noWrap/>
            <w:vAlign w:val="center"/>
          </w:tcPr>
          <w:p w14:paraId="60670539">
            <w:pPr>
              <w:spacing w:line="400" w:lineRule="exact"/>
              <w:ind w:firstLine="28"/>
              <w:jc w:val="center"/>
              <w:rPr>
                <w:rFonts w:ascii="仿宋" w:hAnsi="仿宋" w:eastAsia="仿宋" w:cs="宋体"/>
                <w:sz w:val="24"/>
              </w:rPr>
            </w:pPr>
            <w:r>
              <w:rPr>
                <w:rFonts w:hint="eastAsia" w:ascii="仿宋" w:hAnsi="仿宋" w:eastAsia="仿宋" w:cs="宋体"/>
                <w:sz w:val="24"/>
              </w:rPr>
              <w:t>1</w:t>
            </w:r>
          </w:p>
        </w:tc>
        <w:tc>
          <w:tcPr>
            <w:tcW w:w="1384" w:type="dxa"/>
            <w:noWrap/>
            <w:vAlign w:val="center"/>
          </w:tcPr>
          <w:p w14:paraId="61990E7A">
            <w:pPr>
              <w:spacing w:line="400" w:lineRule="exact"/>
              <w:ind w:firstLine="28"/>
              <w:jc w:val="center"/>
              <w:rPr>
                <w:rFonts w:ascii="仿宋" w:hAnsi="仿宋" w:eastAsia="仿宋" w:cs="宋体"/>
                <w:sz w:val="24"/>
              </w:rPr>
            </w:pPr>
            <w:r>
              <w:rPr>
                <w:rFonts w:hint="eastAsia" w:ascii="仿宋" w:hAnsi="仿宋" w:eastAsia="仿宋" w:cs="宋体"/>
                <w:sz w:val="24"/>
              </w:rPr>
              <w:t>报价</w:t>
            </w:r>
          </w:p>
          <w:p w14:paraId="6B40522B">
            <w:pPr>
              <w:spacing w:line="400" w:lineRule="exact"/>
              <w:ind w:firstLine="28"/>
              <w:jc w:val="center"/>
              <w:rPr>
                <w:rFonts w:ascii="仿宋" w:hAnsi="仿宋" w:eastAsia="仿宋" w:cs="宋体"/>
                <w:sz w:val="24"/>
              </w:rPr>
            </w:pPr>
            <w:r>
              <w:rPr>
                <w:rFonts w:hint="eastAsia" w:ascii="仿宋" w:hAnsi="仿宋" w:eastAsia="仿宋" w:cs="宋体"/>
                <w:sz w:val="24"/>
                <w:lang w:val="en-US" w:eastAsia="zh-CN"/>
              </w:rPr>
              <w:t>30</w:t>
            </w:r>
            <w:r>
              <w:rPr>
                <w:rFonts w:hint="eastAsia" w:ascii="仿宋" w:hAnsi="仿宋" w:eastAsia="仿宋" w:cs="宋体"/>
                <w:sz w:val="24"/>
              </w:rPr>
              <w:t>%</w:t>
            </w:r>
          </w:p>
        </w:tc>
        <w:tc>
          <w:tcPr>
            <w:tcW w:w="709" w:type="dxa"/>
            <w:noWrap/>
            <w:vAlign w:val="center"/>
          </w:tcPr>
          <w:p w14:paraId="1D9D1C22">
            <w:pPr>
              <w:spacing w:line="400" w:lineRule="exact"/>
              <w:ind w:firstLine="28"/>
              <w:jc w:val="center"/>
              <w:rPr>
                <w:rFonts w:hint="default" w:ascii="仿宋" w:hAnsi="仿宋" w:eastAsia="仿宋" w:cs="宋体"/>
                <w:sz w:val="24"/>
                <w:lang w:val="en-US" w:eastAsia="zh-CN"/>
              </w:rPr>
            </w:pPr>
            <w:r>
              <w:rPr>
                <w:rFonts w:hint="eastAsia" w:ascii="仿宋" w:hAnsi="仿宋" w:eastAsia="仿宋" w:cs="宋体"/>
                <w:sz w:val="24"/>
                <w:lang w:val="en-US" w:eastAsia="zh-CN"/>
              </w:rPr>
              <w:t>30</w:t>
            </w:r>
          </w:p>
        </w:tc>
        <w:tc>
          <w:tcPr>
            <w:tcW w:w="6520" w:type="dxa"/>
            <w:noWrap/>
            <w:vAlign w:val="center"/>
          </w:tcPr>
          <w:p w14:paraId="368754CB">
            <w:p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以满足谈判文件要求且有效折扣率报价最低的为评审基准价，其价格分为满分。其他供应商的报价得分按照下列公式计算：报价得分= 基准价／折扣率报价*30。</w:t>
            </w:r>
          </w:p>
          <w:p w14:paraId="5E16E4BD">
            <w:pPr>
              <w:spacing w:line="360" w:lineRule="auto"/>
            </w:pPr>
            <w:r>
              <w:rPr>
                <w:rFonts w:hint="eastAsia" w:ascii="仿宋" w:hAnsi="仿宋" w:eastAsia="仿宋" w:cs="宋体"/>
                <w:sz w:val="24"/>
                <w:lang w:val="en-US" w:eastAsia="zh-CN"/>
              </w:rPr>
              <w:t>注：本项目折扣率的定义：定价10元的图书减到8元为8折，折扣率即为80%。本文件要求响应文件统一用折扣率报价和描述。</w:t>
            </w:r>
          </w:p>
        </w:tc>
      </w:tr>
      <w:tr w14:paraId="6383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48E02DE0">
            <w:pPr>
              <w:spacing w:line="360" w:lineRule="auto"/>
              <w:jc w:val="center"/>
              <w:rPr>
                <w:rFonts w:ascii="仿宋" w:hAnsi="仿宋" w:eastAsia="仿宋" w:cs="宋体"/>
                <w:sz w:val="24"/>
              </w:rPr>
            </w:pPr>
            <w:r>
              <w:rPr>
                <w:rFonts w:hint="eastAsia" w:ascii="仿宋" w:hAnsi="仿宋" w:eastAsia="仿宋"/>
                <w:sz w:val="24"/>
              </w:rPr>
              <w:t>2</w:t>
            </w:r>
          </w:p>
        </w:tc>
        <w:tc>
          <w:tcPr>
            <w:tcW w:w="1384" w:type="dxa"/>
            <w:noWrap/>
            <w:vAlign w:val="center"/>
          </w:tcPr>
          <w:p w14:paraId="5B4CBDEB">
            <w:p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重要出版社14%</w:t>
            </w:r>
          </w:p>
        </w:tc>
        <w:tc>
          <w:tcPr>
            <w:tcW w:w="709" w:type="dxa"/>
            <w:noWrap/>
            <w:vAlign w:val="center"/>
          </w:tcPr>
          <w:p w14:paraId="2A1ED9FB">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14</w:t>
            </w:r>
          </w:p>
        </w:tc>
        <w:tc>
          <w:tcPr>
            <w:tcW w:w="6520" w:type="dxa"/>
            <w:noWrap/>
            <w:vAlign w:val="center"/>
          </w:tcPr>
          <w:p w14:paraId="01FE128D">
            <w:p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供应商能提供“重要出版社”授权书复印件的，每提供1项得1分，满分14分。（重要出版社详见</w:t>
            </w:r>
            <w:r>
              <w:rPr>
                <w:rFonts w:hint="eastAsia" w:ascii="仿宋" w:hAnsi="仿宋" w:eastAsia="仿宋" w:cs="宋体"/>
                <w:b/>
                <w:bCs/>
                <w:sz w:val="24"/>
                <w:lang w:val="en-US" w:eastAsia="zh-CN"/>
              </w:rPr>
              <w:t>“第四章 采购需求中‘二、技术要求’第2项”</w:t>
            </w:r>
            <w:r>
              <w:rPr>
                <w:rFonts w:hint="eastAsia" w:ascii="仿宋" w:hAnsi="仿宋" w:eastAsia="仿宋" w:cs="宋体"/>
                <w:sz w:val="24"/>
                <w:lang w:val="en-US" w:eastAsia="zh-CN"/>
              </w:rPr>
              <w:t>）。</w:t>
            </w:r>
          </w:p>
        </w:tc>
      </w:tr>
      <w:tr w14:paraId="6757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96" w:type="dxa"/>
            <w:noWrap/>
            <w:vAlign w:val="center"/>
          </w:tcPr>
          <w:p w14:paraId="41844D92">
            <w:p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3</w:t>
            </w:r>
          </w:p>
        </w:tc>
        <w:tc>
          <w:tcPr>
            <w:tcW w:w="1384" w:type="dxa"/>
            <w:noWrap/>
            <w:vAlign w:val="center"/>
          </w:tcPr>
          <w:p w14:paraId="0BA0BAC6">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到书率11%</w:t>
            </w:r>
          </w:p>
        </w:tc>
        <w:tc>
          <w:tcPr>
            <w:tcW w:w="709" w:type="dxa"/>
            <w:noWrap/>
            <w:vAlign w:val="center"/>
          </w:tcPr>
          <w:p w14:paraId="302A0483">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11</w:t>
            </w:r>
          </w:p>
        </w:tc>
        <w:tc>
          <w:tcPr>
            <w:tcW w:w="6520" w:type="dxa"/>
            <w:noWrap/>
            <w:vAlign w:val="center"/>
          </w:tcPr>
          <w:p w14:paraId="20C531B3">
            <w:p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供应商保证采购人图书馆所选图书的到书率和及时性：承诺到书率达到95%的得5分，每上浮1%加2分，最多得11分。</w:t>
            </w:r>
          </w:p>
          <w:p w14:paraId="06D1A203">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需提供承诺函并加盖供应商公章，格式自拟</w:t>
            </w:r>
          </w:p>
        </w:tc>
      </w:tr>
      <w:tr w14:paraId="2ADFB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96" w:type="dxa"/>
            <w:noWrap/>
            <w:vAlign w:val="center"/>
          </w:tcPr>
          <w:p w14:paraId="070EA13E">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4</w:t>
            </w:r>
          </w:p>
        </w:tc>
        <w:tc>
          <w:tcPr>
            <w:tcW w:w="1384" w:type="dxa"/>
            <w:noWrap/>
            <w:vAlign w:val="center"/>
          </w:tcPr>
          <w:p w14:paraId="556D3C57">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退书7%</w:t>
            </w:r>
          </w:p>
        </w:tc>
        <w:tc>
          <w:tcPr>
            <w:tcW w:w="709" w:type="dxa"/>
            <w:noWrap/>
            <w:vAlign w:val="center"/>
          </w:tcPr>
          <w:p w14:paraId="6D0B56BC">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7</w:t>
            </w:r>
          </w:p>
        </w:tc>
        <w:tc>
          <w:tcPr>
            <w:tcW w:w="6520" w:type="dxa"/>
            <w:noWrap/>
            <w:vAlign w:val="center"/>
          </w:tcPr>
          <w:p w14:paraId="03432ED9">
            <w:p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供应商承诺，在验收图书过程中如有差错，出现订购重复、装订、印刷质量问题或有到馆上架前的破损、随书附件（光盘、磁带等）不完整（丢失、破损）、图书加工错误等情况，无论是否已作前期加工，供应商无条件给予退订或调换，由此产生的费用由供应商承担的得7分。</w:t>
            </w:r>
          </w:p>
          <w:p w14:paraId="4131C735">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注：提供承诺函并加盖供应商公章，格式自拟。</w:t>
            </w:r>
          </w:p>
        </w:tc>
      </w:tr>
      <w:tr w14:paraId="0A779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3BF06090">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5</w:t>
            </w:r>
          </w:p>
        </w:tc>
        <w:tc>
          <w:tcPr>
            <w:tcW w:w="1384" w:type="dxa"/>
            <w:noWrap/>
            <w:vAlign w:val="center"/>
          </w:tcPr>
          <w:p w14:paraId="7DF86F91">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综合实力24%</w:t>
            </w:r>
          </w:p>
        </w:tc>
        <w:tc>
          <w:tcPr>
            <w:tcW w:w="709" w:type="dxa"/>
            <w:noWrap/>
            <w:vAlign w:val="center"/>
          </w:tcPr>
          <w:p w14:paraId="76A691B4">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24</w:t>
            </w:r>
          </w:p>
        </w:tc>
        <w:tc>
          <w:tcPr>
            <w:tcW w:w="6520" w:type="dxa"/>
            <w:noWrap/>
            <w:vAlign w:val="center"/>
          </w:tcPr>
          <w:p w14:paraId="4E5FD161">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1.供应商拥有自身产权归属或长期专属自用的仓储库房的得4分。</w:t>
            </w:r>
          </w:p>
          <w:p w14:paraId="04130F9C">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注：提供库房产权证或租赁合同复印件，不提供不得分。</w:t>
            </w:r>
          </w:p>
          <w:p w14:paraId="28331557">
            <w:p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2.供应商提供的</w:t>
            </w:r>
            <w:r>
              <w:rPr>
                <w:rFonts w:hint="eastAsia" w:ascii="仿宋" w:hAnsi="仿宋" w:eastAsia="仿宋"/>
                <w:sz w:val="24"/>
                <w:szCs w:val="24"/>
                <w:lang w:val="en-US" w:eastAsia="zh-CN"/>
              </w:rPr>
              <w:t>在职</w:t>
            </w:r>
            <w:r>
              <w:rPr>
                <w:rFonts w:hint="eastAsia" w:ascii="仿宋" w:hAnsi="仿宋" w:eastAsia="仿宋" w:cs="宋体"/>
                <w:sz w:val="24"/>
                <w:lang w:val="en-US" w:eastAsia="zh-CN"/>
              </w:rPr>
              <w:t>服务人员，每有1人具有出版物发行员证书的得1分，本项最多得2分。</w:t>
            </w:r>
          </w:p>
          <w:p w14:paraId="59F6B7DB">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3.供应商提供的</w:t>
            </w:r>
            <w:r>
              <w:rPr>
                <w:rFonts w:hint="eastAsia" w:ascii="仿宋" w:hAnsi="仿宋" w:eastAsia="仿宋"/>
                <w:sz w:val="24"/>
                <w:szCs w:val="24"/>
                <w:lang w:val="en-US" w:eastAsia="zh-CN"/>
              </w:rPr>
              <w:t>在职</w:t>
            </w:r>
            <w:r>
              <w:rPr>
                <w:rFonts w:hint="eastAsia" w:ascii="仿宋" w:hAnsi="仿宋" w:eastAsia="仿宋" w:cs="宋体"/>
                <w:sz w:val="24"/>
                <w:lang w:val="en-US" w:eastAsia="zh-CN"/>
              </w:rPr>
              <w:t>服务人员，具有国家图书馆颁发的编目员上岗证书的，每提供1个得6分，最多得18分。</w:t>
            </w:r>
          </w:p>
          <w:p w14:paraId="3C0A399C">
            <w:p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注：提供服务人员的证书证明材料及在职证明材料并加盖供应商公章，不提供不得分。</w:t>
            </w:r>
          </w:p>
          <w:p w14:paraId="57816441">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同一服务人员同时具备上述两类证书的，可重复得分。</w:t>
            </w:r>
          </w:p>
        </w:tc>
      </w:tr>
      <w:tr w14:paraId="4D7C9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96" w:type="dxa"/>
            <w:noWrap/>
            <w:vAlign w:val="center"/>
          </w:tcPr>
          <w:p w14:paraId="0E8580E2">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6</w:t>
            </w:r>
          </w:p>
        </w:tc>
        <w:tc>
          <w:tcPr>
            <w:tcW w:w="1384" w:type="dxa"/>
            <w:noWrap/>
            <w:vAlign w:val="center"/>
          </w:tcPr>
          <w:p w14:paraId="40D55732">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业绩14%</w:t>
            </w:r>
          </w:p>
        </w:tc>
        <w:tc>
          <w:tcPr>
            <w:tcW w:w="709" w:type="dxa"/>
            <w:noWrap/>
            <w:vAlign w:val="center"/>
          </w:tcPr>
          <w:p w14:paraId="13C09CF0">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14</w:t>
            </w:r>
          </w:p>
        </w:tc>
        <w:tc>
          <w:tcPr>
            <w:tcW w:w="6520" w:type="dxa"/>
            <w:noWrap/>
            <w:vAlign w:val="center"/>
          </w:tcPr>
          <w:p w14:paraId="0CAC4C9A">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2023年1月1日（以合同签订时间为准）至今，供应商具有类似医学专业图书供货项目业绩的（非医学科普），每提供1个得2分，本项最多得14分</w:t>
            </w:r>
          </w:p>
          <w:p w14:paraId="27BA49FC">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注：提供合同或中标（成交）通知书复印件并加盖供应商公章，否则不得分</w:t>
            </w:r>
            <w:r>
              <w:rPr>
                <w:rFonts w:hint="eastAsia" w:ascii="仿宋" w:hAnsi="仿宋" w:eastAsia="仿宋" w:cs="仿宋"/>
                <w:sz w:val="24"/>
                <w:szCs w:val="24"/>
              </w:rPr>
              <w:t>。</w:t>
            </w:r>
          </w:p>
        </w:tc>
      </w:tr>
    </w:tbl>
    <w:p w14:paraId="09493C43"/>
    <w:p w14:paraId="121219B9">
      <w:pPr>
        <w:rPr>
          <w:rFonts w:ascii="Times New Roman" w:hAnsi="Times New Roman" w:cs="Times New Roman"/>
        </w:rPr>
      </w:pPr>
      <w:bookmarkStart w:id="18" w:name="_Toc3094"/>
      <w:bookmarkStart w:id="19" w:name="_Toc22827"/>
      <w:bookmarkStart w:id="20" w:name="_Toc28171"/>
      <w:r>
        <w:rPr>
          <w:rFonts w:ascii="Times New Roman" w:hAnsi="Times New Roman" w:cs="Times New Roman"/>
        </w:rPr>
        <w:br w:type="page"/>
      </w:r>
    </w:p>
    <w:p w14:paraId="0B9F1C4B">
      <w:pPr>
        <w:pStyle w:val="2"/>
        <w:rPr>
          <w:rFonts w:ascii="Times New Roman" w:hAnsi="Times New Roman" w:cs="Times New Roman"/>
        </w:rPr>
      </w:pPr>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1544"/>
      <w:bookmarkStart w:id="28" w:name="_Toc32352"/>
      <w:bookmarkStart w:id="29" w:name="_Toc9041"/>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690"/>
      <w:bookmarkStart w:id="33" w:name="_Toc17163"/>
      <w:bookmarkStart w:id="34" w:name="_Toc32749"/>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3558"/>
      <w:bookmarkStart w:id="37" w:name="_Toc6803"/>
      <w:bookmarkStart w:id="38" w:name="_Toc17905"/>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526"/>
      <w:bookmarkStart w:id="41" w:name="_Toc27135"/>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7233"/>
      <w:bookmarkStart w:id="45" w:name="_Toc19987"/>
      <w:bookmarkStart w:id="46" w:name="_Toc2031"/>
      <w:bookmarkStart w:id="47" w:name="_Toc5056"/>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4829"/>
      <w:bookmarkStart w:id="49" w:name="_Toc11352"/>
      <w:bookmarkStart w:id="50" w:name="_Toc21519"/>
      <w:bookmarkStart w:id="51" w:name="_Toc16029"/>
      <w:bookmarkStart w:id="52" w:name="_Toc6482"/>
      <w:bookmarkStart w:id="53" w:name="_Toc3023"/>
    </w:p>
    <w:p w14:paraId="43B80407">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4305"/>
      <w:bookmarkStart w:id="55" w:name="_Toc17857"/>
      <w:bookmarkStart w:id="56" w:name="_Toc31838"/>
      <w:bookmarkStart w:id="57" w:name="_Toc30971"/>
      <w:bookmarkStart w:id="58" w:name="_Toc22676"/>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3"/>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76B8A196">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2"/>
        <w:ind w:left="420" w:leftChars="200"/>
        <w:jc w:val="both"/>
        <w:rPr>
          <w:rFonts w:ascii="Times New Roman" w:hAnsi="Times New Roman" w:eastAsia="仿宋" w:cs="Times New Roman"/>
          <w:color w:val="auto"/>
        </w:rPr>
      </w:pPr>
    </w:p>
    <w:p w14:paraId="50A012A9">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1351"/>
      <w:bookmarkStart w:id="68" w:name="_Toc20589"/>
      <w:bookmarkStart w:id="69" w:name="_Toc15526"/>
      <w:bookmarkStart w:id="70" w:name="_Toc27661"/>
      <w:bookmarkStart w:id="71" w:name="_Toc25638"/>
      <w:bookmarkStart w:id="72" w:name="_Toc12015"/>
      <w:r>
        <w:rPr>
          <w:rStyle w:val="41"/>
          <w:b/>
        </w:rPr>
        <w:t>法定代表人身份证明书</w:t>
      </w:r>
      <w:bookmarkEnd w:id="67"/>
      <w:bookmarkEnd w:id="68"/>
      <w:bookmarkEnd w:id="69"/>
      <w:bookmarkEnd w:id="70"/>
      <w:bookmarkEnd w:id="71"/>
      <w:bookmarkEnd w:id="72"/>
    </w:p>
    <w:p w14:paraId="0AB454D2">
      <w:pPr>
        <w:pStyle w:val="32"/>
        <w:jc w:val="center"/>
        <w:rPr>
          <w:rFonts w:ascii="Times New Roman" w:hAnsi="Times New Roman" w:eastAsia="仿宋" w:cs="Times New Roman"/>
          <w:color w:val="auto"/>
        </w:rPr>
      </w:pPr>
    </w:p>
    <w:p w14:paraId="43269FBB">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2"/>
        <w:jc w:val="center"/>
        <w:rPr>
          <w:rFonts w:ascii="Times New Roman" w:hAnsi="Times New Roman" w:eastAsia="仿宋" w:cs="Times New Roman"/>
          <w:color w:val="auto"/>
        </w:rPr>
      </w:pPr>
    </w:p>
    <w:p w14:paraId="6757BD29">
      <w:pPr>
        <w:pStyle w:val="32"/>
        <w:jc w:val="center"/>
        <w:rPr>
          <w:rFonts w:ascii="Times New Roman" w:hAnsi="Times New Roman" w:eastAsia="仿宋" w:cs="Times New Roman"/>
          <w:color w:val="auto"/>
        </w:rPr>
      </w:pPr>
    </w:p>
    <w:p w14:paraId="2C00BF0A">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2"/>
        <w:jc w:val="both"/>
        <w:rPr>
          <w:rFonts w:ascii="Times New Roman" w:hAnsi="Times New Roman" w:eastAsia="仿宋" w:cs="Times New Roman"/>
          <w:color w:val="auto"/>
        </w:rPr>
      </w:pPr>
    </w:p>
    <w:p w14:paraId="46E4D155">
      <w:pPr>
        <w:pStyle w:val="32"/>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2"/>
        <w:jc w:val="center"/>
        <w:rPr>
          <w:rFonts w:ascii="Times New Roman" w:hAnsi="Times New Roman" w:eastAsia="仿宋" w:cs="Times New Roman"/>
          <w:color w:val="auto"/>
        </w:rPr>
      </w:pPr>
    </w:p>
    <w:p w14:paraId="53CC06E9">
      <w:pPr>
        <w:pStyle w:val="32"/>
        <w:jc w:val="center"/>
        <w:rPr>
          <w:rFonts w:ascii="Times New Roman" w:hAnsi="Times New Roman" w:eastAsia="仿宋" w:cs="Times New Roman"/>
          <w:color w:val="auto"/>
        </w:rPr>
      </w:pPr>
    </w:p>
    <w:p w14:paraId="55320CDB">
      <w:pPr>
        <w:pStyle w:val="32"/>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2"/>
        <w:jc w:val="both"/>
        <w:rPr>
          <w:rFonts w:ascii="Times New Roman" w:hAnsi="Times New Roman" w:eastAsia="仿宋" w:cs="Times New Roman"/>
          <w:color w:val="auto"/>
          <w:sz w:val="32"/>
          <w:szCs w:val="32"/>
        </w:rPr>
      </w:pPr>
    </w:p>
    <w:p w14:paraId="31D6EAC3">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14:paraId="1CF8FCEE">
      <w:pPr>
        <w:pStyle w:val="32"/>
        <w:jc w:val="center"/>
        <w:rPr>
          <w:rFonts w:ascii="Times New Roman" w:hAnsi="Times New Roman" w:eastAsia="仿宋" w:cs="Times New Roman"/>
          <w:b/>
          <w:bCs/>
          <w:color w:val="auto"/>
        </w:rPr>
      </w:pPr>
    </w:p>
    <w:p w14:paraId="170BF1E2">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2"/>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2967"/>
      <w:bookmarkStart w:id="74" w:name="_Toc16435"/>
      <w:bookmarkStart w:id="75" w:name="_Toc23967"/>
      <w:bookmarkStart w:id="76" w:name="_Toc1074"/>
      <w:bookmarkStart w:id="77" w:name="_Toc2041"/>
      <w:bookmarkStart w:id="78" w:name="_Toc26969"/>
      <w:r>
        <w:rPr>
          <w:rStyle w:val="41"/>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7"/>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2"/>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1082"/>
      <w:bookmarkStart w:id="80" w:name="_Toc24806"/>
      <w:bookmarkStart w:id="81" w:name="_Toc1369"/>
      <w:bookmarkStart w:id="82" w:name="_Toc26839"/>
      <w:bookmarkStart w:id="83" w:name="_Toc31686"/>
      <w:bookmarkStart w:id="84" w:name="_Toc28634"/>
      <w:r>
        <w:rPr>
          <w:rStyle w:val="41"/>
          <w:b/>
        </w:rPr>
        <w:t>评分需要提供的证明材料</w:t>
      </w:r>
      <w:bookmarkEnd w:id="79"/>
      <w:bookmarkEnd w:id="80"/>
      <w:bookmarkEnd w:id="81"/>
      <w:bookmarkEnd w:id="82"/>
      <w:bookmarkEnd w:id="83"/>
      <w:bookmarkEnd w:id="84"/>
    </w:p>
    <w:p w14:paraId="71151EFE">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2"/>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20"/>
        <w:tblW w:w="50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99"/>
        <w:gridCol w:w="3349"/>
        <w:gridCol w:w="2738"/>
        <w:gridCol w:w="2575"/>
      </w:tblGrid>
      <w:tr w14:paraId="6A81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17" w:type="pct"/>
            <w:vAlign w:val="center"/>
          </w:tcPr>
          <w:p w14:paraId="3E795A10">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序号</w:t>
            </w:r>
          </w:p>
        </w:tc>
        <w:tc>
          <w:tcPr>
            <w:tcW w:w="1733" w:type="pct"/>
            <w:vAlign w:val="center"/>
          </w:tcPr>
          <w:p w14:paraId="0DC726A8">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采购标的名称</w:t>
            </w:r>
          </w:p>
        </w:tc>
        <w:tc>
          <w:tcPr>
            <w:tcW w:w="1417" w:type="pct"/>
            <w:vAlign w:val="center"/>
          </w:tcPr>
          <w:p w14:paraId="572EFFB4">
            <w:pPr>
              <w:pStyle w:val="7"/>
              <w:pBdr>
                <w:top w:val="none" w:color="auto" w:sz="0" w:space="0"/>
                <w:left w:val="none" w:color="auto" w:sz="0" w:space="0"/>
                <w:bottom w:val="none" w:color="auto" w:sz="0" w:space="0"/>
                <w:right w:val="none" w:color="auto" w:sz="0" w:space="0"/>
                <w:between w:val="none" w:color="auto" w:sz="0" w:space="0"/>
              </w:pBdr>
              <w:jc w:val="center"/>
              <w:rPr>
                <w:rFonts w:ascii="仿宋" w:hAnsi="仿宋" w:eastAsia="仿宋" w:cs="仿宋"/>
                <w:b/>
                <w:bCs/>
                <w:kern w:val="0"/>
                <w:sz w:val="24"/>
                <w:szCs w:val="24"/>
              </w:rPr>
            </w:pPr>
            <w:r>
              <w:rPr>
                <w:rFonts w:hint="eastAsia" w:eastAsia="宋体"/>
                <w:b/>
                <w:bCs/>
                <w:vertAlign w:val="baseline"/>
                <w:lang w:val="en-US" w:eastAsia="zh-CN"/>
              </w:rPr>
              <w:t>折扣率</w:t>
            </w:r>
          </w:p>
        </w:tc>
        <w:tc>
          <w:tcPr>
            <w:tcW w:w="1332" w:type="pct"/>
            <w:vAlign w:val="center"/>
          </w:tcPr>
          <w:p w14:paraId="33CC70B7">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备注</w:t>
            </w:r>
          </w:p>
        </w:tc>
      </w:tr>
      <w:tr w14:paraId="518BE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17" w:type="pct"/>
            <w:vAlign w:val="center"/>
          </w:tcPr>
          <w:p w14:paraId="1026F3E0">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rPr>
              <w:t>1</w:t>
            </w:r>
          </w:p>
        </w:tc>
        <w:tc>
          <w:tcPr>
            <w:tcW w:w="1733" w:type="pct"/>
            <w:vAlign w:val="center"/>
          </w:tcPr>
          <w:p w14:paraId="0E75681C">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lang w:eastAsia="zh-CN"/>
              </w:rPr>
              <w:t>四川省人民医院</w:t>
            </w:r>
            <w:r>
              <w:rPr>
                <w:rFonts w:hint="eastAsia" w:ascii="仿宋" w:hAnsi="仿宋" w:eastAsia="仿宋" w:cs="仿宋"/>
                <w:sz w:val="24"/>
                <w:szCs w:val="24"/>
                <w:lang w:val="en-US" w:eastAsia="zh-CN"/>
              </w:rPr>
              <w:t>图书采购项目</w:t>
            </w:r>
          </w:p>
        </w:tc>
        <w:tc>
          <w:tcPr>
            <w:tcW w:w="1417" w:type="pct"/>
            <w:vAlign w:val="center"/>
          </w:tcPr>
          <w:p w14:paraId="67B1645D">
            <w:pPr>
              <w:pStyle w:val="7"/>
              <w:pBdr>
                <w:top w:val="none" w:color="auto" w:sz="0" w:space="0"/>
                <w:left w:val="none" w:color="auto" w:sz="0" w:space="0"/>
                <w:bottom w:val="none" w:color="auto" w:sz="0" w:space="0"/>
                <w:right w:val="none" w:color="auto" w:sz="0" w:space="0"/>
                <w:between w:val="none" w:color="auto" w:sz="0" w:space="0"/>
              </w:pBdr>
              <w:jc w:val="left"/>
              <w:rPr>
                <w:rFonts w:ascii="仿宋" w:hAnsi="仿宋" w:eastAsia="仿宋" w:cs="仿宋"/>
                <w:b/>
                <w:bCs/>
                <w:sz w:val="24"/>
                <w:szCs w:val="24"/>
              </w:rPr>
            </w:pPr>
          </w:p>
        </w:tc>
        <w:tc>
          <w:tcPr>
            <w:tcW w:w="1332" w:type="pct"/>
            <w:vAlign w:val="center"/>
          </w:tcPr>
          <w:p w14:paraId="71BCF070">
            <w:pPr>
              <w:pStyle w:val="7"/>
              <w:spacing w:after="0" w:line="360" w:lineRule="auto"/>
              <w:jc w:val="center"/>
              <w:rPr>
                <w:rFonts w:ascii="仿宋" w:hAnsi="仿宋" w:eastAsia="仿宋" w:cs="仿宋"/>
                <w:sz w:val="24"/>
                <w:szCs w:val="24"/>
              </w:rPr>
            </w:pPr>
          </w:p>
        </w:tc>
      </w:tr>
    </w:tbl>
    <w:p w14:paraId="273FD11C">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29032"/>
      <w:bookmarkStart w:id="91" w:name="_Toc14685"/>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9"/>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30"/>
        <w:numPr>
          <w:ilvl w:val="0"/>
          <w:numId w:val="11"/>
        </w:numPr>
        <w:ind w:left="0" w:firstLine="0" w:firstLineChars="0"/>
        <w:contextualSpacing/>
        <w:jc w:val="left"/>
        <w:rPr>
          <w:b/>
          <w:szCs w:val="21"/>
        </w:rPr>
      </w:pPr>
      <w:r>
        <w:rPr>
          <w:b/>
          <w:szCs w:val="21"/>
        </w:rPr>
        <w:t>合同标的</w:t>
      </w:r>
    </w:p>
    <w:p w14:paraId="2E385537">
      <w:pPr>
        <w:pStyle w:val="10"/>
        <w:numPr>
          <w:ilvl w:val="0"/>
          <w:numId w:val="12"/>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10"/>
        <w:numPr>
          <w:ilvl w:val="0"/>
          <w:numId w:val="12"/>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10"/>
        <w:numPr>
          <w:ilvl w:val="0"/>
          <w:numId w:val="12"/>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8"/>
        <w:gridCol w:w="2796"/>
        <w:gridCol w:w="3458"/>
        <w:gridCol w:w="928"/>
        <w:gridCol w:w="1898"/>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30"/>
              <w:ind w:firstLine="0" w:firstLineChars="0"/>
              <w:jc w:val="center"/>
              <w:rPr>
                <w:color w:val="000000"/>
                <w:szCs w:val="21"/>
              </w:rPr>
            </w:pPr>
            <w:r>
              <w:rPr>
                <w:color w:val="000000"/>
                <w:szCs w:val="21"/>
              </w:rPr>
              <w:t>序号</w:t>
            </w:r>
          </w:p>
        </w:tc>
        <w:tc>
          <w:tcPr>
            <w:tcW w:w="2977" w:type="dxa"/>
            <w:vAlign w:val="center"/>
          </w:tcPr>
          <w:p w14:paraId="42032E31">
            <w:pPr>
              <w:pStyle w:val="30"/>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30"/>
              <w:ind w:firstLine="0" w:firstLineChars="0"/>
              <w:jc w:val="center"/>
              <w:rPr>
                <w:color w:val="000000"/>
                <w:szCs w:val="21"/>
              </w:rPr>
            </w:pPr>
            <w:r>
              <w:rPr>
                <w:color w:val="000000"/>
                <w:szCs w:val="21"/>
              </w:rPr>
              <w:t>具体内容</w:t>
            </w:r>
          </w:p>
        </w:tc>
        <w:tc>
          <w:tcPr>
            <w:tcW w:w="963" w:type="dxa"/>
            <w:vAlign w:val="center"/>
          </w:tcPr>
          <w:p w14:paraId="6E75E46C">
            <w:pPr>
              <w:pStyle w:val="30"/>
              <w:ind w:firstLine="0" w:firstLineChars="0"/>
              <w:jc w:val="center"/>
              <w:rPr>
                <w:color w:val="000000"/>
                <w:szCs w:val="21"/>
              </w:rPr>
            </w:pPr>
            <w:r>
              <w:rPr>
                <w:color w:val="000000"/>
                <w:szCs w:val="21"/>
              </w:rPr>
              <w:t>分项价格（万元）</w:t>
            </w:r>
          </w:p>
        </w:tc>
        <w:tc>
          <w:tcPr>
            <w:tcW w:w="2016" w:type="dxa"/>
          </w:tcPr>
          <w:p w14:paraId="3BC8F9B2">
            <w:pPr>
              <w:pStyle w:val="30"/>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30"/>
              <w:ind w:firstLine="0" w:firstLineChars="0"/>
              <w:jc w:val="center"/>
              <w:rPr>
                <w:color w:val="000000"/>
                <w:szCs w:val="21"/>
              </w:rPr>
            </w:pPr>
            <w:r>
              <w:rPr>
                <w:rFonts w:hint="eastAsia"/>
                <w:color w:val="000000"/>
                <w:szCs w:val="21"/>
              </w:rPr>
              <w:t>1</w:t>
            </w:r>
          </w:p>
        </w:tc>
        <w:tc>
          <w:tcPr>
            <w:tcW w:w="2977" w:type="dxa"/>
            <w:vAlign w:val="center"/>
          </w:tcPr>
          <w:p w14:paraId="629F7C51">
            <w:pPr>
              <w:pStyle w:val="30"/>
              <w:ind w:firstLine="0" w:firstLineChars="0"/>
              <w:rPr>
                <w:color w:val="000000"/>
                <w:szCs w:val="21"/>
              </w:rPr>
            </w:pPr>
          </w:p>
        </w:tc>
        <w:tc>
          <w:tcPr>
            <w:tcW w:w="3686" w:type="dxa"/>
            <w:vAlign w:val="center"/>
          </w:tcPr>
          <w:p w14:paraId="1B711F72">
            <w:pPr>
              <w:pStyle w:val="30"/>
              <w:ind w:firstLine="0" w:firstLineChars="0"/>
              <w:rPr>
                <w:color w:val="000000"/>
                <w:szCs w:val="21"/>
              </w:rPr>
            </w:pPr>
          </w:p>
        </w:tc>
        <w:tc>
          <w:tcPr>
            <w:tcW w:w="963" w:type="dxa"/>
            <w:vAlign w:val="center"/>
          </w:tcPr>
          <w:p w14:paraId="5DD02118">
            <w:pPr>
              <w:pStyle w:val="30"/>
              <w:ind w:firstLine="0" w:firstLineChars="0"/>
              <w:jc w:val="center"/>
              <w:rPr>
                <w:color w:val="000000"/>
                <w:szCs w:val="21"/>
              </w:rPr>
            </w:pPr>
          </w:p>
        </w:tc>
        <w:tc>
          <w:tcPr>
            <w:tcW w:w="2016" w:type="dxa"/>
          </w:tcPr>
          <w:p w14:paraId="149276E7">
            <w:pPr>
              <w:pStyle w:val="30"/>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30"/>
              <w:ind w:firstLine="0" w:firstLineChars="0"/>
              <w:jc w:val="center"/>
              <w:rPr>
                <w:color w:val="000000"/>
                <w:szCs w:val="21"/>
              </w:rPr>
            </w:pPr>
            <w:r>
              <w:rPr>
                <w:rFonts w:hint="eastAsia"/>
                <w:color w:val="000000"/>
                <w:szCs w:val="21"/>
              </w:rPr>
              <w:t>2</w:t>
            </w:r>
          </w:p>
        </w:tc>
        <w:tc>
          <w:tcPr>
            <w:tcW w:w="2977" w:type="dxa"/>
            <w:vAlign w:val="center"/>
          </w:tcPr>
          <w:p w14:paraId="0E44D544">
            <w:pPr>
              <w:pStyle w:val="30"/>
              <w:ind w:firstLine="0" w:firstLineChars="0"/>
              <w:rPr>
                <w:color w:val="000000"/>
                <w:szCs w:val="21"/>
              </w:rPr>
            </w:pPr>
          </w:p>
        </w:tc>
        <w:tc>
          <w:tcPr>
            <w:tcW w:w="3686" w:type="dxa"/>
            <w:vAlign w:val="center"/>
          </w:tcPr>
          <w:p w14:paraId="01B65D9C">
            <w:pPr>
              <w:pStyle w:val="30"/>
              <w:ind w:firstLine="0" w:firstLineChars="0"/>
              <w:rPr>
                <w:color w:val="000000"/>
                <w:szCs w:val="21"/>
              </w:rPr>
            </w:pPr>
          </w:p>
        </w:tc>
        <w:tc>
          <w:tcPr>
            <w:tcW w:w="963" w:type="dxa"/>
            <w:vAlign w:val="center"/>
          </w:tcPr>
          <w:p w14:paraId="4C31DD39">
            <w:pPr>
              <w:pStyle w:val="30"/>
              <w:ind w:firstLine="0" w:firstLineChars="0"/>
              <w:jc w:val="center"/>
              <w:rPr>
                <w:color w:val="000000"/>
                <w:szCs w:val="21"/>
              </w:rPr>
            </w:pPr>
          </w:p>
        </w:tc>
        <w:tc>
          <w:tcPr>
            <w:tcW w:w="2016" w:type="dxa"/>
          </w:tcPr>
          <w:p w14:paraId="3000AC5A">
            <w:pPr>
              <w:pStyle w:val="30"/>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30"/>
              <w:ind w:firstLine="0" w:firstLineChars="0"/>
              <w:jc w:val="center"/>
              <w:rPr>
                <w:color w:val="000000"/>
                <w:szCs w:val="21"/>
              </w:rPr>
            </w:pPr>
            <w:r>
              <w:rPr>
                <w:rFonts w:hint="eastAsia"/>
                <w:color w:val="000000"/>
                <w:szCs w:val="21"/>
              </w:rPr>
              <w:t>3</w:t>
            </w:r>
          </w:p>
        </w:tc>
        <w:tc>
          <w:tcPr>
            <w:tcW w:w="2977" w:type="dxa"/>
            <w:vAlign w:val="center"/>
          </w:tcPr>
          <w:p w14:paraId="71D5F885">
            <w:pPr>
              <w:pStyle w:val="30"/>
              <w:ind w:firstLine="0" w:firstLineChars="0"/>
              <w:rPr>
                <w:color w:val="000000"/>
                <w:szCs w:val="21"/>
              </w:rPr>
            </w:pPr>
          </w:p>
        </w:tc>
        <w:tc>
          <w:tcPr>
            <w:tcW w:w="3686" w:type="dxa"/>
            <w:vAlign w:val="center"/>
          </w:tcPr>
          <w:p w14:paraId="38AC0A57">
            <w:pPr>
              <w:pStyle w:val="30"/>
              <w:ind w:firstLine="0" w:firstLineChars="0"/>
              <w:rPr>
                <w:color w:val="000000"/>
                <w:szCs w:val="21"/>
              </w:rPr>
            </w:pPr>
          </w:p>
        </w:tc>
        <w:tc>
          <w:tcPr>
            <w:tcW w:w="963" w:type="dxa"/>
            <w:vAlign w:val="center"/>
          </w:tcPr>
          <w:p w14:paraId="3B158765">
            <w:pPr>
              <w:pStyle w:val="30"/>
              <w:ind w:firstLine="0" w:firstLineChars="0"/>
              <w:jc w:val="center"/>
              <w:rPr>
                <w:color w:val="000000"/>
                <w:szCs w:val="21"/>
              </w:rPr>
            </w:pPr>
          </w:p>
        </w:tc>
        <w:tc>
          <w:tcPr>
            <w:tcW w:w="2016" w:type="dxa"/>
          </w:tcPr>
          <w:p w14:paraId="43F7F4B9">
            <w:pPr>
              <w:pStyle w:val="30"/>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30"/>
              <w:ind w:firstLine="0" w:firstLineChars="0"/>
              <w:jc w:val="center"/>
              <w:rPr>
                <w:color w:val="000000"/>
                <w:szCs w:val="21"/>
              </w:rPr>
            </w:pPr>
            <w:r>
              <w:rPr>
                <w:color w:val="000000"/>
                <w:szCs w:val="21"/>
              </w:rPr>
              <w:t>…</w:t>
            </w:r>
          </w:p>
        </w:tc>
        <w:tc>
          <w:tcPr>
            <w:tcW w:w="2977" w:type="dxa"/>
            <w:vAlign w:val="center"/>
          </w:tcPr>
          <w:p w14:paraId="492CFE5D">
            <w:pPr>
              <w:pStyle w:val="30"/>
              <w:ind w:firstLine="0" w:firstLineChars="0"/>
              <w:rPr>
                <w:color w:val="000000"/>
                <w:szCs w:val="21"/>
              </w:rPr>
            </w:pPr>
          </w:p>
        </w:tc>
        <w:tc>
          <w:tcPr>
            <w:tcW w:w="3686" w:type="dxa"/>
            <w:vAlign w:val="center"/>
          </w:tcPr>
          <w:p w14:paraId="5E27032F">
            <w:pPr>
              <w:pStyle w:val="30"/>
              <w:ind w:firstLine="0" w:firstLineChars="0"/>
              <w:rPr>
                <w:color w:val="000000"/>
                <w:szCs w:val="21"/>
              </w:rPr>
            </w:pPr>
          </w:p>
        </w:tc>
        <w:tc>
          <w:tcPr>
            <w:tcW w:w="963" w:type="dxa"/>
            <w:vAlign w:val="center"/>
          </w:tcPr>
          <w:p w14:paraId="19B21445">
            <w:pPr>
              <w:pStyle w:val="30"/>
              <w:ind w:firstLine="0" w:firstLineChars="0"/>
              <w:jc w:val="center"/>
              <w:rPr>
                <w:color w:val="000000"/>
                <w:szCs w:val="21"/>
              </w:rPr>
            </w:pPr>
          </w:p>
        </w:tc>
        <w:tc>
          <w:tcPr>
            <w:tcW w:w="2016" w:type="dxa"/>
          </w:tcPr>
          <w:p w14:paraId="5FC047A6">
            <w:pPr>
              <w:pStyle w:val="30"/>
              <w:ind w:firstLine="0" w:firstLineChars="0"/>
              <w:rPr>
                <w:color w:val="000000"/>
                <w:szCs w:val="21"/>
              </w:rPr>
            </w:pPr>
          </w:p>
        </w:tc>
      </w:tr>
    </w:tbl>
    <w:p w14:paraId="2D35C912">
      <w:pPr>
        <w:pStyle w:val="30"/>
        <w:numPr>
          <w:ilvl w:val="0"/>
          <w:numId w:val="11"/>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5" w:name="OLE_LINK2"/>
      <w:bookmarkStart w:id="96" w:name="OLE_LINK1"/>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61352334">
      <w:pPr>
        <w:pStyle w:val="30"/>
        <w:numPr>
          <w:ilvl w:val="0"/>
          <w:numId w:val="11"/>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30"/>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30"/>
        <w:jc w:val="left"/>
        <w:rPr>
          <w:bCs/>
          <w:szCs w:val="21"/>
        </w:rPr>
      </w:pPr>
    </w:p>
    <w:p w14:paraId="368787FF">
      <w:pPr>
        <w:pStyle w:val="30"/>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30"/>
        <w:jc w:val="left"/>
        <w:rPr>
          <w:bCs/>
          <w:szCs w:val="21"/>
        </w:rPr>
      </w:pPr>
    </w:p>
    <w:p w14:paraId="27DB179C">
      <w:pPr>
        <w:pStyle w:val="30"/>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1B257405">
      <w:pPr>
        <w:pStyle w:val="30"/>
        <w:numPr>
          <w:ilvl w:val="0"/>
          <w:numId w:val="11"/>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30"/>
        <w:numPr>
          <w:ilvl w:val="0"/>
          <w:numId w:val="11"/>
        </w:numPr>
        <w:ind w:left="0" w:firstLine="0" w:firstLineChars="0"/>
        <w:contextualSpacing/>
        <w:jc w:val="left"/>
        <w:rPr>
          <w:b/>
          <w:szCs w:val="21"/>
        </w:rPr>
      </w:pPr>
      <w:r>
        <w:rPr>
          <w:b/>
          <w:szCs w:val="21"/>
        </w:rPr>
        <w:t>验收</w:t>
      </w:r>
    </w:p>
    <w:p w14:paraId="57707485">
      <w:pPr>
        <w:pStyle w:val="30"/>
        <w:numPr>
          <w:ilvl w:val="0"/>
          <w:numId w:val="13"/>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30"/>
        <w:numPr>
          <w:ilvl w:val="0"/>
          <w:numId w:val="13"/>
        </w:numPr>
        <w:ind w:left="0" w:firstLine="0" w:firstLineChars="0"/>
        <w:contextualSpacing/>
        <w:rPr>
          <w:szCs w:val="21"/>
        </w:rPr>
      </w:pPr>
      <w:r>
        <w:rPr>
          <w:szCs w:val="21"/>
        </w:rPr>
        <w:t>验收方案：</w:t>
      </w:r>
    </w:p>
    <w:p w14:paraId="10719FFA">
      <w:pPr>
        <w:pStyle w:val="30"/>
        <w:numPr>
          <w:ilvl w:val="0"/>
          <w:numId w:val="14"/>
        </w:numPr>
        <w:ind w:firstLineChars="0"/>
        <w:contextualSpacing/>
        <w:rPr>
          <w:color w:val="000000"/>
          <w:szCs w:val="21"/>
        </w:rPr>
      </w:pPr>
      <w:r>
        <w:rPr>
          <w:rFonts w:hint="eastAsia"/>
          <w:color w:val="000000"/>
          <w:szCs w:val="21"/>
        </w:rPr>
        <w:t>验收主体：甲方</w:t>
      </w:r>
    </w:p>
    <w:p w14:paraId="7212F6E2">
      <w:pPr>
        <w:pStyle w:val="30"/>
        <w:numPr>
          <w:ilvl w:val="0"/>
          <w:numId w:val="14"/>
        </w:numPr>
        <w:ind w:firstLineChars="0"/>
        <w:contextualSpacing/>
        <w:rPr>
          <w:color w:val="000000"/>
          <w:szCs w:val="21"/>
        </w:rPr>
      </w:pPr>
      <w:r>
        <w:rPr>
          <w:rFonts w:hint="eastAsia"/>
          <w:color w:val="000000"/>
          <w:szCs w:val="21"/>
        </w:rPr>
        <w:t>验收组织方式：自行验收</w:t>
      </w:r>
    </w:p>
    <w:p w14:paraId="5C963DBA">
      <w:pPr>
        <w:pStyle w:val="30"/>
        <w:numPr>
          <w:ilvl w:val="0"/>
          <w:numId w:val="14"/>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30"/>
        <w:numPr>
          <w:ilvl w:val="0"/>
          <w:numId w:val="14"/>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30"/>
        <w:numPr>
          <w:ilvl w:val="0"/>
          <w:numId w:val="14"/>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30"/>
        <w:numPr>
          <w:ilvl w:val="0"/>
          <w:numId w:val="14"/>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7"/>
        <w:spacing w:after="0"/>
        <w:ind w:left="420" w:leftChars="200" w:firstLine="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30"/>
        <w:numPr>
          <w:ilvl w:val="0"/>
          <w:numId w:val="14"/>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30"/>
        <w:numPr>
          <w:ilvl w:val="0"/>
          <w:numId w:val="14"/>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30"/>
        <w:numPr>
          <w:ilvl w:val="0"/>
          <w:numId w:val="14"/>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30"/>
        <w:numPr>
          <w:ilvl w:val="0"/>
          <w:numId w:val="14"/>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30"/>
        <w:numPr>
          <w:ilvl w:val="0"/>
          <w:numId w:val="14"/>
        </w:numPr>
        <w:ind w:firstLineChars="0"/>
        <w:contextualSpacing/>
        <w:rPr>
          <w:szCs w:val="21"/>
        </w:rPr>
      </w:pPr>
      <w:r>
        <w:rPr>
          <w:szCs w:val="21"/>
        </w:rPr>
        <w:t>验收标准：</w:t>
      </w:r>
    </w:p>
    <w:p w14:paraId="24757C73">
      <w:pPr>
        <w:pStyle w:val="17"/>
        <w:numPr>
          <w:ilvl w:val="0"/>
          <w:numId w:val="15"/>
        </w:numPr>
        <w:spacing w:after="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4A341926">
      <w:pPr>
        <w:pStyle w:val="17"/>
        <w:numPr>
          <w:ilvl w:val="0"/>
          <w:numId w:val="15"/>
        </w:numPr>
        <w:spacing w:after="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7"/>
        <w:numPr>
          <w:ilvl w:val="0"/>
          <w:numId w:val="15"/>
        </w:numPr>
        <w:spacing w:after="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2BFFECC6">
      <w:pPr>
        <w:pStyle w:val="17"/>
        <w:numPr>
          <w:ilvl w:val="0"/>
          <w:numId w:val="15"/>
        </w:numPr>
        <w:spacing w:after="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7"/>
        <w:numPr>
          <w:ilvl w:val="0"/>
          <w:numId w:val="15"/>
        </w:numPr>
        <w:spacing w:after="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7"/>
        <w:numPr>
          <w:ilvl w:val="0"/>
          <w:numId w:val="15"/>
        </w:numPr>
        <w:spacing w:after="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30"/>
        <w:numPr>
          <w:ilvl w:val="0"/>
          <w:numId w:val="14"/>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30"/>
        <w:numPr>
          <w:ilvl w:val="0"/>
          <w:numId w:val="13"/>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30"/>
        <w:numPr>
          <w:ilvl w:val="0"/>
          <w:numId w:val="11"/>
        </w:numPr>
        <w:ind w:left="0" w:firstLine="0" w:firstLineChars="0"/>
        <w:contextualSpacing/>
        <w:jc w:val="left"/>
        <w:rPr>
          <w:b/>
          <w:szCs w:val="21"/>
        </w:rPr>
      </w:pPr>
      <w:r>
        <w:rPr>
          <w:b/>
          <w:szCs w:val="21"/>
        </w:rPr>
        <w:t>付款方式</w:t>
      </w:r>
    </w:p>
    <w:p w14:paraId="5CC20725">
      <w:pPr>
        <w:pStyle w:val="10"/>
        <w:numPr>
          <w:ilvl w:val="0"/>
          <w:numId w:val="16"/>
        </w:numPr>
        <w:spacing w:after="0" w:line="240" w:lineRule="auto"/>
        <w:ind w:left="227" w:leftChars="0" w:hanging="227"/>
        <w:contextualSpacing/>
        <w:jc w:val="left"/>
        <w:rPr>
          <w:szCs w:val="21"/>
        </w:rPr>
      </w:pPr>
      <w:r>
        <w:rPr>
          <w:szCs w:val="21"/>
        </w:rPr>
        <w:t>履约保证金：</w:t>
      </w:r>
    </w:p>
    <w:p w14:paraId="1A98FD8C">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10"/>
        <w:numPr>
          <w:ilvl w:val="0"/>
          <w:numId w:val="16"/>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7"/>
        <w:spacing w:after="0"/>
        <w:ind w:left="840" w:leftChars="400" w:firstLine="42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7"/>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7"/>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10"/>
        <w:numPr>
          <w:ilvl w:val="0"/>
          <w:numId w:val="16"/>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10"/>
        <w:numPr>
          <w:ilvl w:val="0"/>
          <w:numId w:val="16"/>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30"/>
        <w:numPr>
          <w:ilvl w:val="0"/>
          <w:numId w:val="11"/>
        </w:numPr>
        <w:ind w:left="0" w:firstLine="0" w:firstLineChars="0"/>
        <w:contextualSpacing/>
        <w:jc w:val="left"/>
        <w:rPr>
          <w:b/>
          <w:szCs w:val="21"/>
        </w:rPr>
      </w:pPr>
      <w:r>
        <w:rPr>
          <w:b/>
          <w:szCs w:val="21"/>
        </w:rPr>
        <w:t>双方权利与义务</w:t>
      </w:r>
    </w:p>
    <w:p w14:paraId="581F8AA0">
      <w:pPr>
        <w:pStyle w:val="10"/>
        <w:numPr>
          <w:ilvl w:val="0"/>
          <w:numId w:val="17"/>
        </w:numPr>
        <w:spacing w:after="0" w:line="240" w:lineRule="auto"/>
        <w:ind w:left="227" w:leftChars="0" w:hanging="227"/>
        <w:contextualSpacing/>
        <w:jc w:val="left"/>
        <w:rPr>
          <w:szCs w:val="21"/>
        </w:rPr>
      </w:pPr>
      <w:r>
        <w:rPr>
          <w:szCs w:val="21"/>
        </w:rPr>
        <w:t>甲方权利与义务</w:t>
      </w:r>
    </w:p>
    <w:p w14:paraId="4D16113D">
      <w:pPr>
        <w:pStyle w:val="30"/>
        <w:numPr>
          <w:ilvl w:val="0"/>
          <w:numId w:val="18"/>
        </w:numPr>
        <w:adjustRightInd w:val="0"/>
        <w:ind w:left="525" w:hanging="525" w:hangingChars="250"/>
        <w:contextualSpacing/>
        <w:jc w:val="left"/>
        <w:rPr>
          <w:szCs w:val="21"/>
        </w:rPr>
      </w:pPr>
      <w:r>
        <w:rPr>
          <w:szCs w:val="21"/>
        </w:rPr>
        <w:t>按合同约定向乙方支付费用。</w:t>
      </w:r>
    </w:p>
    <w:p w14:paraId="62A02753">
      <w:pPr>
        <w:pStyle w:val="30"/>
        <w:numPr>
          <w:ilvl w:val="0"/>
          <w:numId w:val="18"/>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30"/>
        <w:numPr>
          <w:ilvl w:val="0"/>
          <w:numId w:val="18"/>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30"/>
        <w:numPr>
          <w:ilvl w:val="0"/>
          <w:numId w:val="18"/>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10"/>
        <w:numPr>
          <w:ilvl w:val="0"/>
          <w:numId w:val="17"/>
        </w:numPr>
        <w:spacing w:after="0" w:line="240" w:lineRule="auto"/>
        <w:ind w:left="227" w:leftChars="0" w:hanging="227"/>
        <w:contextualSpacing/>
        <w:jc w:val="left"/>
        <w:rPr>
          <w:szCs w:val="21"/>
        </w:rPr>
      </w:pPr>
      <w:r>
        <w:rPr>
          <w:szCs w:val="21"/>
        </w:rPr>
        <w:t>乙方权利与义务</w:t>
      </w:r>
    </w:p>
    <w:p w14:paraId="319B30B1">
      <w:pPr>
        <w:pStyle w:val="10"/>
        <w:numPr>
          <w:ilvl w:val="0"/>
          <w:numId w:val="19"/>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10"/>
        <w:numPr>
          <w:ilvl w:val="0"/>
          <w:numId w:val="19"/>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10"/>
        <w:numPr>
          <w:ilvl w:val="0"/>
          <w:numId w:val="19"/>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10"/>
        <w:numPr>
          <w:ilvl w:val="0"/>
          <w:numId w:val="19"/>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10"/>
        <w:numPr>
          <w:ilvl w:val="0"/>
          <w:numId w:val="19"/>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30"/>
        <w:numPr>
          <w:ilvl w:val="0"/>
          <w:numId w:val="11"/>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10"/>
        <w:numPr>
          <w:ilvl w:val="0"/>
          <w:numId w:val="20"/>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30"/>
        <w:numPr>
          <w:ilvl w:val="0"/>
          <w:numId w:val="20"/>
        </w:numPr>
        <w:ind w:left="0" w:firstLine="0" w:firstLineChars="0"/>
        <w:rPr>
          <w:szCs w:val="21"/>
        </w:rPr>
      </w:pPr>
      <w:r>
        <w:rPr>
          <w:szCs w:val="21"/>
        </w:rPr>
        <w:t>乙方违约责任：</w:t>
      </w:r>
    </w:p>
    <w:p w14:paraId="354B31C5">
      <w:pPr>
        <w:pStyle w:val="10"/>
        <w:numPr>
          <w:ilvl w:val="0"/>
          <w:numId w:val="21"/>
        </w:numPr>
        <w:spacing w:after="0" w:line="240" w:lineRule="auto"/>
        <w:ind w:left="525" w:leftChars="0" w:hanging="525" w:hangingChars="250"/>
        <w:contextualSpacing/>
        <w:jc w:val="left"/>
        <w:rPr>
          <w:szCs w:val="21"/>
        </w:rPr>
      </w:pPr>
      <w:bookmarkStart w:id="101" w:name="OLE_LINK18"/>
      <w:bookmarkStart w:id="102"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10"/>
        <w:numPr>
          <w:ilvl w:val="0"/>
          <w:numId w:val="21"/>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10"/>
        <w:numPr>
          <w:ilvl w:val="0"/>
          <w:numId w:val="21"/>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10"/>
        <w:numPr>
          <w:ilvl w:val="0"/>
          <w:numId w:val="21"/>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10"/>
        <w:numPr>
          <w:ilvl w:val="0"/>
          <w:numId w:val="21"/>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10"/>
        <w:numPr>
          <w:ilvl w:val="0"/>
          <w:numId w:val="21"/>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DD140B">
      <w:pPr>
        <w:pStyle w:val="10"/>
        <w:numPr>
          <w:ilvl w:val="0"/>
          <w:numId w:val="21"/>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10"/>
        <w:numPr>
          <w:ilvl w:val="0"/>
          <w:numId w:val="21"/>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10"/>
        <w:numPr>
          <w:ilvl w:val="0"/>
          <w:numId w:val="21"/>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10"/>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30"/>
        <w:numPr>
          <w:ilvl w:val="0"/>
          <w:numId w:val="11"/>
        </w:numPr>
        <w:ind w:left="0" w:firstLine="0" w:firstLineChars="0"/>
        <w:contextualSpacing/>
        <w:jc w:val="left"/>
        <w:rPr>
          <w:b/>
          <w:szCs w:val="21"/>
        </w:rPr>
      </w:pPr>
      <w:r>
        <w:rPr>
          <w:b/>
          <w:szCs w:val="21"/>
        </w:rPr>
        <w:t>不可抗力</w:t>
      </w:r>
    </w:p>
    <w:p w14:paraId="26541785">
      <w:pPr>
        <w:pStyle w:val="30"/>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30"/>
        <w:numPr>
          <w:ilvl w:val="0"/>
          <w:numId w:val="11"/>
        </w:numPr>
        <w:ind w:left="0" w:firstLine="0" w:firstLineChars="0"/>
        <w:contextualSpacing/>
        <w:jc w:val="left"/>
        <w:rPr>
          <w:b/>
          <w:szCs w:val="21"/>
        </w:rPr>
      </w:pPr>
      <w:r>
        <w:rPr>
          <w:b/>
          <w:szCs w:val="21"/>
        </w:rPr>
        <w:t>合同终止及解除</w:t>
      </w:r>
    </w:p>
    <w:p w14:paraId="275C61D9">
      <w:pPr>
        <w:pStyle w:val="30"/>
        <w:numPr>
          <w:ilvl w:val="0"/>
          <w:numId w:val="22"/>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30"/>
        <w:numPr>
          <w:ilvl w:val="0"/>
          <w:numId w:val="22"/>
        </w:numPr>
        <w:ind w:left="0" w:firstLine="0" w:firstLineChars="0"/>
        <w:rPr>
          <w:szCs w:val="21"/>
        </w:rPr>
      </w:pPr>
      <w:r>
        <w:rPr>
          <w:szCs w:val="21"/>
        </w:rPr>
        <w:t>在甲、乙任何一方有严重违约行为时，另一方有权单方解除合同。</w:t>
      </w:r>
    </w:p>
    <w:p w14:paraId="2BA7B89E">
      <w:pPr>
        <w:pStyle w:val="30"/>
        <w:numPr>
          <w:ilvl w:val="0"/>
          <w:numId w:val="11"/>
        </w:numPr>
        <w:ind w:left="0" w:firstLine="0" w:firstLineChars="0"/>
        <w:contextualSpacing/>
        <w:jc w:val="left"/>
        <w:rPr>
          <w:b/>
          <w:szCs w:val="21"/>
        </w:rPr>
      </w:pPr>
      <w:r>
        <w:rPr>
          <w:b/>
          <w:szCs w:val="21"/>
        </w:rPr>
        <w:t>争议解决办法</w:t>
      </w:r>
    </w:p>
    <w:p w14:paraId="5C6244A3">
      <w:pPr>
        <w:pStyle w:val="30"/>
        <w:numPr>
          <w:ilvl w:val="0"/>
          <w:numId w:val="23"/>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30"/>
        <w:numPr>
          <w:ilvl w:val="0"/>
          <w:numId w:val="23"/>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30"/>
        <w:numPr>
          <w:ilvl w:val="0"/>
          <w:numId w:val="11"/>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5"/>
        <w:numPr>
          <w:ilvl w:val="0"/>
          <w:numId w:val="24"/>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5"/>
        <w:numPr>
          <w:ilvl w:val="0"/>
          <w:numId w:val="24"/>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5"/>
        <w:numPr>
          <w:ilvl w:val="0"/>
          <w:numId w:val="24"/>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30"/>
        <w:numPr>
          <w:ilvl w:val="0"/>
          <w:numId w:val="11"/>
        </w:numPr>
        <w:ind w:left="0" w:firstLine="0" w:firstLineChars="0"/>
        <w:contextualSpacing/>
        <w:jc w:val="left"/>
        <w:rPr>
          <w:b/>
          <w:szCs w:val="21"/>
        </w:rPr>
      </w:pPr>
      <w:r>
        <w:rPr>
          <w:b/>
          <w:szCs w:val="21"/>
        </w:rPr>
        <w:t>其他</w:t>
      </w:r>
    </w:p>
    <w:p w14:paraId="162904B6">
      <w:pPr>
        <w:pStyle w:val="30"/>
        <w:numPr>
          <w:ilvl w:val="0"/>
          <w:numId w:val="25"/>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30"/>
        <w:numPr>
          <w:ilvl w:val="0"/>
          <w:numId w:val="25"/>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30"/>
        <w:numPr>
          <w:ilvl w:val="0"/>
          <w:numId w:val="11"/>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9"/>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6F5C2A7">
            <w:pPr>
              <w:widowControl/>
              <w:jc w:val="center"/>
              <w:rPr>
                <w:b/>
                <w:bCs/>
                <w:szCs w:val="21"/>
              </w:rPr>
            </w:pPr>
            <w:r>
              <w:rPr>
                <w:rFonts w:hint="eastAsia"/>
                <w:b/>
                <w:bCs/>
                <w:szCs w:val="21"/>
              </w:rPr>
              <w:t>序号</w:t>
            </w:r>
          </w:p>
        </w:tc>
        <w:tc>
          <w:tcPr>
            <w:tcW w:w="3686" w:type="dxa"/>
            <w:vAlign w:val="center"/>
          </w:tcPr>
          <w:p w14:paraId="6138C8A7">
            <w:pPr>
              <w:widowControl/>
              <w:jc w:val="center"/>
              <w:rPr>
                <w:b/>
                <w:bCs/>
                <w:szCs w:val="21"/>
              </w:rPr>
            </w:pPr>
            <w:r>
              <w:rPr>
                <w:rFonts w:hint="eastAsia"/>
                <w:b/>
                <w:bCs/>
                <w:szCs w:val="21"/>
              </w:rPr>
              <w:t>结算项目名称</w:t>
            </w:r>
          </w:p>
        </w:tc>
        <w:tc>
          <w:tcPr>
            <w:tcW w:w="3402" w:type="dxa"/>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56BCD53">
            <w:pPr>
              <w:widowControl/>
              <w:jc w:val="center"/>
              <w:rPr>
                <w:szCs w:val="21"/>
              </w:rPr>
            </w:pPr>
            <w:r>
              <w:rPr>
                <w:rFonts w:hint="eastAsia"/>
                <w:szCs w:val="21"/>
              </w:rPr>
              <w:t>1</w:t>
            </w:r>
          </w:p>
        </w:tc>
        <w:tc>
          <w:tcPr>
            <w:tcW w:w="3686" w:type="dxa"/>
            <w:vAlign w:val="center"/>
          </w:tcPr>
          <w:p w14:paraId="466C56FF">
            <w:pPr>
              <w:widowControl/>
              <w:jc w:val="left"/>
              <w:rPr>
                <w:szCs w:val="21"/>
              </w:rPr>
            </w:pPr>
          </w:p>
        </w:tc>
        <w:tc>
          <w:tcPr>
            <w:tcW w:w="3402" w:type="dxa"/>
            <w:vAlign w:val="center"/>
          </w:tcPr>
          <w:p w14:paraId="3BC0C217">
            <w:pPr>
              <w:widowControl/>
              <w:jc w:val="left"/>
              <w:rPr>
                <w:szCs w:val="21"/>
              </w:rPr>
            </w:pPr>
          </w:p>
        </w:tc>
        <w:tc>
          <w:tcPr>
            <w:tcW w:w="992" w:type="dxa"/>
            <w:vAlign w:val="center"/>
          </w:tcPr>
          <w:p w14:paraId="1338F166">
            <w:pPr>
              <w:widowControl/>
              <w:jc w:val="center"/>
              <w:rPr>
                <w:szCs w:val="21"/>
              </w:rPr>
            </w:pPr>
          </w:p>
        </w:tc>
        <w:tc>
          <w:tcPr>
            <w:tcW w:w="986" w:type="dxa"/>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F21EF6E">
            <w:pPr>
              <w:widowControl/>
              <w:jc w:val="center"/>
              <w:rPr>
                <w:szCs w:val="21"/>
              </w:rPr>
            </w:pPr>
            <w:r>
              <w:rPr>
                <w:rFonts w:hint="eastAsia"/>
                <w:szCs w:val="21"/>
              </w:rPr>
              <w:t>2</w:t>
            </w:r>
          </w:p>
        </w:tc>
        <w:tc>
          <w:tcPr>
            <w:tcW w:w="3686" w:type="dxa"/>
            <w:vAlign w:val="center"/>
          </w:tcPr>
          <w:p w14:paraId="638D463C">
            <w:pPr>
              <w:widowControl/>
              <w:jc w:val="left"/>
              <w:rPr>
                <w:szCs w:val="21"/>
              </w:rPr>
            </w:pPr>
          </w:p>
        </w:tc>
        <w:tc>
          <w:tcPr>
            <w:tcW w:w="3402" w:type="dxa"/>
            <w:vAlign w:val="center"/>
          </w:tcPr>
          <w:p w14:paraId="1E1EDFDE">
            <w:pPr>
              <w:widowControl/>
              <w:jc w:val="left"/>
              <w:rPr>
                <w:szCs w:val="21"/>
              </w:rPr>
            </w:pPr>
          </w:p>
        </w:tc>
        <w:tc>
          <w:tcPr>
            <w:tcW w:w="992" w:type="dxa"/>
            <w:vAlign w:val="center"/>
          </w:tcPr>
          <w:p w14:paraId="3C44F2A1">
            <w:pPr>
              <w:widowControl/>
              <w:jc w:val="center"/>
              <w:rPr>
                <w:szCs w:val="21"/>
              </w:rPr>
            </w:pPr>
          </w:p>
        </w:tc>
        <w:tc>
          <w:tcPr>
            <w:tcW w:w="986" w:type="dxa"/>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356817">
            <w:pPr>
              <w:widowControl/>
              <w:jc w:val="center"/>
              <w:rPr>
                <w:szCs w:val="21"/>
              </w:rPr>
            </w:pPr>
            <w:r>
              <w:rPr>
                <w:szCs w:val="21"/>
              </w:rPr>
              <w:t>…</w:t>
            </w:r>
          </w:p>
        </w:tc>
        <w:tc>
          <w:tcPr>
            <w:tcW w:w="3686" w:type="dxa"/>
            <w:vAlign w:val="center"/>
          </w:tcPr>
          <w:p w14:paraId="670196F7">
            <w:pPr>
              <w:widowControl/>
              <w:jc w:val="left"/>
              <w:rPr>
                <w:szCs w:val="21"/>
              </w:rPr>
            </w:pPr>
          </w:p>
        </w:tc>
        <w:tc>
          <w:tcPr>
            <w:tcW w:w="3402" w:type="dxa"/>
            <w:vAlign w:val="center"/>
          </w:tcPr>
          <w:p w14:paraId="5104BE78">
            <w:pPr>
              <w:widowControl/>
              <w:jc w:val="left"/>
              <w:rPr>
                <w:szCs w:val="21"/>
              </w:rPr>
            </w:pPr>
          </w:p>
        </w:tc>
        <w:tc>
          <w:tcPr>
            <w:tcW w:w="992" w:type="dxa"/>
            <w:vAlign w:val="center"/>
          </w:tcPr>
          <w:p w14:paraId="22F4BD02">
            <w:pPr>
              <w:widowControl/>
              <w:jc w:val="center"/>
              <w:rPr>
                <w:szCs w:val="21"/>
              </w:rPr>
            </w:pPr>
          </w:p>
        </w:tc>
        <w:tc>
          <w:tcPr>
            <w:tcW w:w="986" w:type="dxa"/>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start="1"/>
          <w:cols w:space="720" w:num="1"/>
          <w:docGrid w:linePitch="312" w:charSpace="0"/>
        </w:sectPr>
      </w:pPr>
      <w:r>
        <w:rPr>
          <w:szCs w:val="21"/>
        </w:rPr>
        <w:br w:type="page"/>
      </w:r>
    </w:p>
    <w:p w14:paraId="7C0E56F4">
      <w:pPr>
        <w:widowControl/>
        <w:jc w:val="left"/>
        <w:outlineLvl w:val="0"/>
        <w:rPr>
          <w:rFonts w:ascii="宋体" w:hAnsi="宋体"/>
          <w:b/>
          <w:bCs/>
          <w:szCs w:val="21"/>
        </w:rPr>
      </w:pPr>
      <w:r>
        <w:rPr>
          <w:rFonts w:hint="eastAsia" w:ascii="宋体" w:hAnsi="宋体"/>
          <w:b/>
          <w:bCs/>
          <w:szCs w:val="21"/>
        </w:rPr>
        <w:t>附件2：考核标准</w:t>
      </w:r>
    </w:p>
    <w:p w14:paraId="2C21E9B8"/>
    <w:p w14:paraId="5BF6043E">
      <w:r>
        <w:rPr>
          <w:rFonts w:hint="eastAsia"/>
        </w:rPr>
        <w:t>*</w:t>
      </w:r>
      <w:r>
        <w:t>**</w:t>
      </w:r>
    </w:p>
    <w:p w14:paraId="05CB4E39">
      <w:pPr>
        <w:pStyle w:val="7"/>
        <w:rPr>
          <w:rFonts w:ascii="仿宋" w:hAnsi="仿宋" w:eastAsia="仿宋" w:cs="仿宋"/>
          <w:sz w:val="28"/>
          <w:szCs w:val="36"/>
        </w:rPr>
      </w:pPr>
    </w:p>
    <w:p w14:paraId="5A954D06">
      <w:pPr>
        <w:pStyle w:val="7"/>
        <w:rPr>
          <w:rFonts w:ascii="仿宋" w:hAnsi="仿宋" w:eastAsia="仿宋" w:cs="仿宋"/>
          <w:sz w:val="28"/>
          <w:szCs w:val="36"/>
        </w:rPr>
      </w:pPr>
    </w:p>
    <w:p w14:paraId="1C759154">
      <w:pPr>
        <w:pStyle w:val="7"/>
        <w:rPr>
          <w:rFonts w:ascii="仿宋" w:hAnsi="仿宋" w:eastAsia="仿宋" w:cs="仿宋"/>
          <w:sz w:val="28"/>
          <w:szCs w:val="36"/>
        </w:rPr>
      </w:pPr>
    </w:p>
    <w:p w14:paraId="7A5531E3">
      <w:pPr>
        <w:pStyle w:val="7"/>
        <w:rPr>
          <w:rFonts w:ascii="仿宋" w:hAnsi="仿宋" w:eastAsia="仿宋" w:cs="仿宋"/>
          <w:sz w:val="28"/>
          <w:szCs w:val="36"/>
        </w:rPr>
      </w:pPr>
    </w:p>
    <w:p w14:paraId="4E875001">
      <w:pPr>
        <w:rPr>
          <w:rFonts w:ascii="Times New Roman" w:hAnsi="Times New Roman"/>
        </w:rPr>
      </w:pPr>
      <w:r>
        <w:rPr>
          <w:rFonts w:ascii="Times New Roman" w:hAnsi="Times New Roman"/>
        </w:rPr>
        <w:br w:type="page"/>
      </w:r>
    </w:p>
    <w:p w14:paraId="363FF3E9">
      <w:pPr>
        <w:widowControl/>
        <w:jc w:val="left"/>
        <w:outlineLvl w:val="0"/>
        <w:rPr>
          <w:rFonts w:ascii="宋体" w:hAnsi="宋体"/>
          <w:b/>
          <w:bCs/>
          <w:szCs w:val="21"/>
        </w:rPr>
      </w:pPr>
      <w:r>
        <w:rPr>
          <w:rFonts w:hint="eastAsia" w:ascii="宋体" w:hAnsi="宋体"/>
          <w:b/>
          <w:bCs/>
          <w:szCs w:val="21"/>
        </w:rPr>
        <w:t>附件3：服务方案</w:t>
      </w:r>
    </w:p>
    <w:p w14:paraId="370E0AEC">
      <w:pPr>
        <w:pStyle w:val="27"/>
        <w:rPr>
          <w:rFonts w:ascii="Times New Roman" w:hAnsi="Times New Roman"/>
        </w:rPr>
      </w:pPr>
    </w:p>
    <w:p w14:paraId="534467C6">
      <w:pPr>
        <w:rPr>
          <w:rFonts w:ascii="Times New Roman" w:hAnsi="Times New Roman"/>
        </w:rPr>
      </w:pPr>
    </w:p>
    <w:sectPr>
      <w:headerReference r:id="rId7" w:type="default"/>
      <w:footerReference r:id="rId8"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A9A0482-B101-4976-A1E2-164188B6AE6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685848F-DFD4-4335-8578-F4055E45861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B5118B4-4BEA-426A-9C20-153EE19450BC}"/>
  </w:font>
  <w:font w:name="FangSong_GB2312">
    <w:altName w:val="仿宋"/>
    <w:panose1 w:val="02010609030101010101"/>
    <w:charset w:val="86"/>
    <w:family w:val="modern"/>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A4C670C6-310C-4C51-B7C7-8DB96FE92F1B}"/>
  </w:font>
  <w:font w:name="Segoe UI Symbol">
    <w:panose1 w:val="020B0502040204020203"/>
    <w:charset w:val="00"/>
    <w:family w:val="swiss"/>
    <w:pitch w:val="default"/>
    <w:sig w:usb0="800001E3" w:usb1="1200FFEF" w:usb2="00040000" w:usb3="04000000" w:csb0="00000001" w:csb1="40000000"/>
    <w:embedRegular r:id="rId5" w:fontKey="{939970CB-BCFF-4F58-A9AB-9C3257E01325}"/>
  </w:font>
  <w:font w:name="新宋体">
    <w:panose1 w:val="02010609030101010101"/>
    <w:charset w:val="86"/>
    <w:family w:val="auto"/>
    <w:pitch w:val="default"/>
    <w:sig w:usb0="00000203" w:usb1="288F0000" w:usb2="00000006" w:usb3="00000000" w:csb0="00040001" w:csb1="00000000"/>
    <w:embedRegular r:id="rId6" w:fontKey="{0E05D1ED-E805-4015-A295-58713E669F74}"/>
  </w:font>
  <w:font w:name="Wingdings 2">
    <w:altName w:val="Wingdings"/>
    <w:panose1 w:val="05020102010507070707"/>
    <w:charset w:val="4D"/>
    <w:family w:val="decorative"/>
    <w:pitch w:val="default"/>
    <w:sig w:usb0="00000000" w:usb1="00000000" w:usb2="00000000" w:usb3="00000000" w:csb0="80000000" w:csb1="00000000"/>
    <w:embedRegular r:id="rId7" w:fontKey="{4C41FE70-6B6F-4DD3-9110-534C8EBEE272}"/>
  </w:font>
  <w:font w:name="微软雅黑">
    <w:panose1 w:val="020B0503020204020204"/>
    <w:charset w:val="86"/>
    <w:family w:val="swiss"/>
    <w:pitch w:val="default"/>
    <w:sig w:usb0="80000287" w:usb1="2ACF3C50" w:usb2="00000016" w:usb3="00000000" w:csb0="0004001F" w:csb1="00000000"/>
    <w:embedRegular r:id="rId8" w:fontKey="{83779BC3-B09E-4F32-803A-31F519BB74D1}"/>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E7760">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3</w:t>
                          </w:r>
                          <w:r>
                            <w:rPr>
                              <w:rFonts w:hint="eastAsia"/>
                              <w:lang w:val="en-US" w:eastAsia="zh-CN"/>
                            </w:rPr>
                            <w:t>7</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68E7760">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3</w:t>
                    </w:r>
                    <w:r>
                      <w:rPr>
                        <w:rFonts w:hint="eastAsia"/>
                        <w:lang w:val="en-US" w:eastAsia="zh-CN"/>
                      </w:rPr>
                      <w:t>7</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0FC2D">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C30FC2D">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1">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4"/>
  </w:num>
  <w:num w:numId="5">
    <w:abstractNumId w:val="12"/>
  </w:num>
  <w:num w:numId="6">
    <w:abstractNumId w:val="15"/>
  </w:num>
  <w:num w:numId="7">
    <w:abstractNumId w:val="2"/>
  </w:num>
  <w:num w:numId="8">
    <w:abstractNumId w:val="1"/>
  </w:num>
  <w:num w:numId="9">
    <w:abstractNumId w:val="0"/>
  </w:num>
  <w:num w:numId="10">
    <w:abstractNumId w:val="4"/>
  </w:num>
  <w:num w:numId="11">
    <w:abstractNumId w:val="11"/>
  </w:num>
  <w:num w:numId="12">
    <w:abstractNumId w:val="20"/>
  </w:num>
  <w:num w:numId="13">
    <w:abstractNumId w:val="23"/>
  </w:num>
  <w:num w:numId="14">
    <w:abstractNumId w:val="18"/>
  </w:num>
  <w:num w:numId="15">
    <w:abstractNumId w:val="8"/>
  </w:num>
  <w:num w:numId="16">
    <w:abstractNumId w:val="6"/>
  </w:num>
  <w:num w:numId="17">
    <w:abstractNumId w:val="21"/>
  </w:num>
  <w:num w:numId="18">
    <w:abstractNumId w:val="17"/>
  </w:num>
  <w:num w:numId="19">
    <w:abstractNumId w:val="7"/>
  </w:num>
  <w:num w:numId="20">
    <w:abstractNumId w:val="10"/>
  </w:num>
  <w:num w:numId="21">
    <w:abstractNumId w:val="22"/>
  </w:num>
  <w:num w:numId="22">
    <w:abstractNumId w:val="5"/>
  </w:num>
  <w:num w:numId="23">
    <w:abstractNumId w:val="19"/>
  </w:num>
  <w:num w:numId="24">
    <w:abstractNumId w:val="9"/>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C756B"/>
    <w:rsid w:val="004F4DC4"/>
    <w:rsid w:val="00547343"/>
    <w:rsid w:val="00554621"/>
    <w:rsid w:val="0057603A"/>
    <w:rsid w:val="005951BE"/>
    <w:rsid w:val="005A705A"/>
    <w:rsid w:val="005D169E"/>
    <w:rsid w:val="0061130C"/>
    <w:rsid w:val="0064444C"/>
    <w:rsid w:val="00677BCD"/>
    <w:rsid w:val="006B63B0"/>
    <w:rsid w:val="006F4109"/>
    <w:rsid w:val="00710285"/>
    <w:rsid w:val="00731B3B"/>
    <w:rsid w:val="007365C1"/>
    <w:rsid w:val="00746494"/>
    <w:rsid w:val="0075510B"/>
    <w:rsid w:val="007760AF"/>
    <w:rsid w:val="00780419"/>
    <w:rsid w:val="007A2792"/>
    <w:rsid w:val="007C5836"/>
    <w:rsid w:val="007D6E11"/>
    <w:rsid w:val="00823167"/>
    <w:rsid w:val="008439DA"/>
    <w:rsid w:val="00882204"/>
    <w:rsid w:val="008F14FA"/>
    <w:rsid w:val="008F26A3"/>
    <w:rsid w:val="008F46FB"/>
    <w:rsid w:val="00901427"/>
    <w:rsid w:val="0094161B"/>
    <w:rsid w:val="00954652"/>
    <w:rsid w:val="0096012B"/>
    <w:rsid w:val="009C452F"/>
    <w:rsid w:val="009D1014"/>
    <w:rsid w:val="00A12C4A"/>
    <w:rsid w:val="00A4099C"/>
    <w:rsid w:val="00A72CD1"/>
    <w:rsid w:val="00AD5068"/>
    <w:rsid w:val="00B16CD7"/>
    <w:rsid w:val="00B2440D"/>
    <w:rsid w:val="00B35E66"/>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D7279"/>
    <w:rsid w:val="00DE5670"/>
    <w:rsid w:val="00DF3B6A"/>
    <w:rsid w:val="00E2603E"/>
    <w:rsid w:val="00E535EF"/>
    <w:rsid w:val="00E71156"/>
    <w:rsid w:val="00E769CD"/>
    <w:rsid w:val="00EA700B"/>
    <w:rsid w:val="00EF1292"/>
    <w:rsid w:val="00EF5CDB"/>
    <w:rsid w:val="00F136D7"/>
    <w:rsid w:val="00F3202A"/>
    <w:rsid w:val="00F523A1"/>
    <w:rsid w:val="00F676AD"/>
    <w:rsid w:val="00F90C3B"/>
    <w:rsid w:val="00FF60E3"/>
    <w:rsid w:val="01E65A81"/>
    <w:rsid w:val="02B059C6"/>
    <w:rsid w:val="02B95018"/>
    <w:rsid w:val="058C78B0"/>
    <w:rsid w:val="05E13064"/>
    <w:rsid w:val="077B70C4"/>
    <w:rsid w:val="078A573C"/>
    <w:rsid w:val="093A3733"/>
    <w:rsid w:val="0B4508AE"/>
    <w:rsid w:val="0CF161C9"/>
    <w:rsid w:val="0D352B8F"/>
    <w:rsid w:val="0E0B7FF0"/>
    <w:rsid w:val="11075CBE"/>
    <w:rsid w:val="115D07B9"/>
    <w:rsid w:val="117A5014"/>
    <w:rsid w:val="127F05A0"/>
    <w:rsid w:val="127F1D65"/>
    <w:rsid w:val="13546548"/>
    <w:rsid w:val="136D78F8"/>
    <w:rsid w:val="1411115B"/>
    <w:rsid w:val="15CC4977"/>
    <w:rsid w:val="162A4F7D"/>
    <w:rsid w:val="16A82A66"/>
    <w:rsid w:val="1994787E"/>
    <w:rsid w:val="19FF304F"/>
    <w:rsid w:val="1DD000AF"/>
    <w:rsid w:val="1E09745A"/>
    <w:rsid w:val="1E176351"/>
    <w:rsid w:val="1FD31681"/>
    <w:rsid w:val="22604CE3"/>
    <w:rsid w:val="229D6DB5"/>
    <w:rsid w:val="23D4489F"/>
    <w:rsid w:val="262001B9"/>
    <w:rsid w:val="27B87AF9"/>
    <w:rsid w:val="27E80EA9"/>
    <w:rsid w:val="280414A1"/>
    <w:rsid w:val="28570368"/>
    <w:rsid w:val="29A82748"/>
    <w:rsid w:val="29C5318E"/>
    <w:rsid w:val="2B502F98"/>
    <w:rsid w:val="2C9A0A9E"/>
    <w:rsid w:val="2CA621A6"/>
    <w:rsid w:val="2DA70D65"/>
    <w:rsid w:val="2EE31C10"/>
    <w:rsid w:val="313B414B"/>
    <w:rsid w:val="31B91E71"/>
    <w:rsid w:val="31BB58C7"/>
    <w:rsid w:val="3427766B"/>
    <w:rsid w:val="343706EB"/>
    <w:rsid w:val="351A08D0"/>
    <w:rsid w:val="36285582"/>
    <w:rsid w:val="36334CE5"/>
    <w:rsid w:val="3A551407"/>
    <w:rsid w:val="3AE57E7C"/>
    <w:rsid w:val="3B033C36"/>
    <w:rsid w:val="3E4D49D4"/>
    <w:rsid w:val="3E5D4E8E"/>
    <w:rsid w:val="3EF43DA9"/>
    <w:rsid w:val="3FE25336"/>
    <w:rsid w:val="42075FF8"/>
    <w:rsid w:val="42842020"/>
    <w:rsid w:val="42F7352A"/>
    <w:rsid w:val="44B14170"/>
    <w:rsid w:val="468567BB"/>
    <w:rsid w:val="4782487D"/>
    <w:rsid w:val="47B927EA"/>
    <w:rsid w:val="48A218CD"/>
    <w:rsid w:val="49F21769"/>
    <w:rsid w:val="4A887185"/>
    <w:rsid w:val="4B31068E"/>
    <w:rsid w:val="4BA55220"/>
    <w:rsid w:val="4BAD0151"/>
    <w:rsid w:val="4C7174F3"/>
    <w:rsid w:val="4C8F75A2"/>
    <w:rsid w:val="4D581919"/>
    <w:rsid w:val="4DAD4403"/>
    <w:rsid w:val="4E8C008E"/>
    <w:rsid w:val="4ED23848"/>
    <w:rsid w:val="4FEF758C"/>
    <w:rsid w:val="50771A9C"/>
    <w:rsid w:val="51C47F6D"/>
    <w:rsid w:val="535C64FC"/>
    <w:rsid w:val="5455382C"/>
    <w:rsid w:val="54643166"/>
    <w:rsid w:val="56644D56"/>
    <w:rsid w:val="56C55F4F"/>
    <w:rsid w:val="571F5A86"/>
    <w:rsid w:val="57235ED9"/>
    <w:rsid w:val="5A102BB5"/>
    <w:rsid w:val="5D0A3490"/>
    <w:rsid w:val="5D7E0D39"/>
    <w:rsid w:val="5E9D3F29"/>
    <w:rsid w:val="5F542CA1"/>
    <w:rsid w:val="60202C9E"/>
    <w:rsid w:val="60384CD1"/>
    <w:rsid w:val="60655808"/>
    <w:rsid w:val="621922AC"/>
    <w:rsid w:val="63A9427A"/>
    <w:rsid w:val="63D462B1"/>
    <w:rsid w:val="641A3596"/>
    <w:rsid w:val="64D96647"/>
    <w:rsid w:val="655B51E5"/>
    <w:rsid w:val="65E360EC"/>
    <w:rsid w:val="65E40ADA"/>
    <w:rsid w:val="662621EA"/>
    <w:rsid w:val="66330B86"/>
    <w:rsid w:val="66E22203"/>
    <w:rsid w:val="67AD41EB"/>
    <w:rsid w:val="68B812C9"/>
    <w:rsid w:val="69D50CF4"/>
    <w:rsid w:val="6A1D6F5D"/>
    <w:rsid w:val="6C487AFD"/>
    <w:rsid w:val="6CB24363"/>
    <w:rsid w:val="6D1329A6"/>
    <w:rsid w:val="6EA93466"/>
    <w:rsid w:val="6F97249D"/>
    <w:rsid w:val="6FCF0795"/>
    <w:rsid w:val="70C1496B"/>
    <w:rsid w:val="70EE62C9"/>
    <w:rsid w:val="71241736"/>
    <w:rsid w:val="71381023"/>
    <w:rsid w:val="73714961"/>
    <w:rsid w:val="754D1D92"/>
    <w:rsid w:val="758350A9"/>
    <w:rsid w:val="7641182E"/>
    <w:rsid w:val="774D0C53"/>
    <w:rsid w:val="795C6881"/>
    <w:rsid w:val="79687E1D"/>
    <w:rsid w:val="79B62FBA"/>
    <w:rsid w:val="7A37110E"/>
    <w:rsid w:val="7B0A23D6"/>
    <w:rsid w:val="7B560FD7"/>
    <w:rsid w:val="7B5F74F8"/>
    <w:rsid w:val="7B690630"/>
    <w:rsid w:val="7C5123F4"/>
    <w:rsid w:val="7CB400F8"/>
    <w:rsid w:val="7CE016CA"/>
    <w:rsid w:val="7D040AB6"/>
    <w:rsid w:val="7D4119E6"/>
    <w:rsid w:val="7DAF162B"/>
    <w:rsid w:val="7DC42B41"/>
    <w:rsid w:val="7EB63C19"/>
    <w:rsid w:val="7F05566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8"/>
    <w:qFormat/>
    <w:uiPriority w:val="0"/>
    <w:pPr>
      <w:jc w:val="left"/>
    </w:pPr>
  </w:style>
  <w:style w:type="paragraph" w:styleId="7">
    <w:name w:val="Body Text"/>
    <w:basedOn w:val="1"/>
    <w:next w:val="8"/>
    <w:qFormat/>
    <w:uiPriority w:val="0"/>
    <w:pPr>
      <w:spacing w:after="120"/>
    </w:pPr>
  </w:style>
  <w:style w:type="paragraph" w:styleId="8">
    <w:name w:val="Subtitle"/>
    <w:basedOn w:val="1"/>
    <w:next w:val="1"/>
    <w:qFormat/>
    <w:uiPriority w:val="11"/>
    <w:pPr>
      <w:spacing w:before="240" w:after="60" w:line="312" w:lineRule="auto"/>
      <w:jc w:val="center"/>
      <w:outlineLvl w:val="1"/>
    </w:pPr>
    <w:rPr>
      <w:b/>
      <w:bCs/>
      <w:kern w:val="28"/>
      <w:sz w:val="32"/>
      <w:szCs w:val="32"/>
    </w:r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3"/>
    <w:qFormat/>
    <w:uiPriority w:val="0"/>
    <w:pPr>
      <w:spacing w:after="120" w:line="480" w:lineRule="auto"/>
      <w:ind w:left="420" w:leftChars="200"/>
    </w:pPr>
    <w:rPr>
      <w:szCs w:val="20"/>
    </w:rPr>
  </w:style>
  <w:style w:type="paragraph" w:styleId="11">
    <w:name w:val="Balloon Text"/>
    <w:basedOn w:val="1"/>
    <w:link w:val="40"/>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Autospacing="1" w:afterAutospacing="1"/>
      <w:jc w:val="left"/>
    </w:pPr>
    <w:rPr>
      <w:rFonts w:cs="Times New Roman"/>
      <w:kern w:val="0"/>
      <w:sz w:val="24"/>
    </w:rPr>
  </w:style>
  <w:style w:type="paragraph" w:styleId="16">
    <w:name w:val="annotation subject"/>
    <w:basedOn w:val="6"/>
    <w:next w:val="6"/>
    <w:link w:val="39"/>
    <w:qFormat/>
    <w:uiPriority w:val="0"/>
    <w:rPr>
      <w:b/>
      <w:bCs/>
    </w:rPr>
  </w:style>
  <w:style w:type="paragraph" w:styleId="17">
    <w:name w:val="Body Text First Indent"/>
    <w:basedOn w:val="7"/>
    <w:link w:val="34"/>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7"/>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Hyperlink"/>
    <w:basedOn w:val="21"/>
    <w:qFormat/>
    <w:uiPriority w:val="0"/>
    <w:rPr>
      <w:color w:val="0000FF"/>
      <w:u w:val="single"/>
    </w:rPr>
  </w:style>
  <w:style w:type="character" w:styleId="24">
    <w:name w:val="annotation reference"/>
    <w:basedOn w:val="21"/>
    <w:qFormat/>
    <w:uiPriority w:val="0"/>
    <w:rPr>
      <w:sz w:val="21"/>
      <w:szCs w:val="21"/>
    </w:rPr>
  </w:style>
  <w:style w:type="paragraph" w:customStyle="1" w:styleId="25">
    <w:name w:val="标题 5（有编号）（绿盟科技）"/>
    <w:basedOn w:val="26"/>
    <w:next w:val="27"/>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10"/>
    <w:qFormat/>
    <w:uiPriority w:val="0"/>
    <w:rPr>
      <w:szCs w:val="20"/>
    </w:rPr>
  </w:style>
  <w:style w:type="character" w:customStyle="1" w:styleId="34">
    <w:name w:val="Body Text First Indent Char"/>
    <w:link w:val="17"/>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8"/>
    <w:qFormat/>
    <w:uiPriority w:val="99"/>
    <w:rPr>
      <w:rFonts w:ascii="宋体" w:hAnsi="Times New Roman"/>
      <w:kern w:val="0"/>
      <w:sz w:val="21"/>
      <w:szCs w:val="24"/>
    </w:rPr>
  </w:style>
  <w:style w:type="character" w:customStyle="1" w:styleId="38">
    <w:name w:val="Comment Text Char"/>
    <w:basedOn w:val="21"/>
    <w:link w:val="6"/>
    <w:qFormat/>
    <w:uiPriority w:val="0"/>
    <w:rPr>
      <w:kern w:val="2"/>
      <w:sz w:val="21"/>
      <w:szCs w:val="22"/>
    </w:rPr>
  </w:style>
  <w:style w:type="character" w:customStyle="1" w:styleId="39">
    <w:name w:val="Comment Subject Char"/>
    <w:basedOn w:val="38"/>
    <w:link w:val="16"/>
    <w:qFormat/>
    <w:uiPriority w:val="0"/>
    <w:rPr>
      <w:b/>
      <w:bCs/>
      <w:kern w:val="2"/>
      <w:sz w:val="21"/>
      <w:szCs w:val="22"/>
    </w:rPr>
  </w:style>
  <w:style w:type="character" w:customStyle="1" w:styleId="40">
    <w:name w:val="Balloon Text Char"/>
    <w:basedOn w:val="21"/>
    <w:link w:val="11"/>
    <w:qFormat/>
    <w:uiPriority w:val="0"/>
    <w:rPr>
      <w:kern w:val="2"/>
      <w:sz w:val="18"/>
      <w:szCs w:val="18"/>
    </w:rPr>
  </w:style>
  <w:style w:type="character" w:customStyle="1" w:styleId="41">
    <w:name w:val="Heading 2 Char"/>
    <w:link w:val="3"/>
    <w:qFormat/>
    <w:uiPriority w:val="0"/>
    <w:rPr>
      <w:rFonts w:ascii="Times New Roman" w:hAnsi="Times New Roman" w:eastAsia="仿宋" w:cs="Times New Roman"/>
      <w:b/>
      <w:sz w:val="32"/>
    </w:rPr>
  </w:style>
  <w:style w:type="paragraph" w:customStyle="1" w:styleId="42">
    <w:name w:val="null3"/>
    <w:basedOn w:val="1"/>
    <w:qFormat/>
    <w:uiPriority w:val="0"/>
    <w:pPr>
      <w:widowControl/>
      <w:jc w:val="left"/>
    </w:pPr>
    <w:rPr>
      <w:kern w:val="0"/>
      <w:sz w:val="24"/>
      <w:szCs w:val="24"/>
    </w:rPr>
  </w:style>
  <w:style w:type="paragraph" w:customStyle="1" w:styleId="43">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39</Pages>
  <Words>118</Words>
  <Characters>126</Characters>
  <Lines>127</Lines>
  <Paragraphs>35</Paragraphs>
  <TotalTime>1</TotalTime>
  <ScaleCrop>false</ScaleCrop>
  <LinksUpToDate>false</LinksUpToDate>
  <CharactersWithSpaces>146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2026-04-17T03:38:00Z</dcterms:created>
  <dc:creator>7</dc:creator>
  <cp:lastModifiedBy>SHJ</cp:lastModifiedBy>
  <dcterms:modified xsi:type="dcterms:W3CDTF">2026-11-05T08:51:14Z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1F8DBAFE5E74451D9F7DB03EBB1558C4_13</vt:lpwstr>
  </property>
  <property fmtid="{D5CDD505-2E9C-101B-9397-08002B2CF9AE}" pid="4" name="KSOTemplateDocerSaveRecord">
    <vt:lpwstr>eyJoZGlkIjoiMmYzMjBlOTBlMmU5YzA1ZjM4ZDczZjBmYWNjYjE4M2UiLCJ1c2VySWQiOiI2NTgwMTYxNjcifQ==</vt:lpwstr>
  </property>
</Properties>
</file>