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ind w:left="0" w:leftChars="0"/>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四川省人民医院GCP机构档案扫描存档服务采购项目</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12</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3240"/>
      <w:bookmarkStart w:id="3" w:name="_Toc1907"/>
      <w:bookmarkStart w:id="4" w:name="_Toc20358"/>
      <w:bookmarkStart w:id="5" w:name="_Toc21919"/>
      <w:bookmarkStart w:id="104" w:name="_GoBack"/>
      <w:bookmarkEnd w:id="104"/>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22"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88"/>
        <w:gridCol w:w="7271"/>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292" w:type="pct"/>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970" w:type="pct"/>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3736" w:type="pct"/>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292" w:type="pct"/>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970" w:type="pct"/>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3736" w:type="pct"/>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292" w:type="pct"/>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970" w:type="pct"/>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3736" w:type="pct"/>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四川省人民医院GCP机构档案扫描存档服务采购项目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292" w:type="pct"/>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3736" w:type="pct"/>
            <w:vAlign w:val="center"/>
          </w:tcPr>
          <w:p w14:paraId="027F4916">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CGZX-HQB20251477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292" w:type="pct"/>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3736" w:type="pct"/>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292" w:type="pct"/>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3736" w:type="pct"/>
            <w:vAlign w:val="center"/>
          </w:tcPr>
          <w:p w14:paraId="526F90A0">
            <w:pPr>
              <w:spacing w:line="360" w:lineRule="auto"/>
              <w:ind w:left="210" w:leftChars="100"/>
              <w:jc w:val="left"/>
              <w:rPr>
                <w:rFonts w:hint="default" w:ascii="Times New Roman" w:hAnsi="Times New Roman" w:eastAsia="仿宋" w:cs="Times New Roman"/>
                <w:color w:val="auto"/>
                <w:sz w:val="22"/>
                <w:lang w:val="en-US" w:eastAsia="zh-CN"/>
              </w:rPr>
            </w:pPr>
            <w:r>
              <w:rPr>
                <w:rFonts w:hint="eastAsia" w:ascii="Times New Roman" w:hAnsi="Times New Roman" w:eastAsia="仿宋" w:cs="Times New Roman"/>
                <w:sz w:val="22"/>
                <w:lang w:val="en-US" w:eastAsia="zh-CN"/>
              </w:rPr>
              <w:t>支付上限为人民币34万元</w:t>
            </w:r>
            <w:r>
              <w:rPr>
                <w:rFonts w:hint="eastAsia" w:ascii="Times New Roman" w:hAnsi="Times New Roman" w:eastAsia="仿宋" w:cs="Times New Roman"/>
                <w:color w:val="auto"/>
                <w:sz w:val="22"/>
                <w:lang w:val="en-US" w:eastAsia="zh-CN"/>
              </w:rPr>
              <w:t>，</w:t>
            </w:r>
            <w:r>
              <w:rPr>
                <w:rFonts w:hint="eastAsia" w:ascii="Times New Roman" w:hAnsi="Times New Roman" w:eastAsia="仿宋" w:cs="Times New Roman"/>
                <w:sz w:val="22"/>
                <w:lang w:val="en-US" w:eastAsia="zh-CN"/>
              </w:rPr>
              <w:t>扫描服务费</w:t>
            </w:r>
            <w:r>
              <w:rPr>
                <w:rFonts w:hint="eastAsia" w:ascii="Times New Roman" w:hAnsi="Times New Roman" w:eastAsia="仿宋" w:cs="Times New Roman"/>
                <w:color w:val="auto"/>
                <w:sz w:val="22"/>
                <w:lang w:val="en-US" w:eastAsia="zh-CN"/>
              </w:rPr>
              <w:t>限高价：0.065元/页。</w:t>
            </w:r>
          </w:p>
          <w:p w14:paraId="1D0C1EB9">
            <w:pPr>
              <w:spacing w:line="360" w:lineRule="auto"/>
              <w:ind w:left="210" w:leftChars="100"/>
              <w:jc w:val="left"/>
              <w:rPr>
                <w:rFonts w:ascii="Times New Roman" w:hAnsi="Times New Roman" w:eastAsia="仿宋" w:cs="Times New Roman"/>
                <w:sz w:val="22"/>
              </w:rPr>
            </w:pPr>
            <w:r>
              <w:rPr>
                <w:rFonts w:hint="eastAsia" w:ascii="Times New Roman" w:hAnsi="Times New Roman" w:eastAsia="仿宋" w:cs="Times New Roman"/>
                <w:sz w:val="22"/>
                <w:lang w:val="en-US" w:eastAsia="zh-CN"/>
              </w:rPr>
              <w:t>超过本项目扫描服务费</w:t>
            </w:r>
            <w:r>
              <w:rPr>
                <w:rFonts w:hint="eastAsia" w:ascii="Times New Roman" w:hAnsi="Times New Roman" w:eastAsia="仿宋" w:cs="Times New Roman"/>
                <w:color w:val="auto"/>
                <w:sz w:val="22"/>
                <w:lang w:val="en-US" w:eastAsia="zh-CN"/>
              </w:rPr>
              <w:t>限高价</w:t>
            </w:r>
            <w:r>
              <w:rPr>
                <w:rFonts w:hint="eastAsia" w:ascii="Times New Roman" w:hAnsi="Times New Roman" w:eastAsia="仿宋" w:cs="Times New Roman"/>
                <w:sz w:val="22"/>
                <w:lang w:val="en-US" w:eastAsia="zh-CN"/>
              </w:rPr>
              <w:t>视为无效报价，其响应文件作无效处理。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292" w:type="pct"/>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3736" w:type="pct"/>
            <w:vAlign w:val="center"/>
          </w:tcPr>
          <w:p w14:paraId="0C1E08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292" w:type="pct"/>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3736" w:type="pct"/>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292" w:type="pct"/>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3736" w:type="pct"/>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292" w:type="pct"/>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3736" w:type="pct"/>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292" w:type="pct"/>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Merge w:val="continue"/>
            <w:vAlign w:val="center"/>
          </w:tcPr>
          <w:p w14:paraId="1AE804CF">
            <w:pPr>
              <w:spacing w:line="360" w:lineRule="auto"/>
              <w:jc w:val="center"/>
              <w:rPr>
                <w:rFonts w:ascii="Times New Roman" w:hAnsi="Times New Roman" w:eastAsia="仿宋" w:cs="Times New Roman"/>
                <w:kern w:val="0"/>
                <w:sz w:val="22"/>
              </w:rPr>
            </w:pPr>
          </w:p>
        </w:tc>
        <w:tc>
          <w:tcPr>
            <w:tcW w:w="3736" w:type="pct"/>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F5AF47C">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292" w:type="pct"/>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3736" w:type="pct"/>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292" w:type="pct"/>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3736" w:type="pct"/>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292" w:type="pct"/>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3736" w:type="pct"/>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交款金额：</w:t>
            </w:r>
            <w:r>
              <w:rPr>
                <w:rFonts w:hint="eastAsia" w:ascii="Times New Roman" w:hAnsi="Times New Roman" w:eastAsia="仿宋" w:cs="Times New Roman"/>
                <w:sz w:val="22"/>
                <w:szCs w:val="22"/>
                <w:highlight w:val="none"/>
                <w:lang w:val="zh-CN" w:eastAsia="zh-CN"/>
              </w:rPr>
              <w:t>合同</w:t>
            </w:r>
            <w:r>
              <w:rPr>
                <w:rFonts w:hint="eastAsia" w:ascii="Times New Roman" w:hAnsi="Times New Roman" w:eastAsia="仿宋" w:cs="Times New Roman"/>
                <w:sz w:val="22"/>
                <w:szCs w:val="22"/>
                <w:highlight w:val="none"/>
                <w:lang w:val="en-US" w:eastAsia="zh-CN"/>
              </w:rPr>
              <w:t>支付上限</w:t>
            </w:r>
            <w:r>
              <w:rPr>
                <w:rFonts w:hint="eastAsia" w:ascii="Times New Roman" w:hAnsi="Times New Roman" w:eastAsia="仿宋" w:cs="Times New Roman"/>
                <w:sz w:val="22"/>
                <w:szCs w:val="22"/>
                <w:highlight w:val="none"/>
                <w:lang w:val="zh-CN" w:eastAsia="zh-CN"/>
              </w:rPr>
              <w:t>的</w:t>
            </w:r>
            <w:r>
              <w:rPr>
                <w:rFonts w:hint="eastAsia" w:ascii="Times New Roman" w:hAnsi="Times New Roman" w:eastAsia="仿宋" w:cs="Times New Roman"/>
                <w:sz w:val="22"/>
                <w:szCs w:val="22"/>
                <w:highlight w:val="none"/>
                <w:lang w:val="en-US" w:eastAsia="zh-CN"/>
              </w:rPr>
              <w:t>5</w:t>
            </w:r>
            <w:r>
              <w:rPr>
                <w:rFonts w:hint="eastAsia" w:ascii="Times New Roman" w:hAnsi="Times New Roman" w:eastAsia="仿宋" w:cs="Times New Roman"/>
                <w:sz w:val="22"/>
                <w:szCs w:val="22"/>
                <w:highlight w:val="none"/>
                <w:lang w:val="zh-CN" w:eastAsia="zh-CN"/>
              </w:rPr>
              <w:t>%</w:t>
            </w:r>
            <w:r>
              <w:rPr>
                <w:rFonts w:hint="eastAsia" w:ascii="Times New Roman" w:hAnsi="Times New Roman" w:eastAsia="仿宋" w:cs="Times New Roman"/>
                <w:sz w:val="22"/>
                <w:szCs w:val="22"/>
                <w:highlight w:val="none"/>
                <w:u w:val="none"/>
                <w:lang w:val="zh-CN" w:eastAsia="zh-CN"/>
              </w:rPr>
              <w:t>。</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仿宋" w:hAnsi="仿宋" w:eastAsia="仿宋" w:cs="仿宋"/>
                <w:sz w:val="22"/>
                <w:szCs w:val="22"/>
                <w:lang w:val="zh-CN"/>
              </w:rPr>
              <w:t>履约保证金</w:t>
            </w:r>
            <w:r>
              <w:rPr>
                <w:rFonts w:hint="eastAsia" w:ascii="仿宋" w:hAnsi="仿宋" w:eastAsia="仿宋" w:cs="仿宋"/>
                <w:sz w:val="22"/>
                <w:szCs w:val="22"/>
                <w:lang w:val="en-US" w:eastAsia="zh-CN"/>
              </w:rPr>
              <w:t>应当</w:t>
            </w:r>
            <w:r>
              <w:rPr>
                <w:rFonts w:hint="eastAsia" w:ascii="仿宋" w:hAnsi="仿宋" w:eastAsia="仿宋" w:cs="仿宋"/>
                <w:sz w:val="22"/>
                <w:szCs w:val="22"/>
                <w:lang w:val="zh-CN"/>
              </w:rPr>
              <w:t>以</w:t>
            </w:r>
            <w:r>
              <w:rPr>
                <w:rFonts w:hint="eastAsia" w:ascii="仿宋" w:hAnsi="仿宋" w:eastAsia="仿宋" w:cs="仿宋"/>
                <w:sz w:val="22"/>
                <w:szCs w:val="22"/>
                <w:lang w:val="zh-CN" w:eastAsia="zh-CN"/>
              </w:rPr>
              <w:t>支票、汇票、本票或者金融机构、担保机构出具的保函等非现金形式(包括网银转账，电汇等方式)提交</w:t>
            </w:r>
            <w:r>
              <w:rPr>
                <w:rFonts w:hint="eastAsia" w:ascii="仿宋" w:hAnsi="仿宋" w:eastAsia="仿宋" w:cs="仿宋"/>
                <w:sz w:val="22"/>
                <w:szCs w:val="22"/>
                <w:lang w:val="zh-CN"/>
              </w:rPr>
              <w:t>；</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3D0822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highlight w:val="none"/>
              </w:rPr>
            </w:pPr>
            <w:r>
              <w:rPr>
                <w:rFonts w:ascii="Times New Roman" w:hAnsi="Times New Roman" w:eastAsia="仿宋" w:cs="Times New Roman"/>
                <w:sz w:val="22"/>
                <w:szCs w:val="22"/>
                <w:lang w:val="zh-CN"/>
              </w:rPr>
              <w:t>交款时间：</w:t>
            </w:r>
            <w:r>
              <w:rPr>
                <w:rFonts w:hint="eastAsia" w:ascii="Times New Roman" w:hAnsi="Times New Roman" w:eastAsia="仿宋" w:cs="Times New Roman"/>
                <w:color w:val="auto"/>
                <w:sz w:val="22"/>
                <w:szCs w:val="22"/>
                <w:highlight w:val="none"/>
                <w:lang w:val="en-US" w:eastAsia="zh-CN"/>
              </w:rPr>
              <w:t>合同签订生效后7个工作日内。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服务期结束且经采购人验收合格后，采购人接到供应商退还申请后30个工作日内，一次性无息退还全部履约保证金。</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544132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供应商拒绝履行与采购人订立的合同。</w:t>
            </w:r>
          </w:p>
          <w:p w14:paraId="693D0F0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因供应商严重违约或其它违法违规行为等情形，导致双方无法继续履约。</w:t>
            </w:r>
          </w:p>
          <w:p w14:paraId="4F09EBE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292" w:type="pct"/>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3736" w:type="pct"/>
            <w:vAlign w:val="center"/>
          </w:tcPr>
          <w:p w14:paraId="4D60C864">
            <w:pPr>
              <w:spacing w:line="360" w:lineRule="auto"/>
              <w:ind w:left="210" w:leftChars="100"/>
              <w:rPr>
                <w:rFonts w:ascii="Times New Roman" w:hAnsi="Times New Roman" w:eastAsia="仿宋" w:cs="Times New Roman"/>
                <w:b/>
                <w:bCs/>
                <w:sz w:val="22"/>
                <w:highlight w:val="none"/>
              </w:rPr>
            </w:pPr>
            <w:r>
              <w:rPr>
                <w:rFonts w:ascii="Times New Roman" w:hAnsi="Times New Roman" w:eastAsia="仿宋" w:cs="Times New Roman"/>
                <w:b/>
                <w:bCs/>
                <w:sz w:val="24"/>
                <w:szCs w:val="24"/>
                <w:highlight w:val="none"/>
              </w:rPr>
              <w:sym w:font="Wingdings" w:char="00A8"/>
            </w:r>
            <w:r>
              <w:rPr>
                <w:rFonts w:ascii="Times New Roman" w:hAnsi="Times New Roman" w:eastAsia="仿宋" w:cs="Times New Roman"/>
                <w:b/>
                <w:bCs/>
                <w:sz w:val="22"/>
                <w:highlight w:val="none"/>
              </w:rPr>
              <w:t>综合评分法</w:t>
            </w:r>
          </w:p>
          <w:p w14:paraId="294CADF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kern w:val="0"/>
                <w:sz w:val="22"/>
                <w:lang w:val="zh-CN"/>
              </w:rPr>
              <w:t>通过资格、符合性审查且满足谈判文件全部实质性要求的供应商达到3家以上(含3家)，若合格供应商只有2家，但采购文件没有不合理条款，且采购程序符合规定的，可以继续开展采购</w:t>
            </w:r>
            <w:r>
              <w:rPr>
                <w:rFonts w:hint="eastAsia" w:ascii="Times New Roman" w:hAnsi="Times New Roman" w:eastAsia="仿宋" w:cs="Times New Roman"/>
                <w:kern w:val="0"/>
                <w:sz w:val="22"/>
                <w:lang w:val="en-US" w:eastAsia="zh-CN"/>
              </w:rPr>
              <w:t>活动</w:t>
            </w:r>
            <w:r>
              <w:rPr>
                <w:rFonts w:hint="eastAsia" w:ascii="Times New Roman" w:hAnsi="Times New Roman" w:eastAsia="仿宋" w:cs="Times New Roman"/>
                <w:kern w:val="0"/>
                <w:sz w:val="22"/>
                <w:lang w:val="zh-CN"/>
              </w:rPr>
              <w:t>。谈判小组按照评审因素进行评分，得分最高的供应商为成交供应商。若得分相同则报价最低的为成交供应商，若报价相同且所有技术、服务及商务要求响应情况均一致则采取随机抽取的方式确定成交供应商</w:t>
            </w:r>
            <w:r>
              <w:rPr>
                <w:rFonts w:ascii="Times New Roman" w:hAnsi="Times New Roman" w:eastAsia="仿宋" w:cs="Times New Roman"/>
                <w:kern w:val="0"/>
                <w:sz w:val="22"/>
                <w:lang w:val="zh-CN"/>
              </w:rPr>
              <w:t>。</w:t>
            </w:r>
          </w:p>
          <w:p w14:paraId="6CD0CAA6">
            <w:pPr>
              <w:spacing w:line="360" w:lineRule="auto"/>
              <w:ind w:left="210" w:leftChars="100"/>
              <w:rPr>
                <w:rFonts w:hint="eastAsia" w:ascii="Times New Roman" w:hAnsi="Times New Roman" w:eastAsia="仿宋" w:cs="Times New Roman"/>
                <w:b/>
                <w:bCs/>
                <w:kern w:val="0"/>
                <w:sz w:val="22"/>
                <w:lang w:val="zh-CN"/>
              </w:rPr>
            </w:pPr>
            <w:r>
              <w:rPr>
                <w:rFonts w:hint="eastAsia" w:ascii="Times New Roman" w:hAnsi="Times New Roman" w:eastAsia="仿宋" w:cs="Times New Roman"/>
                <w:b/>
                <w:bCs/>
                <w:kern w:val="0"/>
                <w:sz w:val="22"/>
                <w:lang w:val="zh-CN"/>
              </w:rPr>
              <w:sym w:font="Wingdings" w:char="00FE"/>
            </w:r>
            <w:r>
              <w:rPr>
                <w:rFonts w:hint="eastAsia" w:ascii="Times New Roman" w:hAnsi="Times New Roman" w:eastAsia="仿宋" w:cs="Times New Roman"/>
                <w:b/>
                <w:bCs/>
                <w:kern w:val="0"/>
                <w:sz w:val="22"/>
                <w:lang w:val="zh-CN"/>
              </w:rPr>
              <w:t>最低评审价法</w:t>
            </w:r>
          </w:p>
          <w:p w14:paraId="55454312">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kern w:val="0"/>
                <w:sz w:val="22"/>
                <w:lang w:val="zh-CN"/>
              </w:rPr>
              <w:t>通过资格、符合性审查且所有技术、服务和商务条件均符合谈判文件要求的供应商视为合格供应商，合格供应商应达到3家以上(含3家)。若合格供应商只有2家，但采购文件没有不合理条款，且采购程序符合规定的，可以继续开展采购活动。谈判小组按照有效报价进行评审，有效报价最低的合格供应商为成交供应商。</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57" w:hRule="atLeast"/>
          <w:jc w:val="center"/>
        </w:trPr>
        <w:tc>
          <w:tcPr>
            <w:tcW w:w="292" w:type="pct"/>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970" w:type="pct"/>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3736" w:type="pct"/>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292" w:type="pct"/>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970" w:type="pct"/>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3736" w:type="pct"/>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292" w:type="pct"/>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970" w:type="pct"/>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3736" w:type="pct"/>
            <w:vAlign w:val="center"/>
          </w:tcPr>
          <w:p w14:paraId="17FD295C">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（1）采购部门：招标采购中心</w:t>
            </w:r>
          </w:p>
          <w:p w14:paraId="1EF1DCD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丁</w:t>
            </w:r>
            <w:r>
              <w:rPr>
                <w:rFonts w:ascii="Times New Roman" w:hAnsi="Times New Roman" w:eastAsia="仿宋" w:cs="Times New Roman"/>
                <w:sz w:val="22"/>
                <w:highlight w:val="none"/>
                <w:u w:val="single"/>
              </w:rPr>
              <w:t xml:space="preserve">   </w:t>
            </w:r>
            <w:r>
              <w:rPr>
                <w:rFonts w:ascii="Times New Roman" w:hAnsi="Times New Roman" w:eastAsia="仿宋" w:cs="Times New Roman"/>
                <w:sz w:val="22"/>
                <w:highlight w:val="none"/>
              </w:rPr>
              <w:t>老师028-</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87393060</w:t>
            </w:r>
            <w:r>
              <w:rPr>
                <w:rFonts w:ascii="Times New Roman" w:hAnsi="Times New Roman" w:eastAsia="仿宋" w:cs="Times New Roman"/>
                <w:sz w:val="22"/>
                <w:highlight w:val="none"/>
                <w:u w:val="single"/>
              </w:rPr>
              <w:t xml:space="preserve">  </w:t>
            </w:r>
          </w:p>
          <w:p w14:paraId="34EAC4A5">
            <w:pPr>
              <w:spacing w:line="360" w:lineRule="auto"/>
              <w:ind w:left="210" w:leftChars="100"/>
              <w:rPr>
                <w:rFonts w:ascii="Times New Roman" w:hAnsi="Times New Roman" w:eastAsia="仿宋" w:cs="Times New Roman"/>
                <w:sz w:val="22"/>
                <w:highlight w:val="none"/>
                <w:u w:val="none"/>
              </w:rPr>
            </w:pPr>
            <w:r>
              <w:rPr>
                <w:rFonts w:ascii="Times New Roman" w:hAnsi="Times New Roman" w:eastAsia="仿宋" w:cs="Times New Roman"/>
                <w:sz w:val="22"/>
                <w:highlight w:val="none"/>
              </w:rPr>
              <w:t>（2）归口部门：</w:t>
            </w:r>
            <w:r>
              <w:rPr>
                <w:rFonts w:hint="eastAsia" w:ascii="Times New Roman" w:hAnsi="Times New Roman" w:eastAsia="仿宋" w:cs="Times New Roman"/>
                <w:sz w:val="22"/>
                <w:highlight w:val="none"/>
                <w:u w:val="none"/>
                <w:lang w:val="en-US" w:eastAsia="zh-CN"/>
              </w:rPr>
              <w:t>后勤保障部</w:t>
            </w:r>
          </w:p>
          <w:p w14:paraId="796BD73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李</w:t>
            </w:r>
            <w:r>
              <w:rPr>
                <w:rFonts w:ascii="Times New Roman" w:hAnsi="Times New Roman" w:eastAsia="仿宋" w:cs="Times New Roman"/>
                <w:sz w:val="22"/>
                <w:highlight w:val="none"/>
                <w:u w:val="single"/>
              </w:rPr>
              <w:t xml:space="preserve">   </w:t>
            </w:r>
            <w:r>
              <w:rPr>
                <w:rFonts w:ascii="Times New Roman" w:hAnsi="Times New Roman" w:eastAsia="仿宋" w:cs="Times New Roman"/>
                <w:sz w:val="22"/>
                <w:highlight w:val="none"/>
              </w:rPr>
              <w:t>老师028-</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87393442</w:t>
            </w:r>
            <w:r>
              <w:rPr>
                <w:rFonts w:ascii="Times New Roman" w:hAnsi="Times New Roman" w:eastAsia="仿宋" w:cs="Times New Roman"/>
                <w:sz w:val="22"/>
                <w:highlight w:val="none"/>
                <w:u w:val="single"/>
              </w:rPr>
              <w:t xml:space="preserve">   </w:t>
            </w:r>
          </w:p>
          <w:p w14:paraId="4A244C55">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（3）监督部门：审计部</w:t>
            </w:r>
          </w:p>
          <w:p w14:paraId="25027EC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联系方式：028-87394709</w:t>
            </w:r>
          </w:p>
          <w:p w14:paraId="083C92C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highlight w:val="none"/>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9" w:hRule="atLeast"/>
          <w:jc w:val="center"/>
        </w:trPr>
        <w:tc>
          <w:tcPr>
            <w:tcW w:w="566" w:type="dxa"/>
            <w:vAlign w:val="center"/>
          </w:tcPr>
          <w:p w14:paraId="4AC0DE1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9E0062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sz w:val="22"/>
              </w:rPr>
              <w:t>（1）谈判小组根据谈判文件对供应商的响应文件进行资格审查、符合性审查及其他有效性审查。审</w:t>
            </w:r>
            <w:r>
              <w:rPr>
                <w:rFonts w:ascii="Times New Roman" w:hAnsi="Times New Roman" w:eastAsia="仿宋" w:cs="Times New Roman"/>
                <w:color w:val="auto"/>
                <w:sz w:val="22"/>
              </w:rPr>
              <w:t>查合格的供应商满足3家以上（含3家），谈判小组按照评审方式进行评审。</w:t>
            </w:r>
            <w:r>
              <w:rPr>
                <w:rFonts w:hint="eastAsia" w:ascii="Times New Roman" w:hAnsi="Times New Roman" w:eastAsia="仿宋" w:cs="Times New Roman"/>
                <w:color w:val="auto"/>
                <w:sz w:val="22"/>
                <w:lang w:val="zh-CN"/>
              </w:rPr>
              <w:t>若合格供应商只有2家，但采购文件没有不合理条款，且采购程序符合规定的，可以继续开展采购活动。</w:t>
            </w:r>
          </w:p>
          <w:p w14:paraId="42593F64">
            <w:pPr>
              <w:spacing w:line="360" w:lineRule="auto"/>
              <w:ind w:left="210" w:leftChars="100"/>
              <w:rPr>
                <w:rFonts w:ascii="Times New Roman" w:hAnsi="Times New Roman" w:eastAsia="仿宋" w:cs="Times New Roman"/>
                <w:sz w:val="22"/>
              </w:rPr>
            </w:pPr>
            <w:r>
              <w:rPr>
                <w:rFonts w:ascii="Times New Roman" w:hAnsi="Times New Roman" w:eastAsia="仿宋" w:cs="Times New Roman"/>
                <w:color w:val="auto"/>
                <w:sz w:val="22"/>
              </w:rPr>
              <w:t>（2）</w:t>
            </w:r>
            <w:r>
              <w:rPr>
                <w:rFonts w:hint="eastAsia" w:ascii="Times New Roman" w:hAnsi="Times New Roman" w:eastAsia="仿宋" w:cs="Times New Roman"/>
                <w:color w:val="auto"/>
                <w:sz w:val="22"/>
              </w:rPr>
              <w:t>谈判</w:t>
            </w:r>
            <w:r>
              <w:rPr>
                <w:rFonts w:ascii="Times New Roman" w:hAnsi="Times New Roman" w:eastAsia="仿宋" w:cs="Times New Roman"/>
                <w:color w:val="auto"/>
                <w:sz w:val="22"/>
              </w:rPr>
              <w:t>当天</w:t>
            </w:r>
            <w:r>
              <w:rPr>
                <w:rFonts w:hint="eastAsia" w:ascii="Times New Roman" w:hAnsi="Times New Roman" w:eastAsia="仿宋" w:cs="Times New Roman"/>
                <w:color w:val="auto"/>
                <w:sz w:val="22"/>
              </w:rPr>
              <w:t>，</w:t>
            </w:r>
            <w:r>
              <w:rPr>
                <w:rFonts w:ascii="Times New Roman" w:hAnsi="Times New Roman" w:eastAsia="仿宋" w:cs="Times New Roman"/>
                <w:color w:val="auto"/>
                <w:sz w:val="22"/>
              </w:rPr>
              <w:t>供应商应保证谈判文件中所</w:t>
            </w:r>
            <w:r>
              <w:rPr>
                <w:rFonts w:ascii="Times New Roman" w:hAnsi="Times New Roman" w:eastAsia="仿宋" w:cs="Times New Roman"/>
                <w:sz w:val="22"/>
              </w:rPr>
              <w:t>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450F5BE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74E1B9C3">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88" w:hRule="atLeast"/>
          <w:jc w:val="center"/>
        </w:trPr>
        <w:tc>
          <w:tcPr>
            <w:tcW w:w="566" w:type="dxa"/>
            <w:vAlign w:val="center"/>
          </w:tcPr>
          <w:p w14:paraId="310BFDC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2B4778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3060</w:t>
            </w:r>
            <w:r>
              <w:rPr>
                <w:rFonts w:ascii="Times New Roman" w:hAnsi="Times New Roman" w:eastAsia="仿宋" w:cs="Times New Roman"/>
                <w:sz w:val="22"/>
                <w:szCs w:val="22"/>
                <w:lang w:val="zh-CN"/>
              </w:rPr>
              <w:t xml:space="preserve">）并将合同初稿发送至 </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lang w:val="zh-CN"/>
              </w:rPr>
              <w:t xml:space="preserve"> 。</w:t>
            </w:r>
          </w:p>
          <w:p w14:paraId="24695EB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3BAC88B">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2"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color w:val="auto"/>
                <w:sz w:val="22"/>
              </w:rPr>
            </w:pPr>
            <w:r>
              <w:rPr>
                <w:rFonts w:ascii="Times New Roman" w:hAnsi="Times New Roman" w:eastAsia="仿宋" w:cs="Times New Roman"/>
                <w:color w:val="auto"/>
                <w:sz w:val="22"/>
              </w:rPr>
              <w:t>9</w:t>
            </w:r>
          </w:p>
        </w:tc>
        <w:tc>
          <w:tcPr>
            <w:tcW w:w="2524" w:type="dxa"/>
            <w:vAlign w:val="center"/>
          </w:tcPr>
          <w:p w14:paraId="0520E16E">
            <w:pPr>
              <w:widowControl/>
              <w:jc w:val="left"/>
              <w:rPr>
                <w:rFonts w:hint="eastAsia" w:ascii="Times New Roman" w:hAnsi="Times New Roman" w:eastAsia="仿宋" w:cs="Times New Roman"/>
                <w:b/>
                <w:bCs/>
                <w:color w:val="auto"/>
                <w:sz w:val="22"/>
                <w:lang w:val="en-US" w:eastAsia="zh-CN"/>
              </w:rPr>
            </w:pPr>
            <w:r>
              <w:rPr>
                <w:rFonts w:ascii="Times New Roman" w:hAnsi="Times New Roman" w:eastAsia="仿宋" w:cs="Times New Roman"/>
                <w:b/>
                <w:bCs/>
                <w:color w:val="auto"/>
                <w:sz w:val="22"/>
              </w:rPr>
              <w:t>本项目其他资格条件：</w:t>
            </w:r>
            <w:r>
              <w:rPr>
                <w:rFonts w:hint="eastAsia" w:ascii="Times New Roman" w:hAnsi="Times New Roman" w:eastAsia="仿宋" w:cs="Times New Roman"/>
                <w:b/>
                <w:bCs/>
                <w:color w:val="auto"/>
                <w:sz w:val="22"/>
                <w:lang w:val="en-US" w:eastAsia="zh-CN"/>
              </w:rPr>
              <w:t>无。</w:t>
            </w:r>
          </w:p>
        </w:tc>
        <w:tc>
          <w:tcPr>
            <w:tcW w:w="4398" w:type="dxa"/>
            <w:vAlign w:val="center"/>
          </w:tcPr>
          <w:p w14:paraId="5974F786">
            <w:pPr>
              <w:jc w:val="center"/>
              <w:rPr>
                <w:rFonts w:hint="eastAsia" w:ascii="Times New Roman" w:hAnsi="Times New Roman" w:eastAsia="仿宋" w:cs="Times New Roman"/>
                <w:color w:val="auto"/>
                <w:sz w:val="22"/>
                <w:u w:val="single"/>
                <w:lang w:val="en-US" w:eastAsia="zh-CN"/>
              </w:rPr>
            </w:pPr>
            <w:r>
              <w:rPr>
                <w:rFonts w:hint="eastAsia" w:ascii="Times New Roman" w:hAnsi="Times New Roman" w:eastAsia="仿宋" w:cs="Times New Roman"/>
                <w:color w:val="auto"/>
                <w:sz w:val="22"/>
                <w:u w:val="none"/>
                <w:lang w:val="en-US" w:eastAsia="zh-CN"/>
              </w:rPr>
              <w:t>/</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DF64197">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jc w:val="both"/>
        <w:textAlignment w:val="auto"/>
        <w:rPr>
          <w:rFonts w:hint="eastAsia" w:ascii="仿宋" w:hAnsi="仿宋" w:eastAsia="仿宋" w:cs="仿宋"/>
          <w:b/>
          <w:bCs/>
          <w:sz w:val="24"/>
          <w:szCs w:val="24"/>
        </w:rPr>
      </w:pPr>
      <w:r>
        <w:rPr>
          <w:rFonts w:hint="eastAsia" w:ascii="仿宋" w:hAnsi="仿宋" w:eastAsia="仿宋" w:cs="仿宋"/>
          <w:kern w:val="0"/>
          <w:sz w:val="24"/>
          <w:szCs w:val="24"/>
          <w:lang w:val="en-US" w:eastAsia="zh-CN" w:bidi="ar-SA"/>
        </w:rPr>
        <w:t>一、</w:t>
      </w:r>
      <w:r>
        <w:rPr>
          <w:rFonts w:hint="eastAsia" w:ascii="仿宋" w:hAnsi="仿宋" w:eastAsia="仿宋" w:cs="仿宋"/>
          <w:b/>
          <w:bCs/>
          <w:sz w:val="24"/>
          <w:szCs w:val="24"/>
        </w:rPr>
        <w:t>项目简介</w:t>
      </w:r>
    </w:p>
    <w:p w14:paraId="6B9153E5">
      <w:pPr>
        <w:pStyle w:val="3"/>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ind w:firstLine="480" w:firstLineChars="200"/>
        <w:jc w:val="both"/>
        <w:textAlignment w:val="auto"/>
        <w:rPr>
          <w:rFonts w:hint="eastAsia" w:ascii="仿宋" w:hAnsi="仿宋" w:eastAsia="仿宋" w:cs="仿宋"/>
          <w:b w:val="0"/>
          <w:bCs/>
          <w:sz w:val="24"/>
          <w:szCs w:val="24"/>
        </w:rPr>
      </w:pPr>
      <w:r>
        <w:rPr>
          <w:rFonts w:hint="eastAsia" w:ascii="仿宋" w:hAnsi="仿宋" w:cs="仿宋"/>
          <w:b w:val="0"/>
          <w:bCs/>
          <w:color w:val="auto"/>
          <w:sz w:val="24"/>
          <w:szCs w:val="24"/>
          <w:lang w:val="en-US" w:eastAsia="zh-CN"/>
        </w:rPr>
        <w:t>拟确定</w:t>
      </w:r>
      <w:r>
        <w:rPr>
          <w:rFonts w:hint="eastAsia" w:ascii="仿宋" w:hAnsi="仿宋" w:eastAsia="仿宋" w:cs="仿宋"/>
          <w:b w:val="0"/>
          <w:bCs/>
          <w:color w:val="auto"/>
          <w:sz w:val="24"/>
          <w:szCs w:val="24"/>
          <w:lang w:val="en-US" w:eastAsia="zh-CN"/>
        </w:rPr>
        <w:t>一家供应商对GCP机构档案进行扫描存档服务。</w:t>
      </w:r>
      <w:r>
        <w:rPr>
          <w:rFonts w:hint="eastAsia" w:ascii="仿宋" w:hAnsi="仿宋" w:eastAsia="仿宋" w:cs="仿宋"/>
          <w:sz w:val="24"/>
          <w:szCs w:val="24"/>
        </w:rPr>
        <w:cr/>
      </w:r>
      <w:r>
        <w:rPr>
          <w:rFonts w:hint="eastAsia" w:ascii="仿宋" w:hAnsi="仿宋" w:eastAsia="仿宋" w:cs="仿宋"/>
          <w:b/>
          <w:bCs/>
          <w:sz w:val="24"/>
          <w:szCs w:val="24"/>
        </w:rPr>
        <w:t>二、</w:t>
      </w:r>
      <w:r>
        <w:rPr>
          <w:rFonts w:hint="eastAsia" w:ascii="仿宋" w:hAnsi="仿宋" w:eastAsia="仿宋" w:cs="仿宋"/>
          <w:b/>
          <w:bCs/>
          <w:color w:val="auto"/>
          <w:sz w:val="24"/>
          <w:szCs w:val="24"/>
          <w:highlight w:val="none"/>
          <w:lang w:val="en-US" w:eastAsia="zh-CN"/>
        </w:rPr>
        <w:t>服务要求</w:t>
      </w:r>
      <w:r>
        <w:rPr>
          <w:rFonts w:hint="eastAsia" w:ascii="仿宋" w:hAnsi="仿宋" w:eastAsia="仿宋" w:cs="仿宋"/>
          <w:sz w:val="24"/>
          <w:szCs w:val="24"/>
        </w:rPr>
        <w:cr/>
      </w:r>
      <w:r>
        <w:rPr>
          <w:rFonts w:hint="eastAsia" w:ascii="仿宋" w:hAnsi="仿宋" w:cs="仿宋"/>
          <w:sz w:val="24"/>
          <w:szCs w:val="24"/>
          <w:lang w:val="en-US" w:eastAsia="zh-CN"/>
        </w:rPr>
        <w:t xml:space="preserve">  </w:t>
      </w:r>
      <w:r>
        <w:rPr>
          <w:rFonts w:hint="eastAsia" w:ascii="仿宋" w:hAnsi="仿宋" w:cs="仿宋"/>
          <w:b w:val="0"/>
          <w:bCs/>
          <w:sz w:val="24"/>
          <w:szCs w:val="24"/>
          <w:lang w:val="en-US" w:eastAsia="zh-CN"/>
        </w:rPr>
        <w:t xml:space="preserve">  </w:t>
      </w:r>
      <w:r>
        <w:rPr>
          <w:rFonts w:hint="eastAsia" w:ascii="仿宋" w:hAnsi="仿宋" w:eastAsia="仿宋" w:cs="仿宋"/>
          <w:b w:val="0"/>
          <w:bCs/>
          <w:sz w:val="24"/>
          <w:szCs w:val="24"/>
        </w:rPr>
        <w:t>按照要求对档案进行档案交接、档案扫描、图像处理、机读目录著录及校核、数据挂接、数字化成果验收、档案装订及归还入库上架、数字化成果备份和移交、机读目录和数字图像上载等服务。</w:t>
      </w:r>
    </w:p>
    <w:p w14:paraId="6341E516">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2" w:firstLineChars="200"/>
        <w:jc w:val="both"/>
        <w:textAlignment w:val="auto"/>
        <w:rPr>
          <w:rFonts w:hint="eastAsia" w:ascii="仿宋" w:hAnsi="仿宋" w:eastAsia="仿宋" w:cs="仿宋"/>
          <w:b/>
          <w:bCs/>
        </w:rPr>
      </w:pPr>
      <w:r>
        <w:rPr>
          <w:rFonts w:hint="eastAsia" w:ascii="仿宋" w:hAnsi="仿宋" w:eastAsia="仿宋" w:cs="仿宋"/>
          <w:b/>
          <w:bCs/>
          <w:kern w:val="2"/>
          <w:sz w:val="24"/>
          <w:szCs w:val="24"/>
        </w:rPr>
        <w:t>1.档案交接</w:t>
      </w:r>
    </w:p>
    <w:p w14:paraId="617235DF">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根据采购人提供的档案清单获取相应案卷。采购人提供的档案基本以业务科室为单位分批次调档，供应商不得对卷宗材料的选择上提出异议。供应商逐件清点核对完毕，双方在《档案移交清单》上登记、签字。供应商负责整个项目档案的取卷、保管、退还工作，如发生任何档案遗失问题由供应商承担全部法律及经济责任。</w:t>
      </w:r>
    </w:p>
    <w:p w14:paraId="5ED868B1">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2" w:firstLineChars="200"/>
        <w:jc w:val="both"/>
        <w:textAlignment w:val="auto"/>
        <w:rPr>
          <w:rFonts w:hint="eastAsia" w:ascii="仿宋" w:hAnsi="仿宋" w:eastAsia="仿宋" w:cs="仿宋"/>
          <w:b/>
          <w:bCs/>
        </w:rPr>
      </w:pPr>
      <w:r>
        <w:rPr>
          <w:rFonts w:hint="eastAsia" w:ascii="仿宋" w:hAnsi="仿宋" w:eastAsia="仿宋" w:cs="仿宋"/>
          <w:b/>
          <w:bCs/>
          <w:kern w:val="2"/>
          <w:sz w:val="24"/>
          <w:szCs w:val="24"/>
          <w:lang w:val="en-US" w:eastAsia="zh-CN"/>
        </w:rPr>
        <w:t>2</w:t>
      </w:r>
      <w:r>
        <w:rPr>
          <w:rFonts w:hint="eastAsia" w:ascii="仿宋" w:hAnsi="仿宋" w:eastAsia="仿宋" w:cs="仿宋"/>
          <w:b/>
          <w:bCs/>
          <w:kern w:val="2"/>
          <w:sz w:val="24"/>
          <w:szCs w:val="24"/>
        </w:rPr>
        <w:t>.档案数字化前处理</w:t>
      </w:r>
    </w:p>
    <w:p w14:paraId="45FA1BF2">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rPr>
        <w:t>（1）供应商应以对纸质档案的保护为原则确定是否拆除装订。如需对档案进行分拆，去除金属装订物，需考虑到纸张易折、易碎等原因，小心轻拿轻放，在拆分档案有可能损坏原件时，不可强拆档案。对于破损严重或其他无法直接进行扫描的纸质档案，应先用专用档案修裱纸和浆糊等进行技术修复</w:t>
      </w:r>
      <w:r>
        <w:rPr>
          <w:rFonts w:hint="eastAsia" w:ascii="仿宋" w:hAnsi="仿宋" w:eastAsia="仿宋" w:cs="仿宋"/>
          <w:kern w:val="2"/>
          <w:sz w:val="24"/>
          <w:szCs w:val="24"/>
          <w:highlight w:val="none"/>
        </w:rPr>
        <w:t>。折皱不平影响扫描质量的纸质档案应先进行压平等相应技术处理。注意保护档案不受损害，拆开的档案不得出现任何漏缺页情况。原则上应将确定为数字化对象的纸质档案全部扫描，不宜进行挑扫。如有不需要扫描的页面应加以标注，无关和重分文件要剔除并做好登记。</w:t>
      </w:r>
    </w:p>
    <w:p w14:paraId="76C9D2C3">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lang w:eastAsia="zh-CN"/>
        </w:rPr>
        <w:t>（</w:t>
      </w:r>
      <w:r>
        <w:rPr>
          <w:rFonts w:hint="eastAsia" w:ascii="仿宋" w:hAnsi="仿宋" w:eastAsia="仿宋" w:cs="仿宋"/>
          <w:kern w:val="2"/>
          <w:sz w:val="24"/>
          <w:szCs w:val="24"/>
          <w:highlight w:val="none"/>
          <w:lang w:val="en-US" w:eastAsia="zh-CN"/>
        </w:rPr>
        <w:t>2</w:t>
      </w:r>
      <w:r>
        <w:rPr>
          <w:rFonts w:hint="eastAsia" w:ascii="仿宋" w:hAnsi="仿宋" w:eastAsia="仿宋" w:cs="仿宋"/>
          <w:kern w:val="2"/>
          <w:sz w:val="24"/>
          <w:szCs w:val="24"/>
          <w:highlight w:val="none"/>
          <w:lang w:eastAsia="zh-CN"/>
        </w:rPr>
        <w:t>）</w:t>
      </w:r>
      <w:r>
        <w:rPr>
          <w:rFonts w:hint="eastAsia" w:ascii="仿宋" w:hAnsi="仿宋" w:eastAsia="仿宋" w:cs="仿宋"/>
          <w:kern w:val="2"/>
          <w:sz w:val="24"/>
          <w:szCs w:val="24"/>
          <w:highlight w:val="none"/>
        </w:rPr>
        <w:t>供应商应对照目录逐页检查档案原件，对拆解前排列顺序不准确的档案，拆解后要予以更正。</w:t>
      </w:r>
    </w:p>
    <w:p w14:paraId="31362FB0">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（3）供应商应将破损页面、缺页等特殊情况进行登记。</w:t>
      </w:r>
    </w:p>
    <w:p w14:paraId="2D7E4D3C">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kern w:val="2"/>
          <w:sz w:val="24"/>
          <w:szCs w:val="24"/>
        </w:rPr>
      </w:pPr>
      <w:r>
        <w:rPr>
          <w:rFonts w:hint="eastAsia" w:ascii="仿宋" w:hAnsi="仿宋" w:eastAsia="仿宋" w:cs="仿宋"/>
          <w:kern w:val="2"/>
          <w:sz w:val="24"/>
          <w:szCs w:val="24"/>
        </w:rPr>
        <w:t>（4）供应商在档案扫描之前，需对档案的封面、卷盒、卷脊和编目等方面进行规范整理，发现不规范的档号、案卷号、件号，不规范填写的档案盒正面、侧面相应栏目要及时通知采购人，在得到采购人的确认后再予以修改，书写要准确、规范，保持卷盒的整洁美观。</w:t>
      </w:r>
    </w:p>
    <w:p w14:paraId="3A47E12A">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right="0" w:firstLine="482" w:firstLineChars="200"/>
        <w:jc w:val="both"/>
        <w:textAlignment w:val="auto"/>
        <w:rPr>
          <w:rFonts w:hint="eastAsia" w:ascii="仿宋" w:hAnsi="仿宋" w:eastAsia="仿宋" w:cs="仿宋"/>
          <w:b/>
          <w:bCs/>
        </w:rPr>
      </w:pPr>
      <w:r>
        <w:rPr>
          <w:rFonts w:hint="eastAsia" w:ascii="仿宋" w:hAnsi="仿宋" w:eastAsia="仿宋" w:cs="仿宋"/>
          <w:b/>
          <w:bCs/>
          <w:kern w:val="2"/>
          <w:sz w:val="24"/>
          <w:szCs w:val="24"/>
          <w:lang w:val="en-US" w:eastAsia="zh-CN"/>
        </w:rPr>
        <w:t>3</w:t>
      </w:r>
      <w:r>
        <w:rPr>
          <w:rFonts w:hint="eastAsia" w:ascii="仿宋" w:hAnsi="仿宋" w:eastAsia="仿宋" w:cs="仿宋"/>
          <w:b/>
          <w:bCs/>
          <w:kern w:val="2"/>
          <w:sz w:val="24"/>
          <w:szCs w:val="24"/>
        </w:rPr>
        <w:t>.档案扫描</w:t>
      </w:r>
    </w:p>
    <w:p w14:paraId="035D1A3E">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1）档案扫描技术指标：扫描分辨率采用≥300dpi，彩色模式，色彩位数应不少于24位。A4幅面单张图像存储容量符合要求，字体较小、字迹模糊的档案，要适当提高扫描分辨率，要求扫描后的图像清晰，不失真、完整、不影响利用效果。存储格式为JPEG、双层PDF。每一件档案生成一个PDF文件，PDF文件要求打印后字迹清晰，页面整体美观。</w:t>
      </w:r>
    </w:p>
    <w:p w14:paraId="61F68278">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lang w:eastAsia="zh-CN"/>
        </w:rPr>
      </w:pPr>
      <w:r>
        <w:rPr>
          <w:rFonts w:hint="eastAsia" w:ascii="仿宋" w:hAnsi="仿宋" w:eastAsia="仿宋" w:cs="仿宋"/>
          <w:kern w:val="2"/>
          <w:sz w:val="24"/>
          <w:szCs w:val="24"/>
        </w:rPr>
        <w:t>（2）供应商按采购人要求区分扫描件和非扫描件，确定需扫描的文件</w:t>
      </w:r>
      <w:r>
        <w:rPr>
          <w:rFonts w:hint="eastAsia" w:ascii="仿宋" w:hAnsi="仿宋" w:eastAsia="仿宋" w:cs="仿宋"/>
          <w:kern w:val="2"/>
          <w:sz w:val="24"/>
          <w:szCs w:val="24"/>
          <w:lang w:eastAsia="zh-CN"/>
        </w:rPr>
        <w:t>。</w:t>
      </w:r>
    </w:p>
    <w:p w14:paraId="62C946B2">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（3）供应商扫描时应认真登记和核对扫描的页数和顺序，确保实际扫描页数与实体档案整理时页数和顺序完全一致，扫描时应根据档案的实际情况调整扫描参数，保持图像效果与档案实体一致。</w:t>
      </w:r>
    </w:p>
    <w:p w14:paraId="24F7EE4F">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4）数字图像的命名及存放规则。纸质档案目录数据库中的每一份文件都有一个与之相对应的档号。用该档号建立相应文件夹，并以该档号为基础对数字图像命名。图像命名方式的选择应确保图像命名的唯一性。</w:t>
      </w:r>
    </w:p>
    <w:p w14:paraId="584C8156">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2" w:firstLineChars="200"/>
        <w:jc w:val="both"/>
        <w:textAlignment w:val="auto"/>
        <w:rPr>
          <w:rFonts w:hint="eastAsia" w:ascii="仿宋" w:hAnsi="仿宋" w:eastAsia="仿宋" w:cs="仿宋"/>
          <w:b/>
          <w:bCs/>
        </w:rPr>
      </w:pPr>
      <w:r>
        <w:rPr>
          <w:rFonts w:hint="eastAsia" w:ascii="仿宋" w:hAnsi="仿宋" w:eastAsia="仿宋" w:cs="仿宋"/>
          <w:b/>
          <w:bCs/>
          <w:kern w:val="2"/>
          <w:sz w:val="24"/>
          <w:szCs w:val="24"/>
          <w:lang w:val="en-US" w:eastAsia="zh-CN"/>
        </w:rPr>
        <w:t>4</w:t>
      </w:r>
      <w:r>
        <w:rPr>
          <w:rFonts w:hint="eastAsia" w:ascii="仿宋" w:hAnsi="仿宋" w:eastAsia="仿宋" w:cs="仿宋"/>
          <w:b/>
          <w:bCs/>
          <w:kern w:val="2"/>
          <w:sz w:val="24"/>
          <w:szCs w:val="24"/>
        </w:rPr>
        <w:t>.档案装订及归还入库</w:t>
      </w:r>
    </w:p>
    <w:p w14:paraId="18C43E61">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（1）纸质档案数字化工作完成后，打印两份文件目录，一份放入相对应的档案卷盒内，一份装订成册移交采购人。</w:t>
      </w:r>
    </w:p>
    <w:p w14:paraId="18EF27BD">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（2）实体档案装订前要认真检查档案数量是否齐全。</w:t>
      </w:r>
    </w:p>
    <w:p w14:paraId="37B8BE74">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（3）纸质档案数字化工作完成后，拆除过装订物的档案如需装订，应注意保持档案原貌。</w:t>
      </w:r>
    </w:p>
    <w:p w14:paraId="1EF12486">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（4）对拟归还的档案逐卷或逐件清点，共同进行案卷内容、目录、数量的清点核对。清点无误后，双方在《档案移交清单》上登记、签字</w:t>
      </w:r>
    </w:p>
    <w:p w14:paraId="7E89939E">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rPr>
      </w:pPr>
      <w:r>
        <w:rPr>
          <w:rFonts w:hint="eastAsia" w:ascii="仿宋" w:hAnsi="仿宋" w:eastAsia="仿宋" w:cs="仿宋"/>
          <w:kern w:val="2"/>
          <w:sz w:val="24"/>
          <w:szCs w:val="24"/>
        </w:rPr>
        <w:t>（5）数字化成果备份和移交：经验收合格的完整数据应及时进行备份和移交，备份时成交供应商应确保备份数据完整、准确，存储载体可用、安全（无病毒）等。</w:t>
      </w:r>
    </w:p>
    <w:p w14:paraId="44494353">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kern w:val="2"/>
          <w:sz w:val="24"/>
          <w:szCs w:val="24"/>
        </w:rPr>
        <w:t>（6）机读目录和数字图像上载：供应商必须将验收合格的数字化成果数据（机读目录数据和数字图像）在档案管理系统中完全正确上载并能实现准确的检索和显示。</w:t>
      </w:r>
    </w:p>
    <w:p w14:paraId="3C946486">
      <w:pPr>
        <w:pStyle w:val="4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jc w:val="both"/>
        <w:textAlignment w:val="auto"/>
        <w:rPr>
          <w:rFonts w:hint="eastAsia" w:ascii="仿宋" w:hAnsi="仿宋" w:eastAsia="仿宋" w:cs="仿宋"/>
          <w:sz w:val="24"/>
          <w:szCs w:val="24"/>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其他</w:t>
      </w:r>
      <w:r>
        <w:rPr>
          <w:rFonts w:hint="eastAsia" w:ascii="仿宋" w:hAnsi="仿宋" w:eastAsia="仿宋" w:cs="仿宋"/>
          <w:b/>
          <w:bCs/>
          <w:color w:val="auto"/>
          <w:sz w:val="24"/>
          <w:szCs w:val="24"/>
          <w:highlight w:val="none"/>
        </w:rPr>
        <w:t>要求</w:t>
      </w:r>
    </w:p>
    <w:p w14:paraId="209D7A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1.</w:t>
      </w:r>
      <w:r>
        <w:rPr>
          <w:rFonts w:hint="eastAsia" w:ascii="仿宋" w:hAnsi="仿宋" w:eastAsia="仿宋" w:cs="仿宋"/>
          <w:b w:val="0"/>
          <w:bCs w:val="0"/>
          <w:kern w:val="0"/>
          <w:sz w:val="24"/>
          <w:szCs w:val="24"/>
        </w:rPr>
        <w:t>质量保证</w:t>
      </w:r>
    </w:p>
    <w:p w14:paraId="5FC089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（1）机读目录的主要质量要求</w:t>
      </w:r>
    </w:p>
    <w:p w14:paraId="25A6CC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（1.1）著录项目完整，内容规范、准确等；</w:t>
      </w:r>
    </w:p>
    <w:p w14:paraId="5590FC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（1.2）数字化成果机读目录与对应的纸质档案数字图像的挂接准确性100%；</w:t>
      </w:r>
    </w:p>
    <w:p w14:paraId="1E53F1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（1.3）数字化成果机读目录与原档案文件页数的一致性100%。</w:t>
      </w:r>
    </w:p>
    <w:p w14:paraId="281C9E1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（2）数字图像的主要质量要求</w:t>
      </w:r>
    </w:p>
    <w:p w14:paraId="54EB39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（2.1）数字图像质量满足《纸质档案数字化规范》DA/T31-2017中相关要求。</w:t>
      </w:r>
    </w:p>
    <w:p w14:paraId="1070AE3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（2.2）数字化成果数字图像采用</w:t>
      </w:r>
      <w:r>
        <w:rPr>
          <w:rFonts w:hint="eastAsia" w:ascii="仿宋" w:hAnsi="仿宋" w:eastAsia="仿宋" w:cs="仿宋"/>
          <w:kern w:val="2"/>
          <w:sz w:val="24"/>
          <w:szCs w:val="24"/>
        </w:rPr>
        <w:t>≥</w:t>
      </w:r>
      <w:r>
        <w:rPr>
          <w:rFonts w:hint="eastAsia" w:ascii="仿宋" w:hAnsi="仿宋" w:eastAsia="仿宋" w:cs="仿宋"/>
          <w:b w:val="0"/>
          <w:bCs w:val="0"/>
          <w:kern w:val="0"/>
          <w:sz w:val="24"/>
          <w:szCs w:val="24"/>
        </w:rPr>
        <w:t>300dpi</w:t>
      </w:r>
      <w:r>
        <w:rPr>
          <w:rFonts w:hint="eastAsia" w:ascii="仿宋" w:hAnsi="仿宋" w:eastAsia="仿宋" w:cs="仿宋"/>
          <w:b w:val="0"/>
          <w:bCs w:val="0"/>
          <w:kern w:val="0"/>
          <w:sz w:val="24"/>
          <w:szCs w:val="24"/>
          <w:lang w:val="en-US" w:eastAsia="zh-CN"/>
        </w:rPr>
        <w:t>分辨率</w:t>
      </w:r>
      <w:r>
        <w:rPr>
          <w:rFonts w:hint="eastAsia" w:ascii="仿宋" w:hAnsi="仿宋" w:eastAsia="仿宋" w:cs="仿宋"/>
          <w:b w:val="0"/>
          <w:bCs w:val="0"/>
          <w:kern w:val="0"/>
          <w:sz w:val="24"/>
          <w:szCs w:val="24"/>
        </w:rPr>
        <w:t>扫描，彩色模式，存储格式为JPEG和双层PDF。</w:t>
      </w:r>
    </w:p>
    <w:p w14:paraId="16D6DF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（2.3）数字图像存储为单页文件，并按档号与图像流水号的组合对图像命名，确保图像命名的唯一性。</w:t>
      </w:r>
    </w:p>
    <w:p w14:paraId="5C563B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（2.4）数字图像与原档案内容的完整性100%</w:t>
      </w:r>
    </w:p>
    <w:p w14:paraId="5F8C7B7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（2.5）数字图像与原档案文件的页数准确率100%；</w:t>
      </w:r>
    </w:p>
    <w:p w14:paraId="6FE5B0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（2.6）数字图像与原档案文件的排列顺序准确率100%；</w:t>
      </w:r>
    </w:p>
    <w:p w14:paraId="2C632C0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lang w:eastAsia="zh-CN"/>
        </w:rPr>
      </w:pPr>
      <w:r>
        <w:rPr>
          <w:rFonts w:hint="eastAsia" w:ascii="仿宋" w:hAnsi="仿宋" w:eastAsia="仿宋" w:cs="仿宋"/>
          <w:b w:val="0"/>
          <w:bCs w:val="0"/>
          <w:kern w:val="0"/>
          <w:sz w:val="24"/>
          <w:szCs w:val="24"/>
        </w:rPr>
        <w:t>（3）拆除过装订物的档案如需装订，尽可能保持档案原貌，做到安全、准确、无遗漏</w:t>
      </w:r>
      <w:r>
        <w:rPr>
          <w:rFonts w:hint="eastAsia" w:ascii="仿宋" w:hAnsi="仿宋" w:eastAsia="仿宋" w:cs="仿宋"/>
          <w:b w:val="0"/>
          <w:bCs w:val="0"/>
          <w:kern w:val="0"/>
          <w:sz w:val="24"/>
          <w:szCs w:val="24"/>
          <w:lang w:eastAsia="zh-CN"/>
        </w:rPr>
        <w:t>。</w:t>
      </w:r>
    </w:p>
    <w:p w14:paraId="2649F3E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2.</w:t>
      </w:r>
      <w:r>
        <w:rPr>
          <w:rFonts w:hint="eastAsia" w:ascii="仿宋" w:hAnsi="仿宋" w:eastAsia="仿宋" w:cs="仿宋"/>
          <w:b w:val="0"/>
          <w:bCs w:val="0"/>
          <w:kern w:val="0"/>
          <w:sz w:val="24"/>
          <w:szCs w:val="24"/>
        </w:rPr>
        <w:t>安全保密要求</w:t>
      </w:r>
    </w:p>
    <w:p w14:paraId="264E42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1</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应严格按照《中华人民共和国档案法》《档案服务外包工作规范》（DA/T 68.1-2020、DA/T 68.2-2020、DA/T 68.4-2022）、《纸质档案数字化规范》（DA/T 31-2017）、《档案数字化外包安全管理规范》（档办发</w:t>
      </w:r>
      <w:r>
        <w:rPr>
          <w:rFonts w:hint="eastAsia" w:ascii="微软雅黑" w:hAnsi="微软雅黑" w:eastAsia="微软雅黑" w:cs="微软雅黑"/>
          <w:b w:val="0"/>
          <w:bCs w:val="0"/>
          <w:kern w:val="0"/>
          <w:sz w:val="24"/>
          <w:szCs w:val="24"/>
          <w:lang w:eastAsia="zh-CN"/>
        </w:rPr>
        <w:t>〔</w:t>
      </w:r>
      <w:r>
        <w:rPr>
          <w:rFonts w:hint="eastAsia" w:ascii="仿宋" w:hAnsi="仿宋" w:eastAsia="仿宋" w:cs="仿宋"/>
          <w:b w:val="0"/>
          <w:bCs w:val="0"/>
          <w:kern w:val="0"/>
          <w:sz w:val="24"/>
          <w:szCs w:val="24"/>
        </w:rPr>
        <w:t>2014</w:t>
      </w:r>
      <w:r>
        <w:rPr>
          <w:rFonts w:hint="eastAsia" w:ascii="微软雅黑" w:hAnsi="微软雅黑" w:eastAsia="微软雅黑" w:cs="微软雅黑"/>
          <w:b w:val="0"/>
          <w:bCs w:val="0"/>
          <w:kern w:val="0"/>
          <w:sz w:val="24"/>
          <w:szCs w:val="24"/>
          <w:lang w:eastAsia="zh-CN"/>
        </w:rPr>
        <w:t>〕</w:t>
      </w:r>
      <w:r>
        <w:rPr>
          <w:rFonts w:hint="eastAsia" w:ascii="仿宋" w:hAnsi="仿宋" w:eastAsia="仿宋" w:cs="仿宋"/>
          <w:b w:val="0"/>
          <w:bCs w:val="0"/>
          <w:kern w:val="0"/>
          <w:sz w:val="24"/>
          <w:szCs w:val="24"/>
        </w:rPr>
        <w:t>7号）等相关规范要求进行档案整理、数字化加工管理。</w:t>
      </w:r>
    </w:p>
    <w:p w14:paraId="357065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2</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供应商参与本项目的所有工作人员必须通过采购人的审核，并在采购人处登记备案。</w:t>
      </w:r>
    </w:p>
    <w:p w14:paraId="3162A0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3</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供应商需对参与本项目的工作人员进行档案保密安全教育，并与工作人员签订保密协议，明确规定工作人员不得阅读、摘抄、复制、传播、外泄档案内容和遵守其他安全保密责任、义务。</w:t>
      </w:r>
    </w:p>
    <w:p w14:paraId="3966DDB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4</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供应商必须承担本项目档案原件和数据信息的安全保密责任，不得人为损伤、篡改档案，不得造成档案及档案数据丢失、损毁。在档案整理、数字化加工过程中造成的泄密事故，由供应商承担全部责任。</w:t>
      </w:r>
    </w:p>
    <w:p w14:paraId="4E20C03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5</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各项加工服务工作必须在采购人指定的工作场所内完成，不得将档案原件、扫描图片等相关文件以任何方式带出加工场地。</w:t>
      </w:r>
    </w:p>
    <w:p w14:paraId="1B9B1A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6</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供应商工作人员要挂牌上岗，严禁非工作人员进入档案加工场地。</w:t>
      </w:r>
    </w:p>
    <w:p w14:paraId="5B5117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7</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档案加工场所应设有储物柜，供工作人员存放物品，并与工作区隔离，严禁将背包、水杯等私人物品以及照相机、摄像机、手机，与工作无关的电脑、移动存储介质等电子设备带入加工场地。</w:t>
      </w:r>
    </w:p>
    <w:p w14:paraId="7F0575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8</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工作人员不得在档案加工场所内从事与档案整理、数字化无关的活动，严禁在加工区内喝水、进食、吸烟等，严禁携带火种、易燃易爆物品进入加工场所。</w:t>
      </w:r>
    </w:p>
    <w:p w14:paraId="6B1500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9</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加工场所的废纸必须集中放置，清理、销毁时须通知采购人安排人员在场监督，确保没有夹带任何档案文件后才能清出加工场所。</w:t>
      </w:r>
    </w:p>
    <w:p w14:paraId="695B53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10</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档案加工场所使用的计算机须对输出接口做屏蔽处理，防止数据外拷，数字化加工局域网络须与互联网等外网物理隔离，禁止使用无线网卡、无线键盘、无线鼠标等设备，形成的档案数据须由专人负责管理。</w:t>
      </w:r>
    </w:p>
    <w:p w14:paraId="141263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11</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档案整理、数字化任务完成后，供应商会同采购人拆除其自带加工设备中的硬盘等存储介质，并将其与档案整理、数字化过程中使用的其他移动存储介质一起移交采购人，严禁擅自带走。</w:t>
      </w:r>
    </w:p>
    <w:p w14:paraId="303188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3.</w:t>
      </w:r>
      <w:r>
        <w:rPr>
          <w:rFonts w:hint="eastAsia" w:ascii="仿宋" w:hAnsi="仿宋" w:eastAsia="仿宋" w:cs="仿宋"/>
          <w:b w:val="0"/>
          <w:bCs w:val="0"/>
          <w:kern w:val="0"/>
          <w:sz w:val="24"/>
          <w:szCs w:val="24"/>
        </w:rPr>
        <w:t>成果要求</w:t>
      </w:r>
    </w:p>
    <w:p w14:paraId="2521DF1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1</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扫描标准:采用A3/A4自适应幅面，不低于300DPI分辨率，符合国家档案行业标准(DA/T31-2017)，确保GCP关键信息(签名、日期、试验数据)清晰可辨。</w:t>
      </w:r>
    </w:p>
    <w:p w14:paraId="613E6A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2</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数据格式:生成双层PDF(图像层+0CR文本层，支持关键词检索)+TIFF原始格式双备份，兼顾检索效率与数据安全性。</w:t>
      </w:r>
    </w:p>
    <w:p w14:paraId="5B8F51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4.</w:t>
      </w:r>
      <w:r>
        <w:rPr>
          <w:rFonts w:hint="eastAsia" w:ascii="仿宋" w:hAnsi="仿宋" w:eastAsia="仿宋" w:cs="仿宋"/>
          <w:b w:val="0"/>
          <w:bCs w:val="0"/>
          <w:kern w:val="0"/>
          <w:sz w:val="24"/>
          <w:szCs w:val="24"/>
        </w:rPr>
        <w:t>服务能力设备配置要求:</w:t>
      </w:r>
    </w:p>
    <w:p w14:paraId="76F9B7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1</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核心扫描处理设备专业高速扫描仪不少于2台</w:t>
      </w:r>
    </w:p>
    <w:p w14:paraId="7CBB43F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2</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数据处理与存储保障设备</w:t>
      </w:r>
    </w:p>
    <w:p w14:paraId="6774A1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本地服务器:配套部署，承担GCP扫描数据本地存储。</w:t>
      </w:r>
    </w:p>
    <w:p w14:paraId="33AA2B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加密存储设备:配套配置，用于扫描数据加密存储。</w:t>
      </w:r>
    </w:p>
    <w:p w14:paraId="6E4666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高性能计算机:不少于2台，主要用于0CR识别、数据校对工作。</w:t>
      </w:r>
    </w:p>
    <w:p w14:paraId="6CDFE74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（以上设备均用于服务期间）</w:t>
      </w:r>
    </w:p>
    <w:p w14:paraId="2ADB4B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3</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档案处理后期设备:穿线打孔机、拆装订设备、裁切机等。</w:t>
      </w:r>
    </w:p>
    <w:p w14:paraId="0FBD22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5.</w:t>
      </w:r>
      <w:r>
        <w:rPr>
          <w:rFonts w:hint="eastAsia" w:ascii="仿宋" w:hAnsi="仿宋" w:eastAsia="仿宋" w:cs="仿宋"/>
          <w:b w:val="0"/>
          <w:bCs w:val="0"/>
          <w:kern w:val="0"/>
          <w:sz w:val="24"/>
          <w:szCs w:val="24"/>
        </w:rPr>
        <w:t>限高价</w:t>
      </w:r>
    </w:p>
    <w:p w14:paraId="2E134C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bCs/>
          <w:kern w:val="0"/>
          <w:sz w:val="24"/>
          <w:szCs w:val="24"/>
        </w:rPr>
        <w:t>扫描</w:t>
      </w:r>
      <w:r>
        <w:rPr>
          <w:rFonts w:hint="eastAsia" w:ascii="仿宋" w:hAnsi="仿宋" w:eastAsia="仿宋" w:cs="仿宋"/>
          <w:b/>
          <w:bCs/>
          <w:kern w:val="0"/>
          <w:sz w:val="24"/>
          <w:szCs w:val="24"/>
          <w:lang w:val="en-US" w:eastAsia="zh-CN"/>
        </w:rPr>
        <w:t>服务费</w:t>
      </w:r>
      <w:r>
        <w:rPr>
          <w:rFonts w:hint="eastAsia" w:ascii="仿宋" w:hAnsi="仿宋" w:eastAsia="仿宋" w:cs="仿宋"/>
          <w:b/>
          <w:bCs/>
          <w:kern w:val="0"/>
          <w:sz w:val="24"/>
          <w:szCs w:val="24"/>
        </w:rPr>
        <w:t>限高价：0.065元/页</w:t>
      </w:r>
    </w:p>
    <w:p w14:paraId="479D1F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6.</w:t>
      </w:r>
      <w:r>
        <w:rPr>
          <w:rFonts w:hint="eastAsia" w:ascii="仿宋" w:hAnsi="仿宋" w:eastAsia="仿宋" w:cs="仿宋"/>
          <w:b w:val="0"/>
          <w:bCs w:val="0"/>
          <w:kern w:val="0"/>
          <w:sz w:val="24"/>
          <w:szCs w:val="24"/>
        </w:rPr>
        <w:t>售后服务</w:t>
      </w:r>
    </w:p>
    <w:p w14:paraId="7CEAC71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响应时效:紧急问题10分钟内响应，一般问题1小时内响应。解决时效:远程可解决问题2小时内完成，需上门服务4小时内。</w:t>
      </w:r>
    </w:p>
    <w:p w14:paraId="79D5DE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7.</w:t>
      </w:r>
      <w:r>
        <w:rPr>
          <w:rFonts w:hint="eastAsia" w:ascii="仿宋" w:hAnsi="仿宋" w:eastAsia="仿宋" w:cs="仿宋"/>
          <w:b w:val="0"/>
          <w:bCs w:val="0"/>
          <w:kern w:val="0"/>
          <w:sz w:val="24"/>
          <w:szCs w:val="24"/>
        </w:rPr>
        <w:t>服务方案</w:t>
      </w:r>
    </w:p>
    <w:p w14:paraId="010A1D0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1</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供应商应提供本项目服务方案，包括①档案交接、②档案扫描、③图像处理、④目录建库、⑤数据挂接、⑥质量检查、⑦档案装订、⑧数据上载。</w:t>
      </w:r>
    </w:p>
    <w:p w14:paraId="235E018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lang w:val="en-US" w:eastAsia="zh-CN"/>
        </w:rPr>
        <w:t>2</w:t>
      </w:r>
      <w:r>
        <w:rPr>
          <w:rFonts w:hint="eastAsia" w:ascii="仿宋" w:hAnsi="仿宋" w:eastAsia="仿宋" w:cs="仿宋"/>
          <w:b w:val="0"/>
          <w:bCs w:val="0"/>
          <w:kern w:val="0"/>
          <w:sz w:val="24"/>
          <w:szCs w:val="24"/>
          <w:lang w:eastAsia="zh-CN"/>
        </w:rPr>
        <w:t>）</w:t>
      </w:r>
      <w:r>
        <w:rPr>
          <w:rFonts w:hint="eastAsia" w:ascii="仿宋" w:hAnsi="仿宋" w:eastAsia="仿宋" w:cs="仿宋"/>
          <w:b w:val="0"/>
          <w:bCs w:val="0"/>
          <w:kern w:val="0"/>
          <w:sz w:val="24"/>
          <w:szCs w:val="24"/>
        </w:rPr>
        <w:t>供应商应提供</w:t>
      </w:r>
      <w:r>
        <w:rPr>
          <w:rFonts w:hint="eastAsia" w:ascii="仿宋" w:hAnsi="仿宋" w:eastAsia="仿宋" w:cs="仿宋"/>
          <w:kern w:val="0"/>
          <w:sz w:val="24"/>
          <w:szCs w:val="24"/>
        </w:rPr>
        <w:t>本项目的质量保障措施，包括①质量保障方案内容、②档案数字化加工管理系统图例及文字介绍、③档案数字化质检系统图例及文字介绍。</w:t>
      </w:r>
    </w:p>
    <w:p w14:paraId="423758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供应商针对本项目需求提出合理的项目实施计划方案，包括：①各环节时间节点安排(包括人员、设备设施)、②进度保障措施、③项目实施周期、④应急预案。</w:t>
      </w:r>
    </w:p>
    <w:p w14:paraId="6775AF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供应商提供本项目的信息安全保密方案，包括①安全保密性管理措施、②安全保密制度、③人员及现场安全管理、④档案安全管理。</w:t>
      </w:r>
    </w:p>
    <w:p w14:paraId="6B03655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供应商提供的本项目售后服务方案，包括①售后服务措施、②售后服务人员配置、③售后服务响应承诺、④售后服务流程。</w:t>
      </w:r>
    </w:p>
    <w:p w14:paraId="5BBA47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sz w:val="24"/>
          <w:szCs w:val="24"/>
          <w:lang w:val="en-US" w:eastAsia="zh-CN"/>
        </w:rPr>
        <w:t>五、商务</w:t>
      </w:r>
      <w:r>
        <w:rPr>
          <w:rFonts w:hint="eastAsia" w:ascii="仿宋" w:hAnsi="仿宋" w:eastAsia="仿宋" w:cs="仿宋"/>
          <w:b/>
          <w:bCs/>
          <w:color w:val="auto"/>
          <w:sz w:val="24"/>
          <w:szCs w:val="24"/>
          <w:highlight w:val="none"/>
          <w:lang w:val="en-US" w:eastAsia="zh-CN"/>
        </w:rPr>
        <w:t>要求</w:t>
      </w:r>
    </w:p>
    <w:p w14:paraId="6E88969F">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1.服务期：自合同签订生效之日起1年。</w:t>
      </w:r>
    </w:p>
    <w:p w14:paraId="09075411">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2.服务地点：四川省人民医院青羊院区及中和科研基地。</w:t>
      </w:r>
    </w:p>
    <w:p w14:paraId="7930BEDA">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3.服务类型及限高价：按实结算，本项目支付上限为34万元。</w:t>
      </w:r>
    </w:p>
    <w:p w14:paraId="1BD3F893">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4.付款条件：按实结算，服务期满且验收合格后，供应商须根据本项目成交单价及实际服务情况向采购人提供结算费用清单进行确认，并在确认后5日</w:t>
      </w:r>
      <w:r>
        <w:rPr>
          <w:rFonts w:hint="eastAsia" w:ascii="仿宋" w:hAnsi="仿宋" w:eastAsia="仿宋" w:cs="仿宋"/>
          <w:sz w:val="24"/>
          <w:szCs w:val="24"/>
          <w:lang w:val="en-US" w:eastAsia="zh-CN"/>
        </w:rPr>
        <w:t>内按清单金额向采购人提供合法有效票据及其他相关请款资料，采购人接到上述票据及资料后的55日内，向供应商全额支付上述结算费用，服务期内，供应商须在每次提供服务前核算已累计的结算金额，如发现继续提供服务将导致出现超过本项目支付上限的情形，应在继续提供服务前书面通知采购人，否则因此造成的超过支付上限的费用由供应商承担，采购人无需支付。</w:t>
      </w:r>
    </w:p>
    <w:p w14:paraId="264085C6">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1C4B193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25F2F17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469FD2A4">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3017C1DB">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06ADF4CE">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（5）验收内容：按照基于本项目采购需求编制的采购文件要求及供应商响应文件情况，由供应商向采购人提供的全部服务。</w:t>
      </w:r>
    </w:p>
    <w:p w14:paraId="18E7C1E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（6）验收时间：服务期满且供应商完成所有服务内容后5日内通知采购人验收，采购人接供应商通知后10日内组织验收。</w:t>
      </w:r>
    </w:p>
    <w:p w14:paraId="54A91413">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（7）是否邀请本项目的其它供应商：否</w:t>
      </w:r>
    </w:p>
    <w:p w14:paraId="6E944C1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38230C0C">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B7A1118">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4020FF60">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38B08C82">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6DEF93A2">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2）基于本项目采购需求编制的采购文件相关技术、服务要求、成交供应商响应文件相关响应内容。</w:t>
      </w:r>
    </w:p>
    <w:p w14:paraId="4AC5FF3D">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6A2D4B24">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1629F98E">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5）参照《财政部关于进一步加强政府采购需求和履约验收管理的指导意见》（财库〔2016〕205号）的要求进行验收。</w:t>
      </w:r>
    </w:p>
    <w:p w14:paraId="16D9ADBE">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7FC69EC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7）其他标准：无。</w:t>
      </w:r>
    </w:p>
    <w:p w14:paraId="0F1B3C27">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r>
        <w:rPr>
          <w:rFonts w:hint="eastAsia" w:ascii="仿宋" w:hAnsi="仿宋" w:eastAsia="仿宋" w:cs="仿宋"/>
          <w:sz w:val="24"/>
          <w:szCs w:val="24"/>
          <w:highlight w:val="none"/>
          <w:lang w:val="en-US" w:eastAsia="zh-CN"/>
        </w:rPr>
        <w:t>履约验收其他事项：无。</w:t>
      </w:r>
    </w:p>
    <w:p w14:paraId="1712AE04">
      <w:pPr>
        <w:pStyle w:val="16"/>
        <w:keepNext w:val="0"/>
        <w:keepLines w:val="0"/>
        <w:pageBreakBefore w:val="0"/>
        <w:widowControl w:val="0"/>
        <w:kinsoku/>
        <w:wordWrap/>
        <w:overflowPunct/>
        <w:topLinePunct w:val="0"/>
        <w:autoSpaceDE/>
        <w:autoSpaceDN/>
        <w:bidi w:val="0"/>
        <w:adjustRightInd w:val="0"/>
        <w:snapToGrid w:val="0"/>
        <w:spacing w:before="0" w:after="0" w:line="336" w:lineRule="auto"/>
        <w:ind w:left="0" w:leftChars="0" w:firstLine="480" w:firstLineChars="200"/>
        <w:textAlignment w:val="auto"/>
        <w:rPr>
          <w:rFonts w:hint="default" w:ascii="仿宋" w:hAnsi="仿宋" w:eastAsia="仿宋" w:cs="仿宋"/>
          <w:sz w:val="24"/>
          <w:szCs w:val="24"/>
          <w:lang w:val="en-US" w:eastAsia="zh-CN"/>
        </w:rPr>
      </w:pPr>
    </w:p>
    <w:p w14:paraId="7806636B">
      <w:pPr>
        <w:pStyle w:val="16"/>
        <w:keepNext w:val="0"/>
        <w:keepLines w:val="0"/>
        <w:pageBreakBefore w:val="0"/>
        <w:widowControl w:val="0"/>
        <w:kinsoku/>
        <w:wordWrap/>
        <w:overflowPunct/>
        <w:topLinePunct w:val="0"/>
        <w:autoSpaceDE/>
        <w:autoSpaceDN/>
        <w:bidi w:val="0"/>
        <w:adjustRightInd w:val="0"/>
        <w:snapToGrid w:val="0"/>
        <w:spacing w:before="0" w:after="0" w:line="336" w:lineRule="auto"/>
        <w:ind w:left="0" w:leftChars="0" w:firstLine="482" w:firstLineChars="200"/>
        <w:textAlignment w:val="auto"/>
        <w:rPr>
          <w:rFonts w:ascii="Times New Roman" w:hAnsi="Times New Roman" w:cs="Times New Roman"/>
        </w:rPr>
      </w:pPr>
      <w:r>
        <w:rPr>
          <w:rFonts w:hint="eastAsia" w:ascii="仿宋" w:hAnsi="仿宋" w:eastAsia="仿宋" w:cs="仿宋"/>
          <w:b/>
          <w:bCs/>
          <w:sz w:val="24"/>
          <w:szCs w:val="24"/>
        </w:rPr>
        <w:t>注：本章中</w:t>
      </w:r>
      <w:r>
        <w:rPr>
          <w:rFonts w:hint="eastAsia" w:ascii="仿宋" w:hAnsi="仿宋" w:eastAsia="仿宋" w:cs="仿宋"/>
          <w:b/>
          <w:bCs/>
          <w:sz w:val="24"/>
          <w:szCs w:val="24"/>
          <w:lang w:val="en-US" w:eastAsia="zh-CN"/>
        </w:rPr>
        <w:t>所有</w:t>
      </w:r>
      <w:r>
        <w:rPr>
          <w:rFonts w:hint="eastAsia" w:ascii="仿宋" w:hAnsi="仿宋" w:eastAsia="仿宋" w:cs="仿宋"/>
          <w:b/>
          <w:bCs/>
          <w:sz w:val="24"/>
          <w:szCs w:val="24"/>
        </w:rPr>
        <w:t>条款</w:t>
      </w:r>
      <w:r>
        <w:rPr>
          <w:rFonts w:hint="eastAsia" w:ascii="仿宋" w:hAnsi="仿宋" w:eastAsia="仿宋" w:cs="仿宋"/>
          <w:b/>
          <w:bCs/>
          <w:sz w:val="24"/>
          <w:szCs w:val="24"/>
          <w:lang w:val="en-US" w:eastAsia="zh-CN"/>
        </w:rPr>
        <w:t>均</w:t>
      </w:r>
      <w:r>
        <w:rPr>
          <w:rFonts w:hint="eastAsia" w:ascii="仿宋" w:hAnsi="仿宋" w:eastAsia="仿宋" w:cs="仿宋"/>
          <w:b/>
          <w:bCs/>
          <w:sz w:val="24"/>
          <w:szCs w:val="24"/>
        </w:rPr>
        <w:t>为实质性要求，不满足将被作为无效响应处理。</w:t>
      </w: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zh-CN" w:eastAsia="zh-CN"/>
        </w:rPr>
      </w:pPr>
    </w:p>
    <w:p w14:paraId="320A839F">
      <w:pPr>
        <w:pStyle w:val="16"/>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本项目不涉及</w:t>
      </w:r>
    </w:p>
    <w:p w14:paraId="69D39C2F">
      <w:pPr>
        <w:rPr>
          <w:rFonts w:hint="eastAsia" w:ascii="Times New Roman" w:hAnsi="Times New Roman" w:cs="Times New Roman"/>
          <w:lang w:val="en-US" w:eastAsia="zh-CN"/>
        </w:rPr>
      </w:pPr>
    </w:p>
    <w:p w14:paraId="06A47274">
      <w:pPr>
        <w:rPr>
          <w:rFonts w:hint="eastAsia" w:ascii="Times New Roman" w:hAnsi="Times New Roman" w:cs="Times New Roman"/>
          <w:lang w:val="en-US" w:eastAsia="zh-CN"/>
        </w:rPr>
      </w:pPr>
    </w:p>
    <w:p w14:paraId="6AEFAA8F">
      <w:pPr>
        <w:rPr>
          <w:rFonts w:hint="eastAsia" w:ascii="Times New Roman" w:hAnsi="Times New Roman" w:cs="Times New Roman"/>
          <w:lang w:val="en-US" w:eastAsia="zh-CN"/>
        </w:rPr>
      </w:pPr>
    </w:p>
    <w:p w14:paraId="3618D216">
      <w:pPr>
        <w:rPr>
          <w:rFonts w:hint="eastAsia" w:ascii="Times New Roman" w:hAnsi="Times New Roman" w:cs="Times New Roman"/>
          <w:lang w:val="en-US" w:eastAsia="zh-CN"/>
        </w:rPr>
      </w:pPr>
    </w:p>
    <w:p w14:paraId="03934E7F">
      <w:pPr>
        <w:rPr>
          <w:rFonts w:hint="eastAsia" w:ascii="Times New Roman" w:hAnsi="Times New Roman" w:cs="Times New Roman"/>
          <w:lang w:val="en-US" w:eastAsia="zh-CN"/>
        </w:rPr>
      </w:pPr>
    </w:p>
    <w:p w14:paraId="3BD39C06">
      <w:pPr>
        <w:rPr>
          <w:rFonts w:hint="eastAsia" w:ascii="Times New Roman" w:hAnsi="Times New Roman" w:cs="Times New Roman"/>
          <w:lang w:val="en-US" w:eastAsia="zh-CN"/>
        </w:rPr>
      </w:pPr>
    </w:p>
    <w:p w14:paraId="2991788C">
      <w:pPr>
        <w:rPr>
          <w:rFonts w:hint="eastAsia" w:ascii="Times New Roman" w:hAnsi="Times New Roman" w:cs="Times New Roman"/>
          <w:lang w:val="en-US" w:eastAsia="zh-CN"/>
        </w:rPr>
      </w:pPr>
    </w:p>
    <w:p w14:paraId="179211B9">
      <w:pPr>
        <w:rPr>
          <w:rFonts w:hint="eastAsia" w:ascii="Times New Roman" w:hAnsi="Times New Roman" w:cs="Times New Roman"/>
          <w:lang w:val="en-US" w:eastAsia="zh-CN"/>
        </w:rPr>
      </w:pPr>
    </w:p>
    <w:p w14:paraId="5F1C7F35">
      <w:pPr>
        <w:rPr>
          <w:rFonts w:hint="eastAsia" w:ascii="Times New Roman" w:hAnsi="Times New Roman" w:cs="Times New Roman"/>
          <w:lang w:val="en-US" w:eastAsia="zh-CN"/>
        </w:rPr>
      </w:pPr>
    </w:p>
    <w:p w14:paraId="55FD8D6F">
      <w:pPr>
        <w:rPr>
          <w:rFonts w:hint="eastAsia" w:ascii="Times New Roman" w:hAnsi="Times New Roman" w:cs="Times New Roman"/>
          <w:lang w:val="en-US" w:eastAsia="zh-CN"/>
        </w:rPr>
      </w:pPr>
    </w:p>
    <w:p w14:paraId="33E93C10">
      <w:pPr>
        <w:rPr>
          <w:rFonts w:hint="eastAsia" w:ascii="Times New Roman" w:hAnsi="Times New Roman" w:cs="Times New Roman"/>
          <w:lang w:val="en-US" w:eastAsia="zh-CN"/>
        </w:rPr>
      </w:pPr>
    </w:p>
    <w:p w14:paraId="030BE72C">
      <w:pPr>
        <w:rPr>
          <w:rFonts w:hint="eastAsia" w:ascii="Times New Roman" w:hAnsi="Times New Roman" w:cs="Times New Roman"/>
          <w:lang w:val="en-US" w:eastAsia="zh-CN"/>
        </w:rPr>
      </w:pPr>
    </w:p>
    <w:p w14:paraId="31E08931">
      <w:pPr>
        <w:rPr>
          <w:rFonts w:hint="eastAsia" w:ascii="Times New Roman" w:hAnsi="Times New Roman" w:cs="Times New Roman"/>
          <w:lang w:val="en-US" w:eastAsia="zh-CN"/>
        </w:rPr>
      </w:pPr>
    </w:p>
    <w:p w14:paraId="1883BE83">
      <w:pPr>
        <w:rPr>
          <w:rFonts w:hint="eastAsia" w:ascii="Times New Roman" w:hAnsi="Times New Roman" w:cs="Times New Roman"/>
          <w:lang w:val="en-US" w:eastAsia="zh-CN"/>
        </w:rPr>
      </w:pPr>
    </w:p>
    <w:p w14:paraId="1B47C4F0">
      <w:pPr>
        <w:rPr>
          <w:rFonts w:hint="eastAsia" w:ascii="Times New Roman" w:hAnsi="Times New Roman" w:cs="Times New Roman"/>
          <w:lang w:val="en-US" w:eastAsia="zh-CN"/>
        </w:rPr>
      </w:pPr>
    </w:p>
    <w:p w14:paraId="37577F90">
      <w:pPr>
        <w:rPr>
          <w:rFonts w:hint="eastAsia" w:ascii="Times New Roman" w:hAnsi="Times New Roman" w:cs="Times New Roman"/>
          <w:lang w:val="en-US" w:eastAsia="zh-CN"/>
        </w:rPr>
      </w:pPr>
    </w:p>
    <w:p w14:paraId="064D6E8B">
      <w:pPr>
        <w:rPr>
          <w:rFonts w:hint="eastAsia" w:ascii="Times New Roman" w:hAnsi="Times New Roman" w:cs="Times New Roman"/>
          <w:lang w:val="en-US" w:eastAsia="zh-CN"/>
        </w:rPr>
      </w:pPr>
    </w:p>
    <w:p w14:paraId="27867AEC">
      <w:pPr>
        <w:rPr>
          <w:rFonts w:hint="eastAsia" w:ascii="Times New Roman" w:hAnsi="Times New Roman" w:cs="Times New Roman"/>
          <w:lang w:val="en-US" w:eastAsia="zh-CN"/>
        </w:rPr>
      </w:pPr>
    </w:p>
    <w:p w14:paraId="52EF227A">
      <w:pPr>
        <w:rPr>
          <w:rFonts w:hint="eastAsia" w:ascii="Times New Roman" w:hAnsi="Times New Roman" w:cs="Times New Roman"/>
          <w:lang w:val="en-US" w:eastAsia="zh-CN"/>
        </w:rPr>
      </w:pPr>
    </w:p>
    <w:p w14:paraId="2641B7BD">
      <w:pPr>
        <w:rPr>
          <w:rFonts w:hint="eastAsia" w:ascii="Times New Roman" w:hAnsi="Times New Roman" w:cs="Times New Roman"/>
          <w:lang w:val="en-US" w:eastAsia="zh-CN"/>
        </w:rPr>
      </w:pPr>
    </w:p>
    <w:p w14:paraId="2AADE0A0">
      <w:pPr>
        <w:rPr>
          <w:rFonts w:hint="eastAsia" w:ascii="Times New Roman" w:hAnsi="Times New Roman" w:cs="Times New Roman"/>
          <w:lang w:val="en-US" w:eastAsia="zh-CN"/>
        </w:rPr>
      </w:pPr>
    </w:p>
    <w:p w14:paraId="420FFA86">
      <w:pPr>
        <w:rPr>
          <w:rFonts w:hint="eastAsia" w:ascii="Times New Roman" w:hAnsi="Times New Roman" w:cs="Times New Roman"/>
          <w:lang w:val="en-US" w:eastAsia="zh-CN"/>
        </w:rPr>
      </w:pPr>
    </w:p>
    <w:p w14:paraId="284F1BB3">
      <w:pPr>
        <w:rPr>
          <w:rFonts w:hint="eastAsia" w:ascii="Times New Roman" w:hAnsi="Times New Roman" w:cs="Times New Roman"/>
          <w:lang w:val="en-US" w:eastAsia="zh-CN"/>
        </w:rPr>
      </w:pPr>
    </w:p>
    <w:p w14:paraId="46B4CB83">
      <w:pPr>
        <w:rPr>
          <w:rFonts w:hint="eastAsia" w:ascii="Times New Roman" w:hAnsi="Times New Roman" w:cs="Times New Roman"/>
          <w:lang w:val="en-US" w:eastAsia="zh-CN"/>
        </w:rPr>
      </w:pPr>
    </w:p>
    <w:p w14:paraId="64FD2A5E">
      <w:pPr>
        <w:rPr>
          <w:rFonts w:hint="eastAsia" w:ascii="Times New Roman" w:hAnsi="Times New Roman" w:cs="Times New Roman"/>
          <w:lang w:val="en-US" w:eastAsia="zh-CN"/>
        </w:rPr>
      </w:pPr>
    </w:p>
    <w:p w14:paraId="02A3DD0A">
      <w:pPr>
        <w:rPr>
          <w:rFonts w:hint="eastAsia" w:ascii="Times New Roman" w:hAnsi="Times New Roman" w:cs="Times New Roman"/>
          <w:lang w:val="en-US" w:eastAsia="zh-CN"/>
        </w:rPr>
      </w:pPr>
    </w:p>
    <w:p w14:paraId="3BE9F61C">
      <w:pPr>
        <w:rPr>
          <w:rFonts w:hint="eastAsia" w:ascii="Times New Roman" w:hAnsi="Times New Roman" w:cs="Times New Roman"/>
          <w:lang w:val="en-US" w:eastAsia="zh-CN"/>
        </w:rPr>
      </w:pPr>
    </w:p>
    <w:p w14:paraId="3907877F">
      <w:pPr>
        <w:rPr>
          <w:rFonts w:hint="eastAsia" w:ascii="Times New Roman" w:hAnsi="Times New Roman" w:cs="Times New Roman"/>
          <w:lang w:val="en-US" w:eastAsia="zh-CN"/>
        </w:rPr>
      </w:pPr>
    </w:p>
    <w:p w14:paraId="2249E4C3">
      <w:pPr>
        <w:rPr>
          <w:rFonts w:hint="eastAsia" w:ascii="Times New Roman" w:hAnsi="Times New Roman" w:cs="Times New Roman"/>
          <w:lang w:val="en-US" w:eastAsia="zh-CN"/>
        </w:rPr>
      </w:pPr>
    </w:p>
    <w:p w14:paraId="3A488CC5">
      <w:pPr>
        <w:rPr>
          <w:rFonts w:hint="eastAsia" w:ascii="Times New Roman" w:hAnsi="Times New Roman" w:cs="Times New Roman"/>
          <w:lang w:val="en-US" w:eastAsia="zh-CN"/>
        </w:rPr>
      </w:pPr>
    </w:p>
    <w:p w14:paraId="5F754961">
      <w:pPr>
        <w:rPr>
          <w:rFonts w:hint="eastAsia" w:ascii="Times New Roman" w:hAnsi="Times New Roman" w:cs="Times New Roman"/>
          <w:lang w:val="en-US" w:eastAsia="zh-CN"/>
        </w:rPr>
      </w:pPr>
    </w:p>
    <w:p w14:paraId="2AE7312B">
      <w:pPr>
        <w:rPr>
          <w:rFonts w:hint="eastAsia" w:ascii="Times New Roman" w:hAnsi="Times New Roman" w:cs="Times New Roman"/>
          <w:lang w:val="en-US" w:eastAsia="zh-CN"/>
        </w:rPr>
      </w:pPr>
    </w:p>
    <w:p w14:paraId="00889A93">
      <w:pPr>
        <w:rPr>
          <w:rFonts w:hint="eastAsia" w:ascii="Times New Roman" w:hAnsi="Times New Roman" w:cs="Times New Roman"/>
          <w:lang w:val="en-US" w:eastAsia="zh-CN"/>
        </w:rPr>
      </w:pPr>
    </w:p>
    <w:p w14:paraId="58F20868">
      <w:pPr>
        <w:rPr>
          <w:rFonts w:hint="eastAsia" w:ascii="Times New Roman" w:hAnsi="Times New Roman" w:cs="Times New Roman"/>
          <w:lang w:val="en-US" w:eastAsia="zh-CN"/>
        </w:rPr>
      </w:pPr>
    </w:p>
    <w:p w14:paraId="3D5B265B">
      <w:pPr>
        <w:rPr>
          <w:rFonts w:hint="eastAsia" w:ascii="Times New Roman" w:hAnsi="Times New Roman" w:cs="Times New Roman"/>
          <w:lang w:val="en-US" w:eastAsia="zh-CN"/>
        </w:rPr>
      </w:pPr>
    </w:p>
    <w:p w14:paraId="492C0F84">
      <w:pPr>
        <w:rPr>
          <w:rFonts w:hint="eastAsia" w:ascii="Times New Roman" w:hAnsi="Times New Roman" w:cs="Times New Roman"/>
          <w:lang w:val="en-US" w:eastAsia="zh-CN"/>
        </w:rPr>
      </w:pPr>
    </w:p>
    <w:p w14:paraId="33E21450">
      <w:pPr>
        <w:rPr>
          <w:rFonts w:hint="eastAsia" w:ascii="Times New Roman" w:hAnsi="Times New Roman" w:cs="Times New Roman"/>
          <w:lang w:val="en-US" w:eastAsia="zh-CN"/>
        </w:rPr>
      </w:pPr>
    </w:p>
    <w:p w14:paraId="2AA42F20">
      <w:pPr>
        <w:rPr>
          <w:rFonts w:hint="eastAsia" w:ascii="Times New Roman" w:hAnsi="Times New Roman" w:cs="Times New Roman"/>
          <w:lang w:val="en-US" w:eastAsia="zh-CN"/>
        </w:rPr>
      </w:pPr>
    </w:p>
    <w:p w14:paraId="1CF8CF4D">
      <w:pPr>
        <w:rPr>
          <w:rFonts w:hint="eastAsia" w:ascii="Times New Roman" w:hAnsi="Times New Roman" w:cs="Times New Roman"/>
          <w:lang w:val="en-US" w:eastAsia="zh-CN"/>
        </w:rPr>
      </w:pPr>
    </w:p>
    <w:p w14:paraId="7A692D62">
      <w:pPr>
        <w:rPr>
          <w:rFonts w:hint="eastAsia" w:ascii="Times New Roman" w:hAnsi="Times New Roman" w:cs="Times New Roman"/>
          <w:lang w:val="en-US" w:eastAsia="zh-CN"/>
        </w:rPr>
      </w:pPr>
    </w:p>
    <w:p w14:paraId="4092CC40">
      <w:pPr>
        <w:rPr>
          <w:rFonts w:hint="eastAsia" w:ascii="Times New Roman" w:hAnsi="Times New Roman" w:cs="Times New Roman"/>
          <w:lang w:val="en-US" w:eastAsia="zh-CN"/>
        </w:rPr>
      </w:pPr>
    </w:p>
    <w:p w14:paraId="2AAC3428">
      <w:pPr>
        <w:rPr>
          <w:rFonts w:hint="eastAsia" w:ascii="Times New Roman" w:hAnsi="Times New Roman" w:cs="Times New Roman"/>
          <w:lang w:val="en-US" w:eastAsia="zh-CN"/>
        </w:rPr>
      </w:pPr>
    </w:p>
    <w:p w14:paraId="47B9FEDA">
      <w:pPr>
        <w:rPr>
          <w:rFonts w:hint="eastAsia" w:ascii="Times New Roman" w:hAnsi="Times New Roman" w:cs="Times New Roman"/>
          <w:lang w:val="en-US" w:eastAsia="zh-CN"/>
        </w:rPr>
      </w:pPr>
    </w:p>
    <w:p w14:paraId="159804D7">
      <w:pPr>
        <w:rPr>
          <w:rFonts w:hint="eastAsia" w:ascii="Times New Roman" w:hAnsi="Times New Roman" w:cs="Times New Roman"/>
          <w:lang w:val="en-US" w:eastAsia="zh-CN"/>
        </w:rPr>
      </w:pPr>
    </w:p>
    <w:p w14:paraId="50E33C0C">
      <w:pPr>
        <w:rPr>
          <w:rFonts w:hint="eastAsia" w:ascii="Times New Roman" w:hAnsi="Times New Roman" w:cs="Times New Roman"/>
          <w:lang w:val="en-US" w:eastAsia="zh-CN"/>
        </w:rPr>
      </w:pPr>
    </w:p>
    <w:p w14:paraId="1B627168">
      <w:pPr>
        <w:rPr>
          <w:rFonts w:hint="eastAsia" w:ascii="Times New Roman" w:hAnsi="Times New Roman" w:cs="Times New Roman"/>
          <w:lang w:val="en-US" w:eastAsia="zh-CN"/>
        </w:rPr>
      </w:pPr>
    </w:p>
    <w:p w14:paraId="274659F8">
      <w:pPr>
        <w:rPr>
          <w:rFonts w:hint="eastAsia" w:ascii="Times New Roman" w:hAnsi="Times New Roman" w:cs="Times New Roman"/>
          <w:lang w:val="en-US" w:eastAsia="zh-CN"/>
        </w:rPr>
      </w:pPr>
    </w:p>
    <w:p w14:paraId="6A134F44">
      <w:pPr>
        <w:rPr>
          <w:rFonts w:hint="eastAsia" w:ascii="Times New Roman" w:hAnsi="Times New Roman" w:cs="Times New Roman"/>
          <w:lang w:val="en-US" w:eastAsia="zh-CN"/>
        </w:rPr>
      </w:pPr>
    </w:p>
    <w:p w14:paraId="4B65B8ED">
      <w:pPr>
        <w:rPr>
          <w:rFonts w:hint="eastAsia" w:ascii="Times New Roman" w:hAnsi="Times New Roman" w:cs="Times New Roman"/>
          <w:lang w:val="en-US" w:eastAsia="zh-CN"/>
        </w:rPr>
      </w:pPr>
    </w:p>
    <w:p w14:paraId="5AF58E38">
      <w:pPr>
        <w:rPr>
          <w:rFonts w:hint="default" w:ascii="Times New Roman" w:hAnsi="Times New Roman" w:cs="Times New Roman"/>
          <w:lang w:val="en-US" w:eastAsia="zh-CN"/>
        </w:rPr>
      </w:pP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21519"/>
      <w:bookmarkStart w:id="50" w:name="_Toc11352"/>
      <w:bookmarkStart w:id="51" w:name="_Toc14829"/>
      <w:bookmarkStart w:id="52" w:name="_Toc16029"/>
      <w:bookmarkStart w:id="53" w:name="_Toc3023"/>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numPr>
          <w:ilvl w:val="0"/>
          <w:numId w:val="0"/>
        </w:numPr>
        <w:ind w:left="0" w:leftChars="0" w:firstLine="0" w:firstLineChars="0"/>
      </w:pPr>
      <w:r>
        <w:rPr>
          <w:rFonts w:hint="eastAsia" w:cs="Times New Roman"/>
          <w:b/>
          <w:kern w:val="2"/>
          <w:sz w:val="32"/>
          <w:szCs w:val="22"/>
          <w:lang w:val="en-US" w:eastAsia="zh-CN" w:bidi="ar-SA"/>
        </w:rPr>
        <w:t>一</w:t>
      </w:r>
      <w:r>
        <w:rPr>
          <w:rFonts w:hint="eastAsia" w:ascii="Times New Roman" w:hAnsi="Times New Roman" w:eastAsia="仿宋" w:cs="Times New Roman"/>
          <w:b/>
          <w:kern w:val="2"/>
          <w:sz w:val="32"/>
          <w:szCs w:val="22"/>
          <w:lang w:val="zh-CN" w:eastAsia="zh-CN" w:bidi="ar-SA"/>
        </w:rPr>
        <w:t>、</w:t>
      </w: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4305"/>
      <w:bookmarkStart w:id="56" w:name="_Toc17857"/>
      <w:bookmarkStart w:id="57" w:name="_Toc22676"/>
      <w:bookmarkStart w:id="58" w:name="_Toc31838"/>
      <w:r>
        <w:rPr>
          <w:rFonts w:ascii="Times New Roman" w:hAnsi="Times New Roman" w:cs="Times New Roman"/>
        </w:rPr>
        <w:br w:type="page"/>
      </w:r>
    </w:p>
    <w:p w14:paraId="23ED41BF">
      <w:pPr>
        <w:pStyle w:val="3"/>
        <w:numPr>
          <w:ilvl w:val="0"/>
          <w:numId w:val="0"/>
        </w:numPr>
        <w:ind w:left="0" w:leftChars="0" w:firstLine="0" w:firstLineChars="0"/>
      </w:pPr>
      <w:r>
        <w:rPr>
          <w:rFonts w:hint="eastAsia" w:cs="Times New Roman"/>
          <w:b/>
          <w:kern w:val="2"/>
          <w:sz w:val="32"/>
          <w:szCs w:val="22"/>
          <w:lang w:val="en-US" w:eastAsia="zh-CN" w:bidi="ar-SA"/>
        </w:rPr>
        <w:t>二</w:t>
      </w:r>
      <w:r>
        <w:rPr>
          <w:rFonts w:hint="eastAsia" w:ascii="Times New Roman" w:hAnsi="Times New Roman" w:eastAsia="仿宋" w:cs="Times New Roman"/>
          <w:b/>
          <w:kern w:val="2"/>
          <w:sz w:val="32"/>
          <w:szCs w:val="22"/>
          <w:lang w:val="zh-CN" w:eastAsia="zh-CN" w:bidi="ar-SA"/>
        </w:rPr>
        <w:t>、</w:t>
      </w: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numPr>
          <w:ilvl w:val="0"/>
          <w:numId w:val="0"/>
        </w:numPr>
        <w:ind w:left="0" w:leftChars="0" w:firstLine="0" w:firstLineChars="0"/>
        <w:rPr>
          <w:rStyle w:val="32"/>
          <w:szCs w:val="28"/>
        </w:rPr>
      </w:pPr>
      <w:r>
        <w:rPr>
          <w:bCs/>
        </w:rPr>
        <w:br w:type="page"/>
      </w:r>
      <w:bookmarkStart w:id="59" w:name="_Toc15613"/>
      <w:bookmarkStart w:id="60" w:name="_Toc27186"/>
      <w:bookmarkStart w:id="61" w:name="_Toc30158"/>
      <w:r>
        <w:rPr>
          <w:rFonts w:hint="eastAsia"/>
          <w:bCs/>
          <w:lang w:val="en-US" w:eastAsia="zh-CN"/>
        </w:rPr>
        <w:t>三</w:t>
      </w:r>
      <w:r>
        <w:rPr>
          <w:rFonts w:hint="eastAsia" w:ascii="Times New Roman" w:hAnsi="Times New Roman" w:eastAsia="仿宋" w:cs="Times New Roman"/>
          <w:b/>
          <w:kern w:val="2"/>
          <w:sz w:val="32"/>
          <w:szCs w:val="28"/>
          <w:lang w:val="zh-CN" w:eastAsia="zh-CN" w:bidi="ar-SA"/>
        </w:rPr>
        <w:t>、</w:t>
      </w:r>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numPr>
          <w:ilvl w:val="0"/>
          <w:numId w:val="0"/>
        </w:numPr>
        <w:ind w:left="0" w:leftChars="0" w:firstLine="0" w:firstLineChars="0"/>
        <w:rPr>
          <w:szCs w:val="32"/>
        </w:rPr>
      </w:pPr>
      <w:bookmarkStart w:id="65" w:name="_Toc23146"/>
      <w:bookmarkStart w:id="66" w:name="_Toc15508"/>
      <w:r>
        <w:rPr>
          <w:rFonts w:hint="eastAsia" w:cs="Times New Roman"/>
          <w:b/>
          <w:kern w:val="2"/>
          <w:sz w:val="32"/>
          <w:szCs w:val="32"/>
          <w:lang w:val="en-US" w:eastAsia="zh-CN" w:bidi="ar-SA"/>
        </w:rPr>
        <w:t>四</w:t>
      </w:r>
      <w:r>
        <w:rPr>
          <w:rFonts w:hint="eastAsia" w:ascii="Times New Roman" w:hAnsi="Times New Roman" w:eastAsia="仿宋" w:cs="Times New Roman"/>
          <w:b/>
          <w:kern w:val="2"/>
          <w:sz w:val="32"/>
          <w:szCs w:val="32"/>
          <w:lang w:val="zh-CN" w:eastAsia="zh-CN" w:bidi="ar-SA"/>
        </w:rPr>
        <w:t>、</w:t>
      </w:r>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numPr>
          <w:ilvl w:val="0"/>
          <w:numId w:val="0"/>
        </w:numPr>
        <w:ind w:left="0" w:leftChars="0" w:firstLine="0" w:firstLineChars="0"/>
        <w:rPr>
          <w:szCs w:val="32"/>
        </w:rPr>
      </w:pPr>
      <w:r>
        <w:rPr>
          <w:szCs w:val="32"/>
        </w:rPr>
        <w:br w:type="page"/>
      </w:r>
      <w:bookmarkStart w:id="67" w:name="_Toc11351"/>
      <w:bookmarkStart w:id="68" w:name="_Toc15526"/>
      <w:bookmarkStart w:id="69" w:name="_Toc20589"/>
      <w:bookmarkStart w:id="70" w:name="_Toc12015"/>
      <w:bookmarkStart w:id="71" w:name="_Toc27661"/>
      <w:bookmarkStart w:id="72" w:name="_Toc25638"/>
      <w:r>
        <w:rPr>
          <w:rFonts w:hint="eastAsia"/>
          <w:szCs w:val="32"/>
          <w:lang w:val="en-US" w:eastAsia="zh-CN"/>
        </w:rPr>
        <w:t>五</w:t>
      </w:r>
      <w:r>
        <w:rPr>
          <w:rFonts w:hint="eastAsia" w:ascii="Times New Roman" w:hAnsi="Times New Roman" w:eastAsia="仿宋" w:cs="Times New Roman"/>
          <w:b/>
          <w:kern w:val="2"/>
          <w:sz w:val="32"/>
          <w:szCs w:val="32"/>
          <w:lang w:val="zh-CN" w:eastAsia="zh-CN" w:bidi="ar-SA"/>
        </w:rPr>
        <w:t>、</w:t>
      </w:r>
      <w:r>
        <w:rPr>
          <w:rStyle w:val="40"/>
          <w:b/>
        </w:rPr>
        <w:t>法定代表人身份证明书</w:t>
      </w:r>
      <w:bookmarkEnd w:id="67"/>
      <w:bookmarkEnd w:id="68"/>
      <w:bookmarkEnd w:id="69"/>
      <w:bookmarkEnd w:id="70"/>
      <w:bookmarkEnd w:id="71"/>
      <w:bookmarkEnd w:id="72"/>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numPr>
          <w:ilvl w:val="0"/>
          <w:numId w:val="0"/>
        </w:numPr>
        <w:ind w:left="0" w:leftChars="0" w:firstLine="0" w:firstLineChars="0"/>
        <w:rPr>
          <w:szCs w:val="32"/>
        </w:rPr>
      </w:pPr>
      <w:r>
        <w:rPr>
          <w:szCs w:val="32"/>
        </w:rPr>
        <w:br w:type="page"/>
      </w:r>
      <w:bookmarkStart w:id="73" w:name="_Toc16435"/>
      <w:bookmarkStart w:id="74" w:name="_Toc12967"/>
      <w:bookmarkStart w:id="75" w:name="_Toc23967"/>
      <w:bookmarkStart w:id="76" w:name="_Toc1074"/>
      <w:bookmarkStart w:id="77" w:name="_Toc26969"/>
      <w:bookmarkStart w:id="78" w:name="_Toc2041"/>
      <w:r>
        <w:rPr>
          <w:rFonts w:hint="eastAsia"/>
          <w:szCs w:val="32"/>
          <w:lang w:val="en-US" w:eastAsia="zh-CN"/>
        </w:rPr>
        <w:t>六</w:t>
      </w:r>
      <w:r>
        <w:rPr>
          <w:rFonts w:hint="eastAsia" w:ascii="Times New Roman" w:hAnsi="Times New Roman" w:eastAsia="仿宋" w:cs="Times New Roman"/>
          <w:b/>
          <w:kern w:val="2"/>
          <w:sz w:val="32"/>
          <w:szCs w:val="32"/>
          <w:lang w:val="zh-CN" w:eastAsia="zh-CN" w:bidi="ar-SA"/>
        </w:rPr>
        <w:t>、</w:t>
      </w:r>
      <w:r>
        <w:rPr>
          <w:rStyle w:val="40"/>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numPr>
          <w:ilvl w:val="0"/>
          <w:numId w:val="0"/>
        </w:numPr>
        <w:ind w:left="0" w:leftChars="0" w:firstLine="0" w:firstLineChars="0"/>
        <w:rPr>
          <w:bCs/>
          <w:szCs w:val="32"/>
        </w:rPr>
      </w:pPr>
      <w:r>
        <w:rPr>
          <w:szCs w:val="32"/>
        </w:rPr>
        <w:br w:type="page"/>
      </w:r>
      <w:bookmarkStart w:id="79" w:name="_Toc21082"/>
      <w:bookmarkStart w:id="80" w:name="_Toc24806"/>
      <w:bookmarkStart w:id="81" w:name="_Toc31686"/>
      <w:bookmarkStart w:id="82" w:name="_Toc28634"/>
      <w:bookmarkStart w:id="83" w:name="_Toc1369"/>
      <w:bookmarkStart w:id="84" w:name="_Toc26839"/>
      <w:r>
        <w:rPr>
          <w:rFonts w:hint="eastAsia"/>
          <w:szCs w:val="32"/>
          <w:lang w:val="en-US" w:eastAsia="zh-CN"/>
        </w:rPr>
        <w:t>七</w:t>
      </w:r>
      <w:r>
        <w:rPr>
          <w:rFonts w:hint="eastAsia" w:ascii="Times New Roman" w:hAnsi="Times New Roman" w:eastAsia="仿宋" w:cs="Times New Roman"/>
          <w:b/>
          <w:bCs/>
          <w:kern w:val="2"/>
          <w:sz w:val="32"/>
          <w:szCs w:val="32"/>
          <w:lang w:val="zh-CN" w:eastAsia="zh-CN" w:bidi="ar-SA"/>
        </w:rPr>
        <w:t>、</w:t>
      </w:r>
      <w:r>
        <w:rPr>
          <w:rStyle w:val="40"/>
          <w:b/>
        </w:rPr>
        <w:t>评分需要提供的证明材料</w:t>
      </w:r>
      <w:bookmarkEnd w:id="79"/>
      <w:bookmarkEnd w:id="80"/>
      <w:bookmarkEnd w:id="81"/>
      <w:bookmarkEnd w:id="82"/>
      <w:bookmarkEnd w:id="83"/>
      <w:bookmarkEnd w:id="84"/>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numPr>
          <w:ilvl w:val="0"/>
          <w:numId w:val="0"/>
        </w:numPr>
        <w:ind w:left="0" w:leftChars="0" w:firstLine="0" w:firstLineChars="0"/>
        <w:rPr>
          <w:highlight w:val="none"/>
        </w:rPr>
      </w:pPr>
      <w:bookmarkStart w:id="88" w:name="_Toc15065"/>
      <w:r>
        <w:rPr>
          <w:rFonts w:hint="eastAsia" w:cs="Times New Roman"/>
          <w:b/>
          <w:kern w:val="2"/>
          <w:sz w:val="32"/>
          <w:szCs w:val="22"/>
          <w:highlight w:val="none"/>
          <w:lang w:val="en-US" w:eastAsia="zh-CN" w:bidi="ar-SA"/>
        </w:rPr>
        <w:t>八</w:t>
      </w:r>
      <w:r>
        <w:rPr>
          <w:rFonts w:hint="eastAsia" w:ascii="Times New Roman" w:hAnsi="Times New Roman" w:eastAsia="仿宋" w:cs="Times New Roman"/>
          <w:b/>
          <w:kern w:val="2"/>
          <w:sz w:val="32"/>
          <w:szCs w:val="22"/>
          <w:highlight w:val="none"/>
          <w:lang w:val="zh-CN" w:eastAsia="zh-CN" w:bidi="ar-SA"/>
        </w:rPr>
        <w:t>、</w:t>
      </w:r>
      <w:r>
        <w:rPr>
          <w:highlight w:val="none"/>
        </w:rP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6175C3B5">
      <w:pPr>
        <w:pStyle w:val="7"/>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0ABDB8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仿宋" w:hAnsi="仿宋" w:eastAsia="仿宋" w:cs="仿宋"/>
          <w:b/>
          <w:bCs/>
          <w:kern w:val="2"/>
          <w:sz w:val="24"/>
          <w:szCs w:val="24"/>
          <w:lang w:val="zh-TW" w:eastAsia="zh-CN" w:bidi="ar-SA"/>
        </w:rPr>
      </w:pPr>
    </w:p>
    <w:p w14:paraId="654F9F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仿宋" w:hAnsi="仿宋" w:eastAsia="仿宋" w:cs="仿宋"/>
          <w:b/>
          <w:bCs/>
          <w:sz w:val="24"/>
          <w:szCs w:val="24"/>
          <w:highlight w:val="none"/>
          <w:lang w:val="zh-TW"/>
        </w:rPr>
      </w:pPr>
      <w:r>
        <w:rPr>
          <w:rFonts w:hint="eastAsia" w:ascii="仿宋" w:hAnsi="仿宋" w:eastAsia="仿宋" w:cs="仿宋"/>
          <w:b/>
          <w:bCs/>
          <w:kern w:val="2"/>
          <w:sz w:val="24"/>
          <w:szCs w:val="24"/>
          <w:lang w:val="zh-TW" w:eastAsia="zh-CN" w:bidi="ar-SA"/>
        </w:rPr>
        <w:t>1.</w:t>
      </w:r>
      <w:r>
        <w:rPr>
          <w:rFonts w:hint="eastAsia" w:ascii="仿宋" w:hAnsi="仿宋" w:eastAsia="仿宋" w:cs="仿宋"/>
          <w:b/>
          <w:bCs/>
          <w:sz w:val="24"/>
          <w:szCs w:val="24"/>
          <w:highlight w:val="none"/>
          <w:lang w:val="en-US" w:eastAsia="zh-CN"/>
        </w:rPr>
        <w:t>扫描服务费：</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lang w:val="en-US" w:eastAsia="zh-CN"/>
        </w:rPr>
        <w:t>元/页。</w:t>
      </w:r>
    </w:p>
    <w:p w14:paraId="25047EC9">
      <w:pPr>
        <w:widowControl/>
        <w:jc w:val="left"/>
        <w:rPr>
          <w:rFonts w:ascii="Times New Roman" w:hAnsi="Times New Roman" w:eastAsia="仿宋" w:cs="Times New Roman"/>
          <w:szCs w:val="21"/>
          <w:lang w:val="zh-TW"/>
        </w:rPr>
      </w:pPr>
    </w:p>
    <w:p w14:paraId="2359962E">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spacing w:line="360" w:lineRule="auto"/>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spacing w:line="360" w:lineRule="auto"/>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spacing w:line="360" w:lineRule="auto"/>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r>
        <w:rPr>
          <w:rFonts w:hint="eastAsia" w:ascii="Times New Roman" w:hAnsi="Times New Roman" w:eastAsia="仿宋" w:cs="Times New Roman"/>
          <w:sz w:val="24"/>
          <w:szCs w:val="24"/>
          <w:u w:val="none"/>
          <w:lang w:val="en-US" w:eastAsia="zh-CN"/>
        </w:rPr>
        <w:t>日</w:t>
      </w:r>
    </w:p>
    <w:p w14:paraId="6B95BC28">
      <w:pPr>
        <w:spacing w:line="360" w:lineRule="auto"/>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0" w:leftChars="0" w:firstLine="0" w:firstLineChars="0"/>
      </w:pPr>
      <w:r>
        <w:rPr>
          <w:rFonts w:hint="eastAsia" w:cs="Times New Roman"/>
          <w:b/>
          <w:kern w:val="2"/>
          <w:sz w:val="32"/>
          <w:szCs w:val="22"/>
          <w:lang w:val="en-US" w:eastAsia="zh-CN" w:bidi="ar-SA"/>
        </w:rPr>
        <w:t>九</w:t>
      </w:r>
      <w:r>
        <w:rPr>
          <w:rFonts w:hint="eastAsia" w:ascii="Times New Roman" w:hAnsi="Times New Roman" w:eastAsia="仿宋" w:cs="Times New Roman"/>
          <w:b/>
          <w:kern w:val="2"/>
          <w:sz w:val="32"/>
          <w:szCs w:val="22"/>
          <w:lang w:val="zh-CN" w:eastAsia="zh-CN" w:bidi="ar-SA"/>
        </w:rPr>
        <w:t>、</w:t>
      </w: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2D744FF1">
      <w:pPr>
        <w:pStyle w:val="41"/>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1"/>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footerReference r:id="rId6" w:type="default"/>
          <w:footerReference r:id="rId7" w:type="even"/>
          <w:pgSz w:w="11906" w:h="16838"/>
          <w:pgMar w:top="1134" w:right="1134" w:bottom="1134" w:left="1134" w:header="850" w:footer="567" w:gutter="0"/>
          <w:pgNumType w:fmt="decimal" w:start="1"/>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57D306C0">
            <w:pPr>
              <w:rPr>
                <w:szCs w:val="21"/>
                <w:highlight w:val="none"/>
              </w:rPr>
            </w:pPr>
            <w:r>
              <w:rPr>
                <w:b/>
                <w:bCs/>
                <w:szCs w:val="21"/>
                <w:highlight w:val="none"/>
              </w:rPr>
              <w:t>项目联系人</w:t>
            </w:r>
            <w:r>
              <w:rPr>
                <w:szCs w:val="21"/>
                <w:highlight w:val="none"/>
              </w:rPr>
              <w:t xml:space="preserve">：*** </w:t>
            </w:r>
            <w:r>
              <w:rPr>
                <w:b/>
                <w:bCs/>
                <w:szCs w:val="21"/>
                <w:highlight w:val="none"/>
              </w:rPr>
              <w:t>电话</w:t>
            </w:r>
            <w:r>
              <w:rPr>
                <w:szCs w:val="21"/>
                <w:highlight w:val="none"/>
              </w:rPr>
              <w:t>：***</w:t>
            </w:r>
          </w:p>
          <w:p w14:paraId="55B6CA4B">
            <w:pPr>
              <w:rPr>
                <w:highlight w:val="none"/>
              </w:rPr>
            </w:pPr>
            <w:r>
              <w:rPr>
                <w:rFonts w:hint="eastAsia"/>
                <w:b/>
                <w:bCs/>
                <w:szCs w:val="21"/>
                <w:highlight w:val="none"/>
              </w:rPr>
              <w:t>电子邮件：</w:t>
            </w:r>
            <w:r>
              <w:rPr>
                <w:rFonts w:hint="eastAsia"/>
                <w:szCs w:val="21"/>
                <w:highlight w:val="none"/>
              </w:rPr>
              <w:t>*</w:t>
            </w:r>
            <w:r>
              <w:rPr>
                <w:szCs w:val="21"/>
                <w:highlight w:val="none"/>
              </w:rPr>
              <w:t>**</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29"/>
        <w:numPr>
          <w:ilvl w:val="0"/>
          <w:numId w:val="12"/>
        </w:numPr>
        <w:ind w:left="0" w:firstLine="0" w:firstLineChars="0"/>
        <w:contextualSpacing/>
        <w:jc w:val="left"/>
        <w:rPr>
          <w:b/>
          <w:szCs w:val="21"/>
          <w:highlight w:val="none"/>
        </w:rPr>
      </w:pPr>
      <w:r>
        <w:rPr>
          <w:b/>
          <w:szCs w:val="21"/>
          <w:highlight w:val="none"/>
        </w:rPr>
        <w:t>合同标的</w:t>
      </w:r>
    </w:p>
    <w:p w14:paraId="2E385537">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13"/>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13"/>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29"/>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29"/>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29"/>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29"/>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29"/>
              <w:ind w:firstLine="0" w:firstLineChars="0"/>
              <w:rPr>
                <w:color w:val="000000"/>
                <w:szCs w:val="21"/>
                <w:highlight w:val="none"/>
              </w:rPr>
            </w:pPr>
          </w:p>
        </w:tc>
        <w:tc>
          <w:tcPr>
            <w:tcW w:w="3686" w:type="dxa"/>
            <w:vAlign w:val="center"/>
          </w:tcPr>
          <w:p w14:paraId="1B711F72">
            <w:pPr>
              <w:pStyle w:val="29"/>
              <w:ind w:firstLine="0" w:firstLineChars="0"/>
              <w:rPr>
                <w:color w:val="000000"/>
                <w:szCs w:val="21"/>
                <w:highlight w:val="none"/>
              </w:rPr>
            </w:pPr>
          </w:p>
        </w:tc>
        <w:tc>
          <w:tcPr>
            <w:tcW w:w="963" w:type="dxa"/>
            <w:vAlign w:val="center"/>
          </w:tcPr>
          <w:p w14:paraId="5DD02118">
            <w:pPr>
              <w:pStyle w:val="29"/>
              <w:ind w:firstLine="0" w:firstLineChars="0"/>
              <w:jc w:val="center"/>
              <w:rPr>
                <w:color w:val="000000"/>
                <w:szCs w:val="21"/>
                <w:highlight w:val="none"/>
              </w:rPr>
            </w:pPr>
          </w:p>
        </w:tc>
        <w:tc>
          <w:tcPr>
            <w:tcW w:w="2016" w:type="dxa"/>
          </w:tcPr>
          <w:p w14:paraId="149276E7">
            <w:pPr>
              <w:pStyle w:val="29"/>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29"/>
              <w:ind w:firstLine="0" w:firstLineChars="0"/>
              <w:rPr>
                <w:color w:val="000000"/>
                <w:szCs w:val="21"/>
                <w:highlight w:val="none"/>
              </w:rPr>
            </w:pPr>
          </w:p>
        </w:tc>
        <w:tc>
          <w:tcPr>
            <w:tcW w:w="3686" w:type="dxa"/>
            <w:vAlign w:val="center"/>
          </w:tcPr>
          <w:p w14:paraId="01B65D9C">
            <w:pPr>
              <w:pStyle w:val="29"/>
              <w:ind w:firstLine="0" w:firstLineChars="0"/>
              <w:rPr>
                <w:color w:val="000000"/>
                <w:szCs w:val="21"/>
                <w:highlight w:val="none"/>
              </w:rPr>
            </w:pPr>
          </w:p>
        </w:tc>
        <w:tc>
          <w:tcPr>
            <w:tcW w:w="963" w:type="dxa"/>
            <w:vAlign w:val="center"/>
          </w:tcPr>
          <w:p w14:paraId="4C31DD39">
            <w:pPr>
              <w:pStyle w:val="29"/>
              <w:ind w:firstLine="0" w:firstLineChars="0"/>
              <w:jc w:val="center"/>
              <w:rPr>
                <w:color w:val="000000"/>
                <w:szCs w:val="21"/>
                <w:highlight w:val="none"/>
              </w:rPr>
            </w:pPr>
          </w:p>
        </w:tc>
        <w:tc>
          <w:tcPr>
            <w:tcW w:w="2016" w:type="dxa"/>
          </w:tcPr>
          <w:p w14:paraId="3000AC5A">
            <w:pPr>
              <w:pStyle w:val="29"/>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29"/>
              <w:ind w:firstLine="0" w:firstLineChars="0"/>
              <w:rPr>
                <w:color w:val="000000"/>
                <w:szCs w:val="21"/>
                <w:highlight w:val="none"/>
              </w:rPr>
            </w:pPr>
          </w:p>
        </w:tc>
        <w:tc>
          <w:tcPr>
            <w:tcW w:w="3686" w:type="dxa"/>
            <w:vAlign w:val="center"/>
          </w:tcPr>
          <w:p w14:paraId="38AC0A57">
            <w:pPr>
              <w:pStyle w:val="29"/>
              <w:ind w:firstLine="0" w:firstLineChars="0"/>
              <w:rPr>
                <w:color w:val="000000"/>
                <w:szCs w:val="21"/>
                <w:highlight w:val="none"/>
              </w:rPr>
            </w:pPr>
          </w:p>
        </w:tc>
        <w:tc>
          <w:tcPr>
            <w:tcW w:w="963" w:type="dxa"/>
            <w:vAlign w:val="center"/>
          </w:tcPr>
          <w:p w14:paraId="3B158765">
            <w:pPr>
              <w:pStyle w:val="29"/>
              <w:ind w:firstLine="0" w:firstLineChars="0"/>
              <w:jc w:val="center"/>
              <w:rPr>
                <w:color w:val="000000"/>
                <w:szCs w:val="21"/>
                <w:highlight w:val="none"/>
              </w:rPr>
            </w:pPr>
          </w:p>
        </w:tc>
        <w:tc>
          <w:tcPr>
            <w:tcW w:w="2016" w:type="dxa"/>
          </w:tcPr>
          <w:p w14:paraId="43F7F4B9">
            <w:pPr>
              <w:pStyle w:val="29"/>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29"/>
              <w:ind w:firstLine="0" w:firstLineChars="0"/>
              <w:rPr>
                <w:color w:val="000000"/>
                <w:szCs w:val="21"/>
                <w:highlight w:val="none"/>
              </w:rPr>
            </w:pPr>
          </w:p>
        </w:tc>
        <w:tc>
          <w:tcPr>
            <w:tcW w:w="3686" w:type="dxa"/>
            <w:vAlign w:val="center"/>
          </w:tcPr>
          <w:p w14:paraId="5E27032F">
            <w:pPr>
              <w:pStyle w:val="29"/>
              <w:ind w:firstLine="0" w:firstLineChars="0"/>
              <w:rPr>
                <w:color w:val="000000"/>
                <w:szCs w:val="21"/>
                <w:highlight w:val="none"/>
              </w:rPr>
            </w:pPr>
          </w:p>
        </w:tc>
        <w:tc>
          <w:tcPr>
            <w:tcW w:w="963" w:type="dxa"/>
            <w:vAlign w:val="center"/>
          </w:tcPr>
          <w:p w14:paraId="19B21445">
            <w:pPr>
              <w:pStyle w:val="29"/>
              <w:ind w:firstLine="0" w:firstLineChars="0"/>
              <w:jc w:val="center"/>
              <w:rPr>
                <w:color w:val="000000"/>
                <w:szCs w:val="21"/>
                <w:highlight w:val="none"/>
              </w:rPr>
            </w:pPr>
          </w:p>
        </w:tc>
        <w:tc>
          <w:tcPr>
            <w:tcW w:w="2016" w:type="dxa"/>
          </w:tcPr>
          <w:p w14:paraId="5FC047A6">
            <w:pPr>
              <w:pStyle w:val="29"/>
              <w:ind w:firstLine="0" w:firstLineChars="0"/>
              <w:rPr>
                <w:color w:val="000000"/>
                <w:szCs w:val="21"/>
                <w:highlight w:val="none"/>
              </w:rPr>
            </w:pPr>
          </w:p>
        </w:tc>
      </w:tr>
    </w:tbl>
    <w:p w14:paraId="2D35C912">
      <w:pPr>
        <w:pStyle w:val="29"/>
        <w:numPr>
          <w:ilvl w:val="0"/>
          <w:numId w:val="12"/>
        </w:numPr>
        <w:ind w:firstLineChars="0"/>
        <w:jc w:val="left"/>
        <w:rPr>
          <w:b/>
          <w:szCs w:val="21"/>
          <w:highlight w:val="none"/>
        </w:rPr>
      </w:pPr>
      <w:r>
        <w:rPr>
          <w:b/>
          <w:szCs w:val="21"/>
          <w:highlight w:val="none"/>
        </w:rPr>
        <w:t>合同</w:t>
      </w:r>
      <w:r>
        <w:rPr>
          <w:rFonts w:hint="eastAsia"/>
          <w:b/>
          <w:szCs w:val="21"/>
          <w:highlight w:val="none"/>
        </w:rPr>
        <w:t>价款</w:t>
      </w:r>
    </w:p>
    <w:p w14:paraId="036F89BD">
      <w:pPr>
        <w:keepNext w:val="0"/>
        <w:keepLines w:val="0"/>
        <w:pageBreakBefore w:val="0"/>
        <w:widowControl w:val="0"/>
        <w:kinsoku/>
        <w:wordWrap/>
        <w:overflowPunct/>
        <w:topLinePunct w:val="0"/>
        <w:autoSpaceDE/>
        <w:autoSpaceDN/>
        <w:bidi w:val="0"/>
        <w:snapToGrid w:val="0"/>
        <w:spacing w:line="312" w:lineRule="auto"/>
        <w:ind w:left="0" w:leftChars="0" w:firstLine="480"/>
        <w:contextualSpacing/>
        <w:jc w:val="left"/>
        <w:textAlignment w:val="auto"/>
        <w:rPr>
          <w:rFonts w:hint="eastAsia" w:asciiTheme="minorEastAsia" w:hAnsiTheme="minorEastAsia" w:eastAsiaTheme="minorEastAsia" w:cstheme="minorEastAsia"/>
          <w:szCs w:val="21"/>
          <w:highlight w:val="none"/>
        </w:rPr>
      </w:pPr>
      <w:bookmarkStart w:id="95" w:name="OLE_LINK1"/>
      <w:bookmarkStart w:id="96" w:name="OLE_LINK2"/>
      <w:r>
        <w:rPr>
          <w:rFonts w:hint="eastAsia" w:asciiTheme="minorEastAsia" w:hAnsiTheme="minorEastAsia" w:eastAsiaTheme="minorEastAsia" w:cstheme="minorEastAsia"/>
          <w:color w:val="000000"/>
          <w:szCs w:val="21"/>
          <w:highlight w:val="none"/>
        </w:rPr>
        <w:sym w:font="Wingdings 2" w:char="00A3"/>
      </w:r>
      <w:r>
        <w:rPr>
          <w:rFonts w:hint="eastAsia" w:asciiTheme="minorEastAsia" w:hAnsiTheme="minorEastAsia" w:eastAsiaTheme="minorEastAsia" w:cstheme="minorEastAsia"/>
          <w:szCs w:val="21"/>
          <w:highlight w:val="none"/>
        </w:rPr>
        <w:t>全包服务</w:t>
      </w:r>
    </w:p>
    <w:p w14:paraId="6903D519">
      <w:pPr>
        <w:keepNext w:val="0"/>
        <w:keepLines w:val="0"/>
        <w:pageBreakBefore w:val="0"/>
        <w:widowControl w:val="0"/>
        <w:kinsoku/>
        <w:wordWrap/>
        <w:overflowPunct/>
        <w:topLinePunct w:val="0"/>
        <w:autoSpaceDE/>
        <w:autoSpaceDN/>
        <w:bidi w:val="0"/>
        <w:snapToGrid w:val="0"/>
        <w:spacing w:line="312" w:lineRule="auto"/>
        <w:ind w:left="0" w:leftChars="0" w:firstLine="420" w:firstLineChars="20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keepNext w:val="0"/>
        <w:keepLines w:val="0"/>
        <w:pageBreakBefore w:val="0"/>
        <w:widowControl w:val="0"/>
        <w:kinsoku/>
        <w:wordWrap/>
        <w:overflowPunct/>
        <w:topLinePunct w:val="0"/>
        <w:autoSpaceDE/>
        <w:autoSpaceDN/>
        <w:bidi w:val="0"/>
        <w:snapToGrid w:val="0"/>
        <w:spacing w:line="312" w:lineRule="auto"/>
        <w:ind w:left="0" w:leftChars="0" w:firstLine="480"/>
        <w:contextualSpacing/>
        <w:jc w:val="left"/>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1"/>
          <w:highlight w:val="none"/>
          <w:shd w:val="clear" w:color="auto" w:fill="FFFFFF"/>
        </w:rPr>
        <w:sym w:font="Wingdings" w:char="F0A8"/>
      </w:r>
      <w:r>
        <w:rPr>
          <w:rFonts w:hint="eastAsia" w:asciiTheme="minorEastAsia" w:hAnsiTheme="minorEastAsia" w:eastAsiaTheme="minorEastAsia" w:cstheme="minorEastAsia"/>
          <w:highlight w:val="none"/>
        </w:rPr>
        <w:t>半包服务</w:t>
      </w:r>
    </w:p>
    <w:p w14:paraId="1F79E5D1">
      <w:pPr>
        <w:keepNext w:val="0"/>
        <w:keepLines w:val="0"/>
        <w:pageBreakBefore w:val="0"/>
        <w:widowControl w:val="0"/>
        <w:kinsoku/>
        <w:wordWrap/>
        <w:overflowPunct/>
        <w:topLinePunct w:val="0"/>
        <w:autoSpaceDE/>
        <w:autoSpaceDN/>
        <w:bidi w:val="0"/>
        <w:snapToGrid w:val="0"/>
        <w:spacing w:line="312" w:lineRule="auto"/>
        <w:ind w:left="0" w:leftChars="0" w:firstLine="420" w:firstLineChars="20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1.本合同固定部分价款为</w:t>
      </w:r>
      <w:bookmarkStart w:id="97" w:name="OLE_LINK28"/>
      <w:r>
        <w:rPr>
          <w:rFonts w:hint="eastAsia" w:asciiTheme="minorEastAsia" w:hAnsiTheme="minorEastAsia" w:eastAsiaTheme="minorEastAsia" w:cstheme="minorEastAsia"/>
          <w:szCs w:val="21"/>
          <w:highlight w:val="none"/>
        </w:rPr>
        <w:t>人民币大写：*** 圆整，即RMB *** 元</w:t>
      </w:r>
      <w:bookmarkEnd w:id="97"/>
      <w:r>
        <w:rPr>
          <w:rFonts w:hint="eastAsia" w:asciiTheme="minorEastAsia" w:hAnsiTheme="minorEastAsia" w:eastAsiaTheme="minorEastAsia" w:cstheme="minorEastAsia"/>
          <w:szCs w:val="21"/>
          <w:highlight w:val="none"/>
        </w:rPr>
        <w:t>，该部分价款已包括***及税费在内的全部含税费用。本合同执行期间该部分合同价款不变，甲方无须向乙方支付本合同规定之外的其他任何费用。</w:t>
      </w:r>
    </w:p>
    <w:p w14:paraId="22723641">
      <w:pPr>
        <w:keepNext w:val="0"/>
        <w:keepLines w:val="0"/>
        <w:pageBreakBefore w:val="0"/>
        <w:widowControl w:val="0"/>
        <w:kinsoku/>
        <w:wordWrap/>
        <w:overflowPunct/>
        <w:topLinePunct w:val="0"/>
        <w:autoSpaceDE/>
        <w:autoSpaceDN/>
        <w:bidi w:val="0"/>
        <w:snapToGrid w:val="0"/>
        <w:spacing w:line="312" w:lineRule="auto"/>
        <w:ind w:left="0" w:leftChars="0" w:firstLine="420" w:firstLineChars="20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2.本合同按实结算部分支付总额不超过人民币大写：*** 圆整，即RMB *** 元，依据本合同单价进行结算，结算依据及标准为：***，结算单价详见附件1《结算单价清单》。</w:t>
      </w:r>
      <w:r>
        <w:rPr>
          <w:rFonts w:hint="eastAsia" w:asciiTheme="minorEastAsia" w:hAnsiTheme="minorEastAsia" w:eastAsiaTheme="minorEastAsia" w:cstheme="minorEastAsia"/>
          <w:i/>
          <w:iCs/>
          <w:szCs w:val="21"/>
          <w:highlight w:val="none"/>
        </w:rPr>
        <w:t>&lt;根据项目实际情况编制结算依据、标准等必要内容&gt;</w:t>
      </w:r>
    </w:p>
    <w:p w14:paraId="12981F5A">
      <w:pPr>
        <w:keepNext w:val="0"/>
        <w:keepLines w:val="0"/>
        <w:pageBreakBefore w:val="0"/>
        <w:widowControl w:val="0"/>
        <w:kinsoku/>
        <w:wordWrap/>
        <w:overflowPunct/>
        <w:topLinePunct w:val="0"/>
        <w:autoSpaceDE/>
        <w:autoSpaceDN/>
        <w:bidi w:val="0"/>
        <w:snapToGrid w:val="0"/>
        <w:spacing w:line="312" w:lineRule="auto"/>
        <w:ind w:left="0" w:leftChars="0" w:firstLine="480"/>
        <w:contextualSpacing/>
        <w:jc w:val="left"/>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Cs w:val="21"/>
          <w:highlight w:val="none"/>
          <w:shd w:val="clear" w:color="auto" w:fill="FFFFFF"/>
        </w:rPr>
        <w:sym w:font="Wingdings" w:char="F0A8"/>
      </w:r>
      <w:r>
        <w:rPr>
          <w:rFonts w:hint="eastAsia" w:asciiTheme="minorEastAsia" w:hAnsiTheme="minorEastAsia" w:eastAsiaTheme="minorEastAsia" w:cstheme="minorEastAsia"/>
          <w:highlight w:val="none"/>
        </w:rPr>
        <w:t>按实结算</w:t>
      </w:r>
    </w:p>
    <w:p w14:paraId="70F77AF6">
      <w:pPr>
        <w:keepNext w:val="0"/>
        <w:keepLines w:val="0"/>
        <w:pageBreakBefore w:val="0"/>
        <w:widowControl w:val="0"/>
        <w:kinsoku/>
        <w:wordWrap/>
        <w:overflowPunct/>
        <w:topLinePunct w:val="0"/>
        <w:autoSpaceDE/>
        <w:autoSpaceDN/>
        <w:bidi w:val="0"/>
        <w:snapToGrid w:val="0"/>
        <w:spacing w:line="312" w:lineRule="auto"/>
        <w:ind w:left="0" w:leftChars="0" w:firstLine="420" w:firstLineChars="20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本合同支付总额不超过人民币大写：*** 圆整，即RMB *** 元，依据本合同单价进行结算，结算单价详见附件1《结算单价清单》。</w:t>
      </w:r>
    </w:p>
    <w:bookmarkEnd w:id="95"/>
    <w:bookmarkEnd w:id="96"/>
    <w:p w14:paraId="61352334">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服务期限</w:t>
      </w:r>
      <w:r>
        <w:rPr>
          <w:rFonts w:hint="eastAsia" w:asciiTheme="minorEastAsia" w:hAnsiTheme="minorEastAsia" w:eastAsiaTheme="minorEastAsia" w:cstheme="minorEastAsia"/>
          <w:i/>
          <w:iCs/>
          <w:szCs w:val="21"/>
          <w:highlight w:val="none"/>
        </w:rPr>
        <w:t>&lt;根据项目实际情况选择&gt;</w:t>
      </w:r>
    </w:p>
    <w:p w14:paraId="4E947B0D">
      <w:pPr>
        <w:pStyle w:val="29"/>
        <w:keepNext w:val="0"/>
        <w:keepLines w:val="0"/>
        <w:pageBreakBefore w:val="0"/>
        <w:widowControl w:val="0"/>
        <w:kinsoku/>
        <w:wordWrap/>
        <w:overflowPunct/>
        <w:topLinePunct w:val="0"/>
        <w:autoSpaceDE/>
        <w:autoSpaceDN/>
        <w:bidi w:val="0"/>
        <w:snapToGrid w:val="0"/>
        <w:spacing w:line="312" w:lineRule="auto"/>
        <w:ind w:left="0" w:leftChars="0"/>
        <w:jc w:val="left"/>
        <w:textAlignment w:val="auto"/>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color w:val="000000"/>
          <w:szCs w:val="21"/>
          <w:highlight w:val="none"/>
        </w:rPr>
        <w:sym w:font="Wingdings 2" w:char="00A3"/>
      </w:r>
      <w:r>
        <w:rPr>
          <w:rFonts w:hint="eastAsia" w:asciiTheme="minorEastAsia" w:hAnsiTheme="minorEastAsia" w:eastAsiaTheme="minorEastAsia" w:cstheme="minorEastAsia"/>
          <w:color w:val="000000"/>
          <w:szCs w:val="21"/>
          <w:highlight w:val="none"/>
        </w:rPr>
        <w:t>本</w:t>
      </w:r>
      <w:r>
        <w:rPr>
          <w:rFonts w:hint="eastAsia" w:asciiTheme="minorEastAsia" w:hAnsiTheme="minorEastAsia" w:eastAsiaTheme="minorEastAsia" w:cstheme="minorEastAsia"/>
          <w:bCs/>
          <w:szCs w:val="21"/>
          <w:highlight w:val="none"/>
        </w:rPr>
        <w:t>合同服务期限为 *** 年，自 202* 年 *** 月 *** 日起至 202* 年 *** 月 *** 日。</w:t>
      </w:r>
    </w:p>
    <w:p w14:paraId="3141708C">
      <w:pPr>
        <w:pStyle w:val="29"/>
        <w:keepNext w:val="0"/>
        <w:keepLines w:val="0"/>
        <w:pageBreakBefore w:val="0"/>
        <w:widowControl w:val="0"/>
        <w:kinsoku/>
        <w:wordWrap/>
        <w:overflowPunct/>
        <w:topLinePunct w:val="0"/>
        <w:autoSpaceDE/>
        <w:autoSpaceDN/>
        <w:bidi w:val="0"/>
        <w:snapToGrid w:val="0"/>
        <w:spacing w:line="312" w:lineRule="auto"/>
        <w:ind w:left="0" w:leftChars="0"/>
        <w:jc w:val="left"/>
        <w:textAlignment w:val="auto"/>
        <w:rPr>
          <w:rFonts w:hint="eastAsia" w:asciiTheme="minorEastAsia" w:hAnsiTheme="minorEastAsia" w:eastAsiaTheme="minorEastAsia" w:cstheme="minorEastAsia"/>
          <w:bCs/>
          <w:szCs w:val="21"/>
          <w:highlight w:val="none"/>
        </w:rPr>
      </w:pPr>
    </w:p>
    <w:p w14:paraId="368787FF">
      <w:pPr>
        <w:pStyle w:val="29"/>
        <w:keepNext w:val="0"/>
        <w:keepLines w:val="0"/>
        <w:pageBreakBefore w:val="0"/>
        <w:widowControl w:val="0"/>
        <w:kinsoku/>
        <w:wordWrap/>
        <w:overflowPunct/>
        <w:topLinePunct w:val="0"/>
        <w:autoSpaceDE/>
        <w:autoSpaceDN/>
        <w:bidi w:val="0"/>
        <w:snapToGrid w:val="0"/>
        <w:spacing w:line="312" w:lineRule="auto"/>
        <w:ind w:left="0" w:leftChars="0"/>
        <w:jc w:val="left"/>
        <w:textAlignment w:val="auto"/>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color w:val="000000"/>
          <w:szCs w:val="21"/>
          <w:highlight w:val="none"/>
        </w:rPr>
        <w:sym w:font="Wingdings 2" w:char="00A3"/>
      </w:r>
      <w:r>
        <w:rPr>
          <w:rFonts w:hint="eastAsia" w:asciiTheme="minorEastAsia" w:hAnsiTheme="minorEastAsia" w:eastAsiaTheme="minorEastAsia" w:cstheme="minorEastAsia"/>
          <w:bCs/>
          <w:szCs w:val="21"/>
          <w:highlight w:val="none"/>
        </w:rPr>
        <w:t>本合同服务期限为双方签字盖章生效之日起 *** 年，即自 202* 年 *** 月 *** 日起至 202* 年 *** 月 *** 日。</w:t>
      </w:r>
    </w:p>
    <w:p w14:paraId="08791303">
      <w:pPr>
        <w:pStyle w:val="29"/>
        <w:keepNext w:val="0"/>
        <w:keepLines w:val="0"/>
        <w:pageBreakBefore w:val="0"/>
        <w:widowControl w:val="0"/>
        <w:kinsoku/>
        <w:wordWrap/>
        <w:overflowPunct/>
        <w:topLinePunct w:val="0"/>
        <w:autoSpaceDE/>
        <w:autoSpaceDN/>
        <w:bidi w:val="0"/>
        <w:snapToGrid w:val="0"/>
        <w:spacing w:line="312" w:lineRule="auto"/>
        <w:ind w:left="0" w:leftChars="0"/>
        <w:jc w:val="left"/>
        <w:textAlignment w:val="auto"/>
        <w:rPr>
          <w:rFonts w:hint="eastAsia" w:asciiTheme="minorEastAsia" w:hAnsiTheme="minorEastAsia" w:eastAsiaTheme="minorEastAsia" w:cstheme="minorEastAsia"/>
          <w:bCs/>
          <w:szCs w:val="21"/>
          <w:highlight w:val="none"/>
        </w:rPr>
      </w:pPr>
    </w:p>
    <w:p w14:paraId="27DB179C">
      <w:pPr>
        <w:pStyle w:val="29"/>
        <w:keepNext w:val="0"/>
        <w:keepLines w:val="0"/>
        <w:pageBreakBefore w:val="0"/>
        <w:widowControl w:val="0"/>
        <w:kinsoku/>
        <w:wordWrap/>
        <w:overflowPunct/>
        <w:topLinePunct w:val="0"/>
        <w:autoSpaceDE/>
        <w:autoSpaceDN/>
        <w:bidi w:val="0"/>
        <w:snapToGrid w:val="0"/>
        <w:spacing w:line="312" w:lineRule="auto"/>
        <w:ind w:left="0" w:leftChars="0" w:firstLine="315" w:firstLineChars="150"/>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color w:val="000000"/>
          <w:szCs w:val="21"/>
          <w:highlight w:val="none"/>
        </w:rPr>
        <w:sym w:font="Wingdings 2" w:char="00A3"/>
      </w:r>
      <w:r>
        <w:rPr>
          <w:rFonts w:hint="eastAsia" w:asciiTheme="minorEastAsia" w:hAnsiTheme="minorEastAsia" w:eastAsiaTheme="minorEastAsia" w:cstheme="minorEastAsia"/>
          <w:bCs/>
          <w:szCs w:val="21"/>
          <w:highlight w:val="none"/>
        </w:rPr>
        <w:t>本项目服务期为</w:t>
      </w:r>
      <w:r>
        <w:rPr>
          <w:rFonts w:hint="eastAsia" w:asciiTheme="minorEastAsia" w:hAnsiTheme="minorEastAsia" w:eastAsiaTheme="minorEastAsia" w:cstheme="minorEastAsia"/>
          <w:bCs/>
          <w:szCs w:val="21"/>
          <w:highlight w:val="none"/>
          <w:u w:val="single"/>
        </w:rPr>
        <w:t>叁</w:t>
      </w:r>
      <w:r>
        <w:rPr>
          <w:rFonts w:hint="eastAsia" w:asciiTheme="minorEastAsia" w:hAnsiTheme="minorEastAsia" w:eastAsiaTheme="minorEastAsia" w:cstheme="minorEastAsia"/>
          <w:bCs/>
          <w:szCs w:val="21"/>
          <w:highlight w:val="none"/>
        </w:rPr>
        <w:t>年（自202*年**月**日到202*年**月**日），合同一年一签，每年服务费为人民币 *** 元（大写：*** 圆整）。本合同为第***期，服务期为自202*年***月***日至202*年**月**日</w:t>
      </w:r>
      <w:r>
        <w:rPr>
          <w:rFonts w:hint="eastAsia" w:asciiTheme="minorEastAsia" w:hAnsiTheme="minorEastAsia" w:eastAsiaTheme="minorEastAsia" w:cstheme="minorEastAsia"/>
          <w:bCs/>
          <w:szCs w:val="21"/>
          <w:highlight w:val="none"/>
          <w:u w:val="single"/>
        </w:rPr>
        <w:t>，经甲方考核合格后续签下一年合同</w:t>
      </w:r>
      <w:bookmarkStart w:id="98" w:name="OLE_LINK29"/>
      <w:r>
        <w:rPr>
          <w:rFonts w:hint="eastAsia" w:asciiTheme="minorEastAsia" w:hAnsiTheme="minorEastAsia" w:eastAsiaTheme="minorEastAsia" w:cstheme="minorEastAsia"/>
          <w:bCs/>
          <w:szCs w:val="21"/>
          <w:highlight w:val="none"/>
        </w:rPr>
        <w:t>，考核标准详见附件</w:t>
      </w:r>
      <w:r>
        <w:rPr>
          <w:rFonts w:hint="eastAsia" w:asciiTheme="minorEastAsia" w:hAnsiTheme="minorEastAsia" w:eastAsiaTheme="minorEastAsia" w:cstheme="minorEastAsia"/>
          <w:bCs/>
          <w:szCs w:val="21"/>
          <w:highlight w:val="none"/>
          <w:u w:val="single"/>
        </w:rPr>
        <w:t>2</w:t>
      </w:r>
      <w:r>
        <w:rPr>
          <w:rFonts w:hint="eastAsia" w:asciiTheme="minorEastAsia" w:hAnsiTheme="minorEastAsia" w:eastAsiaTheme="minorEastAsia" w:cstheme="minorEastAsia"/>
          <w:bCs/>
          <w:szCs w:val="21"/>
          <w:highlight w:val="none"/>
        </w:rPr>
        <w:t>《考核标准》</w:t>
      </w:r>
      <w:bookmarkEnd w:id="98"/>
      <w:r>
        <w:rPr>
          <w:rFonts w:hint="eastAsia" w:asciiTheme="minorEastAsia" w:hAnsiTheme="minorEastAsia" w:eastAsiaTheme="minorEastAsia" w:cstheme="minorEastAsia"/>
          <w:bCs/>
          <w:szCs w:val="21"/>
          <w:highlight w:val="none"/>
        </w:rPr>
        <w:t>。</w:t>
      </w:r>
    </w:p>
    <w:p w14:paraId="1B257405">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服务方案</w:t>
      </w:r>
    </w:p>
    <w:p w14:paraId="06E0AE13">
      <w:pPr>
        <w:keepNext w:val="0"/>
        <w:keepLines w:val="0"/>
        <w:pageBreakBefore w:val="0"/>
        <w:widowControl w:val="0"/>
        <w:kinsoku/>
        <w:wordWrap/>
        <w:overflowPunct/>
        <w:topLinePunct w:val="0"/>
        <w:autoSpaceDE/>
        <w:autoSpaceDN/>
        <w:bidi w:val="0"/>
        <w:snapToGrid w:val="0"/>
        <w:spacing w:line="312" w:lineRule="auto"/>
        <w:ind w:left="0" w:leftChars="0" w:firstLine="420" w:firstLineChars="20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乙方应严格按照本合同服务方案和甲方要求提供服务，服务方案详见附件3《服务方案》。</w:t>
      </w:r>
    </w:p>
    <w:p w14:paraId="7482C29A">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验收</w:t>
      </w:r>
    </w:p>
    <w:p w14:paraId="57707485">
      <w:pPr>
        <w:pStyle w:val="29"/>
        <w:keepNext w:val="0"/>
        <w:keepLines w:val="0"/>
        <w:pageBreakBefore w:val="0"/>
        <w:widowControl w:val="0"/>
        <w:numPr>
          <w:ilvl w:val="0"/>
          <w:numId w:val="14"/>
        </w:numPr>
        <w:kinsoku/>
        <w:wordWrap/>
        <w:overflowPunct/>
        <w:topLinePunct w:val="0"/>
        <w:autoSpaceDE/>
        <w:autoSpaceDN/>
        <w:bidi w:val="0"/>
        <w:snapToGrid w:val="0"/>
        <w:spacing w:line="312" w:lineRule="auto"/>
        <w:ind w:left="0" w:leftChars="0" w:firstLine="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甲、乙双方确定，按照本合同约定的验收方案对乙方按本合同约定所提供的服务进行验收。</w:t>
      </w:r>
    </w:p>
    <w:p w14:paraId="103305C9">
      <w:pPr>
        <w:pStyle w:val="29"/>
        <w:keepNext w:val="0"/>
        <w:keepLines w:val="0"/>
        <w:pageBreakBefore w:val="0"/>
        <w:widowControl w:val="0"/>
        <w:numPr>
          <w:ilvl w:val="0"/>
          <w:numId w:val="14"/>
        </w:numPr>
        <w:kinsoku/>
        <w:wordWrap/>
        <w:overflowPunct/>
        <w:topLinePunct w:val="0"/>
        <w:autoSpaceDE/>
        <w:autoSpaceDN/>
        <w:bidi w:val="0"/>
        <w:snapToGrid w:val="0"/>
        <w:spacing w:line="312" w:lineRule="auto"/>
        <w:ind w:left="0" w:leftChars="0" w:firstLine="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验收方案：</w:t>
      </w:r>
    </w:p>
    <w:p w14:paraId="10719FFA">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验收主体：甲方</w:t>
      </w:r>
    </w:p>
    <w:p w14:paraId="7212F6E2">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验收组织方式：自行验收</w:t>
      </w:r>
    </w:p>
    <w:p w14:paraId="5C963DBA">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验收程序：</w:t>
      </w:r>
      <w:r>
        <w:rPr>
          <w:rFonts w:hint="eastAsia" w:asciiTheme="minorEastAsia" w:hAnsiTheme="minorEastAsia" w:eastAsiaTheme="minorEastAsia" w:cstheme="minorEastAsia"/>
          <w:highlight w:val="none"/>
        </w:rPr>
        <w:sym w:font="Wingdings 2" w:char="F052"/>
      </w:r>
      <w:r>
        <w:rPr>
          <w:rFonts w:hint="eastAsia" w:asciiTheme="minorEastAsia" w:hAnsiTheme="minorEastAsia" w:eastAsiaTheme="minorEastAsia" w:cstheme="minorEastAsia"/>
          <w:color w:val="000000"/>
          <w:szCs w:val="21"/>
          <w:highlight w:val="none"/>
        </w:rPr>
        <w:t xml:space="preserve">一次性验收   </w:t>
      </w:r>
      <w:r>
        <w:rPr>
          <w:rFonts w:hint="eastAsia" w:asciiTheme="minorEastAsia" w:hAnsiTheme="minorEastAsia" w:eastAsiaTheme="minorEastAsia" w:cstheme="minorEastAsia"/>
          <w:highlight w:val="none"/>
        </w:rPr>
        <w:sym w:font="Wingdings" w:char="F0A8"/>
      </w:r>
      <w:r>
        <w:rPr>
          <w:rFonts w:hint="eastAsia" w:asciiTheme="minorEastAsia" w:hAnsiTheme="minorEastAsia" w:eastAsiaTheme="minorEastAsia" w:cstheme="minorEastAsia"/>
          <w:color w:val="000000"/>
          <w:szCs w:val="21"/>
          <w:highlight w:val="none"/>
        </w:rPr>
        <w:t>分段/分期验收</w:t>
      </w:r>
    </w:p>
    <w:p w14:paraId="0ACAEB8E">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验收方式：</w:t>
      </w:r>
      <w:r>
        <w:rPr>
          <w:rFonts w:hint="eastAsia" w:asciiTheme="minorEastAsia" w:hAnsiTheme="minorEastAsia" w:eastAsiaTheme="minorEastAsia" w:cstheme="minorEastAsia"/>
          <w:color w:val="000000"/>
          <w:highlight w:val="none"/>
        </w:rPr>
        <w:sym w:font="Wingdings 2" w:char="F052"/>
      </w:r>
      <w:r>
        <w:rPr>
          <w:rFonts w:hint="eastAsia" w:asciiTheme="minorEastAsia" w:hAnsiTheme="minorEastAsia" w:eastAsiaTheme="minorEastAsia" w:cstheme="minorEastAsia"/>
          <w:color w:val="000000"/>
          <w:highlight w:val="none"/>
        </w:rPr>
        <w:t>现场整体验收</w:t>
      </w:r>
      <w:r>
        <w:rPr>
          <w:rFonts w:hint="eastAsia" w:asciiTheme="minorEastAsia" w:hAnsiTheme="minorEastAsia" w:eastAsiaTheme="minorEastAsia" w:cstheme="minorEastAsia"/>
          <w:color w:val="000000"/>
          <w:kern w:val="0"/>
          <w:szCs w:val="21"/>
          <w:highlight w:val="none"/>
          <w:shd w:val="clear" w:color="auto" w:fill="FFFFFF"/>
        </w:rPr>
        <w:t xml:space="preserve">   </w:t>
      </w:r>
      <w:r>
        <w:rPr>
          <w:rFonts w:hint="eastAsia" w:asciiTheme="minorEastAsia" w:hAnsiTheme="minorEastAsia" w:eastAsiaTheme="minorEastAsia" w:cstheme="minorEastAsia"/>
          <w:color w:val="000000"/>
          <w:highlight w:val="none"/>
          <w:shd w:val="clear" w:color="auto" w:fill="FFFFFF"/>
        </w:rPr>
        <w:sym w:font="Wingdings" w:char="F0A8"/>
      </w:r>
      <w:r>
        <w:rPr>
          <w:rFonts w:hint="eastAsia" w:asciiTheme="minorEastAsia" w:hAnsiTheme="minorEastAsia" w:eastAsiaTheme="minorEastAsia" w:cstheme="minorEastAsia"/>
          <w:color w:val="000000"/>
          <w:highlight w:val="none"/>
          <w:shd w:val="clear" w:color="auto" w:fill="FFFFFF"/>
        </w:rPr>
        <w:t>考核验收</w:t>
      </w:r>
      <w:r>
        <w:rPr>
          <w:rFonts w:hint="eastAsia" w:asciiTheme="minorEastAsia" w:hAnsiTheme="minorEastAsia" w:eastAsiaTheme="minorEastAsia" w:cstheme="minorEastAsia"/>
          <w:color w:val="000000"/>
          <w:kern w:val="0"/>
          <w:szCs w:val="21"/>
          <w:highlight w:val="none"/>
          <w:shd w:val="clear" w:color="auto" w:fill="FFFFFF"/>
        </w:rPr>
        <w:t xml:space="preserve">   </w:t>
      </w:r>
      <w:r>
        <w:rPr>
          <w:rFonts w:hint="eastAsia" w:asciiTheme="minorEastAsia" w:hAnsiTheme="minorEastAsia" w:eastAsiaTheme="minorEastAsia" w:cstheme="minorEastAsia"/>
          <w:color w:val="000000"/>
          <w:highlight w:val="none"/>
          <w:shd w:val="clear" w:color="auto" w:fill="FFFFFF"/>
        </w:rPr>
        <w:sym w:font="Wingdings" w:char="F0A8"/>
      </w:r>
      <w:r>
        <w:rPr>
          <w:rFonts w:hint="eastAsia" w:asciiTheme="minorEastAsia" w:hAnsiTheme="minorEastAsia" w:eastAsiaTheme="minorEastAsia" w:cstheme="minorEastAsia"/>
          <w:color w:val="000000"/>
          <w:highlight w:val="none"/>
          <w:shd w:val="clear" w:color="auto" w:fill="FFFFFF"/>
        </w:rPr>
        <w:t>其它验收方式：</w:t>
      </w:r>
      <w:r>
        <w:rPr>
          <w:rFonts w:hint="eastAsia" w:asciiTheme="minorEastAsia" w:hAnsiTheme="minorEastAsia" w:eastAsiaTheme="minorEastAsia" w:cstheme="minorEastAsia"/>
          <w:color w:val="000000"/>
          <w:highlight w:val="none"/>
          <w:u w:val="single"/>
          <w:shd w:val="clear" w:color="auto" w:fill="FFFFFF"/>
        </w:rPr>
        <w:t>***</w:t>
      </w:r>
    </w:p>
    <w:p w14:paraId="25BB580A">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履约验收内容：按照甲方的采购文件要求及乙方响应文件响应情况，由乙方向甲方提供的</w:t>
      </w:r>
      <w:r>
        <w:rPr>
          <w:rFonts w:hint="eastAsia" w:asciiTheme="minorEastAsia" w:hAnsiTheme="minorEastAsia" w:eastAsiaTheme="minorEastAsia" w:cstheme="minorEastAsia"/>
          <w:szCs w:val="21"/>
          <w:highlight w:val="none"/>
          <w:u w:val="single"/>
        </w:rPr>
        <w:t>全部服务</w:t>
      </w:r>
      <w:r>
        <w:rPr>
          <w:rFonts w:hint="eastAsia" w:asciiTheme="minorEastAsia" w:hAnsiTheme="minorEastAsia" w:eastAsiaTheme="minorEastAsia" w:cstheme="minorEastAsia"/>
          <w:szCs w:val="21"/>
          <w:highlight w:val="none"/>
        </w:rPr>
        <w:t>的履约情况。</w:t>
      </w:r>
    </w:p>
    <w:p w14:paraId="1F2D4CFA">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履约验收时间：</w:t>
      </w:r>
    </w:p>
    <w:p w14:paraId="27EEE864">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sym w:font="Wingdings 2" w:char="00A3"/>
      </w:r>
      <w:r>
        <w:rPr>
          <w:rFonts w:hint="eastAsia" w:asciiTheme="minorEastAsia" w:hAnsiTheme="minorEastAsia" w:eastAsiaTheme="minorEastAsia" w:cstheme="minorEastAsia"/>
          <w:color w:val="000000"/>
          <w:szCs w:val="21"/>
          <w:highlight w:val="none"/>
        </w:rPr>
        <w:t>服务期满且乙方完成所有服务内容后X日内通知甲方验收，甲方接乙方通知后X日内组织验收</w:t>
      </w:r>
    </w:p>
    <w:p w14:paraId="13560871">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sym w:font="Wingdings" w:char="F0A8"/>
      </w:r>
      <w:r>
        <w:rPr>
          <w:rFonts w:hint="eastAsia" w:asciiTheme="minorEastAsia" w:hAnsiTheme="minorEastAsia" w:eastAsiaTheme="minorEastAsia" w:cstheme="minorEastAsia"/>
          <w:color w:val="000000"/>
          <w:szCs w:val="21"/>
          <w:highlight w:val="none"/>
        </w:rPr>
        <w:t>乙方完成每一阶段或轮次服务内容后X日内通知甲方验收，甲方接乙方通知后X日内组织验收</w:t>
      </w:r>
    </w:p>
    <w:p w14:paraId="668E8ECC">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sym w:font="Wingdings" w:char="F0A8"/>
      </w:r>
      <w:r>
        <w:rPr>
          <w:rFonts w:hint="eastAsia" w:asciiTheme="minorEastAsia" w:hAnsiTheme="minorEastAsia" w:eastAsiaTheme="minorEastAsia" w:cstheme="minorEastAsia"/>
          <w:color w:val="000000"/>
          <w:szCs w:val="21"/>
          <w:highlight w:val="none"/>
        </w:rPr>
        <w:t>甲方完成考核后X日内组织验收</w:t>
      </w:r>
    </w:p>
    <w:p w14:paraId="06090759">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shd w:val="clear" w:color="auto" w:fill="FFFFFF"/>
        </w:rPr>
      </w:pPr>
      <w:r>
        <w:rPr>
          <w:rFonts w:hint="eastAsia" w:asciiTheme="minorEastAsia" w:hAnsiTheme="minorEastAsia" w:eastAsiaTheme="minorEastAsia" w:cstheme="minorEastAsia"/>
          <w:color w:val="000000"/>
          <w:szCs w:val="21"/>
          <w:highlight w:val="none"/>
        </w:rPr>
        <w:sym w:font="Wingdings" w:char="F0A8"/>
      </w:r>
      <w:r>
        <w:rPr>
          <w:rFonts w:hint="eastAsia" w:asciiTheme="minorEastAsia" w:hAnsiTheme="minorEastAsia" w:eastAsiaTheme="minorEastAsia" w:cstheme="minorEastAsia"/>
          <w:color w:val="000000"/>
          <w:szCs w:val="21"/>
          <w:highlight w:val="none"/>
        </w:rPr>
        <w:t xml:space="preserve">其它验收时间：            </w:t>
      </w:r>
    </w:p>
    <w:p w14:paraId="0A943DA8">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是否邀请本项目的其他供应商： </w:t>
      </w:r>
      <w:r>
        <w:rPr>
          <w:rFonts w:hint="eastAsia" w:asciiTheme="minorEastAsia" w:hAnsiTheme="minorEastAsia" w:eastAsiaTheme="minorEastAsia" w:cstheme="minorEastAsia"/>
          <w:kern w:val="0"/>
          <w:highlight w:val="none"/>
          <w:shd w:val="clear" w:color="auto" w:fill="FFFFFF"/>
        </w:rPr>
        <w:sym w:font="Wingdings" w:char="F0A8"/>
      </w:r>
      <w:r>
        <w:rPr>
          <w:rFonts w:hint="eastAsia" w:asciiTheme="minorEastAsia" w:hAnsiTheme="minorEastAsia" w:eastAsiaTheme="minorEastAsia" w:cstheme="minorEastAsia"/>
          <w:szCs w:val="21"/>
          <w:highlight w:val="none"/>
          <w:shd w:val="clear" w:color="auto" w:fill="FFFFFF"/>
        </w:rPr>
        <w:t xml:space="preserve">是   </w:t>
      </w:r>
      <w:r>
        <w:rPr>
          <w:rFonts w:hint="eastAsia" w:asciiTheme="minorEastAsia" w:hAnsiTheme="minorEastAsia" w:eastAsiaTheme="minorEastAsia" w:cstheme="minorEastAsia"/>
          <w:kern w:val="0"/>
          <w:highlight w:val="none"/>
        </w:rPr>
        <w:sym w:font="Wingdings 2" w:char="F052"/>
      </w:r>
      <w:r>
        <w:rPr>
          <w:rFonts w:hint="eastAsia" w:asciiTheme="minorEastAsia" w:hAnsiTheme="minorEastAsia" w:eastAsiaTheme="minorEastAsia" w:cstheme="minorEastAsia"/>
          <w:szCs w:val="21"/>
          <w:highlight w:val="none"/>
          <w:shd w:val="clear" w:color="auto" w:fill="FFFFFF"/>
        </w:rPr>
        <w:t>否</w:t>
      </w:r>
    </w:p>
    <w:p w14:paraId="740E083B">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是否邀请专家： </w:t>
      </w:r>
      <w:r>
        <w:rPr>
          <w:rFonts w:hint="eastAsia" w:asciiTheme="minorEastAsia" w:hAnsiTheme="minorEastAsia" w:eastAsiaTheme="minorEastAsia" w:cstheme="minorEastAsia"/>
          <w:kern w:val="0"/>
          <w:highlight w:val="none"/>
          <w:shd w:val="clear" w:color="auto" w:fill="FFFFFF"/>
        </w:rPr>
        <w:sym w:font="Wingdings" w:char="F0A8"/>
      </w:r>
      <w:r>
        <w:rPr>
          <w:rFonts w:hint="eastAsia" w:asciiTheme="minorEastAsia" w:hAnsiTheme="minorEastAsia" w:eastAsiaTheme="minorEastAsia" w:cstheme="minorEastAsia"/>
          <w:szCs w:val="21"/>
          <w:highlight w:val="none"/>
          <w:shd w:val="clear" w:color="auto" w:fill="FFFFFF"/>
        </w:rPr>
        <w:t xml:space="preserve">是   </w:t>
      </w:r>
      <w:r>
        <w:rPr>
          <w:rFonts w:hint="eastAsia" w:asciiTheme="minorEastAsia" w:hAnsiTheme="minorEastAsia" w:eastAsiaTheme="minorEastAsia" w:cstheme="minorEastAsia"/>
          <w:kern w:val="0"/>
          <w:highlight w:val="none"/>
        </w:rPr>
        <w:sym w:font="Wingdings 2" w:char="F052"/>
      </w:r>
      <w:r>
        <w:rPr>
          <w:rFonts w:hint="eastAsia" w:asciiTheme="minorEastAsia" w:hAnsiTheme="minorEastAsia" w:eastAsiaTheme="minorEastAsia" w:cstheme="minorEastAsia"/>
          <w:szCs w:val="21"/>
          <w:highlight w:val="none"/>
          <w:shd w:val="clear" w:color="auto" w:fill="FFFFFF"/>
        </w:rPr>
        <w:t>否</w:t>
      </w:r>
    </w:p>
    <w:p w14:paraId="595EB419">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是否邀请服务对象： </w:t>
      </w:r>
      <w:r>
        <w:rPr>
          <w:rFonts w:hint="eastAsia" w:asciiTheme="minorEastAsia" w:hAnsiTheme="minorEastAsia" w:eastAsiaTheme="minorEastAsia" w:cstheme="minorEastAsia"/>
          <w:kern w:val="0"/>
          <w:highlight w:val="none"/>
          <w:shd w:val="clear" w:color="auto" w:fill="FFFFFF"/>
        </w:rPr>
        <w:sym w:font="Wingdings" w:char="F0A8"/>
      </w:r>
      <w:r>
        <w:rPr>
          <w:rFonts w:hint="eastAsia" w:asciiTheme="minorEastAsia" w:hAnsiTheme="minorEastAsia" w:eastAsiaTheme="minorEastAsia" w:cstheme="minorEastAsia"/>
          <w:szCs w:val="21"/>
          <w:highlight w:val="none"/>
          <w:shd w:val="clear" w:color="auto" w:fill="FFFFFF"/>
        </w:rPr>
        <w:t xml:space="preserve">是   </w:t>
      </w:r>
      <w:r>
        <w:rPr>
          <w:rFonts w:hint="eastAsia" w:asciiTheme="minorEastAsia" w:hAnsiTheme="minorEastAsia" w:eastAsiaTheme="minorEastAsia" w:cstheme="minorEastAsia"/>
          <w:kern w:val="0"/>
          <w:highlight w:val="none"/>
        </w:rPr>
        <w:sym w:font="Wingdings 2" w:char="F052"/>
      </w:r>
      <w:r>
        <w:rPr>
          <w:rFonts w:hint="eastAsia" w:asciiTheme="minorEastAsia" w:hAnsiTheme="minorEastAsia" w:eastAsiaTheme="minorEastAsia" w:cstheme="minorEastAsia"/>
          <w:szCs w:val="21"/>
          <w:highlight w:val="none"/>
          <w:shd w:val="clear" w:color="auto" w:fill="FFFFFF"/>
        </w:rPr>
        <w:t>否</w:t>
      </w:r>
    </w:p>
    <w:p w14:paraId="212FF5E1">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是否邀请第三方检测机构：</w:t>
      </w:r>
      <w:r>
        <w:rPr>
          <w:rFonts w:hint="eastAsia" w:asciiTheme="minorEastAsia" w:hAnsiTheme="minorEastAsia" w:eastAsiaTheme="minorEastAsia" w:cstheme="minorEastAsia"/>
          <w:kern w:val="0"/>
          <w:highlight w:val="none"/>
          <w:shd w:val="clear" w:color="auto" w:fill="FFFFFF"/>
        </w:rPr>
        <w:t xml:space="preserve"> </w:t>
      </w:r>
      <w:r>
        <w:rPr>
          <w:rFonts w:hint="eastAsia" w:asciiTheme="minorEastAsia" w:hAnsiTheme="minorEastAsia" w:eastAsiaTheme="minorEastAsia" w:cstheme="minorEastAsia"/>
          <w:kern w:val="0"/>
          <w:highlight w:val="none"/>
          <w:shd w:val="clear" w:color="auto" w:fill="FFFFFF"/>
        </w:rPr>
        <w:sym w:font="Wingdings" w:char="F0A8"/>
      </w:r>
      <w:r>
        <w:rPr>
          <w:rFonts w:hint="eastAsia" w:asciiTheme="minorEastAsia" w:hAnsiTheme="minorEastAsia" w:eastAsiaTheme="minorEastAsia" w:cstheme="minorEastAsia"/>
          <w:szCs w:val="21"/>
          <w:highlight w:val="none"/>
          <w:shd w:val="clear" w:color="auto" w:fill="FFFFFF"/>
        </w:rPr>
        <w:t xml:space="preserve">是   </w:t>
      </w:r>
      <w:r>
        <w:rPr>
          <w:rFonts w:hint="eastAsia" w:asciiTheme="minorEastAsia" w:hAnsiTheme="minorEastAsia" w:eastAsiaTheme="minorEastAsia" w:cstheme="minorEastAsia"/>
          <w:kern w:val="0"/>
          <w:highlight w:val="none"/>
        </w:rPr>
        <w:sym w:font="Wingdings 2" w:char="F052"/>
      </w:r>
      <w:r>
        <w:rPr>
          <w:rFonts w:hint="eastAsia" w:asciiTheme="minorEastAsia" w:hAnsiTheme="minorEastAsia" w:eastAsiaTheme="minorEastAsia" w:cstheme="minorEastAsia"/>
          <w:szCs w:val="21"/>
          <w:highlight w:val="none"/>
          <w:shd w:val="clear" w:color="auto" w:fill="FFFFFF"/>
        </w:rPr>
        <w:t>否</w:t>
      </w:r>
    </w:p>
    <w:p w14:paraId="47F88790">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验收标准：</w:t>
      </w:r>
    </w:p>
    <w:p w14:paraId="24757C73">
      <w:pPr>
        <w:pStyle w:val="16"/>
        <w:keepNext w:val="0"/>
        <w:keepLines w:val="0"/>
        <w:pageBreakBefore w:val="0"/>
        <w:widowControl w:val="0"/>
        <w:numPr>
          <w:ilvl w:val="0"/>
          <w:numId w:val="16"/>
        </w:numPr>
        <w:kinsoku/>
        <w:wordWrap/>
        <w:overflowPunct/>
        <w:topLinePunct w:val="0"/>
        <w:autoSpaceDE/>
        <w:autoSpaceDN/>
        <w:bidi w:val="0"/>
        <w:snapToGrid w:val="0"/>
        <w:spacing w:before="0" w:after="0" w:line="312" w:lineRule="auto"/>
        <w:ind w:left="0" w:leftChars="0" w:firstLineChars="0"/>
        <w:contextualSpacing/>
        <w:textAlignment w:val="auto"/>
        <w:rPr>
          <w:rFonts w:hint="eastAsia" w:asciiTheme="minorEastAsia" w:hAnsiTheme="minorEastAsia" w:eastAsiaTheme="minorEastAsia" w:cstheme="minorEastAsia"/>
          <w:szCs w:val="21"/>
          <w:highlight w:val="none"/>
        </w:rPr>
      </w:pPr>
      <w:bookmarkStart w:id="99" w:name="OLE_LINK4"/>
      <w:r>
        <w:rPr>
          <w:rFonts w:hint="eastAsia" w:asciiTheme="minorEastAsia" w:hAnsiTheme="minorEastAsia" w:eastAsiaTheme="minorEastAsia" w:cstheme="minorEastAsia"/>
          <w:szCs w:val="21"/>
          <w:highlight w:val="none"/>
          <w:shd w:val="clear" w:color="auto" w:fill="FFFFFF"/>
        </w:rPr>
        <w:t>国家相关法律法规、行业标准、技术规范。</w:t>
      </w:r>
    </w:p>
    <w:p w14:paraId="4A341926">
      <w:pPr>
        <w:pStyle w:val="16"/>
        <w:keepNext w:val="0"/>
        <w:keepLines w:val="0"/>
        <w:pageBreakBefore w:val="0"/>
        <w:widowControl w:val="0"/>
        <w:numPr>
          <w:ilvl w:val="0"/>
          <w:numId w:val="16"/>
        </w:numPr>
        <w:kinsoku/>
        <w:wordWrap/>
        <w:overflowPunct/>
        <w:topLinePunct w:val="0"/>
        <w:autoSpaceDE/>
        <w:autoSpaceDN/>
        <w:bidi w:val="0"/>
        <w:snapToGrid w:val="0"/>
        <w:spacing w:before="0" w:after="0"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甲方采购文件相关技术、服务要求、乙方响应文件相关响应内容。</w:t>
      </w:r>
    </w:p>
    <w:p w14:paraId="4BB5AAAF">
      <w:pPr>
        <w:pStyle w:val="16"/>
        <w:keepNext w:val="0"/>
        <w:keepLines w:val="0"/>
        <w:pageBreakBefore w:val="0"/>
        <w:widowControl w:val="0"/>
        <w:numPr>
          <w:ilvl w:val="0"/>
          <w:numId w:val="16"/>
        </w:numPr>
        <w:kinsoku/>
        <w:wordWrap/>
        <w:overflowPunct/>
        <w:topLinePunct w:val="0"/>
        <w:autoSpaceDE/>
        <w:autoSpaceDN/>
        <w:bidi w:val="0"/>
        <w:snapToGrid w:val="0"/>
        <w:spacing w:before="0" w:after="0"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如本项目验收方式为考核验收，则考核结果须为合格。</w:t>
      </w:r>
    </w:p>
    <w:bookmarkEnd w:id="99"/>
    <w:p w14:paraId="2BFFECC6">
      <w:pPr>
        <w:pStyle w:val="16"/>
        <w:keepNext w:val="0"/>
        <w:keepLines w:val="0"/>
        <w:pageBreakBefore w:val="0"/>
        <w:widowControl w:val="0"/>
        <w:numPr>
          <w:ilvl w:val="0"/>
          <w:numId w:val="16"/>
        </w:numPr>
        <w:kinsoku/>
        <w:wordWrap/>
        <w:overflowPunct/>
        <w:topLinePunct w:val="0"/>
        <w:autoSpaceDE/>
        <w:autoSpaceDN/>
        <w:bidi w:val="0"/>
        <w:snapToGrid w:val="0"/>
        <w:spacing w:before="0" w:after="0"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如验收时，甲方与乙方认为本项目验收标准中的技术指标、质量要求等内容存在相互抵触或对其理解存在异议，应按照其中更严格的要求、标准等进行验收。</w:t>
      </w:r>
    </w:p>
    <w:p w14:paraId="142B41FF">
      <w:pPr>
        <w:pStyle w:val="16"/>
        <w:keepNext w:val="0"/>
        <w:keepLines w:val="0"/>
        <w:pageBreakBefore w:val="0"/>
        <w:widowControl w:val="0"/>
        <w:numPr>
          <w:ilvl w:val="0"/>
          <w:numId w:val="16"/>
        </w:numPr>
        <w:kinsoku/>
        <w:wordWrap/>
        <w:overflowPunct/>
        <w:topLinePunct w:val="0"/>
        <w:autoSpaceDE/>
        <w:autoSpaceDN/>
        <w:bidi w:val="0"/>
        <w:snapToGrid w:val="0"/>
        <w:spacing w:before="0" w:after="0"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参照《财政部关于进一步加强政府采购需求和履约验收管理的指导意见》（财库〔2016〕205号）的要求进行验收。</w:t>
      </w:r>
    </w:p>
    <w:p w14:paraId="5A8F93D9">
      <w:pPr>
        <w:pStyle w:val="16"/>
        <w:keepNext w:val="0"/>
        <w:keepLines w:val="0"/>
        <w:pageBreakBefore w:val="0"/>
        <w:widowControl w:val="0"/>
        <w:numPr>
          <w:ilvl w:val="0"/>
          <w:numId w:val="16"/>
        </w:numPr>
        <w:kinsoku/>
        <w:wordWrap/>
        <w:overflowPunct/>
        <w:topLinePunct w:val="0"/>
        <w:autoSpaceDE/>
        <w:autoSpaceDN/>
        <w:bidi w:val="0"/>
        <w:snapToGrid w:val="0"/>
        <w:spacing w:before="0" w:after="0"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其它标准：</w:t>
      </w:r>
      <w:r>
        <w:rPr>
          <w:rFonts w:hint="eastAsia" w:asciiTheme="minorEastAsia" w:hAnsiTheme="minorEastAsia" w:eastAsiaTheme="minorEastAsia" w:cstheme="minorEastAsia"/>
          <w:szCs w:val="21"/>
          <w:highlight w:val="none"/>
          <w:u w:val="single"/>
        </w:rPr>
        <w:t>无。</w:t>
      </w:r>
    </w:p>
    <w:p w14:paraId="5FCD4D1B">
      <w:pPr>
        <w:pStyle w:val="29"/>
        <w:keepNext w:val="0"/>
        <w:keepLines w:val="0"/>
        <w:pageBreakBefore w:val="0"/>
        <w:widowControl w:val="0"/>
        <w:numPr>
          <w:ilvl w:val="0"/>
          <w:numId w:val="15"/>
        </w:numPr>
        <w:kinsoku/>
        <w:wordWrap/>
        <w:overflowPunct/>
        <w:topLinePunct w:val="0"/>
        <w:autoSpaceDE/>
        <w:autoSpaceDN/>
        <w:bidi w:val="0"/>
        <w:snapToGrid w:val="0"/>
        <w:spacing w:line="312" w:lineRule="auto"/>
        <w:ind w:left="0" w:leftChars="0" w:firstLineChars="0"/>
        <w:contextualSpacing/>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其它验收要求：</w:t>
      </w:r>
      <w:r>
        <w:rPr>
          <w:rFonts w:hint="eastAsia" w:asciiTheme="minorEastAsia" w:hAnsiTheme="minorEastAsia" w:eastAsiaTheme="minorEastAsia" w:cstheme="minorEastAsia"/>
          <w:color w:val="000000"/>
          <w:kern w:val="0"/>
          <w:szCs w:val="21"/>
          <w:highlight w:val="none"/>
          <w:u w:val="single"/>
        </w:rPr>
        <w:t>无</w:t>
      </w:r>
      <w:r>
        <w:rPr>
          <w:rFonts w:hint="eastAsia" w:asciiTheme="minorEastAsia" w:hAnsiTheme="minorEastAsia" w:eastAsiaTheme="minorEastAsia" w:cstheme="minorEastAsia"/>
          <w:i/>
          <w:iCs/>
          <w:color w:val="000000"/>
          <w:kern w:val="0"/>
          <w:szCs w:val="21"/>
          <w:highlight w:val="none"/>
        </w:rPr>
        <w:t>&lt;如有请填写&gt;</w:t>
      </w:r>
    </w:p>
    <w:p w14:paraId="6213DBF3">
      <w:pPr>
        <w:pStyle w:val="29"/>
        <w:keepNext w:val="0"/>
        <w:keepLines w:val="0"/>
        <w:pageBreakBefore w:val="0"/>
        <w:widowControl w:val="0"/>
        <w:numPr>
          <w:ilvl w:val="0"/>
          <w:numId w:val="14"/>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付款方式</w:t>
      </w:r>
    </w:p>
    <w:p w14:paraId="5CC20725">
      <w:pPr>
        <w:pStyle w:val="9"/>
        <w:keepNext w:val="0"/>
        <w:keepLines w:val="0"/>
        <w:pageBreakBefore w:val="0"/>
        <w:widowControl w:val="0"/>
        <w:numPr>
          <w:ilvl w:val="0"/>
          <w:numId w:val="17"/>
        </w:numPr>
        <w:kinsoku/>
        <w:wordWrap/>
        <w:overflowPunct/>
        <w:topLinePunct w:val="0"/>
        <w:autoSpaceDE/>
        <w:autoSpaceDN/>
        <w:bidi w:val="0"/>
        <w:snapToGrid w:val="0"/>
        <w:spacing w:after="0" w:line="312" w:lineRule="auto"/>
        <w:ind w:left="0" w:leftChars="0" w:hanging="227"/>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履约保证金：</w:t>
      </w:r>
    </w:p>
    <w:p w14:paraId="1A98FD8C">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sym w:font="Wingdings 2" w:char="00A3"/>
      </w:r>
      <w:r>
        <w:rPr>
          <w:rFonts w:hint="eastAsia" w:asciiTheme="minorEastAsia" w:hAnsiTheme="minorEastAsia" w:eastAsiaTheme="minorEastAsia" w:cstheme="minorEastAsia"/>
          <w:color w:val="000000"/>
          <w:szCs w:val="21"/>
          <w:highlight w:val="none"/>
        </w:rPr>
        <w:t>乙方在合同签订生效之日起的</w:t>
      </w:r>
      <w:r>
        <w:rPr>
          <w:rFonts w:hint="eastAsia" w:asciiTheme="minorEastAsia" w:hAnsiTheme="minorEastAsia" w:eastAsiaTheme="minorEastAsia" w:cstheme="minorEastAsia"/>
          <w:color w:val="000000"/>
          <w:szCs w:val="21"/>
          <w:highlight w:val="none"/>
          <w:u w:val="single"/>
        </w:rPr>
        <w:t>***</w:t>
      </w:r>
      <w:r>
        <w:rPr>
          <w:rFonts w:hint="eastAsia" w:asciiTheme="minorEastAsia" w:hAnsiTheme="minorEastAsia" w:eastAsiaTheme="minorEastAsia" w:cstheme="minorEastAsia"/>
          <w:color w:val="000000"/>
          <w:szCs w:val="21"/>
          <w:highlight w:val="none"/>
        </w:rPr>
        <w:t>个工作日内，按合同总价</w:t>
      </w:r>
      <w:r>
        <w:rPr>
          <w:rFonts w:hint="eastAsia" w:asciiTheme="minorEastAsia" w:hAnsiTheme="minorEastAsia" w:eastAsiaTheme="minorEastAsia" w:cstheme="minorEastAsia"/>
          <w:color w:val="000000"/>
          <w:szCs w:val="21"/>
          <w:highlight w:val="none"/>
          <w:u w:val="single"/>
        </w:rPr>
        <w:t>***</w:t>
      </w:r>
      <w:r>
        <w:rPr>
          <w:rFonts w:hint="eastAsia" w:asciiTheme="minorEastAsia" w:hAnsiTheme="minorEastAsia" w:eastAsiaTheme="minorEastAsia" w:cstheme="minorEastAsia"/>
          <w:color w:val="000000"/>
          <w:szCs w:val="21"/>
          <w:highlight w:val="none"/>
        </w:rPr>
        <w:t>%支付履约保证金；本合同服务期满且验收合格后，甲方接到乙方付款申请后</w:t>
      </w:r>
      <w:r>
        <w:rPr>
          <w:rFonts w:hint="eastAsia" w:asciiTheme="minorEastAsia" w:hAnsiTheme="minorEastAsia" w:eastAsiaTheme="minorEastAsia" w:cstheme="minorEastAsia"/>
          <w:color w:val="000000"/>
          <w:szCs w:val="21"/>
          <w:highlight w:val="none"/>
          <w:u w:val="single"/>
        </w:rPr>
        <w:t>30</w:t>
      </w:r>
      <w:r>
        <w:rPr>
          <w:rFonts w:hint="eastAsia" w:asciiTheme="minorEastAsia" w:hAnsiTheme="minorEastAsia" w:eastAsiaTheme="minorEastAsia" w:cstheme="minorEastAsia"/>
          <w:color w:val="000000"/>
          <w:szCs w:val="21"/>
          <w:highlight w:val="none"/>
        </w:rPr>
        <w:t>个工作日内，甲方一次性无息退还乙方的履约保证金；经验收后乙方履约不合格的，履约保证金不予退还。</w:t>
      </w:r>
    </w:p>
    <w:p w14:paraId="7A4394EF">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sym w:font="Wingdings" w:char="F0A8"/>
      </w:r>
      <w:r>
        <w:rPr>
          <w:rFonts w:hint="eastAsia" w:asciiTheme="minorEastAsia" w:hAnsiTheme="minorEastAsia" w:eastAsiaTheme="minorEastAsia" w:cstheme="minorEastAsia"/>
          <w:color w:val="000000"/>
          <w:szCs w:val="21"/>
          <w:highlight w:val="none"/>
        </w:rPr>
        <w:t>本合同不涉及履约保证金。</w:t>
      </w:r>
    </w:p>
    <w:p w14:paraId="0DB5940E">
      <w:pPr>
        <w:pStyle w:val="9"/>
        <w:keepNext w:val="0"/>
        <w:keepLines w:val="0"/>
        <w:pageBreakBefore w:val="0"/>
        <w:widowControl w:val="0"/>
        <w:numPr>
          <w:ilvl w:val="0"/>
          <w:numId w:val="17"/>
        </w:numPr>
        <w:kinsoku/>
        <w:wordWrap/>
        <w:overflowPunct/>
        <w:topLinePunct w:val="0"/>
        <w:autoSpaceDE/>
        <w:autoSpaceDN/>
        <w:bidi w:val="0"/>
        <w:snapToGrid w:val="0"/>
        <w:spacing w:after="0" w:line="312" w:lineRule="auto"/>
        <w:ind w:left="0" w:leftChars="0" w:hanging="227"/>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本合同价款采用以下方式支付，以人民币结算：</w:t>
      </w:r>
    </w:p>
    <w:p w14:paraId="09FDA0E6">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sym w:font="Wingdings 2" w:char="00A3"/>
      </w:r>
      <w:r>
        <w:rPr>
          <w:rFonts w:hint="eastAsia" w:asciiTheme="minorEastAsia" w:hAnsiTheme="minorEastAsia" w:eastAsiaTheme="minorEastAsia" w:cstheme="minorEastAsia"/>
          <w:color w:val="000000"/>
          <w:szCs w:val="21"/>
          <w:highlight w:val="none"/>
        </w:rPr>
        <w:t>一次性支付：</w:t>
      </w:r>
    </w:p>
    <w:p w14:paraId="621259CA">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Chars="20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本合同服务期满且经甲方验收合格后</w:t>
      </w:r>
      <w:r>
        <w:rPr>
          <w:rFonts w:hint="eastAsia" w:asciiTheme="minorEastAsia" w:hAnsiTheme="minorEastAsia" w:eastAsiaTheme="minorEastAsia" w:cstheme="minorEastAsia"/>
          <w:szCs w:val="21"/>
          <w:highlight w:val="none"/>
          <w:u w:val="single"/>
        </w:rPr>
        <w:t>5</w:t>
      </w:r>
      <w:r>
        <w:rPr>
          <w:rFonts w:hint="eastAsia" w:asciiTheme="minorEastAsia" w:hAnsiTheme="minorEastAsia" w:eastAsiaTheme="minorEastAsia" w:cstheme="minorEastAsia"/>
          <w:szCs w:val="21"/>
          <w:highlight w:val="none"/>
        </w:rPr>
        <w:t>日内</w:t>
      </w:r>
      <w:r>
        <w:rPr>
          <w:rFonts w:hint="eastAsia" w:asciiTheme="minorEastAsia" w:hAnsiTheme="minorEastAsia" w:eastAsiaTheme="minorEastAsia" w:cstheme="minorEastAsia"/>
          <w:color w:val="000000"/>
          <w:szCs w:val="21"/>
          <w:highlight w:val="none"/>
        </w:rPr>
        <w:t>，乙方须向甲方提供合法有效票据及其他相关请款资料，甲方自收到乙方请款资料后</w:t>
      </w:r>
      <w:r>
        <w:rPr>
          <w:rFonts w:hint="eastAsia" w:asciiTheme="minorEastAsia" w:hAnsiTheme="minorEastAsia" w:eastAsiaTheme="minorEastAsia" w:cstheme="minorEastAsia"/>
          <w:color w:val="000000"/>
          <w:szCs w:val="21"/>
          <w:highlight w:val="none"/>
          <w:u w:val="single"/>
        </w:rPr>
        <w:t>55</w:t>
      </w:r>
      <w:r>
        <w:rPr>
          <w:rFonts w:hint="eastAsia" w:asciiTheme="minorEastAsia" w:hAnsiTheme="minorEastAsia" w:eastAsiaTheme="minorEastAsia" w:cstheme="minorEastAsia"/>
          <w:color w:val="000000"/>
          <w:szCs w:val="21"/>
          <w:highlight w:val="none"/>
        </w:rPr>
        <w:t>日内支付合同总价100%的金额给乙方。</w:t>
      </w:r>
    </w:p>
    <w:p w14:paraId="750B8A19">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0" w:firstLineChars="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sym w:font="Wingdings" w:char="F0A8"/>
      </w:r>
      <w:r>
        <w:rPr>
          <w:rFonts w:hint="eastAsia" w:asciiTheme="minorEastAsia" w:hAnsiTheme="minorEastAsia" w:eastAsiaTheme="minorEastAsia" w:cstheme="minorEastAsia"/>
          <w:color w:val="000000"/>
          <w:szCs w:val="21"/>
          <w:highlight w:val="none"/>
        </w:rPr>
        <w:t>分阶段支付，支付期限、方式及额度如下：</w:t>
      </w:r>
    </w:p>
    <w:p w14:paraId="56BDDA9D">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Chars="20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w:t>
      </w:r>
      <w:bookmarkStart w:id="100" w:name="OLE_LINK30"/>
      <w:r>
        <w:rPr>
          <w:rFonts w:hint="eastAsia" w:asciiTheme="minorEastAsia" w:hAnsiTheme="minorEastAsia" w:eastAsiaTheme="minorEastAsia" w:cstheme="minorEastAsia"/>
          <w:szCs w:val="21"/>
          <w:highlight w:val="none"/>
        </w:rPr>
        <w:t>固定部分价款</w:t>
      </w:r>
      <w:bookmarkEnd w:id="100"/>
      <w:r>
        <w:rPr>
          <w:rFonts w:hint="eastAsia" w:asciiTheme="minorEastAsia" w:hAnsiTheme="minorEastAsia" w:eastAsiaTheme="minorEastAsia" w:cstheme="minorEastAsia"/>
          <w:color w:val="000000"/>
          <w:szCs w:val="21"/>
          <w:highlight w:val="none"/>
        </w:rPr>
        <w:t>：</w:t>
      </w:r>
      <w:r>
        <w:rPr>
          <w:rFonts w:hint="eastAsia" w:asciiTheme="minorEastAsia" w:hAnsiTheme="minorEastAsia" w:eastAsiaTheme="minorEastAsia" w:cstheme="minorEastAsia"/>
          <w:szCs w:val="21"/>
          <w:highlight w:val="none"/>
        </w:rPr>
        <w:t>本合同服务期满且经甲方验收合格后5日内</w:t>
      </w:r>
      <w:r>
        <w:rPr>
          <w:rFonts w:hint="eastAsia" w:asciiTheme="minorEastAsia" w:hAnsiTheme="minorEastAsia" w:eastAsiaTheme="minorEastAsia" w:cstheme="minorEastAsia"/>
          <w:color w:val="000000"/>
          <w:szCs w:val="21"/>
          <w:highlight w:val="none"/>
        </w:rPr>
        <w:t>，乙方须向甲方提供合法有效票据及其他相关请款资料，甲方自收到乙方请款资料后55日内向乙方支付本合同</w:t>
      </w:r>
      <w:r>
        <w:rPr>
          <w:rFonts w:hint="eastAsia" w:asciiTheme="minorEastAsia" w:hAnsiTheme="minorEastAsia" w:eastAsiaTheme="minorEastAsia" w:cstheme="minorEastAsia"/>
          <w:color w:val="000000"/>
          <w:szCs w:val="21"/>
          <w:highlight w:val="none"/>
          <w:u w:val="single"/>
        </w:rPr>
        <w:t>第二条</w:t>
      </w:r>
      <w:r>
        <w:rPr>
          <w:rFonts w:hint="eastAsia" w:asciiTheme="minorEastAsia" w:hAnsiTheme="minorEastAsia" w:eastAsiaTheme="minorEastAsia" w:cstheme="minorEastAsia"/>
          <w:color w:val="000000"/>
          <w:szCs w:val="21"/>
          <w:highlight w:val="none"/>
        </w:rPr>
        <w:t>写明的全部</w:t>
      </w:r>
      <w:r>
        <w:rPr>
          <w:rFonts w:hint="eastAsia" w:asciiTheme="minorEastAsia" w:hAnsiTheme="minorEastAsia" w:eastAsiaTheme="minorEastAsia" w:cstheme="minorEastAsia"/>
          <w:szCs w:val="21"/>
          <w:highlight w:val="none"/>
        </w:rPr>
        <w:t>固定部分价款</w:t>
      </w:r>
      <w:r>
        <w:rPr>
          <w:rFonts w:hint="eastAsia" w:asciiTheme="minorEastAsia" w:hAnsiTheme="minorEastAsia" w:eastAsiaTheme="minorEastAsia" w:cstheme="minorEastAsia"/>
          <w:color w:val="000000"/>
          <w:szCs w:val="21"/>
          <w:highlight w:val="none"/>
        </w:rPr>
        <w:t>。</w:t>
      </w:r>
    </w:p>
    <w:p w14:paraId="4C3983EC">
      <w:pPr>
        <w:pStyle w:val="16"/>
        <w:keepNext w:val="0"/>
        <w:keepLines w:val="0"/>
        <w:pageBreakBefore w:val="0"/>
        <w:widowControl w:val="0"/>
        <w:kinsoku/>
        <w:wordWrap/>
        <w:overflowPunct/>
        <w:topLinePunct w:val="0"/>
        <w:autoSpaceDE/>
        <w:autoSpaceDN/>
        <w:bidi w:val="0"/>
        <w:snapToGrid w:val="0"/>
        <w:spacing w:before="0" w:after="0" w:line="312" w:lineRule="auto"/>
        <w:ind w:left="0" w:leftChars="0" w:firstLineChars="200"/>
        <w:contextualSpacing/>
        <w:textAlignment w:val="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（2）按实结算部分：每</w:t>
      </w:r>
      <w:r>
        <w:rPr>
          <w:rFonts w:hint="eastAsia" w:asciiTheme="minorEastAsia" w:hAnsiTheme="minorEastAsia" w:eastAsiaTheme="minorEastAsia" w:cstheme="minorEastAsia"/>
          <w:color w:val="000000"/>
          <w:szCs w:val="21"/>
          <w:highlight w:val="none"/>
          <w:u w:val="single"/>
        </w:rPr>
        <w:t>XX</w:t>
      </w:r>
      <w:r>
        <w:rPr>
          <w:rFonts w:hint="eastAsia" w:asciiTheme="minorEastAsia" w:hAnsiTheme="minorEastAsia" w:eastAsiaTheme="minorEastAsia" w:cstheme="minorEastAsia"/>
          <w:i/>
          <w:iCs/>
          <w:szCs w:val="21"/>
          <w:highlight w:val="none"/>
        </w:rPr>
        <w:t>&lt;约定按固定周期支付的（如每季度），可根据项目具体情况编制本条款&gt;</w:t>
      </w:r>
      <w:r>
        <w:rPr>
          <w:rFonts w:hint="eastAsia" w:asciiTheme="minorEastAsia" w:hAnsiTheme="minorEastAsia" w:eastAsiaTheme="minorEastAsia" w:cstheme="minorEastAsia"/>
          <w:color w:val="000000"/>
          <w:szCs w:val="21"/>
          <w:highlight w:val="none"/>
        </w:rPr>
        <w:t>结算一次费用，结算单价以</w:t>
      </w:r>
      <w:r>
        <w:rPr>
          <w:rFonts w:hint="eastAsia" w:asciiTheme="minorEastAsia" w:hAnsiTheme="minorEastAsia" w:eastAsiaTheme="minorEastAsia" w:cstheme="minorEastAsia"/>
          <w:szCs w:val="21"/>
          <w:highlight w:val="none"/>
        </w:rPr>
        <w:t>《结算单价清单》</w:t>
      </w:r>
      <w:r>
        <w:rPr>
          <w:rFonts w:hint="eastAsia" w:asciiTheme="minorEastAsia" w:hAnsiTheme="minorEastAsia" w:eastAsiaTheme="minorEastAsia" w:cstheme="minorEastAsia"/>
          <w:color w:val="000000"/>
          <w:szCs w:val="21"/>
          <w:highlight w:val="none"/>
        </w:rPr>
        <w:t>为准。</w:t>
      </w:r>
      <w:r>
        <w:rPr>
          <w:rFonts w:hint="eastAsia" w:asciiTheme="minorEastAsia" w:hAnsiTheme="minorEastAsia" w:eastAsiaTheme="minorEastAsia" w:cstheme="minor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Theme="minorEastAsia" w:hAnsiTheme="minorEastAsia" w:eastAsiaTheme="minorEastAsia" w:cstheme="minorEastAsia"/>
          <w:highlight w:val="none"/>
          <w:u w:val="single"/>
          <w:lang w:bidi="ar"/>
        </w:rPr>
        <w:t>55</w:t>
      </w:r>
      <w:r>
        <w:rPr>
          <w:rFonts w:hint="eastAsia" w:asciiTheme="minorEastAsia" w:hAnsiTheme="minorEastAsia" w:eastAsiaTheme="minorEastAsia" w:cstheme="minorEastAsia"/>
          <w:highlight w:val="none"/>
          <w:lang w:bidi="ar"/>
        </w:rPr>
        <w:t>日内，向乙方全额支付上述结算费用。</w:t>
      </w:r>
    </w:p>
    <w:p w14:paraId="5586C7FB">
      <w:pPr>
        <w:pStyle w:val="9"/>
        <w:keepNext w:val="0"/>
        <w:keepLines w:val="0"/>
        <w:pageBreakBefore w:val="0"/>
        <w:widowControl w:val="0"/>
        <w:numPr>
          <w:ilvl w:val="0"/>
          <w:numId w:val="17"/>
        </w:numPr>
        <w:kinsoku/>
        <w:wordWrap/>
        <w:overflowPunct/>
        <w:topLinePunct w:val="0"/>
        <w:autoSpaceDE/>
        <w:autoSpaceDN/>
        <w:bidi w:val="0"/>
        <w:snapToGrid w:val="0"/>
        <w:spacing w:after="0" w:line="312" w:lineRule="auto"/>
        <w:ind w:left="0" w:leftChars="0" w:hanging="227"/>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甲方付款前，乙方需</w:t>
      </w:r>
      <w:r>
        <w:rPr>
          <w:rFonts w:hint="eastAsia" w:asciiTheme="minorEastAsia" w:hAnsiTheme="minorEastAsia" w:eastAsiaTheme="minorEastAsia" w:cstheme="minorEastAsia"/>
          <w:highlight w:val="none"/>
          <w:lang w:bidi="ar"/>
        </w:rPr>
        <w:t>提供合法有效票据及其他相关请款资料</w:t>
      </w:r>
      <w:r>
        <w:rPr>
          <w:rFonts w:hint="eastAsia" w:asciiTheme="minorEastAsia" w:hAnsiTheme="minorEastAsia" w:eastAsiaTheme="minorEastAsia" w:cstheme="minorEastAsia"/>
          <w:szCs w:val="21"/>
          <w:highlight w:val="none"/>
        </w:rPr>
        <w:t>，否则甲方有权拒绝支付且不承担任何违约责任，且乙方不得因此停止服务。</w:t>
      </w:r>
    </w:p>
    <w:p w14:paraId="2EB2BA75">
      <w:pPr>
        <w:pStyle w:val="9"/>
        <w:keepNext w:val="0"/>
        <w:keepLines w:val="0"/>
        <w:pageBreakBefore w:val="0"/>
        <w:widowControl w:val="0"/>
        <w:numPr>
          <w:ilvl w:val="0"/>
          <w:numId w:val="17"/>
        </w:numPr>
        <w:kinsoku/>
        <w:wordWrap/>
        <w:overflowPunct/>
        <w:topLinePunct w:val="0"/>
        <w:autoSpaceDE/>
        <w:autoSpaceDN/>
        <w:bidi w:val="0"/>
        <w:snapToGrid w:val="0"/>
        <w:spacing w:after="0" w:line="312" w:lineRule="auto"/>
        <w:ind w:left="0" w:leftChars="0" w:hanging="227"/>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乙方开票信息应与合同预留账户信息一致。如有变更，乙方应当在变更后3日内通知甲方。否则，由此造成的损失由乙方自行承担。</w:t>
      </w:r>
    </w:p>
    <w:p w14:paraId="19A7DEEB">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双方权利与义务</w:t>
      </w:r>
    </w:p>
    <w:p w14:paraId="581F8AA0">
      <w:pPr>
        <w:pStyle w:val="9"/>
        <w:keepNext w:val="0"/>
        <w:keepLines w:val="0"/>
        <w:pageBreakBefore w:val="0"/>
        <w:widowControl w:val="0"/>
        <w:numPr>
          <w:ilvl w:val="0"/>
          <w:numId w:val="18"/>
        </w:numPr>
        <w:kinsoku/>
        <w:wordWrap/>
        <w:overflowPunct/>
        <w:topLinePunct w:val="0"/>
        <w:autoSpaceDE/>
        <w:autoSpaceDN/>
        <w:bidi w:val="0"/>
        <w:snapToGrid w:val="0"/>
        <w:spacing w:after="0" w:line="312" w:lineRule="auto"/>
        <w:ind w:left="0" w:leftChars="0" w:hanging="227"/>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甲方权利与义务</w:t>
      </w:r>
    </w:p>
    <w:p w14:paraId="4D16113D">
      <w:pPr>
        <w:pStyle w:val="29"/>
        <w:keepNext w:val="0"/>
        <w:keepLines w:val="0"/>
        <w:pageBreakBefore w:val="0"/>
        <w:widowControl w:val="0"/>
        <w:numPr>
          <w:ilvl w:val="0"/>
          <w:numId w:val="19"/>
        </w:numPr>
        <w:kinsoku/>
        <w:wordWrap/>
        <w:overflowPunct/>
        <w:topLinePunct w:val="0"/>
        <w:autoSpaceDE/>
        <w:autoSpaceDN/>
        <w:bidi w:val="0"/>
        <w:adjustRightInd w:val="0"/>
        <w:snapToGrid w:val="0"/>
        <w:spacing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按合同约定向乙方支付费用。</w:t>
      </w:r>
    </w:p>
    <w:p w14:paraId="62A02753">
      <w:pPr>
        <w:pStyle w:val="29"/>
        <w:keepNext w:val="0"/>
        <w:keepLines w:val="0"/>
        <w:pageBreakBefore w:val="0"/>
        <w:widowControl w:val="0"/>
        <w:numPr>
          <w:ilvl w:val="0"/>
          <w:numId w:val="19"/>
        </w:numPr>
        <w:kinsoku/>
        <w:wordWrap/>
        <w:overflowPunct/>
        <w:topLinePunct w:val="0"/>
        <w:autoSpaceDE/>
        <w:autoSpaceDN/>
        <w:bidi w:val="0"/>
        <w:adjustRightInd w:val="0"/>
        <w:snapToGrid w:val="0"/>
        <w:spacing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保证乙方实施服务所必须的外部条件如电源、水源的正常供应及开启、关闭等。</w:t>
      </w:r>
    </w:p>
    <w:p w14:paraId="35119703">
      <w:pPr>
        <w:pStyle w:val="29"/>
        <w:keepNext w:val="0"/>
        <w:keepLines w:val="0"/>
        <w:pageBreakBefore w:val="0"/>
        <w:widowControl w:val="0"/>
        <w:numPr>
          <w:ilvl w:val="0"/>
          <w:numId w:val="19"/>
        </w:numPr>
        <w:kinsoku/>
        <w:wordWrap/>
        <w:overflowPunct/>
        <w:topLinePunct w:val="0"/>
        <w:autoSpaceDE/>
        <w:autoSpaceDN/>
        <w:bidi w:val="0"/>
        <w:adjustRightInd w:val="0"/>
        <w:snapToGrid w:val="0"/>
        <w:spacing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对于乙方在提供服务期间所提供的信息，甲方应予保密，未经乙方书面同意，甲方不得擅自使用或透露给第三方。</w:t>
      </w:r>
    </w:p>
    <w:p w14:paraId="7EDB0B3A">
      <w:pPr>
        <w:pStyle w:val="29"/>
        <w:keepNext w:val="0"/>
        <w:keepLines w:val="0"/>
        <w:pageBreakBefore w:val="0"/>
        <w:widowControl w:val="0"/>
        <w:numPr>
          <w:ilvl w:val="0"/>
          <w:numId w:val="19"/>
        </w:numPr>
        <w:kinsoku/>
        <w:wordWrap/>
        <w:overflowPunct/>
        <w:topLinePunct w:val="0"/>
        <w:autoSpaceDE/>
        <w:autoSpaceDN/>
        <w:bidi w:val="0"/>
        <w:adjustRightInd w:val="0"/>
        <w:snapToGrid w:val="0"/>
        <w:spacing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甲方对服务人员不满意的，有权要求乙方在7日内更换相关服务人员。</w:t>
      </w:r>
    </w:p>
    <w:p w14:paraId="344AB8AA">
      <w:pPr>
        <w:pStyle w:val="9"/>
        <w:keepNext w:val="0"/>
        <w:keepLines w:val="0"/>
        <w:pageBreakBefore w:val="0"/>
        <w:widowControl w:val="0"/>
        <w:numPr>
          <w:ilvl w:val="0"/>
          <w:numId w:val="18"/>
        </w:numPr>
        <w:kinsoku/>
        <w:wordWrap/>
        <w:overflowPunct/>
        <w:topLinePunct w:val="0"/>
        <w:autoSpaceDE/>
        <w:autoSpaceDN/>
        <w:bidi w:val="0"/>
        <w:snapToGrid w:val="0"/>
        <w:spacing w:after="0" w:line="312" w:lineRule="auto"/>
        <w:ind w:left="0" w:leftChars="0" w:hanging="227"/>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乙方权利与义务</w:t>
      </w:r>
    </w:p>
    <w:p w14:paraId="319B30B1">
      <w:pPr>
        <w:pStyle w:val="9"/>
        <w:keepNext w:val="0"/>
        <w:keepLines w:val="0"/>
        <w:pageBreakBefore w:val="0"/>
        <w:widowControl w:val="0"/>
        <w:numPr>
          <w:ilvl w:val="0"/>
          <w:numId w:val="20"/>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按本合同约定向甲方提供服务。</w:t>
      </w:r>
    </w:p>
    <w:p w14:paraId="29A7D576">
      <w:pPr>
        <w:pStyle w:val="9"/>
        <w:keepNext w:val="0"/>
        <w:keepLines w:val="0"/>
        <w:pageBreakBefore w:val="0"/>
        <w:widowControl w:val="0"/>
        <w:numPr>
          <w:ilvl w:val="0"/>
          <w:numId w:val="20"/>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乙方应保证提供的服务人员具备相应的服务能力和服务资质（如涉及）。</w:t>
      </w:r>
    </w:p>
    <w:p w14:paraId="26B4DD92">
      <w:pPr>
        <w:pStyle w:val="9"/>
        <w:keepNext w:val="0"/>
        <w:keepLines w:val="0"/>
        <w:pageBreakBefore w:val="0"/>
        <w:widowControl w:val="0"/>
        <w:numPr>
          <w:ilvl w:val="0"/>
          <w:numId w:val="20"/>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keepNext w:val="0"/>
        <w:keepLines w:val="0"/>
        <w:pageBreakBefore w:val="0"/>
        <w:widowControl w:val="0"/>
        <w:numPr>
          <w:ilvl w:val="0"/>
          <w:numId w:val="20"/>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如服务涉及计算机软件产品的，乙方须承诺在服务中设备安装的软件已获得软件厂商的正规授权。</w:t>
      </w:r>
    </w:p>
    <w:p w14:paraId="68E6AAB3">
      <w:pPr>
        <w:pStyle w:val="9"/>
        <w:keepNext w:val="0"/>
        <w:keepLines w:val="0"/>
        <w:pageBreakBefore w:val="0"/>
        <w:widowControl w:val="0"/>
        <w:numPr>
          <w:ilvl w:val="0"/>
          <w:numId w:val="20"/>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乙方对在按本合同约定向甲方提供服务过程中所获得的所有数据、商业秘密或其它技术及经营信息负有保密的义务，不得向任何第三方透露或泄露。</w:t>
      </w:r>
    </w:p>
    <w:p w14:paraId="742F7349">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违约责任</w:t>
      </w:r>
      <w:r>
        <w:rPr>
          <w:rFonts w:hint="eastAsia" w:asciiTheme="minorEastAsia" w:hAnsiTheme="minorEastAsia" w:eastAsiaTheme="minorEastAsia" w:cstheme="minorEastAsia"/>
          <w:bCs/>
          <w:i/>
          <w:iCs/>
          <w:szCs w:val="21"/>
          <w:highlight w:val="none"/>
        </w:rPr>
        <w:t>&lt;本条款中违约金比例可根据项目实际情况确定，如合同无固定总金额的，请按实际需求调整表述&gt;</w:t>
      </w:r>
    </w:p>
    <w:p w14:paraId="5B66A4B0">
      <w:pPr>
        <w:pStyle w:val="9"/>
        <w:keepNext w:val="0"/>
        <w:keepLines w:val="0"/>
        <w:pageBreakBefore w:val="0"/>
        <w:widowControl w:val="0"/>
        <w:numPr>
          <w:ilvl w:val="0"/>
          <w:numId w:val="21"/>
        </w:numPr>
        <w:kinsoku/>
        <w:wordWrap/>
        <w:overflowPunct/>
        <w:topLinePunct w:val="0"/>
        <w:autoSpaceDE/>
        <w:autoSpaceDN/>
        <w:bidi w:val="0"/>
        <w:snapToGrid w:val="0"/>
        <w:spacing w:after="0" w:line="312" w:lineRule="auto"/>
        <w:ind w:left="0" w:leftChars="0" w:hanging="227"/>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甲方违约责任：甲方无正当理由拒绝乙方按本合同约定提供服务的，甲方应偿付合同总金额的</w:t>
      </w:r>
      <w:r>
        <w:rPr>
          <w:rFonts w:hint="eastAsia" w:asciiTheme="minorEastAsia" w:hAnsiTheme="minorEastAsia" w:eastAsiaTheme="minorEastAsia" w:cstheme="minorEastAsia"/>
          <w:szCs w:val="21"/>
          <w:highlight w:val="none"/>
          <w:u w:val="single"/>
        </w:rPr>
        <w:t>10%</w:t>
      </w:r>
      <w:r>
        <w:rPr>
          <w:rFonts w:hint="eastAsia" w:asciiTheme="minorEastAsia" w:hAnsiTheme="minorEastAsia" w:eastAsiaTheme="minorEastAsia" w:cstheme="minorEastAsia"/>
          <w:szCs w:val="21"/>
          <w:highlight w:val="none"/>
        </w:rPr>
        <w:t>作为违约金。</w:t>
      </w:r>
    </w:p>
    <w:p w14:paraId="0BC8E6CE">
      <w:pPr>
        <w:pStyle w:val="29"/>
        <w:keepNext w:val="0"/>
        <w:keepLines w:val="0"/>
        <w:pageBreakBefore w:val="0"/>
        <w:widowControl w:val="0"/>
        <w:numPr>
          <w:ilvl w:val="0"/>
          <w:numId w:val="21"/>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乙方违约责任：</w:t>
      </w:r>
    </w:p>
    <w:p w14:paraId="354B31C5">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bookmarkStart w:id="101" w:name="OLE_LINK18"/>
      <w:bookmarkStart w:id="102" w:name="OLE_LINK17"/>
      <w:r>
        <w:rPr>
          <w:rFonts w:hint="eastAsia" w:asciiTheme="minorEastAsia" w:hAnsiTheme="minorEastAsia" w:eastAsiaTheme="minorEastAsia" w:cstheme="minorEastAsia"/>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因乙方在服务中更换的备品备件或原材料在质保期内并在正常使用情况下出现质量原因导致甲方或第三方财产或人身损害的，由乙方承担赔偿责任。</w:t>
      </w:r>
    </w:p>
    <w:p w14:paraId="2E725C36">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在本合同的履行中，如乙方提供的服务存在设计、工艺或材料缺陷（包括潜在缺陷），乙方应当对由于上述缺陷造成的损失负责。</w:t>
      </w:r>
    </w:p>
    <w:p w14:paraId="74485C68">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在本合同履行中，如乙方未按本合同约定及时向甲方提供服务，每发生一次，乙方应按</w:t>
      </w:r>
      <w:r>
        <w:rPr>
          <w:rFonts w:hint="eastAsia" w:asciiTheme="minorEastAsia" w:hAnsiTheme="minorEastAsia" w:eastAsiaTheme="minorEastAsia" w:cstheme="minorEastAsia"/>
          <w:szCs w:val="21"/>
          <w:highlight w:val="none"/>
          <w:u w:val="single"/>
        </w:rPr>
        <w:t>合同总金额</w:t>
      </w:r>
      <w:r>
        <w:rPr>
          <w:rFonts w:hint="eastAsia" w:asciiTheme="minorEastAsia" w:hAnsiTheme="minorEastAsia" w:eastAsiaTheme="minorEastAsia" w:cstheme="minorEastAsia"/>
          <w:szCs w:val="21"/>
          <w:highlight w:val="none"/>
        </w:rPr>
        <w:t>的</w:t>
      </w:r>
      <w:r>
        <w:rPr>
          <w:rFonts w:hint="eastAsia" w:asciiTheme="minorEastAsia" w:hAnsiTheme="minorEastAsia" w:eastAsiaTheme="minorEastAsia" w:cstheme="minorEastAsia"/>
          <w:szCs w:val="21"/>
          <w:highlight w:val="none"/>
          <w:u w:val="single"/>
        </w:rPr>
        <w:t>***</w:t>
      </w:r>
      <w:r>
        <w:rPr>
          <w:rFonts w:hint="eastAsia" w:asciiTheme="minorEastAsia" w:hAnsiTheme="minorEastAsia" w:eastAsiaTheme="minorEastAsia" w:cstheme="minorEastAsia"/>
          <w:szCs w:val="21"/>
          <w:highlight w:val="none"/>
        </w:rPr>
        <w:t>‰向甲方支付违约金。甲方可采取必要的补救措施，但由此而产生的风险责任和费用将由乙方负担，甲方根据合同规定对乙方行使的其他权利不受影响。</w:t>
      </w:r>
    </w:p>
    <w:p w14:paraId="170DE4FD">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乙方在提供服务过程中侵犯他人知识产权，甲方有权单方解除合同，并要求乙方赔偿所造成的损失，同时甲方有权要求对方按照</w:t>
      </w:r>
      <w:r>
        <w:rPr>
          <w:rFonts w:hint="eastAsia" w:asciiTheme="minorEastAsia" w:hAnsiTheme="minorEastAsia" w:eastAsiaTheme="minorEastAsia" w:cstheme="minorEastAsia"/>
          <w:szCs w:val="21"/>
          <w:highlight w:val="none"/>
          <w:u w:val="single"/>
        </w:rPr>
        <w:t>合同总金额</w:t>
      </w:r>
      <w:r>
        <w:rPr>
          <w:rFonts w:hint="eastAsia" w:asciiTheme="minorEastAsia" w:hAnsiTheme="minorEastAsia" w:eastAsiaTheme="minorEastAsia" w:cstheme="minorEastAsia"/>
          <w:szCs w:val="21"/>
          <w:highlight w:val="none"/>
        </w:rPr>
        <w:t>的</w:t>
      </w:r>
      <w:r>
        <w:rPr>
          <w:rFonts w:hint="eastAsia" w:asciiTheme="minorEastAsia" w:hAnsiTheme="minorEastAsia" w:eastAsiaTheme="minorEastAsia" w:cstheme="minorEastAsia"/>
          <w:szCs w:val="21"/>
          <w:highlight w:val="none"/>
          <w:u w:val="single"/>
        </w:rPr>
        <w:t>10</w:t>
      </w:r>
      <w:r>
        <w:rPr>
          <w:rFonts w:hint="eastAsia" w:asciiTheme="minorEastAsia" w:hAnsiTheme="minorEastAsia" w:eastAsiaTheme="minorEastAsia" w:cstheme="minorEastAsia"/>
          <w:szCs w:val="21"/>
          <w:highlight w:val="none"/>
        </w:rPr>
        <w:t>%支付违约金。</w:t>
      </w:r>
    </w:p>
    <w:p w14:paraId="0B168445">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乙方违反保密义务，甲方有权单方解除合同，乙方应按甲方实际损失向甲方进行赔偿并向甲方支付</w:t>
      </w:r>
      <w:r>
        <w:rPr>
          <w:rFonts w:hint="eastAsia" w:asciiTheme="minorEastAsia" w:hAnsiTheme="minorEastAsia" w:eastAsiaTheme="minorEastAsia" w:cstheme="minorEastAsia"/>
          <w:szCs w:val="21"/>
          <w:highlight w:val="none"/>
          <w:u w:val="single"/>
        </w:rPr>
        <w:t>合同总金额</w:t>
      </w:r>
      <w:r>
        <w:rPr>
          <w:rFonts w:hint="eastAsia" w:asciiTheme="minorEastAsia" w:hAnsiTheme="minorEastAsia" w:eastAsiaTheme="minorEastAsia" w:cstheme="minorEastAsia"/>
          <w:szCs w:val="21"/>
          <w:highlight w:val="none"/>
        </w:rPr>
        <w:t>的</w:t>
      </w:r>
      <w:r>
        <w:rPr>
          <w:rFonts w:hint="eastAsia" w:asciiTheme="minorEastAsia" w:hAnsiTheme="minorEastAsia" w:eastAsiaTheme="minorEastAsia" w:cstheme="minorEastAsia"/>
          <w:szCs w:val="21"/>
          <w:highlight w:val="none"/>
          <w:u w:val="single"/>
        </w:rPr>
        <w:t>10</w:t>
      </w:r>
      <w:r>
        <w:rPr>
          <w:rFonts w:hint="eastAsia" w:asciiTheme="minorEastAsia" w:hAnsiTheme="minorEastAsia" w:eastAsiaTheme="minorEastAsia" w:cstheme="minorEastAsia"/>
          <w:szCs w:val="21"/>
          <w:highlight w:val="none"/>
        </w:rPr>
        <w:t>%作为违约金。</w:t>
      </w:r>
    </w:p>
    <w:bookmarkEnd w:id="101"/>
    <w:bookmarkEnd w:id="102"/>
    <w:p w14:paraId="79DD140B">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乙方偿付的违约金不足以弥补甲方损失的，还应按甲方损失尚未弥补的部分，支付赔偿金给甲方。</w:t>
      </w:r>
    </w:p>
    <w:p w14:paraId="3156E70D">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keepNext w:val="0"/>
        <w:keepLines w:val="0"/>
        <w:pageBreakBefore w:val="0"/>
        <w:widowControl w:val="0"/>
        <w:numPr>
          <w:ilvl w:val="0"/>
          <w:numId w:val="22"/>
        </w:numPr>
        <w:kinsoku/>
        <w:wordWrap/>
        <w:overflowPunct/>
        <w:topLinePunct w:val="0"/>
        <w:autoSpaceDE/>
        <w:autoSpaceDN/>
        <w:bidi w:val="0"/>
        <w:snapToGrid w:val="0"/>
        <w:spacing w:after="0" w:line="312" w:lineRule="auto"/>
        <w:ind w:left="525" w:leftChars="0" w:hanging="525" w:hangingChars="25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keepNext w:val="0"/>
        <w:keepLines w:val="0"/>
        <w:pageBreakBefore w:val="0"/>
        <w:widowControl w:val="0"/>
        <w:kinsoku/>
        <w:wordWrap/>
        <w:overflowPunct/>
        <w:topLinePunct w:val="0"/>
        <w:autoSpaceDE/>
        <w:autoSpaceDN/>
        <w:bidi w:val="0"/>
        <w:snapToGrid w:val="0"/>
        <w:spacing w:after="0" w:line="312" w:lineRule="auto"/>
        <w:ind w:left="0" w:leftChars="0"/>
        <w:contextualSpacing/>
        <w:jc w:val="left"/>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3.本合同履行中如有任何一方违约，那么守约方为保障自己合法权益而产生的律师费、诉讼费、差旅费、公告费等，均由违约方承担。</w:t>
      </w:r>
    </w:p>
    <w:p w14:paraId="754D0209">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不可抗力</w:t>
      </w:r>
    </w:p>
    <w:p w14:paraId="26541785">
      <w:pPr>
        <w:pStyle w:val="29"/>
        <w:keepNext w:val="0"/>
        <w:keepLines w:val="0"/>
        <w:pageBreakBefore w:val="0"/>
        <w:widowControl w:val="0"/>
        <w:kinsoku/>
        <w:wordWrap/>
        <w:overflowPunct/>
        <w:topLinePunct w:val="0"/>
        <w:autoSpaceDE/>
        <w:autoSpaceDN/>
        <w:bidi w:val="0"/>
        <w:snapToGrid w:val="0"/>
        <w:spacing w:line="312" w:lineRule="auto"/>
        <w:ind w:left="0" w:leftChars="0"/>
        <w:textAlignment w:val="auto"/>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合同终止及解除</w:t>
      </w:r>
    </w:p>
    <w:p w14:paraId="275C61D9">
      <w:pPr>
        <w:pStyle w:val="29"/>
        <w:keepNext w:val="0"/>
        <w:keepLines w:val="0"/>
        <w:pageBreakBefore w:val="0"/>
        <w:widowControl w:val="0"/>
        <w:numPr>
          <w:ilvl w:val="0"/>
          <w:numId w:val="23"/>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keepNext w:val="0"/>
        <w:keepLines w:val="0"/>
        <w:pageBreakBefore w:val="0"/>
        <w:widowControl w:val="0"/>
        <w:numPr>
          <w:ilvl w:val="0"/>
          <w:numId w:val="23"/>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在甲、乙任何一方有严重违约行为时，另一方有权单方解除合同。</w:t>
      </w:r>
    </w:p>
    <w:p w14:paraId="2BA7B89E">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争议解决办法</w:t>
      </w:r>
    </w:p>
    <w:p w14:paraId="5C6244A3">
      <w:pPr>
        <w:pStyle w:val="29"/>
        <w:keepNext w:val="0"/>
        <w:keepLines w:val="0"/>
        <w:pageBreakBefore w:val="0"/>
        <w:widowControl w:val="0"/>
        <w:numPr>
          <w:ilvl w:val="0"/>
          <w:numId w:val="24"/>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keepNext w:val="0"/>
        <w:keepLines w:val="0"/>
        <w:pageBreakBefore w:val="0"/>
        <w:widowControl w:val="0"/>
        <w:numPr>
          <w:ilvl w:val="0"/>
          <w:numId w:val="24"/>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合同履行期间,若双方发生争议，可协商或由有关部门调解解决，协商或调解不成的，任何一方均有权向甲方所在地具有管辖权的人民法院起诉。</w:t>
      </w:r>
    </w:p>
    <w:p w14:paraId="533F8595">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送达（送达地址是司法机关、执法机关和仲裁机关将法律文书送达给当事人的收件地址）</w:t>
      </w:r>
    </w:p>
    <w:p w14:paraId="46F487CF">
      <w:pPr>
        <w:pStyle w:val="34"/>
        <w:keepNext w:val="0"/>
        <w:keepLines w:val="0"/>
        <w:pageBreakBefore w:val="0"/>
        <w:widowControl w:val="0"/>
        <w:numPr>
          <w:ilvl w:val="0"/>
          <w:numId w:val="25"/>
        </w:numPr>
        <w:kinsoku/>
        <w:wordWrap/>
        <w:overflowPunct/>
        <w:topLinePunct w:val="0"/>
        <w:autoSpaceDE/>
        <w:autoSpaceDN/>
        <w:bidi w:val="0"/>
        <w:snapToGrid w:val="0"/>
        <w:spacing w:line="312" w:lineRule="auto"/>
        <w:ind w:left="0" w:leftChars="0" w:firstLine="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甲方送达地址：四川省成都市青羊区一环路西二段32号。</w:t>
      </w:r>
    </w:p>
    <w:p w14:paraId="2E0AF282">
      <w:pPr>
        <w:pStyle w:val="34"/>
        <w:keepNext w:val="0"/>
        <w:keepLines w:val="0"/>
        <w:pageBreakBefore w:val="0"/>
        <w:widowControl w:val="0"/>
        <w:numPr>
          <w:ilvl w:val="0"/>
          <w:numId w:val="25"/>
        </w:numPr>
        <w:kinsoku/>
        <w:wordWrap/>
        <w:overflowPunct/>
        <w:topLinePunct w:val="0"/>
        <w:autoSpaceDE/>
        <w:autoSpaceDN/>
        <w:bidi w:val="0"/>
        <w:snapToGrid w:val="0"/>
        <w:spacing w:line="312" w:lineRule="auto"/>
        <w:ind w:left="0" w:leftChars="0" w:firstLine="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乙方送达地址：***</w:t>
      </w:r>
    </w:p>
    <w:p w14:paraId="750624B0">
      <w:pPr>
        <w:pStyle w:val="34"/>
        <w:keepNext w:val="0"/>
        <w:keepLines w:val="0"/>
        <w:pageBreakBefore w:val="0"/>
        <w:widowControl w:val="0"/>
        <w:numPr>
          <w:ilvl w:val="0"/>
          <w:numId w:val="25"/>
        </w:numPr>
        <w:kinsoku/>
        <w:wordWrap/>
        <w:overflowPunct/>
        <w:topLinePunct w:val="0"/>
        <w:autoSpaceDE/>
        <w:autoSpaceDN/>
        <w:bidi w:val="0"/>
        <w:snapToGrid w:val="0"/>
        <w:spacing w:line="312" w:lineRule="auto"/>
        <w:ind w:left="0" w:leftChars="0" w:firstLine="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keepNext w:val="0"/>
        <w:keepLines w:val="0"/>
        <w:pageBreakBefore w:val="0"/>
        <w:widowControl w:val="0"/>
        <w:numPr>
          <w:ilvl w:val="0"/>
          <w:numId w:val="12"/>
        </w:numPr>
        <w:kinsoku/>
        <w:wordWrap/>
        <w:overflowPunct/>
        <w:topLinePunct w:val="0"/>
        <w:autoSpaceDE/>
        <w:autoSpaceDN/>
        <w:bidi w:val="0"/>
        <w:snapToGrid w:val="0"/>
        <w:spacing w:line="312" w:lineRule="auto"/>
        <w:ind w:left="0" w:leftChars="0" w:firstLine="0" w:firstLineChars="0"/>
        <w:contextualSpacing/>
        <w:jc w:val="left"/>
        <w:textAlignment w:val="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其他</w:t>
      </w:r>
    </w:p>
    <w:p w14:paraId="162904B6">
      <w:pPr>
        <w:pStyle w:val="29"/>
        <w:keepNext w:val="0"/>
        <w:keepLines w:val="0"/>
        <w:pageBreakBefore w:val="0"/>
        <w:widowControl w:val="0"/>
        <w:numPr>
          <w:ilvl w:val="0"/>
          <w:numId w:val="26"/>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如有未尽事宜，由双方依法订立补充合同。补充合同及本合同附件均为本合同的组成部分，与本合同具有同等法律效力。</w:t>
      </w:r>
    </w:p>
    <w:p w14:paraId="3EA6778F">
      <w:pPr>
        <w:pStyle w:val="29"/>
        <w:keepNext w:val="0"/>
        <w:keepLines w:val="0"/>
        <w:pageBreakBefore w:val="0"/>
        <w:widowControl w:val="0"/>
        <w:numPr>
          <w:ilvl w:val="0"/>
          <w:numId w:val="26"/>
        </w:numPr>
        <w:kinsoku/>
        <w:wordWrap/>
        <w:overflowPunct/>
        <w:topLinePunct w:val="0"/>
        <w:autoSpaceDE/>
        <w:autoSpaceDN/>
        <w:bidi w:val="0"/>
        <w:snapToGrid w:val="0"/>
        <w:spacing w:line="312" w:lineRule="auto"/>
        <w:ind w:left="0" w:leftChars="0" w:firstLine="0" w:firstLineChars="0"/>
        <w:textAlignment w:val="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本合同一式四份，自双方签字且盖章之日起生效。甲方三份，乙方一份。</w:t>
      </w:r>
    </w:p>
    <w:p w14:paraId="134580B1">
      <w:pPr>
        <w:pStyle w:val="29"/>
        <w:numPr>
          <w:ilvl w:val="0"/>
          <w:numId w:val="12"/>
        </w:numPr>
        <w:ind w:left="0" w:firstLine="0" w:firstLineChars="0"/>
        <w:contextualSpacing/>
        <w:jc w:val="left"/>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合同附件</w:t>
      </w:r>
    </w:p>
    <w:p w14:paraId="6C66D4AC">
      <w:pP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本合同为</w:t>
      </w:r>
      <w:r>
        <w:rPr>
          <w:rFonts w:hint="eastAsia" w:asciiTheme="minorEastAsia" w:hAnsiTheme="minorEastAsia" w:eastAsiaTheme="minorEastAsia" w:cstheme="minorEastAsia"/>
          <w:szCs w:val="21"/>
          <w:highlight w:val="none"/>
          <w:u w:val="single"/>
        </w:rPr>
        <w:t>有</w:t>
      </w:r>
      <w:r>
        <w:rPr>
          <w:rFonts w:hint="eastAsia" w:asciiTheme="minorEastAsia" w:hAnsiTheme="minorEastAsia" w:eastAsiaTheme="minorEastAsia" w:cstheme="minorEastAsia"/>
          <w:szCs w:val="21"/>
          <w:highlight w:val="none"/>
        </w:rPr>
        <w:t>附件合同，附件如下：</w:t>
      </w:r>
      <w:r>
        <w:rPr>
          <w:rFonts w:hint="eastAsia" w:asciiTheme="minorEastAsia" w:hAnsiTheme="minorEastAsia" w:eastAsiaTheme="minorEastAsia" w:cstheme="minorEastAsia"/>
          <w:i/>
          <w:iCs/>
          <w:szCs w:val="21"/>
          <w:highlight w:val="none"/>
        </w:rPr>
        <w:t>&lt;根据项目实际情况编制&gt;</w:t>
      </w:r>
    </w:p>
    <w:p w14:paraId="3FF9CA8A">
      <w:pPr>
        <w:jc w:val="left"/>
        <w:outlineLvl w:val="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附件1《</w:t>
      </w:r>
      <w:bookmarkStart w:id="103" w:name="OLE_LINK32"/>
      <w:r>
        <w:rPr>
          <w:rFonts w:hint="eastAsia" w:asciiTheme="minorEastAsia" w:hAnsiTheme="minorEastAsia" w:eastAsiaTheme="minorEastAsia" w:cstheme="minorEastAsia"/>
          <w:szCs w:val="21"/>
          <w:highlight w:val="none"/>
        </w:rPr>
        <w:t>结算单价清单</w:t>
      </w:r>
      <w:bookmarkEnd w:id="103"/>
      <w:r>
        <w:rPr>
          <w:rFonts w:hint="eastAsia" w:asciiTheme="minorEastAsia" w:hAnsiTheme="minorEastAsia" w:eastAsiaTheme="minorEastAsia" w:cstheme="minorEastAsia"/>
          <w:szCs w:val="21"/>
          <w:highlight w:val="none"/>
        </w:rPr>
        <w:t>》</w:t>
      </w:r>
    </w:p>
    <w:p w14:paraId="6CDBD3F1">
      <w:pPr>
        <w:jc w:val="left"/>
        <w:outlineLvl w:val="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附件2《考核标准》</w:t>
      </w:r>
    </w:p>
    <w:p w14:paraId="485EAD27">
      <w:pPr>
        <w:jc w:val="left"/>
        <w:outlineLvl w:val="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附件3《服务方案》</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8"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7B74785">
      <w:pPr>
        <w:pStyle w:val="26"/>
        <w:rPr>
          <w:rFonts w:ascii="Times New Roman" w:hAnsi="Times New Roman"/>
        </w:rPr>
      </w:pPr>
    </w:p>
    <w:sectPr>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366BF7D-F0C6-4BD5-9313-FDD5415EC7F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7F02D08-13D3-4D0B-9099-CB1CE68080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82372CC-1B05-4263-A054-4BB4316DEE8E}"/>
  </w:font>
  <w:font w:name="FangSong_GB2312">
    <w:altName w:val="仿宋"/>
    <w:panose1 w:val="020B0604020202020204"/>
    <w:charset w:val="86"/>
    <w:family w:val="modern"/>
    <w:pitch w:val="default"/>
    <w:sig w:usb0="00000000" w:usb1="00000000" w:usb2="00000010" w:usb3="00000000" w:csb0="00040001"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Wingdings 2">
    <w:panose1 w:val="05020102010507070707"/>
    <w:charset w:val="4D"/>
    <w:family w:val="decorative"/>
    <w:pitch w:val="default"/>
    <w:sig w:usb0="00000000" w:usb1="00000000" w:usb2="00000000" w:usb3="00000000" w:csb0="80000000" w:csb1="00000000"/>
    <w:embedRegular r:id="rId4" w:fontKey="{14CA4830-E88F-4422-80ED-96CE57348C4E}"/>
  </w:font>
  <w:font w:name="微软雅黑">
    <w:panose1 w:val="020B0503020204020204"/>
    <w:charset w:val="86"/>
    <w:family w:val="auto"/>
    <w:pitch w:val="default"/>
    <w:sig w:usb0="80000287" w:usb1="2ACF3C50" w:usb2="00000016" w:usb3="00000000" w:csb0="0004001F" w:csb1="00000000"/>
    <w:embedRegular r:id="rId5" w:fontKey="{B71B4FF9-66CC-4967-8038-EB0EE2AAA4F4}"/>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F5D4C8">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BF5D4C8">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A18DFE">
                          <w:pPr>
                            <w:pStyle w:val="1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6A18DFE">
                    <w:pPr>
                      <w:pStyle w:val="11"/>
                    </w:pPr>
                    <w:r>
                      <w:t xml:space="preserve">第 </w:t>
                    </w:r>
                    <w:r>
                      <w:fldChar w:fldCharType="begin"/>
                    </w:r>
                    <w:r>
                      <w:instrText xml:space="preserve"> PAGE  \* MERGEFORMAT </w:instrText>
                    </w:r>
                    <w:r>
                      <w:fldChar w:fldCharType="separate"/>
                    </w:r>
                    <w:r>
                      <w:t>34</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C82605">
                          <w:pPr>
                            <w:pStyle w:val="11"/>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4C82605">
                    <w:pPr>
                      <w:pStyle w:val="11"/>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3C6D"/>
    <w:rsid w:val="00427BF2"/>
    <w:rsid w:val="00461368"/>
    <w:rsid w:val="004F4DC4"/>
    <w:rsid w:val="005951BE"/>
    <w:rsid w:val="005A705A"/>
    <w:rsid w:val="005D169E"/>
    <w:rsid w:val="0061130C"/>
    <w:rsid w:val="0064444C"/>
    <w:rsid w:val="00677BCD"/>
    <w:rsid w:val="006B63B0"/>
    <w:rsid w:val="006F4109"/>
    <w:rsid w:val="007365C1"/>
    <w:rsid w:val="007450BA"/>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4172"/>
    <w:rsid w:val="00C866E7"/>
    <w:rsid w:val="00CC6ACA"/>
    <w:rsid w:val="00D40B0D"/>
    <w:rsid w:val="00D53AD1"/>
    <w:rsid w:val="00D540D3"/>
    <w:rsid w:val="00D61E8F"/>
    <w:rsid w:val="00D644BF"/>
    <w:rsid w:val="00D74E06"/>
    <w:rsid w:val="00DF3B6A"/>
    <w:rsid w:val="00E2603E"/>
    <w:rsid w:val="00E54D24"/>
    <w:rsid w:val="00E71156"/>
    <w:rsid w:val="00E769CD"/>
    <w:rsid w:val="00EA700B"/>
    <w:rsid w:val="00F3202A"/>
    <w:rsid w:val="00F523A1"/>
    <w:rsid w:val="00F676AD"/>
    <w:rsid w:val="00F90C3B"/>
    <w:rsid w:val="00FF60E3"/>
    <w:rsid w:val="01415CD2"/>
    <w:rsid w:val="01736117"/>
    <w:rsid w:val="022B3727"/>
    <w:rsid w:val="035E0DBD"/>
    <w:rsid w:val="047817AD"/>
    <w:rsid w:val="05307A3B"/>
    <w:rsid w:val="057A1088"/>
    <w:rsid w:val="05814644"/>
    <w:rsid w:val="058C78B0"/>
    <w:rsid w:val="05E13064"/>
    <w:rsid w:val="06872BF7"/>
    <w:rsid w:val="07070CE0"/>
    <w:rsid w:val="072C44ED"/>
    <w:rsid w:val="078A573C"/>
    <w:rsid w:val="07E55609"/>
    <w:rsid w:val="07EC2E3C"/>
    <w:rsid w:val="08096589"/>
    <w:rsid w:val="084B74E6"/>
    <w:rsid w:val="085E75C0"/>
    <w:rsid w:val="08AC25CB"/>
    <w:rsid w:val="08C01BD2"/>
    <w:rsid w:val="08E13C0F"/>
    <w:rsid w:val="09167A44"/>
    <w:rsid w:val="09173EE8"/>
    <w:rsid w:val="093A3733"/>
    <w:rsid w:val="0ADF21B0"/>
    <w:rsid w:val="0B4508AE"/>
    <w:rsid w:val="0BB84EB5"/>
    <w:rsid w:val="0C5B40EC"/>
    <w:rsid w:val="0C836789"/>
    <w:rsid w:val="0CC47EE3"/>
    <w:rsid w:val="0CF161C9"/>
    <w:rsid w:val="0D3F756A"/>
    <w:rsid w:val="0DD01E48"/>
    <w:rsid w:val="0DDE468F"/>
    <w:rsid w:val="0E0B7FF0"/>
    <w:rsid w:val="0EF10ABB"/>
    <w:rsid w:val="0F3F25F6"/>
    <w:rsid w:val="0F6A2898"/>
    <w:rsid w:val="0FC05E29"/>
    <w:rsid w:val="10096E60"/>
    <w:rsid w:val="10103282"/>
    <w:rsid w:val="10523A58"/>
    <w:rsid w:val="111C352D"/>
    <w:rsid w:val="11663E8D"/>
    <w:rsid w:val="117A5014"/>
    <w:rsid w:val="11B81FE1"/>
    <w:rsid w:val="11E54CF5"/>
    <w:rsid w:val="127F05A0"/>
    <w:rsid w:val="129513D3"/>
    <w:rsid w:val="13051255"/>
    <w:rsid w:val="136D78F8"/>
    <w:rsid w:val="14432035"/>
    <w:rsid w:val="145A6363"/>
    <w:rsid w:val="148A7C64"/>
    <w:rsid w:val="14C10AEB"/>
    <w:rsid w:val="14F94C07"/>
    <w:rsid w:val="15512530"/>
    <w:rsid w:val="15C54914"/>
    <w:rsid w:val="15C72899"/>
    <w:rsid w:val="15CC4977"/>
    <w:rsid w:val="15DD2016"/>
    <w:rsid w:val="161E0F3C"/>
    <w:rsid w:val="162A4F7D"/>
    <w:rsid w:val="164B0D7C"/>
    <w:rsid w:val="16842491"/>
    <w:rsid w:val="16A03A81"/>
    <w:rsid w:val="16A82A66"/>
    <w:rsid w:val="179A3448"/>
    <w:rsid w:val="17AE3C6A"/>
    <w:rsid w:val="188B5D59"/>
    <w:rsid w:val="194E1911"/>
    <w:rsid w:val="1994787E"/>
    <w:rsid w:val="1A340E83"/>
    <w:rsid w:val="1A78230D"/>
    <w:rsid w:val="1AAE0AAD"/>
    <w:rsid w:val="1B3F2E2B"/>
    <w:rsid w:val="1B9510AD"/>
    <w:rsid w:val="1BBD7B09"/>
    <w:rsid w:val="1BBF7C5E"/>
    <w:rsid w:val="1C312A90"/>
    <w:rsid w:val="1CA96A4D"/>
    <w:rsid w:val="1CB338D9"/>
    <w:rsid w:val="1CD203FA"/>
    <w:rsid w:val="1DA022A7"/>
    <w:rsid w:val="1DA377D2"/>
    <w:rsid w:val="1DC53ABB"/>
    <w:rsid w:val="1DC93146"/>
    <w:rsid w:val="1DD000AF"/>
    <w:rsid w:val="1E09745A"/>
    <w:rsid w:val="1E8E20FF"/>
    <w:rsid w:val="1FFF72A8"/>
    <w:rsid w:val="208A4B48"/>
    <w:rsid w:val="21132D8F"/>
    <w:rsid w:val="213845A4"/>
    <w:rsid w:val="213D7E0C"/>
    <w:rsid w:val="214C004F"/>
    <w:rsid w:val="215D225D"/>
    <w:rsid w:val="216B497A"/>
    <w:rsid w:val="22602004"/>
    <w:rsid w:val="229C1B6E"/>
    <w:rsid w:val="2338088B"/>
    <w:rsid w:val="234F4D79"/>
    <w:rsid w:val="23D4489F"/>
    <w:rsid w:val="240D4867"/>
    <w:rsid w:val="24174945"/>
    <w:rsid w:val="24D57369"/>
    <w:rsid w:val="24EF7670"/>
    <w:rsid w:val="24F1163A"/>
    <w:rsid w:val="25002214"/>
    <w:rsid w:val="252E06F9"/>
    <w:rsid w:val="252E1F46"/>
    <w:rsid w:val="25BE6C7B"/>
    <w:rsid w:val="262001B9"/>
    <w:rsid w:val="262308A7"/>
    <w:rsid w:val="26324658"/>
    <w:rsid w:val="265E5E56"/>
    <w:rsid w:val="26BB2733"/>
    <w:rsid w:val="26CD39E1"/>
    <w:rsid w:val="26EF7DFB"/>
    <w:rsid w:val="276B56D3"/>
    <w:rsid w:val="27B87AF9"/>
    <w:rsid w:val="27E80EA9"/>
    <w:rsid w:val="280414A1"/>
    <w:rsid w:val="28570368"/>
    <w:rsid w:val="28935F50"/>
    <w:rsid w:val="289F15C5"/>
    <w:rsid w:val="294206B6"/>
    <w:rsid w:val="29604833"/>
    <w:rsid w:val="29C5318E"/>
    <w:rsid w:val="2B286F52"/>
    <w:rsid w:val="2B502F98"/>
    <w:rsid w:val="2B5621F6"/>
    <w:rsid w:val="2C0B5935"/>
    <w:rsid w:val="2C2242BB"/>
    <w:rsid w:val="2C8873E9"/>
    <w:rsid w:val="2C9A0A9E"/>
    <w:rsid w:val="2C9D0CDF"/>
    <w:rsid w:val="2CCF49F6"/>
    <w:rsid w:val="2D9D4E36"/>
    <w:rsid w:val="2DA70D65"/>
    <w:rsid w:val="2DB41456"/>
    <w:rsid w:val="2E15574D"/>
    <w:rsid w:val="2F8465C8"/>
    <w:rsid w:val="30071D11"/>
    <w:rsid w:val="304F7A3C"/>
    <w:rsid w:val="311E37B6"/>
    <w:rsid w:val="31571108"/>
    <w:rsid w:val="31C93D2F"/>
    <w:rsid w:val="32DE1872"/>
    <w:rsid w:val="33440FC3"/>
    <w:rsid w:val="33453C92"/>
    <w:rsid w:val="33F144DC"/>
    <w:rsid w:val="341C696E"/>
    <w:rsid w:val="3427766B"/>
    <w:rsid w:val="343706EB"/>
    <w:rsid w:val="35026F4B"/>
    <w:rsid w:val="351A08D0"/>
    <w:rsid w:val="35E36D7D"/>
    <w:rsid w:val="36334CE5"/>
    <w:rsid w:val="36511F38"/>
    <w:rsid w:val="376637C1"/>
    <w:rsid w:val="37CD3C9D"/>
    <w:rsid w:val="37EC3B77"/>
    <w:rsid w:val="37FE7E9E"/>
    <w:rsid w:val="3809330B"/>
    <w:rsid w:val="3845787B"/>
    <w:rsid w:val="38634030"/>
    <w:rsid w:val="38C645EA"/>
    <w:rsid w:val="390239BE"/>
    <w:rsid w:val="398301F6"/>
    <w:rsid w:val="39D864CC"/>
    <w:rsid w:val="39E9692C"/>
    <w:rsid w:val="3A551407"/>
    <w:rsid w:val="3A8F1281"/>
    <w:rsid w:val="3B033C36"/>
    <w:rsid w:val="3B1A26FC"/>
    <w:rsid w:val="3B9E50AD"/>
    <w:rsid w:val="3BF50ADF"/>
    <w:rsid w:val="3C1B5BAC"/>
    <w:rsid w:val="3D4A76E1"/>
    <w:rsid w:val="3E081460"/>
    <w:rsid w:val="3E5D4E8E"/>
    <w:rsid w:val="3EA07653"/>
    <w:rsid w:val="3EBB0897"/>
    <w:rsid w:val="3EDC6A5F"/>
    <w:rsid w:val="3EFF109D"/>
    <w:rsid w:val="3F1764D3"/>
    <w:rsid w:val="3FE25336"/>
    <w:rsid w:val="3FFF2A21"/>
    <w:rsid w:val="40A34202"/>
    <w:rsid w:val="414C3A28"/>
    <w:rsid w:val="41A61A16"/>
    <w:rsid w:val="41A82C28"/>
    <w:rsid w:val="42075FF8"/>
    <w:rsid w:val="4255690C"/>
    <w:rsid w:val="42842020"/>
    <w:rsid w:val="42A653BA"/>
    <w:rsid w:val="42BD5C92"/>
    <w:rsid w:val="43930B8B"/>
    <w:rsid w:val="44953E46"/>
    <w:rsid w:val="45074E29"/>
    <w:rsid w:val="456054C9"/>
    <w:rsid w:val="457E5260"/>
    <w:rsid w:val="45800144"/>
    <w:rsid w:val="461D1E37"/>
    <w:rsid w:val="46443D84"/>
    <w:rsid w:val="468567BB"/>
    <w:rsid w:val="46C805A5"/>
    <w:rsid w:val="46E42955"/>
    <w:rsid w:val="47307948"/>
    <w:rsid w:val="4782487D"/>
    <w:rsid w:val="47C14A44"/>
    <w:rsid w:val="47C3256A"/>
    <w:rsid w:val="47F6649C"/>
    <w:rsid w:val="48492B70"/>
    <w:rsid w:val="488F0FA9"/>
    <w:rsid w:val="49325BF9"/>
    <w:rsid w:val="49D46CB0"/>
    <w:rsid w:val="4A1E3150"/>
    <w:rsid w:val="4A201EF6"/>
    <w:rsid w:val="4A5D0A54"/>
    <w:rsid w:val="4A5E5D08"/>
    <w:rsid w:val="4A9A76C2"/>
    <w:rsid w:val="4AC72371"/>
    <w:rsid w:val="4AFF5FAF"/>
    <w:rsid w:val="4B31068E"/>
    <w:rsid w:val="4B38501D"/>
    <w:rsid w:val="4B6C2A28"/>
    <w:rsid w:val="4BA55220"/>
    <w:rsid w:val="4BAD0151"/>
    <w:rsid w:val="4BCD4F63"/>
    <w:rsid w:val="4C4110FA"/>
    <w:rsid w:val="4C7327B1"/>
    <w:rsid w:val="4C8F75A2"/>
    <w:rsid w:val="4D497202"/>
    <w:rsid w:val="4D616AAD"/>
    <w:rsid w:val="4D8F5481"/>
    <w:rsid w:val="4D9C1893"/>
    <w:rsid w:val="4D9C5D37"/>
    <w:rsid w:val="4DA007C1"/>
    <w:rsid w:val="4DAD4403"/>
    <w:rsid w:val="4E2D4BE1"/>
    <w:rsid w:val="4E8C008E"/>
    <w:rsid w:val="4EC55010"/>
    <w:rsid w:val="4FEF758C"/>
    <w:rsid w:val="50091D29"/>
    <w:rsid w:val="50771A9C"/>
    <w:rsid w:val="508D1174"/>
    <w:rsid w:val="50AB003F"/>
    <w:rsid w:val="51A258E6"/>
    <w:rsid w:val="51B30D8C"/>
    <w:rsid w:val="51B859F2"/>
    <w:rsid w:val="51C47F6D"/>
    <w:rsid w:val="52006CD5"/>
    <w:rsid w:val="52175845"/>
    <w:rsid w:val="52972F71"/>
    <w:rsid w:val="529A65BD"/>
    <w:rsid w:val="52AA6800"/>
    <w:rsid w:val="531B3954"/>
    <w:rsid w:val="53775A75"/>
    <w:rsid w:val="5455382C"/>
    <w:rsid w:val="54B023FC"/>
    <w:rsid w:val="54D51B2F"/>
    <w:rsid w:val="54DF6521"/>
    <w:rsid w:val="54E029AD"/>
    <w:rsid w:val="551C55B1"/>
    <w:rsid w:val="552F6604"/>
    <w:rsid w:val="5540169E"/>
    <w:rsid w:val="5568597E"/>
    <w:rsid w:val="55DF4A23"/>
    <w:rsid w:val="55E2346B"/>
    <w:rsid w:val="5600279B"/>
    <w:rsid w:val="56513437"/>
    <w:rsid w:val="568B52D3"/>
    <w:rsid w:val="56F8375D"/>
    <w:rsid w:val="57045844"/>
    <w:rsid w:val="57115E55"/>
    <w:rsid w:val="577C193E"/>
    <w:rsid w:val="57C9597B"/>
    <w:rsid w:val="586073F2"/>
    <w:rsid w:val="58A50D34"/>
    <w:rsid w:val="59BF77F2"/>
    <w:rsid w:val="59F1535F"/>
    <w:rsid w:val="59F36487"/>
    <w:rsid w:val="5A390534"/>
    <w:rsid w:val="5A4E2167"/>
    <w:rsid w:val="5A92249C"/>
    <w:rsid w:val="5B8A27C8"/>
    <w:rsid w:val="5C277114"/>
    <w:rsid w:val="5C2F7D76"/>
    <w:rsid w:val="5C3655A9"/>
    <w:rsid w:val="5C664375"/>
    <w:rsid w:val="5C683FC9"/>
    <w:rsid w:val="5C6E0D96"/>
    <w:rsid w:val="5D0A3490"/>
    <w:rsid w:val="5D5F1B36"/>
    <w:rsid w:val="5D7E0D39"/>
    <w:rsid w:val="5D86691C"/>
    <w:rsid w:val="5E6463FD"/>
    <w:rsid w:val="5E711B6F"/>
    <w:rsid w:val="5E9D3F29"/>
    <w:rsid w:val="60384CD1"/>
    <w:rsid w:val="60487659"/>
    <w:rsid w:val="604E2987"/>
    <w:rsid w:val="60655808"/>
    <w:rsid w:val="60E05B3D"/>
    <w:rsid w:val="6124191F"/>
    <w:rsid w:val="61C01422"/>
    <w:rsid w:val="61D21E21"/>
    <w:rsid w:val="62DB2A06"/>
    <w:rsid w:val="62F15751"/>
    <w:rsid w:val="62F835B8"/>
    <w:rsid w:val="634145D0"/>
    <w:rsid w:val="63676048"/>
    <w:rsid w:val="63A9427A"/>
    <w:rsid w:val="63D462B1"/>
    <w:rsid w:val="640815D9"/>
    <w:rsid w:val="641A3596"/>
    <w:rsid w:val="642B274B"/>
    <w:rsid w:val="64D96647"/>
    <w:rsid w:val="64EF4547"/>
    <w:rsid w:val="650C1D68"/>
    <w:rsid w:val="65206DF6"/>
    <w:rsid w:val="655B51E5"/>
    <w:rsid w:val="659155FE"/>
    <w:rsid w:val="65A17F37"/>
    <w:rsid w:val="65B86875"/>
    <w:rsid w:val="65D976D1"/>
    <w:rsid w:val="65E40ADA"/>
    <w:rsid w:val="66330B86"/>
    <w:rsid w:val="666351EC"/>
    <w:rsid w:val="66C8504F"/>
    <w:rsid w:val="66D41CA7"/>
    <w:rsid w:val="66E22203"/>
    <w:rsid w:val="674943E2"/>
    <w:rsid w:val="6819272C"/>
    <w:rsid w:val="68B812C9"/>
    <w:rsid w:val="691874C9"/>
    <w:rsid w:val="691937FC"/>
    <w:rsid w:val="69353E74"/>
    <w:rsid w:val="69D50CF4"/>
    <w:rsid w:val="6A4C4D11"/>
    <w:rsid w:val="6B075799"/>
    <w:rsid w:val="6C0F21D5"/>
    <w:rsid w:val="6C487AFD"/>
    <w:rsid w:val="6C5F1FB2"/>
    <w:rsid w:val="6CB24363"/>
    <w:rsid w:val="6CB87914"/>
    <w:rsid w:val="6D3671B7"/>
    <w:rsid w:val="6E9817AB"/>
    <w:rsid w:val="6EA93466"/>
    <w:rsid w:val="6F4D6A39"/>
    <w:rsid w:val="6F513CB1"/>
    <w:rsid w:val="6FAD71DC"/>
    <w:rsid w:val="6FCF0795"/>
    <w:rsid w:val="70666279"/>
    <w:rsid w:val="70C07804"/>
    <w:rsid w:val="70E879E5"/>
    <w:rsid w:val="711F63E6"/>
    <w:rsid w:val="71381023"/>
    <w:rsid w:val="71EC2DAA"/>
    <w:rsid w:val="7231619E"/>
    <w:rsid w:val="726D03AB"/>
    <w:rsid w:val="727B566C"/>
    <w:rsid w:val="729F75AC"/>
    <w:rsid w:val="72C2329A"/>
    <w:rsid w:val="72C40DC1"/>
    <w:rsid w:val="733221CE"/>
    <w:rsid w:val="73714961"/>
    <w:rsid w:val="73E3171A"/>
    <w:rsid w:val="7484702F"/>
    <w:rsid w:val="74AA2238"/>
    <w:rsid w:val="74E02977"/>
    <w:rsid w:val="7501589A"/>
    <w:rsid w:val="754D1D92"/>
    <w:rsid w:val="75700808"/>
    <w:rsid w:val="758350A9"/>
    <w:rsid w:val="75F0011F"/>
    <w:rsid w:val="765C63B7"/>
    <w:rsid w:val="77AD408B"/>
    <w:rsid w:val="77BF249E"/>
    <w:rsid w:val="77F064C5"/>
    <w:rsid w:val="7810498A"/>
    <w:rsid w:val="78440439"/>
    <w:rsid w:val="78C26676"/>
    <w:rsid w:val="78F44C22"/>
    <w:rsid w:val="79250E7A"/>
    <w:rsid w:val="79494343"/>
    <w:rsid w:val="795D275F"/>
    <w:rsid w:val="7A616C7D"/>
    <w:rsid w:val="7AC3269B"/>
    <w:rsid w:val="7B0C59FB"/>
    <w:rsid w:val="7B560FD7"/>
    <w:rsid w:val="7B5F74F8"/>
    <w:rsid w:val="7B684125"/>
    <w:rsid w:val="7B690630"/>
    <w:rsid w:val="7BC2430B"/>
    <w:rsid w:val="7C1508DF"/>
    <w:rsid w:val="7C5123F4"/>
    <w:rsid w:val="7C5F1CF3"/>
    <w:rsid w:val="7C6F042B"/>
    <w:rsid w:val="7D040AB6"/>
    <w:rsid w:val="7D4119E6"/>
    <w:rsid w:val="7D496A92"/>
    <w:rsid w:val="7DAF162B"/>
    <w:rsid w:val="7DC42B41"/>
    <w:rsid w:val="7DDF73F6"/>
    <w:rsid w:val="7E1564F7"/>
    <w:rsid w:val="7E2D1F10"/>
    <w:rsid w:val="7E4E602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3">
    <w:name w:val="15"/>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1190</Words>
  <Characters>1277</Characters>
  <Lines>67</Lines>
  <Paragraphs>19</Paragraphs>
  <TotalTime>18</TotalTime>
  <ScaleCrop>false</ScaleCrop>
  <LinksUpToDate>false</LinksUpToDate>
  <CharactersWithSpaces>1342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叮叮噹噹</cp:lastModifiedBy>
  <dcterms:modified xsi:type="dcterms:W3CDTF">2025-12-26T10:48:30Z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B7029942C19D45288BE66F4BAB4261CE_13</vt:lpwstr>
  </property>
  <property fmtid="{D5CDD505-2E9C-101B-9397-08002B2CF9AE}" pid="4" name="KSOTemplateDocerSaveRecord">
    <vt:lpwstr>eyJoZGlkIjoiNzllN2FmMTIyNzgzOWM5MWMzOTdhNTBhZDY1ZGYxYTciLCJ1c2VySWQiOiI0ODUyMjYyMjkifQ==</vt:lpwstr>
  </property>
</Properties>
</file>