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四川省人民医院2026年自动滚单床采购项目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footerReference r:id="rId4"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5" w:type="default"/>
          <w:footerReference r:id="rId6"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471310326"/>
      <w:bookmarkStart w:id="2" w:name="_Toc21919"/>
      <w:bookmarkStart w:id="3" w:name="_Toc3240"/>
      <w:bookmarkStart w:id="4" w:name="_Toc6283240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自动滚单床</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CGZX-YXZ20260780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24999.75</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673AE7E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自动滚单床</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323"/>
        <w:gridCol w:w="938"/>
        <w:gridCol w:w="890"/>
        <w:gridCol w:w="1237"/>
        <w:gridCol w:w="1213"/>
        <w:gridCol w:w="1189"/>
        <w:gridCol w:w="170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0"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w:t>
            </w:r>
            <w:bookmarkStart w:id="118" w:name="_GoBack"/>
            <w:bookmarkEnd w:id="118"/>
            <w:r>
              <w:rPr>
                <w:rFonts w:hint="eastAsia" w:ascii="仿宋" w:hAnsi="仿宋" w:eastAsia="仿宋" w:cs="仿宋"/>
                <w:b/>
                <w:sz w:val="24"/>
                <w:szCs w:val="24"/>
              </w:rPr>
              <w:t>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70"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自动滚单床</w:t>
            </w:r>
          </w:p>
        </w:tc>
        <w:tc>
          <w:tcPr>
            <w:tcW w:w="511" w:type="pct"/>
            <w:shd w:val="clear" w:color="auto" w:fill="auto"/>
            <w:vAlign w:val="center"/>
          </w:tcPr>
          <w:p w14:paraId="433FA82E">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w:t>
            </w:r>
            <w:r>
              <w:rPr>
                <w:rFonts w:hint="default" w:ascii="仿宋" w:hAnsi="仿宋" w:eastAsia="仿宋" w:cs="仿宋"/>
                <w:sz w:val="24"/>
                <w:szCs w:val="24"/>
                <w:lang w:val="en-US" w:eastAsia="zh-CN"/>
              </w:rPr>
              <w:t>60975</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499975</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1E2ED4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1、产品尺寸：长2010mm±20mm；宽720mm±20mm；高620mm±20mm；</w:t>
      </w:r>
    </w:p>
    <w:p w14:paraId="353959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2、整床承重≥250KG。（提供产品彩页证明）</w:t>
      </w:r>
    </w:p>
    <w:p w14:paraId="413820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▲3、具备活动卷纸自锁装置：卷纸在非卷动状态时，未使用卷纸一端处于锁紧状态（提供产品彩页证明）；</w:t>
      </w:r>
    </w:p>
    <w:p w14:paraId="5CCD6C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▲4、具备自动纠偏换纸功能（提供产品彩页证明）；</w:t>
      </w:r>
    </w:p>
    <w:p w14:paraId="3D6B5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5、具备无线控制器；</w:t>
      </w:r>
    </w:p>
    <w:p w14:paraId="4D3B53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▲6、喷涂工艺</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粉末静电喷涂</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喷涂附着力0级。粉末抗菌效果：金黄色葡萄球菌、藤黄微球菌、大肠埃希氏菌抗菌率均 ≥99%。（提供国家认可的第三方检测机构出具的检测报告证明）</w:t>
      </w:r>
    </w:p>
    <w:p w14:paraId="751997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▲7、具备带刹车的脚轮；（提供产品实物图证明）</w:t>
      </w:r>
    </w:p>
    <w:p w14:paraId="5E1470C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8、具备内置应急电源；</w:t>
      </w:r>
    </w:p>
    <w:p w14:paraId="64AD7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▲9、床垫填充物为高密度海棉，皮套为合成皮</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表面无缝线外露；（提供床垫实物图证明皮套表面无缝线外露）</w:t>
      </w:r>
    </w:p>
    <w:p w14:paraId="2A436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10、具备急停开关</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须在投标文件中单独提供配置清单（不同产品分别提供，格式详见投标文件格式），采购人将以此为依据进行验收。若涉及设备正常运行所需的其他配置内容，</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在配置清单中列明涉及的产品名称、型号（若有）、数量即可，供应商可根据</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244"/>
        <w:gridCol w:w="987"/>
        <w:gridCol w:w="738"/>
        <w:gridCol w:w="4020"/>
        <w:gridCol w:w="2176"/>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23</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6D66E812">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35</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6803"/>
      <w:bookmarkStart w:id="40" w:name="_Toc17905"/>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7233"/>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3023"/>
      <w:bookmarkStart w:id="52" w:name="_Toc16029"/>
      <w:bookmarkStart w:id="53" w:name="_Toc11352"/>
      <w:bookmarkStart w:id="54" w:name="_Toc148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30971"/>
      <w:bookmarkStart w:id="58" w:name="_Toc17857"/>
      <w:bookmarkStart w:id="59" w:name="_Toc31838"/>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11351"/>
      <w:bookmarkStart w:id="71" w:name="_Toc20589"/>
      <w:bookmarkStart w:id="72" w:name="_Toc25638"/>
      <w:bookmarkStart w:id="73" w:name="_Toc27661"/>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6435"/>
      <w:bookmarkStart w:id="77" w:name="_Toc23967"/>
      <w:bookmarkStart w:id="78" w:name="_Toc2041"/>
      <w:bookmarkStart w:id="79" w:name="_Toc12967"/>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28634"/>
      <w:bookmarkStart w:id="83" w:name="_Toc31686"/>
      <w:bookmarkStart w:id="84" w:name="_Toc1369"/>
      <w:bookmarkStart w:id="85" w:name="_Toc21082"/>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3EE5320B">
      <w:pPr>
        <w:pStyle w:val="3"/>
        <w:ind w:firstLine="0"/>
      </w:pPr>
      <w:r>
        <w:rPr>
          <w:rFonts w:hint="eastAsia"/>
          <w:lang w:val="en-US" w:eastAsia="zh-CN"/>
        </w:rPr>
        <w:t>设备配置清单</w:t>
      </w:r>
    </w:p>
    <w:p w14:paraId="47F702D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17FC1F01">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7DD9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5916FA0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0ABB5F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0318CC5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A1F0A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D4CECB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513955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C9F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7F395AF">
            <w:pPr>
              <w:contextualSpacing/>
              <w:jc w:val="center"/>
              <w:rPr>
                <w:rFonts w:ascii="Times New Roman" w:hAnsi="Times New Roman" w:eastAsia="宋体" w:cs="Times New Roman"/>
                <w:color w:val="auto"/>
                <w:sz w:val="18"/>
                <w:szCs w:val="18"/>
                <w:highlight w:val="none"/>
              </w:rPr>
            </w:pPr>
          </w:p>
        </w:tc>
        <w:tc>
          <w:tcPr>
            <w:tcW w:w="3412" w:type="dxa"/>
            <w:vAlign w:val="center"/>
          </w:tcPr>
          <w:p w14:paraId="61463DCC">
            <w:pPr>
              <w:contextualSpacing/>
              <w:jc w:val="left"/>
              <w:rPr>
                <w:rFonts w:ascii="Times New Roman" w:hAnsi="Times New Roman" w:eastAsia="宋体" w:cs="Times New Roman"/>
                <w:color w:val="auto"/>
                <w:sz w:val="18"/>
                <w:szCs w:val="18"/>
                <w:highlight w:val="none"/>
              </w:rPr>
            </w:pPr>
          </w:p>
        </w:tc>
        <w:tc>
          <w:tcPr>
            <w:tcW w:w="2988" w:type="dxa"/>
            <w:vAlign w:val="center"/>
          </w:tcPr>
          <w:p w14:paraId="6804AE65">
            <w:pPr>
              <w:contextualSpacing/>
              <w:jc w:val="center"/>
              <w:rPr>
                <w:rFonts w:ascii="Times New Roman" w:hAnsi="Times New Roman" w:eastAsia="宋体" w:cs="Times New Roman"/>
                <w:color w:val="auto"/>
                <w:sz w:val="18"/>
                <w:szCs w:val="18"/>
                <w:highlight w:val="none"/>
              </w:rPr>
            </w:pPr>
          </w:p>
        </w:tc>
        <w:tc>
          <w:tcPr>
            <w:tcW w:w="426" w:type="dxa"/>
            <w:vAlign w:val="center"/>
          </w:tcPr>
          <w:p w14:paraId="7CF8D9FA">
            <w:pPr>
              <w:contextualSpacing/>
              <w:jc w:val="center"/>
              <w:rPr>
                <w:rFonts w:ascii="Times New Roman" w:hAnsi="Times New Roman" w:eastAsia="宋体" w:cs="Times New Roman"/>
                <w:b/>
                <w:color w:val="auto"/>
                <w:sz w:val="18"/>
                <w:szCs w:val="18"/>
                <w:highlight w:val="none"/>
              </w:rPr>
            </w:pPr>
          </w:p>
        </w:tc>
        <w:tc>
          <w:tcPr>
            <w:tcW w:w="429" w:type="dxa"/>
            <w:vAlign w:val="center"/>
          </w:tcPr>
          <w:p w14:paraId="2F1C1029">
            <w:pPr>
              <w:contextualSpacing/>
              <w:jc w:val="center"/>
              <w:rPr>
                <w:rFonts w:ascii="Times New Roman" w:hAnsi="Times New Roman" w:eastAsia="宋体" w:cs="Times New Roman"/>
                <w:color w:val="auto"/>
                <w:sz w:val="18"/>
                <w:szCs w:val="18"/>
                <w:highlight w:val="none"/>
              </w:rPr>
            </w:pPr>
          </w:p>
        </w:tc>
        <w:tc>
          <w:tcPr>
            <w:tcW w:w="1978" w:type="dxa"/>
            <w:vAlign w:val="center"/>
          </w:tcPr>
          <w:p w14:paraId="105A311E">
            <w:pPr>
              <w:contextualSpacing/>
              <w:jc w:val="left"/>
              <w:rPr>
                <w:rFonts w:ascii="Times New Roman" w:hAnsi="Times New Roman" w:eastAsia="宋体" w:cs="Times New Roman"/>
                <w:color w:val="auto"/>
                <w:sz w:val="18"/>
                <w:szCs w:val="18"/>
                <w:highlight w:val="none"/>
              </w:rPr>
            </w:pPr>
          </w:p>
        </w:tc>
      </w:tr>
    </w:tbl>
    <w:p w14:paraId="6E27599A">
      <w:pPr>
        <w:rPr>
          <w:rFonts w:ascii="Times New Roman" w:hAnsi="Times New Roman" w:eastAsia="宋体" w:cs="Times New Roman"/>
          <w:color w:val="auto"/>
          <w:highlight w:val="none"/>
        </w:rPr>
      </w:pPr>
    </w:p>
    <w:p w14:paraId="05CE138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874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5677CBC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79999D8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FF21A2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768C6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5277B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0EE210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415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922E4FE">
            <w:pPr>
              <w:contextualSpacing/>
              <w:jc w:val="center"/>
              <w:rPr>
                <w:rFonts w:ascii="Times New Roman" w:hAnsi="Times New Roman" w:eastAsia="宋体" w:cs="Times New Roman"/>
                <w:color w:val="auto"/>
                <w:sz w:val="18"/>
                <w:szCs w:val="18"/>
                <w:highlight w:val="none"/>
              </w:rPr>
            </w:pPr>
          </w:p>
        </w:tc>
        <w:tc>
          <w:tcPr>
            <w:tcW w:w="3412" w:type="dxa"/>
            <w:vAlign w:val="center"/>
          </w:tcPr>
          <w:p w14:paraId="54D8C042">
            <w:pPr>
              <w:contextualSpacing/>
              <w:jc w:val="left"/>
              <w:rPr>
                <w:rFonts w:ascii="Times New Roman" w:hAnsi="Times New Roman" w:eastAsia="宋体" w:cs="Times New Roman"/>
                <w:color w:val="auto"/>
                <w:sz w:val="18"/>
                <w:szCs w:val="18"/>
                <w:highlight w:val="none"/>
              </w:rPr>
            </w:pPr>
          </w:p>
        </w:tc>
        <w:tc>
          <w:tcPr>
            <w:tcW w:w="2988" w:type="dxa"/>
            <w:vAlign w:val="center"/>
          </w:tcPr>
          <w:p w14:paraId="6B14D8F1">
            <w:pPr>
              <w:contextualSpacing/>
              <w:jc w:val="center"/>
              <w:rPr>
                <w:rFonts w:ascii="Times New Roman" w:hAnsi="Times New Roman" w:eastAsia="宋体" w:cs="Times New Roman"/>
                <w:color w:val="auto"/>
                <w:sz w:val="18"/>
                <w:szCs w:val="18"/>
                <w:highlight w:val="none"/>
              </w:rPr>
            </w:pPr>
          </w:p>
        </w:tc>
        <w:tc>
          <w:tcPr>
            <w:tcW w:w="426" w:type="dxa"/>
            <w:vAlign w:val="center"/>
          </w:tcPr>
          <w:p w14:paraId="785BA08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070BC1C7">
            <w:pPr>
              <w:contextualSpacing/>
              <w:jc w:val="center"/>
              <w:rPr>
                <w:rFonts w:ascii="Times New Roman" w:hAnsi="Times New Roman" w:eastAsia="宋体" w:cs="Times New Roman"/>
                <w:color w:val="auto"/>
                <w:sz w:val="18"/>
                <w:szCs w:val="18"/>
                <w:highlight w:val="none"/>
              </w:rPr>
            </w:pPr>
          </w:p>
        </w:tc>
        <w:tc>
          <w:tcPr>
            <w:tcW w:w="1978" w:type="dxa"/>
            <w:vAlign w:val="center"/>
          </w:tcPr>
          <w:p w14:paraId="04A0BB89">
            <w:pPr>
              <w:contextualSpacing/>
              <w:jc w:val="left"/>
              <w:rPr>
                <w:rFonts w:ascii="Times New Roman" w:hAnsi="Times New Roman" w:eastAsia="宋体" w:cs="Times New Roman"/>
                <w:color w:val="auto"/>
                <w:sz w:val="18"/>
                <w:szCs w:val="18"/>
                <w:highlight w:val="none"/>
              </w:rPr>
            </w:pPr>
          </w:p>
        </w:tc>
      </w:tr>
    </w:tbl>
    <w:p w14:paraId="22F1EB8F">
      <w:pPr>
        <w:pStyle w:val="7"/>
        <w:rPr>
          <w:rFonts w:ascii="Times New Roman" w:hAnsi="Times New Roman" w:eastAsia="宋体" w:cs="Times New Roman"/>
          <w:color w:val="auto"/>
          <w:highlight w:val="none"/>
        </w:rPr>
      </w:pPr>
    </w:p>
    <w:p w14:paraId="15EB9F5F">
      <w:pPr>
        <w:pStyle w:val="29"/>
        <w:numPr>
          <w:ilvl w:val="0"/>
          <w:numId w:val="15"/>
        </w:numPr>
        <w:ind w:firstLineChars="0"/>
        <w:contextualSpacing/>
        <w:jc w:val="left"/>
        <w:rPr>
          <w:rFonts w:ascii="Times New Roman" w:hAnsi="Times New Roman" w:cs="Times New Roman"/>
          <w:b/>
          <w:bCs/>
          <w:color w:val="auto"/>
          <w:sz w:val="44"/>
          <w:szCs w:val="52"/>
          <w:highlight w:val="none"/>
        </w:rPr>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9" w:type="default"/>
          <w:footerReference r:id="rId10" w:type="default"/>
          <w:footerReference r:id="rId11" w:type="even"/>
          <w:pgSz w:w="11906" w:h="16838"/>
          <w:pgMar w:top="1134" w:right="851" w:bottom="1134" w:left="851" w:header="850" w:footer="567" w:gutter="0"/>
          <w:pgNumType w:fmt="decimal"/>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9"/>
        <w:numPr>
          <w:ilvl w:val="0"/>
          <w:numId w:val="15"/>
        </w:numPr>
        <w:ind w:firstLineChars="0"/>
        <w:contextualSpacing/>
        <w:jc w:val="left"/>
        <w:rPr>
          <w:rFonts w:ascii="Times New Roman" w:hAnsi="Times New Roman" w:cs="Times New Roman"/>
          <w:b/>
          <w:bCs/>
          <w:color w:val="auto"/>
          <w:sz w:val="44"/>
          <w:szCs w:val="52"/>
          <w:highlight w:val="none"/>
        </w:rPr>
        <w:sectPr>
          <w:headerReference r:id="rId12" w:type="default"/>
          <w:footerReference r:id="rId1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4" w:type="default"/>
          <w:pgSz w:w="11905" w:h="16838"/>
          <w:pgMar w:top="1134" w:right="1134" w:bottom="1134" w:left="1134" w:header="851" w:footer="992" w:gutter="0"/>
          <w:pgNumType w:fmt="decimal" w:start="39"/>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5"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EF0FBF-8F4E-4174-9E36-7A3009A57C5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0B642D8-564D-46CB-A305-F45B5BD76F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C49F186-D9F2-4154-BECC-9A07241C772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F50BD65-D13C-4479-B2ED-686E74F008AE}"/>
  </w:font>
  <w:font w:name="Segoe UI Symbol">
    <w:panose1 w:val="020B0502040204020203"/>
    <w:charset w:val="00"/>
    <w:family w:val="swiss"/>
    <w:pitch w:val="default"/>
    <w:sig w:usb0="800001E3" w:usb1="1200FFEF" w:usb2="00040000" w:usb3="04000000" w:csb0="00000001" w:csb1="40000000"/>
    <w:embedRegular r:id="rId5" w:fontKey="{109B46C1-DA8E-4C95-8EF1-C70C97829113}"/>
  </w:font>
  <w:font w:name="Wingdings 2">
    <w:altName w:val="Wingdings"/>
    <w:panose1 w:val="05020102010507070707"/>
    <w:charset w:val="4D"/>
    <w:family w:val="decorative"/>
    <w:pitch w:val="default"/>
    <w:sig w:usb0="00000000" w:usb1="00000000" w:usb2="00000000" w:usb3="00000000" w:csb0="80000000" w:csb1="00000000"/>
    <w:embedRegular r:id="rId6" w:fontKey="{FC720C74-7876-452A-A446-90B3EDD4CC20}"/>
  </w:font>
  <w:font w:name="Songti SC">
    <w:altName w:val="宋体"/>
    <w:panose1 w:val="02010600040101010101"/>
    <w:charset w:val="86"/>
    <w:family w:val="auto"/>
    <w:pitch w:val="default"/>
    <w:sig w:usb0="00000000" w:usb1="00000000" w:usb2="00000010" w:usb3="00000000" w:csb0="0004009F" w:csb1="00000000"/>
    <w:embedRegular r:id="rId7" w:fontKey="{42D51C06-7617-4746-BC95-BAB630AFCAE7}"/>
  </w:font>
  <w:font w:name="微软雅黑">
    <w:panose1 w:val="020B0503020204020204"/>
    <w:charset w:val="86"/>
    <w:family w:val="auto"/>
    <w:pitch w:val="default"/>
    <w:sig w:usb0="80000287" w:usb1="2ACF3C50" w:usb2="00000016" w:usb3="00000000" w:csb0="0004001F" w:csb1="00000000"/>
    <w:embedRegular r:id="rId8" w:fontKey="{5C3E789A-3A11-4950-BCDD-CE8B73E89AC3}"/>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0AB36">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55FD3B">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A55FD3B">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BF3BD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DBF3BD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52D37">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188C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1188C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4A6D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544A6D7">
                    <w:pPr>
                      <w:pStyle w:val="11"/>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AD17A">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CFAD17A">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4E1AD0">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c4VQyAgAAVwQAAA4AAABkcnMvZTJvRG9jLnhtbK1Uy47T&#10;MBTdI/EPlvc07QBVp2o6KlMVIVXMSAWxdh2nieQXttukfAD8ASs27PmufgfHTtNBA4tZsHFvfJ/n&#10;+Nz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T5zhVDICAABXBAAADgAAAAAAAAABACAAAAAlAQAAZHJzL2Uyb0RvYy54&#10;bWxQSwUGAAAAAAYABgBZAQAAyQUAAAAA&#10;">
              <v:fill on="f" focussize="0,0"/>
              <v:stroke on="f" weight="0.5pt"/>
              <v:imagedata o:title=""/>
              <o:lock v:ext="edit" aspectratio="f"/>
              <v:textbox inset="0mm,0mm,0mm,0mm" style="mso-fit-shape-to-text:t;">
                <w:txbxContent>
                  <w:p w14:paraId="374E1AD0">
                    <w:pPr>
                      <w:pStyle w:val="11"/>
                      <w:rPr>
                        <w:rFonts w:ascii="Times New Roman" w:hAnsi="Times New Roman" w:cs="Times New Roma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30</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30</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6F9D66">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76F9D66">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D4BE2">
                          <w:pPr>
                            <w:pStyle w:val="11"/>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EFD4BE2">
                    <w:pPr>
                      <w:pStyle w:val="11"/>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3CBD6">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3003CBD6">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2C56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832C566">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200BC">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93A3733"/>
    <w:rsid w:val="0B4508AE"/>
    <w:rsid w:val="0CF161C9"/>
    <w:rsid w:val="0E0B7FF0"/>
    <w:rsid w:val="117A5014"/>
    <w:rsid w:val="127F05A0"/>
    <w:rsid w:val="136D78F8"/>
    <w:rsid w:val="15CC4977"/>
    <w:rsid w:val="162A4F7D"/>
    <w:rsid w:val="16A82A66"/>
    <w:rsid w:val="1994787E"/>
    <w:rsid w:val="1AE517F0"/>
    <w:rsid w:val="1D287A89"/>
    <w:rsid w:val="1DD000AF"/>
    <w:rsid w:val="1E09745A"/>
    <w:rsid w:val="1E176351"/>
    <w:rsid w:val="217108E9"/>
    <w:rsid w:val="22935D1D"/>
    <w:rsid w:val="23D4489F"/>
    <w:rsid w:val="262001B9"/>
    <w:rsid w:val="27334F35"/>
    <w:rsid w:val="27B87AF9"/>
    <w:rsid w:val="27E80EA9"/>
    <w:rsid w:val="280414A1"/>
    <w:rsid w:val="28570368"/>
    <w:rsid w:val="29C5318E"/>
    <w:rsid w:val="2B502F98"/>
    <w:rsid w:val="2C9A0A9E"/>
    <w:rsid w:val="2DA70D65"/>
    <w:rsid w:val="2F7B047E"/>
    <w:rsid w:val="3427766B"/>
    <w:rsid w:val="343706EB"/>
    <w:rsid w:val="351A08D0"/>
    <w:rsid w:val="36334CE5"/>
    <w:rsid w:val="37F92887"/>
    <w:rsid w:val="38B20315"/>
    <w:rsid w:val="3A551407"/>
    <w:rsid w:val="3B033C36"/>
    <w:rsid w:val="3BF95DE6"/>
    <w:rsid w:val="3E5D4E8E"/>
    <w:rsid w:val="3FE25336"/>
    <w:rsid w:val="41076015"/>
    <w:rsid w:val="42075FF8"/>
    <w:rsid w:val="42842020"/>
    <w:rsid w:val="46317515"/>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9D648C2"/>
    <w:rsid w:val="5D0A3490"/>
    <w:rsid w:val="5D7E0D39"/>
    <w:rsid w:val="5E9D3F29"/>
    <w:rsid w:val="60384CD1"/>
    <w:rsid w:val="60655808"/>
    <w:rsid w:val="60F86CEE"/>
    <w:rsid w:val="61810ED0"/>
    <w:rsid w:val="63516AC1"/>
    <w:rsid w:val="63A9427A"/>
    <w:rsid w:val="63D462B1"/>
    <w:rsid w:val="641A3596"/>
    <w:rsid w:val="64D96647"/>
    <w:rsid w:val="655B51E5"/>
    <w:rsid w:val="65E40ADA"/>
    <w:rsid w:val="65FD1B89"/>
    <w:rsid w:val="66330B86"/>
    <w:rsid w:val="66E22203"/>
    <w:rsid w:val="68B812C9"/>
    <w:rsid w:val="69D50CF4"/>
    <w:rsid w:val="6A897B2D"/>
    <w:rsid w:val="6C487AFD"/>
    <w:rsid w:val="6CB24363"/>
    <w:rsid w:val="6EA93466"/>
    <w:rsid w:val="6FCF0795"/>
    <w:rsid w:val="702F3438"/>
    <w:rsid w:val="71381023"/>
    <w:rsid w:val="73714961"/>
    <w:rsid w:val="754D1D92"/>
    <w:rsid w:val="758350A9"/>
    <w:rsid w:val="76B0629A"/>
    <w:rsid w:val="79687E1D"/>
    <w:rsid w:val="79F30C28"/>
    <w:rsid w:val="7AD265BD"/>
    <w:rsid w:val="7B4B63E1"/>
    <w:rsid w:val="7B560FD7"/>
    <w:rsid w:val="7B5F74F8"/>
    <w:rsid w:val="7B690630"/>
    <w:rsid w:val="7C5123F4"/>
    <w:rsid w:val="7CC14760"/>
    <w:rsid w:val="7D040AB6"/>
    <w:rsid w:val="7D4119E6"/>
    <w:rsid w:val="7DAF162B"/>
    <w:rsid w:val="7DC42B41"/>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1236</Words>
  <Characters>1327</Characters>
  <Lines>72</Lines>
  <Paragraphs>20</Paragraphs>
  <TotalTime>7</TotalTime>
  <ScaleCrop>false</ScaleCrop>
  <LinksUpToDate>false</LinksUpToDate>
  <CharactersWithSpaces>1399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2026-09-17T01:09:40Z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