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购买冷冻精液项目</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62832406"/>
      <w:bookmarkStart w:id="2" w:name="_Toc20358"/>
      <w:bookmarkStart w:id="3" w:name="_Toc1907"/>
      <w:bookmarkStart w:id="4" w:name="_Toc21919"/>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7"/>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四川省人民医院购买冷冻精液项目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027F4916">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CGZX-YWB20251149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1D0C1EB9">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限价</w:t>
            </w:r>
            <w:r>
              <w:rPr>
                <w:rFonts w:ascii="Times New Roman" w:hAnsi="Times New Roman" w:eastAsia="仿宋" w:cs="Times New Roman"/>
                <w:sz w:val="22"/>
              </w:rPr>
              <w:t>人民币</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28</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none"/>
                <w:lang w:val="en-US" w:eastAsia="zh-CN"/>
              </w:rPr>
              <w:t>万</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r>
              <w:rPr>
                <w:rFonts w:hint="eastAsia" w:ascii="仿宋" w:hAnsi="仿宋" w:eastAsia="仿宋" w:cs="仿宋"/>
                <w:color w:val="auto"/>
                <w:sz w:val="22"/>
                <w:highlight w:val="none"/>
                <w:u w:val="none"/>
                <w:lang w:val="en-US" w:eastAsia="zh-CN"/>
              </w:rPr>
              <w:t>单价限价详见第四章技术、服务要求，</w:t>
            </w: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C1E08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1AE804CF">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 xml:space="preserve">收取    </w:t>
            </w:r>
            <w:r>
              <w:rPr>
                <w:rFonts w:ascii="Times New Roman" w:hAnsi="Times New Roman" w:eastAsia="仿宋" w:cs="Times New Roman"/>
                <w:sz w:val="22"/>
                <w:szCs w:val="22"/>
              </w:rPr>
              <w:t xml:space="preserve">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最高限价的10%</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综合评分法</w:t>
            </w:r>
          </w:p>
          <w:p w14:paraId="261E2F8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w:t>
            </w:r>
            <w:r>
              <w:rPr>
                <w:rFonts w:hint="eastAsia" w:ascii="Times New Roman" w:hAnsi="Times New Roman" w:eastAsia="仿宋" w:cs="Times New Roman"/>
                <w:sz w:val="22"/>
              </w:rPr>
              <w:t>谈判</w:t>
            </w:r>
            <w:r>
              <w:rPr>
                <w:rFonts w:ascii="Times New Roman" w:hAnsi="Times New Roman" w:eastAsia="仿宋" w:cs="Times New Roman"/>
                <w:sz w:val="22"/>
              </w:rPr>
              <w:t>文件全部实质性要求的供应商达到3家以上（含3家），谈判小组按照评审因素进行评分，</w:t>
            </w:r>
            <w:r>
              <w:rPr>
                <w:rFonts w:ascii="Times New Roman" w:hAnsi="Times New Roman" w:eastAsia="仿宋" w:cs="Times New Roman"/>
                <w:b/>
                <w:bCs/>
                <w:sz w:val="22"/>
              </w:rPr>
              <w:t>得分最高</w:t>
            </w:r>
            <w:r>
              <w:rPr>
                <w:rFonts w:ascii="Times New Roman" w:hAnsi="Times New Roman" w:eastAsia="仿宋" w:cs="Times New Roman"/>
                <w:sz w:val="22"/>
              </w:rPr>
              <w:t>的供应商为成交供应商。若得分相同则报价最低的为成交供应商，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最低评审价法</w:t>
            </w:r>
          </w:p>
          <w:p w14:paraId="5A7FDEFF">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但采购文件没有不合理条款，且采购程序符合规定的，可以继续开展采购活动。谈判小组按照有效报价进行评审，有效报价最低的合格供应商为成交供应商。</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lang w:val="zh-CN"/>
              </w:rPr>
              <w:t>若报价相同</w:t>
            </w:r>
            <w:r>
              <w:rPr>
                <w:rFonts w:ascii="Times New Roman" w:hAnsi="Times New Roman" w:eastAsia="仿宋" w:cs="Times New Roman"/>
                <w:sz w:val="22"/>
              </w:rPr>
              <w:t>且</w:t>
            </w:r>
            <w:r>
              <w:rPr>
                <w:rFonts w:ascii="Times New Roman" w:hAnsi="Times New Roman" w:eastAsia="仿宋" w:cs="Times New Roman"/>
                <w:sz w:val="22"/>
                <w:lang w:val="zh-CN"/>
              </w:rPr>
              <w:t>所有技术、</w:t>
            </w:r>
            <w:r>
              <w:rPr>
                <w:rFonts w:ascii="Times New Roman" w:hAnsi="Times New Roman" w:eastAsia="仿宋" w:cs="Times New Roman"/>
                <w:kern w:val="0"/>
                <w:sz w:val="22"/>
                <w:lang w:val="zh-CN"/>
              </w:rPr>
              <w:t>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冯</w:t>
            </w:r>
            <w:r>
              <w:rPr>
                <w:rFonts w:ascii="Times New Roman" w:hAnsi="Times New Roman" w:eastAsia="仿宋" w:cs="Times New Roman"/>
                <w:sz w:val="22"/>
              </w:rPr>
              <w:t>老师028-</w:t>
            </w:r>
            <w:r>
              <w:rPr>
                <w:rFonts w:hint="eastAsia" w:ascii="Times New Roman" w:hAnsi="Times New Roman" w:eastAsia="仿宋" w:cs="Times New Roman"/>
                <w:sz w:val="22"/>
                <w:u w:val="none"/>
                <w:lang w:val="en-US" w:eastAsia="zh-CN"/>
              </w:rPr>
              <w:t>87393463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医务部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highlight w:val="none"/>
                <w:lang w:val="en-US" w:eastAsia="zh-CN"/>
              </w:rPr>
              <w:t>汪</w:t>
            </w:r>
            <w:r>
              <w:rPr>
                <w:rFonts w:hint="eastAsia" w:ascii="仿宋" w:hAnsi="仿宋" w:eastAsia="仿宋" w:cs="仿宋"/>
                <w:color w:val="auto"/>
                <w:sz w:val="22"/>
                <w:highlight w:val="none"/>
              </w:rPr>
              <w:t>老师 028-</w:t>
            </w:r>
            <w:r>
              <w:rPr>
                <w:rFonts w:hint="eastAsia" w:ascii="仿宋" w:hAnsi="仿宋" w:eastAsia="仿宋" w:cs="仿宋"/>
                <w:color w:val="auto"/>
                <w:sz w:val="22"/>
                <w:highlight w:val="none"/>
                <w:lang w:val="en-US" w:eastAsia="zh-CN"/>
              </w:rPr>
              <w:t>87394408</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7"/>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1888" w:hRule="atLeast"/>
          <w:jc w:val="center"/>
        </w:trPr>
        <w:tc>
          <w:tcPr>
            <w:tcW w:w="566"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9E0062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（1）谈判小组根据谈判文件对供应商的响应文件进行资格审查、符合性审查及其他有效性审查。审查合格的供应商满足3家以上（含3家），谈判小组按照评审方式进行评审。</w:t>
            </w:r>
            <w:r>
              <w:rPr>
                <w:rFonts w:hint="eastAsia"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但采购文件没有不合理条款，且采购程序符合规定的，可以继续开展采购活动。谈判小组按照有效报价进行评审，有效报价最低的合格供应商为成交供应商。</w:t>
            </w:r>
          </w:p>
          <w:p w14:paraId="42593F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450F5BE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74E1B9C3">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en-US" w:eastAsia="zh-CN"/>
              </w:rPr>
              <w:t>3463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8"/>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tc>
        <w:tc>
          <w:tcPr>
            <w:tcW w:w="4398" w:type="dxa"/>
            <w:vAlign w:val="center"/>
          </w:tcPr>
          <w:p w14:paraId="7218ACAA">
            <w:pPr>
              <w:rPr>
                <w:rFonts w:hint="eastAsia" w:ascii="Times New Roman" w:hAnsi="Times New Roman" w:eastAsia="仿宋" w:cs="Times New Roman"/>
                <w:sz w:val="22"/>
                <w:u w:val="none"/>
              </w:rPr>
            </w:pPr>
            <w:r>
              <w:rPr>
                <w:rFonts w:hint="eastAsia" w:ascii="Times New Roman" w:hAnsi="Times New Roman" w:eastAsia="仿宋" w:cs="Times New Roman"/>
                <w:sz w:val="24"/>
                <w:szCs w:val="24"/>
                <w:u w:val="none"/>
              </w:rPr>
              <w:t>提供卫健委颁发的医疗机构设置人类精子库技术批件(复印件)</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6E9DC765">
      <w:pPr>
        <w:pStyle w:val="15"/>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本项目为四川省人民医院购买冷冻精液项目，</w:t>
      </w:r>
      <w:r>
        <w:rPr>
          <w:rFonts w:hint="eastAsia" w:ascii="Times New Roman" w:hAnsi="Times New Roman" w:eastAsia="仿宋" w:cs="Times New Roman"/>
          <w:sz w:val="24"/>
          <w:szCs w:val="24"/>
        </w:rPr>
        <w:t>生殖中心开展供精人工授精及供精试管婴儿，所需精液需要从精子库购买，拟招</w:t>
      </w:r>
      <w:r>
        <w:rPr>
          <w:rFonts w:hint="eastAsia" w:ascii="Times New Roman" w:hAnsi="Times New Roman" w:eastAsia="仿宋" w:cs="Times New Roman"/>
          <w:sz w:val="24"/>
          <w:szCs w:val="24"/>
          <w:highlight w:val="none"/>
        </w:rPr>
        <w:t>一家</w:t>
      </w:r>
      <w:r>
        <w:rPr>
          <w:rFonts w:hint="eastAsia" w:ascii="Times New Roman" w:hAnsi="Times New Roman" w:eastAsia="仿宋" w:cs="Times New Roman"/>
          <w:sz w:val="24"/>
          <w:szCs w:val="24"/>
        </w:rPr>
        <w:t>供应商承接提供购买冷冻精液事宜。</w:t>
      </w:r>
    </w:p>
    <w:p w14:paraId="16960A0D">
      <w:pPr>
        <w:pStyle w:val="15"/>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采购内容</w:t>
      </w:r>
    </w:p>
    <w:tbl>
      <w:tblPr>
        <w:tblStyle w:val="18"/>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1752"/>
        <w:gridCol w:w="1416"/>
        <w:gridCol w:w="1259"/>
        <w:gridCol w:w="1774"/>
        <w:gridCol w:w="2755"/>
      </w:tblGrid>
      <w:tr w14:paraId="65DE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441" w:type="pct"/>
            <w:shd w:val="clear" w:color="auto" w:fill="auto"/>
            <w:vAlign w:val="center"/>
          </w:tcPr>
          <w:p w14:paraId="43BE113C">
            <w:pPr>
              <w:pStyle w:val="7"/>
              <w:widowControl w:val="0"/>
              <w:numPr>
                <w:ilvl w:val="0"/>
                <w:numId w:val="0"/>
              </w:numPr>
              <w:jc w:val="center"/>
              <w:rPr>
                <w:rFonts w:hint="eastAsia" w:ascii="仿宋" w:hAnsi="仿宋" w:eastAsia="仿宋" w:cs="仿宋"/>
                <w:b w:val="0"/>
                <w:color w:val="auto"/>
                <w:sz w:val="24"/>
                <w:szCs w:val="24"/>
                <w:vertAlign w:val="baseline"/>
                <w:lang w:val="en-US" w:eastAsia="zh-CN"/>
              </w:rPr>
            </w:pPr>
            <w:r>
              <w:rPr>
                <w:rFonts w:hint="eastAsia" w:ascii="仿宋" w:hAnsi="仿宋" w:eastAsia="仿宋" w:cs="仿宋"/>
                <w:b w:val="0"/>
                <w:color w:val="auto"/>
                <w:sz w:val="24"/>
                <w:szCs w:val="24"/>
                <w:vertAlign w:val="baseline"/>
                <w:lang w:val="en-US" w:eastAsia="zh-CN"/>
              </w:rPr>
              <w:t>序号</w:t>
            </w:r>
          </w:p>
        </w:tc>
        <w:tc>
          <w:tcPr>
            <w:tcW w:w="892" w:type="pct"/>
            <w:shd w:val="clear" w:color="auto" w:fill="auto"/>
            <w:vAlign w:val="center"/>
          </w:tcPr>
          <w:p w14:paraId="43496272">
            <w:pPr>
              <w:pStyle w:val="7"/>
              <w:widowControl w:val="0"/>
              <w:numPr>
                <w:ilvl w:val="0"/>
                <w:numId w:val="0"/>
              </w:numPr>
              <w:jc w:val="center"/>
              <w:rPr>
                <w:rFonts w:hint="eastAsia" w:ascii="仿宋" w:hAnsi="仿宋" w:eastAsia="仿宋" w:cs="仿宋"/>
                <w:b w:val="0"/>
                <w:color w:val="auto"/>
                <w:sz w:val="24"/>
                <w:szCs w:val="24"/>
                <w:vertAlign w:val="baseline"/>
                <w:lang w:val="en-US" w:eastAsia="zh-CN"/>
              </w:rPr>
            </w:pPr>
            <w:r>
              <w:rPr>
                <w:rFonts w:hint="eastAsia" w:ascii="仿宋" w:hAnsi="仿宋" w:eastAsia="仿宋" w:cs="仿宋"/>
                <w:b w:val="0"/>
                <w:color w:val="auto"/>
                <w:sz w:val="24"/>
                <w:szCs w:val="24"/>
                <w:vertAlign w:val="baseline"/>
                <w:lang w:val="en-US" w:eastAsia="zh-CN"/>
              </w:rPr>
              <w:t>采购品名称</w:t>
            </w:r>
          </w:p>
        </w:tc>
        <w:tc>
          <w:tcPr>
            <w:tcW w:w="721" w:type="pct"/>
            <w:shd w:val="clear" w:color="auto" w:fill="auto"/>
            <w:vAlign w:val="center"/>
          </w:tcPr>
          <w:p w14:paraId="4AE6815D">
            <w:pPr>
              <w:pStyle w:val="7"/>
              <w:widowControl w:val="0"/>
              <w:numPr>
                <w:ilvl w:val="0"/>
                <w:numId w:val="0"/>
              </w:numPr>
              <w:jc w:val="center"/>
              <w:rPr>
                <w:rFonts w:hint="eastAsia" w:ascii="仿宋" w:hAnsi="仿宋" w:eastAsia="仿宋" w:cs="仿宋"/>
                <w:b w:val="0"/>
                <w:color w:val="auto"/>
                <w:sz w:val="24"/>
                <w:szCs w:val="24"/>
                <w:vertAlign w:val="baseline"/>
                <w:lang w:val="en-US" w:eastAsia="zh-CN"/>
              </w:rPr>
            </w:pPr>
            <w:r>
              <w:rPr>
                <w:rFonts w:hint="eastAsia" w:ascii="仿宋" w:hAnsi="仿宋" w:eastAsia="仿宋" w:cs="仿宋"/>
                <w:b w:val="0"/>
                <w:color w:val="auto"/>
                <w:sz w:val="24"/>
                <w:szCs w:val="24"/>
                <w:vertAlign w:val="baseline"/>
                <w:lang w:val="en-US" w:eastAsia="zh-CN"/>
              </w:rPr>
              <w:t>预估数量</w:t>
            </w:r>
          </w:p>
        </w:tc>
        <w:tc>
          <w:tcPr>
            <w:tcW w:w="641" w:type="pct"/>
            <w:shd w:val="clear" w:color="auto" w:fill="auto"/>
            <w:vAlign w:val="center"/>
          </w:tcPr>
          <w:p w14:paraId="394A6BB9">
            <w:pPr>
              <w:pStyle w:val="7"/>
              <w:widowControl w:val="0"/>
              <w:numPr>
                <w:ilvl w:val="0"/>
                <w:numId w:val="0"/>
              </w:numPr>
              <w:jc w:val="center"/>
              <w:rPr>
                <w:rFonts w:hint="eastAsia" w:ascii="仿宋" w:hAnsi="仿宋" w:eastAsia="仿宋" w:cs="仿宋"/>
                <w:b w:val="0"/>
                <w:color w:val="auto"/>
                <w:sz w:val="24"/>
                <w:szCs w:val="24"/>
                <w:vertAlign w:val="baseline"/>
                <w:lang w:val="en-US" w:eastAsia="zh-CN"/>
              </w:rPr>
            </w:pPr>
            <w:r>
              <w:rPr>
                <w:rFonts w:hint="eastAsia" w:ascii="仿宋" w:hAnsi="仿宋" w:eastAsia="仿宋" w:cs="仿宋"/>
                <w:b w:val="0"/>
                <w:color w:val="auto"/>
                <w:sz w:val="24"/>
                <w:szCs w:val="24"/>
                <w:vertAlign w:val="baseline"/>
                <w:lang w:val="en-US" w:eastAsia="zh-CN"/>
              </w:rPr>
              <w:t>计量单位</w:t>
            </w:r>
          </w:p>
        </w:tc>
        <w:tc>
          <w:tcPr>
            <w:tcW w:w="903" w:type="pct"/>
            <w:shd w:val="clear" w:color="auto" w:fill="auto"/>
            <w:vAlign w:val="center"/>
          </w:tcPr>
          <w:p w14:paraId="5F808FDC">
            <w:pPr>
              <w:pStyle w:val="7"/>
              <w:widowControl w:val="0"/>
              <w:numPr>
                <w:ilvl w:val="0"/>
                <w:numId w:val="0"/>
              </w:numPr>
              <w:jc w:val="center"/>
              <w:rPr>
                <w:rFonts w:hint="eastAsia" w:ascii="仿宋" w:hAnsi="仿宋" w:eastAsia="仿宋" w:cs="仿宋"/>
                <w:b w:val="0"/>
                <w:color w:val="auto"/>
                <w:sz w:val="24"/>
                <w:szCs w:val="24"/>
                <w:vertAlign w:val="baseline"/>
                <w:lang w:val="en-US" w:eastAsia="zh-CN"/>
              </w:rPr>
            </w:pPr>
            <w:r>
              <w:rPr>
                <w:rFonts w:hint="eastAsia" w:ascii="仿宋" w:hAnsi="仿宋" w:eastAsia="仿宋" w:cs="仿宋"/>
                <w:b w:val="0"/>
                <w:color w:val="auto"/>
                <w:sz w:val="24"/>
                <w:szCs w:val="24"/>
                <w:vertAlign w:val="baseline"/>
                <w:lang w:val="en-US" w:eastAsia="zh-CN"/>
              </w:rPr>
              <w:t>限高单价（元）</w:t>
            </w:r>
          </w:p>
        </w:tc>
        <w:tc>
          <w:tcPr>
            <w:tcW w:w="1399" w:type="pct"/>
            <w:shd w:val="clear" w:color="auto" w:fill="auto"/>
            <w:vAlign w:val="center"/>
          </w:tcPr>
          <w:p w14:paraId="75AEB19F">
            <w:pPr>
              <w:pStyle w:val="7"/>
              <w:widowControl w:val="0"/>
              <w:numPr>
                <w:ilvl w:val="0"/>
                <w:numId w:val="0"/>
              </w:numPr>
              <w:jc w:val="center"/>
              <w:rPr>
                <w:rFonts w:hint="default" w:ascii="仿宋" w:hAnsi="仿宋" w:eastAsia="仿宋" w:cs="仿宋"/>
                <w:b w:val="0"/>
                <w:color w:val="auto"/>
                <w:sz w:val="24"/>
                <w:szCs w:val="24"/>
                <w:vertAlign w:val="baseline"/>
                <w:lang w:val="en-US" w:eastAsia="zh-CN"/>
              </w:rPr>
            </w:pPr>
            <w:r>
              <w:rPr>
                <w:rFonts w:hint="eastAsia" w:ascii="仿宋" w:hAnsi="仿宋" w:eastAsia="仿宋" w:cs="仿宋"/>
                <w:b w:val="0"/>
                <w:color w:val="auto"/>
                <w:sz w:val="24"/>
                <w:szCs w:val="24"/>
                <w:vertAlign w:val="baseline"/>
                <w:lang w:val="en-US" w:eastAsia="zh-CN"/>
              </w:rPr>
              <w:t>采购品备注</w:t>
            </w:r>
          </w:p>
        </w:tc>
      </w:tr>
      <w:tr w14:paraId="102A9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441" w:type="pct"/>
            <w:shd w:val="clear" w:color="auto" w:fill="auto"/>
            <w:vAlign w:val="center"/>
          </w:tcPr>
          <w:p w14:paraId="5FFAFC14">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892" w:type="pct"/>
            <w:shd w:val="clear" w:color="auto" w:fill="auto"/>
            <w:vAlign w:val="center"/>
          </w:tcPr>
          <w:p w14:paraId="6E22E008">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sz w:val="24"/>
                <w:szCs w:val="24"/>
                <w:vertAlign w:val="baseline"/>
                <w:lang w:val="en-US" w:eastAsia="zh-CN"/>
              </w:rPr>
              <w:t>AID精液</w:t>
            </w:r>
          </w:p>
        </w:tc>
        <w:tc>
          <w:tcPr>
            <w:tcW w:w="721" w:type="pct"/>
            <w:shd w:val="clear" w:color="auto" w:fill="auto"/>
            <w:vAlign w:val="center"/>
          </w:tcPr>
          <w:p w14:paraId="531A463E">
            <w:pPr>
              <w:pStyle w:val="7"/>
              <w:widowControl w:val="0"/>
              <w:numPr>
                <w:ilvl w:val="0"/>
                <w:numId w:val="0"/>
              </w:numPr>
              <w:jc w:val="center"/>
              <w:rPr>
                <w:rFonts w:hint="default"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120</w:t>
            </w:r>
          </w:p>
        </w:tc>
        <w:tc>
          <w:tcPr>
            <w:tcW w:w="641" w:type="pct"/>
            <w:shd w:val="clear" w:color="auto" w:fill="auto"/>
            <w:vAlign w:val="center"/>
          </w:tcPr>
          <w:p w14:paraId="621639E9">
            <w:pPr>
              <w:pStyle w:val="7"/>
              <w:widowControl w:val="0"/>
              <w:numPr>
                <w:ilvl w:val="0"/>
                <w:numId w:val="0"/>
              </w:numPr>
              <w:jc w:val="center"/>
              <w:rPr>
                <w:rFonts w:hint="default"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支</w:t>
            </w:r>
          </w:p>
        </w:tc>
        <w:tc>
          <w:tcPr>
            <w:tcW w:w="903" w:type="pct"/>
            <w:shd w:val="clear" w:color="auto" w:fill="auto"/>
            <w:vAlign w:val="center"/>
          </w:tcPr>
          <w:p w14:paraId="0850D8E6">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sz w:val="24"/>
                <w:szCs w:val="24"/>
                <w:vertAlign w:val="baseline"/>
                <w:lang w:val="en-US" w:eastAsia="zh-CN"/>
              </w:rPr>
              <w:t>1500.00</w:t>
            </w:r>
          </w:p>
        </w:tc>
        <w:tc>
          <w:tcPr>
            <w:tcW w:w="1399" w:type="pct"/>
            <w:vMerge w:val="restart"/>
            <w:shd w:val="clear" w:color="auto" w:fill="auto"/>
            <w:vAlign w:val="center"/>
          </w:tcPr>
          <w:p w14:paraId="1B25D919">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sz w:val="24"/>
                <w:szCs w:val="24"/>
                <w:vertAlign w:val="baseline"/>
                <w:lang w:val="en-US" w:eastAsia="zh-CN"/>
              </w:rPr>
              <w:t>预估采购数量，以实际订购数量结算</w:t>
            </w:r>
          </w:p>
        </w:tc>
      </w:tr>
      <w:tr w14:paraId="70D65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441" w:type="pct"/>
            <w:shd w:val="clear" w:color="auto" w:fill="auto"/>
            <w:vAlign w:val="center"/>
          </w:tcPr>
          <w:p w14:paraId="652EAEC9">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892" w:type="pct"/>
            <w:shd w:val="clear" w:color="auto" w:fill="auto"/>
            <w:vAlign w:val="center"/>
          </w:tcPr>
          <w:p w14:paraId="0FE8CEE4">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sz w:val="24"/>
                <w:szCs w:val="24"/>
                <w:vertAlign w:val="baseline"/>
                <w:lang w:val="en-US" w:eastAsia="zh-CN"/>
              </w:rPr>
              <w:t>IVF精液</w:t>
            </w:r>
          </w:p>
        </w:tc>
        <w:tc>
          <w:tcPr>
            <w:tcW w:w="721" w:type="pct"/>
            <w:shd w:val="clear" w:color="auto" w:fill="auto"/>
            <w:vAlign w:val="center"/>
          </w:tcPr>
          <w:p w14:paraId="4834131B">
            <w:pPr>
              <w:pStyle w:val="7"/>
              <w:widowControl w:val="0"/>
              <w:numPr>
                <w:ilvl w:val="0"/>
                <w:numId w:val="0"/>
              </w:numPr>
              <w:jc w:val="center"/>
              <w:rPr>
                <w:rFonts w:hint="default"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40</w:t>
            </w:r>
          </w:p>
        </w:tc>
        <w:tc>
          <w:tcPr>
            <w:tcW w:w="641" w:type="pct"/>
            <w:shd w:val="clear" w:color="auto" w:fill="auto"/>
            <w:vAlign w:val="center"/>
          </w:tcPr>
          <w:p w14:paraId="2FFE3C2F">
            <w:pPr>
              <w:pStyle w:val="7"/>
              <w:widowControl w:val="0"/>
              <w:numPr>
                <w:ilvl w:val="0"/>
                <w:numId w:val="0"/>
              </w:numPr>
              <w:jc w:val="center"/>
              <w:rPr>
                <w:rFonts w:hint="eastAsia" w:ascii="仿宋" w:hAnsi="仿宋" w:eastAsia="仿宋" w:cs="仿宋"/>
                <w:b w:val="0"/>
                <w:bCs/>
                <w:color w:val="auto"/>
                <w:sz w:val="24"/>
                <w:szCs w:val="24"/>
                <w:vertAlign w:val="baseline"/>
                <w:lang w:val="en-US" w:eastAsia="zh-CN"/>
              </w:rPr>
            </w:pPr>
            <w:r>
              <w:rPr>
                <w:rFonts w:hint="eastAsia" w:ascii="仿宋" w:hAnsi="仿宋" w:eastAsia="仿宋" w:cs="仿宋"/>
                <w:b w:val="0"/>
                <w:bCs/>
                <w:color w:val="auto"/>
                <w:sz w:val="24"/>
                <w:szCs w:val="24"/>
                <w:vertAlign w:val="baseline"/>
                <w:lang w:val="en-US" w:eastAsia="zh-CN"/>
              </w:rPr>
              <w:t>支</w:t>
            </w:r>
          </w:p>
        </w:tc>
        <w:tc>
          <w:tcPr>
            <w:tcW w:w="903" w:type="pct"/>
            <w:shd w:val="clear" w:color="auto" w:fill="auto"/>
            <w:vAlign w:val="center"/>
          </w:tcPr>
          <w:p w14:paraId="4CB87C2C">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sz w:val="24"/>
                <w:szCs w:val="24"/>
                <w:vertAlign w:val="baseline"/>
                <w:lang w:val="en-US" w:eastAsia="zh-CN"/>
              </w:rPr>
              <w:t>2500.00</w:t>
            </w:r>
          </w:p>
        </w:tc>
        <w:tc>
          <w:tcPr>
            <w:tcW w:w="1399" w:type="pct"/>
            <w:vMerge w:val="continue"/>
            <w:shd w:val="clear" w:color="auto" w:fill="auto"/>
            <w:vAlign w:val="center"/>
          </w:tcPr>
          <w:p w14:paraId="14EE9BEB">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p>
        </w:tc>
      </w:tr>
      <w:tr w14:paraId="6726A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5000" w:type="pct"/>
            <w:gridSpan w:val="6"/>
            <w:shd w:val="clear" w:color="auto" w:fill="auto"/>
            <w:vAlign w:val="top"/>
          </w:tcPr>
          <w:p w14:paraId="6F5DCFDB">
            <w:pPr>
              <w:pStyle w:val="7"/>
              <w:widowControl w:val="0"/>
              <w:numPr>
                <w:ilvl w:val="0"/>
                <w:numId w:val="0"/>
              </w:numPr>
              <w:jc w:val="center"/>
              <w:rPr>
                <w:rFonts w:hint="eastAsia" w:ascii="仿宋" w:hAnsi="仿宋" w:eastAsia="仿宋" w:cs="仿宋"/>
                <w:b/>
                <w:color w:val="auto"/>
                <w:sz w:val="24"/>
                <w:szCs w:val="24"/>
                <w:vertAlign w:val="baseline"/>
                <w:lang w:val="en-US" w:eastAsia="zh-CN"/>
              </w:rPr>
            </w:pPr>
            <w:r>
              <w:rPr>
                <w:rFonts w:hint="eastAsia" w:ascii="仿宋" w:hAnsi="仿宋" w:eastAsia="仿宋" w:cs="仿宋"/>
                <w:b/>
                <w:color w:val="auto"/>
                <w:sz w:val="24"/>
                <w:szCs w:val="24"/>
                <w:vertAlign w:val="baseline"/>
                <w:lang w:val="en-US" w:eastAsia="zh-CN"/>
              </w:rPr>
              <w:t>限高总价合计：￥280000.00</w:t>
            </w:r>
          </w:p>
        </w:tc>
      </w:tr>
    </w:tbl>
    <w:p w14:paraId="2849BF33">
      <w:pPr>
        <w:pStyle w:val="15"/>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技术、服务要求:</w:t>
      </w:r>
    </w:p>
    <w:p w14:paraId="66632493">
      <w:pPr>
        <w:pStyle w:val="15"/>
        <w:numPr>
          <w:ilvl w:val="0"/>
          <w:numId w:val="0"/>
        </w:numPr>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rPr>
        <w:t>（一）</w:t>
      </w:r>
      <w:r>
        <w:rPr>
          <w:rFonts w:hint="eastAsia" w:ascii="Times New Roman" w:hAnsi="Times New Roman" w:eastAsia="仿宋" w:cs="Times New Roman"/>
          <w:sz w:val="24"/>
          <w:szCs w:val="24"/>
          <w:lang w:val="en-US" w:eastAsia="zh-CN"/>
        </w:rPr>
        <w:t>技术参数</w:t>
      </w:r>
    </w:p>
    <w:p w14:paraId="209DE1B1">
      <w:pPr>
        <w:pStyle w:val="15"/>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冷冻精液的精子库必须具备卫健委审批资质，遵守《人类精子库管理办法》、《人类辅助生殖技术和人类精子库伦理原则》相关规定，规范采集、冷冻、保存和运送冷冻精液。提供的冷冻精液需严格按照《供精者健康检查标准》进行筛查，并对捐精者进行地贫基因检测，外周血常规检查，G6PD检测，且同一供精志愿者标本生育二胎/三胎、少数民族供精标本、RH阴性血供精标本不另行收取费用。</w:t>
      </w:r>
    </w:p>
    <w:p w14:paraId="01A141E2">
      <w:pPr>
        <w:pStyle w:val="15"/>
        <w:numPr>
          <w:ilvl w:val="0"/>
          <w:numId w:val="0"/>
        </w:numPr>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（二）服务要求：</w:t>
      </w:r>
    </w:p>
    <w:p w14:paraId="4E915E65">
      <w:pPr>
        <w:pStyle w:val="15"/>
        <w:numPr>
          <w:ilvl w:val="0"/>
          <w:numId w:val="0"/>
        </w:numPr>
        <w:ind w:firstLine="0" w:firstLineChars="0"/>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爆管标本及时补发（供应商接到标本爆管反馈后。7个工作日内补发标本），费用包含在本项目报价中，采购人不再另行支付</w:t>
      </w:r>
      <w:r>
        <w:rPr>
          <w:rFonts w:hint="eastAsia" w:ascii="Times New Roman" w:hAnsi="Times New Roman" w:eastAsia="仿宋" w:cs="Times New Roman"/>
          <w:sz w:val="24"/>
          <w:szCs w:val="24"/>
          <w:lang w:eastAsia="zh-CN"/>
        </w:rPr>
        <w:t>。</w:t>
      </w:r>
    </w:p>
    <w:p w14:paraId="42E6D2B9">
      <w:pPr>
        <w:pStyle w:val="15"/>
        <w:numPr>
          <w:ilvl w:val="0"/>
          <w:numId w:val="0"/>
        </w:numPr>
        <w:ind w:firstLine="0" w:firstLineChars="0"/>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rPr>
        <w:t>精子库运送人员与生殖中心实验室人员，及东院医务部人员三方当面交接并签署交接记录。</w:t>
      </w:r>
    </w:p>
    <w:p w14:paraId="7811B870">
      <w:pPr>
        <w:pStyle w:val="15"/>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rPr>
        <w:t>服务期内，分批次供货，供应商每次接到采购人用精计划后须在7日内完成当批次交货。</w:t>
      </w:r>
    </w:p>
    <w:p w14:paraId="31165BCE">
      <w:pPr>
        <w:pStyle w:val="15"/>
        <w:numPr>
          <w:ilvl w:val="0"/>
          <w:numId w:val="0"/>
        </w:numPr>
        <w:ind w:firstLine="0" w:firstLineChars="0"/>
        <w:rPr>
          <w:rFonts w:hint="default" w:ascii="Times New Roman" w:hAnsi="Times New Roman" w:eastAsia="仿宋" w:cs="Times New Roman"/>
          <w:sz w:val="24"/>
          <w:szCs w:val="24"/>
          <w:lang w:val="en-US" w:eastAsia="zh-CN"/>
        </w:rPr>
      </w:pPr>
      <w:r>
        <w:rPr>
          <w:rFonts w:hint="eastAsia" w:ascii="仿宋" w:hAnsi="仿宋" w:eastAsia="仿宋" w:cs="仿宋"/>
          <w:i w:val="0"/>
          <w:iCs w:val="0"/>
          <w:caps w:val="0"/>
          <w:color w:val="auto"/>
          <w:spacing w:val="0"/>
          <w:kern w:val="2"/>
          <w:sz w:val="24"/>
          <w:szCs w:val="24"/>
          <w:highlight w:val="none"/>
          <w:lang w:val="en-US" w:eastAsia="zh-CN" w:bidi="ar-SA"/>
        </w:rPr>
        <w:t>4、精子库运送标本人员须知晓精子保存温度及运送方法。</w:t>
      </w:r>
    </w:p>
    <w:p w14:paraId="123485E2">
      <w:pPr>
        <w:pStyle w:val="15"/>
        <w:numPr>
          <w:ilvl w:val="0"/>
          <w:numId w:val="0"/>
        </w:numPr>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5、</w:t>
      </w:r>
      <w:r>
        <w:rPr>
          <w:rFonts w:hint="eastAsia" w:ascii="Times New Roman" w:hAnsi="Times New Roman" w:eastAsia="仿宋" w:cs="Times New Roman"/>
          <w:sz w:val="24"/>
          <w:szCs w:val="24"/>
        </w:rPr>
        <w:t>交付的冷冻精液应附相关标本信息，并保证冷冻精液质量符合国家标准。</w:t>
      </w:r>
    </w:p>
    <w:p w14:paraId="1FC78158">
      <w:pPr>
        <w:pStyle w:val="15"/>
        <w:numPr>
          <w:ilvl w:val="0"/>
          <w:numId w:val="0"/>
        </w:numPr>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6、</w:t>
      </w:r>
      <w:bookmarkStart w:id="104" w:name="_GoBack"/>
      <w:bookmarkEnd w:id="104"/>
      <w:r>
        <w:rPr>
          <w:rFonts w:hint="eastAsia" w:ascii="Times New Roman" w:hAnsi="Times New Roman" w:eastAsia="仿宋" w:cs="Times New Roman"/>
          <w:sz w:val="24"/>
          <w:szCs w:val="24"/>
        </w:rPr>
        <w:t>精子库在整个服务过程中涉及到的相关信息负有保密的义务，不得向任何第三方泄露。</w:t>
      </w:r>
    </w:p>
    <w:p w14:paraId="51471047">
      <w:pPr>
        <w:pStyle w:val="15"/>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b/>
          <w:bCs/>
          <w:sz w:val="24"/>
          <w:szCs w:val="24"/>
        </w:rPr>
        <w:t>四、商务要求：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rPr>
        <w:t>）服务期限：合同签订生效后1年</w:t>
      </w:r>
      <w:r>
        <w:rPr>
          <w:rFonts w:hint="eastAsia" w:ascii="Times New Roman" w:hAnsi="Times New Roman" w:eastAsia="仿宋" w:cs="Times New Roman"/>
          <w:sz w:val="24"/>
          <w:szCs w:val="24"/>
          <w:lang w:eastAsia="zh-CN"/>
        </w:rPr>
        <w:t>。</w:t>
      </w:r>
    </w:p>
    <w:p w14:paraId="3000BF71">
      <w:pPr>
        <w:pStyle w:val="15"/>
        <w:numPr>
          <w:ilvl w:val="0"/>
          <w:numId w:val="0"/>
        </w:numPr>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（二）交付地点：四川省人民医院(龙泉院区生殖中心)。</w:t>
      </w:r>
    </w:p>
    <w:p w14:paraId="65BCB2F0">
      <w:pPr>
        <w:pStyle w:val="15"/>
        <w:numPr>
          <w:ilvl w:val="0"/>
          <w:numId w:val="0"/>
        </w:numPr>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w:t>
      </w:r>
      <w:r>
        <w:rPr>
          <w:rFonts w:hint="default" w:ascii="Times New Roman" w:hAnsi="Times New Roman" w:eastAsia="仿宋" w:cs="Times New Roman"/>
          <w:sz w:val="24"/>
          <w:szCs w:val="24"/>
          <w:lang w:val="en-US"/>
        </w:rPr>
        <w:t>三</w:t>
      </w:r>
      <w:r>
        <w:rPr>
          <w:rFonts w:hint="eastAsia" w:ascii="Times New Roman" w:hAnsi="Times New Roman" w:eastAsia="仿宋" w:cs="Times New Roman"/>
          <w:sz w:val="24"/>
          <w:szCs w:val="24"/>
        </w:rPr>
        <w:t>）付款方式：</w:t>
      </w:r>
      <w:r>
        <w:rPr>
          <w:rFonts w:hint="eastAsia" w:ascii="Times New Roman" w:hAnsi="Times New Roman" w:eastAsia="仿宋" w:cs="Times New Roman"/>
          <w:sz w:val="24"/>
          <w:szCs w:val="24"/>
          <w:lang w:eastAsia="zh-CN"/>
        </w:rPr>
        <w:t>合同签订生效后，最后一批冷冻精液经采购人验收合格后根据实际订购数量结算。供应商在5日内向采购人提交合法有效票据及其他相关请款资料，采购人收到后55日内支付全部合同价款。</w:t>
      </w:r>
    </w:p>
    <w:p w14:paraId="1B2F5968">
      <w:pPr>
        <w:pStyle w:val="15"/>
        <w:numPr>
          <w:ilvl w:val="0"/>
          <w:numId w:val="0"/>
        </w:numPr>
        <w:rPr>
          <w:rFonts w:ascii="Times New Roman" w:hAnsi="Times New Roman" w:eastAsia="仿宋" w:cs="Times New Roman"/>
          <w:sz w:val="24"/>
          <w:szCs w:val="24"/>
        </w:rPr>
      </w:pPr>
      <w:r>
        <w:rPr>
          <w:rFonts w:hint="eastAsia" w:ascii="Times New Roman" w:hAnsi="Times New Roman" w:eastAsia="仿宋" w:cs="Times New Roman"/>
          <w:sz w:val="24"/>
          <w:szCs w:val="24"/>
        </w:rPr>
        <w:t>（</w:t>
      </w:r>
      <w:r>
        <w:rPr>
          <w:rFonts w:hint="default" w:ascii="Times New Roman" w:hAnsi="Times New Roman" w:eastAsia="仿宋" w:cs="Times New Roman"/>
          <w:sz w:val="24"/>
          <w:szCs w:val="24"/>
          <w:lang w:val="en-US"/>
        </w:rPr>
        <w:t>四</w:t>
      </w:r>
      <w:r>
        <w:rPr>
          <w:rFonts w:hint="eastAsia" w:ascii="Times New Roman" w:hAnsi="Times New Roman" w:eastAsia="仿宋" w:cs="Times New Roman"/>
          <w:sz w:val="24"/>
          <w:szCs w:val="24"/>
        </w:rPr>
        <w:t>）验收方案：</w:t>
      </w:r>
    </w:p>
    <w:p w14:paraId="0C6CB7ED">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验收时间：</w:t>
      </w:r>
      <w:r>
        <w:rPr>
          <w:rFonts w:hint="eastAsia"/>
          <w:sz w:val="24"/>
          <w:szCs w:val="24"/>
          <w:lang w:val="en-US" w:eastAsia="zh-CN"/>
        </w:rPr>
        <w:t>供应商完成每批交付后5日内通知采购人验收，采购人接供应商通知后5日内组织验收。</w:t>
      </w:r>
    </w:p>
    <w:p w14:paraId="22BCEBAF">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验收主体：</w:t>
      </w:r>
      <w:r>
        <w:rPr>
          <w:rFonts w:hint="eastAsia" w:ascii="仿宋" w:hAnsi="仿宋" w:eastAsia="仿宋" w:cs="仿宋"/>
          <w:color w:val="auto"/>
          <w:sz w:val="22"/>
          <w:szCs w:val="22"/>
          <w:highlight w:val="none"/>
        </w:rPr>
        <w:t>采购人</w:t>
      </w:r>
      <w:r>
        <w:rPr>
          <w:rFonts w:hint="eastAsia" w:ascii="仿宋" w:hAnsi="仿宋" w:eastAsia="仿宋" w:cs="仿宋"/>
          <w:color w:val="auto"/>
          <w:kern w:val="0"/>
          <w:sz w:val="22"/>
          <w:szCs w:val="22"/>
          <w:highlight w:val="none"/>
          <w:shd w:val="clear" w:color="auto" w:fill="FFFFFF"/>
        </w:rPr>
        <w:t xml:space="preserve">   </w:t>
      </w:r>
    </w:p>
    <w:p w14:paraId="4F6D4B38">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验收方式：</w:t>
      </w:r>
      <w:r>
        <w:rPr>
          <w:rFonts w:hint="eastAsia" w:ascii="仿宋" w:hAnsi="仿宋" w:eastAsia="仿宋" w:cs="仿宋"/>
          <w:color w:val="auto"/>
          <w:sz w:val="22"/>
          <w:szCs w:val="22"/>
          <w:highlight w:val="none"/>
        </w:rPr>
        <w:t xml:space="preserve">现场整体验收 </w:t>
      </w:r>
    </w:p>
    <w:p w14:paraId="17A12DFC">
      <w:pPr>
        <w:pStyle w:val="15"/>
        <w:numPr>
          <w:ilvl w:val="0"/>
          <w:numId w:val="13"/>
        </w:numPr>
        <w:spacing w:after="100" w:afterAutospacing="1"/>
        <w:ind w:firstLineChars="0"/>
        <w:contextualSpacing/>
        <w:rPr>
          <w:rFonts w:hint="eastAsia" w:ascii="仿宋" w:hAnsi="仿宋" w:eastAsia="仿宋" w:cs="仿宋"/>
          <w:color w:val="auto"/>
          <w:kern w:val="0"/>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验收程序：分批次验收</w:t>
      </w:r>
    </w:p>
    <w:p w14:paraId="15D1B458">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验收内容：</w:t>
      </w:r>
      <w:r>
        <w:rPr>
          <w:rFonts w:hint="eastAsia" w:ascii="仿宋" w:hAnsi="仿宋" w:eastAsia="仿宋" w:cs="仿宋"/>
          <w:color w:val="auto"/>
          <w:sz w:val="22"/>
          <w:szCs w:val="22"/>
          <w:highlight w:val="none"/>
        </w:rPr>
        <w:t>按照基于本项目采购需求编制的采购文件要求及供应商响应文件情况，由供应商向采购人交付全部冷冻精液的履约情况。</w:t>
      </w:r>
    </w:p>
    <w:p w14:paraId="3E23C63C">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验收标准：</w:t>
      </w:r>
    </w:p>
    <w:p w14:paraId="2F465A87">
      <w:pPr>
        <w:pStyle w:val="15"/>
        <w:numPr>
          <w:ilvl w:val="0"/>
          <w:numId w:val="14"/>
        </w:numPr>
        <w:spacing w:after="100" w:afterAutospacing="1"/>
        <w:ind w:left="427" w:hanging="7" w:firstLineChars="0"/>
        <w:contextualSpacing/>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国家相关法律法规、行业标准、技术规范。</w:t>
      </w:r>
    </w:p>
    <w:p w14:paraId="28A2891E">
      <w:pPr>
        <w:pStyle w:val="15"/>
        <w:numPr>
          <w:ilvl w:val="0"/>
          <w:numId w:val="14"/>
        </w:numPr>
        <w:spacing w:after="100" w:afterAutospacing="1"/>
        <w:ind w:left="427" w:hanging="7" w:firstLineChars="0"/>
        <w:contextualSpacing/>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基于本项目采购需求编制的采购文件相关技术、服务要求、供应商响应文件相关响应内容。</w:t>
      </w:r>
    </w:p>
    <w:p w14:paraId="0086C707">
      <w:pPr>
        <w:pStyle w:val="15"/>
        <w:numPr>
          <w:ilvl w:val="0"/>
          <w:numId w:val="14"/>
        </w:numPr>
        <w:spacing w:after="100" w:afterAutospacing="1"/>
        <w:ind w:left="427" w:hanging="7" w:firstLineChars="0"/>
        <w:contextualSpacing/>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产品生产厂家出具的产品说明书、技术白皮书、医疗器械注册证或备案凭证等官方技术资料（如涉及）。</w:t>
      </w:r>
    </w:p>
    <w:p w14:paraId="40B56165">
      <w:pPr>
        <w:pStyle w:val="15"/>
        <w:numPr>
          <w:ilvl w:val="0"/>
          <w:numId w:val="14"/>
        </w:numPr>
        <w:spacing w:after="100" w:afterAutospacing="1"/>
        <w:ind w:left="427" w:hanging="7" w:firstLineChars="0"/>
        <w:contextualSpacing/>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如验收时，采购人与供应商认为本项目验收标准中的技术指标、质量要求等内容存在相互抵触或对其理解存在异议，应按照其中更严格的要求、标准等进行验收。</w:t>
      </w:r>
    </w:p>
    <w:p w14:paraId="0C3D209C">
      <w:pPr>
        <w:pStyle w:val="15"/>
        <w:numPr>
          <w:ilvl w:val="0"/>
          <w:numId w:val="14"/>
        </w:numPr>
        <w:spacing w:after="100" w:afterAutospacing="1"/>
        <w:ind w:left="427" w:hanging="7" w:firstLineChars="0"/>
        <w:contextualSpacing/>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参照《财政部关于进一步加强政府采购需求和履约验收管理的指导意见》（财库〔2016〕205号）的要求进行验收。</w:t>
      </w:r>
    </w:p>
    <w:p w14:paraId="6258324B">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是否邀请本项目的其它潜在供应商：否</w:t>
      </w:r>
    </w:p>
    <w:p w14:paraId="43539908">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是否邀请专家：否</w:t>
      </w:r>
    </w:p>
    <w:p w14:paraId="39D9F430">
      <w:pPr>
        <w:pStyle w:val="15"/>
        <w:numPr>
          <w:ilvl w:val="0"/>
          <w:numId w:val="13"/>
        </w:numPr>
        <w:spacing w:after="100" w:afterAutospacing="1"/>
        <w:ind w:firstLineChars="0"/>
        <w:contextualSpacing/>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是否邀请第三方检测机构</w:t>
      </w:r>
      <w:r>
        <w:rPr>
          <w:rFonts w:hint="eastAsia" w:ascii="仿宋" w:hAnsi="仿宋" w:eastAsia="仿宋" w:cs="仿宋"/>
          <w:color w:val="auto"/>
          <w:sz w:val="22"/>
          <w:szCs w:val="22"/>
          <w:highlight w:val="none"/>
          <w:shd w:val="clear" w:color="auto" w:fill="FFFFFF"/>
          <w:lang w:eastAsia="zh-CN"/>
        </w:rPr>
        <w:t>：</w:t>
      </w:r>
      <w:r>
        <w:rPr>
          <w:rFonts w:hint="eastAsia" w:ascii="仿宋" w:hAnsi="仿宋" w:eastAsia="仿宋" w:cs="仿宋"/>
          <w:color w:val="auto"/>
          <w:sz w:val="22"/>
          <w:szCs w:val="22"/>
          <w:highlight w:val="none"/>
          <w:shd w:val="clear" w:color="auto" w:fill="FFFFFF"/>
        </w:rPr>
        <w:t>否</w:t>
      </w:r>
    </w:p>
    <w:p w14:paraId="1223FBE6">
      <w:pPr>
        <w:pStyle w:val="15"/>
        <w:numPr>
          <w:ilvl w:val="0"/>
          <w:numId w:val="13"/>
        </w:numPr>
        <w:spacing w:after="100" w:afterAutospacing="1"/>
        <w:ind w:firstLineChars="0"/>
        <w:contextualSpacing/>
        <w:rPr>
          <w:rFonts w:hint="eastAsia" w:ascii="仿宋" w:hAnsi="仿宋" w:eastAsia="仿宋" w:cs="仿宋"/>
          <w:color w:val="auto"/>
          <w:kern w:val="0"/>
          <w:sz w:val="22"/>
          <w:szCs w:val="22"/>
          <w:highlight w:val="none"/>
          <w:u w:val="single"/>
        </w:rPr>
      </w:pPr>
      <w:r>
        <w:rPr>
          <w:rFonts w:hint="eastAsia" w:ascii="仿宋" w:hAnsi="仿宋" w:eastAsia="仿宋" w:cs="仿宋"/>
          <w:color w:val="auto"/>
          <w:sz w:val="22"/>
          <w:szCs w:val="22"/>
          <w:highlight w:val="none"/>
          <w:shd w:val="clear" w:color="auto" w:fill="FFFFFF"/>
        </w:rPr>
        <w:t>其它验收要求：</w:t>
      </w:r>
      <w:r>
        <w:rPr>
          <w:rFonts w:hint="eastAsia" w:ascii="仿宋" w:hAnsi="仿宋" w:eastAsia="仿宋" w:cs="仿宋"/>
          <w:color w:val="auto"/>
          <w:kern w:val="0"/>
          <w:sz w:val="22"/>
          <w:szCs w:val="22"/>
          <w:highlight w:val="none"/>
          <w:u w:val="single"/>
        </w:rPr>
        <w:t>无</w:t>
      </w:r>
    </w:p>
    <w:p w14:paraId="37326633">
      <w:pPr>
        <w:pStyle w:val="15"/>
        <w:numPr>
          <w:ilvl w:val="0"/>
          <w:numId w:val="0"/>
        </w:numPr>
        <w:spacing w:line="360" w:lineRule="auto"/>
        <w:ind w:firstLine="440" w:firstLineChars="200"/>
        <w:rPr>
          <w:rFonts w:hint="default" w:ascii="仿宋" w:hAnsi="仿宋" w:eastAsia="仿宋" w:cs="仿宋"/>
          <w:color w:val="auto"/>
          <w:kern w:val="2"/>
          <w:sz w:val="22"/>
          <w:szCs w:val="22"/>
          <w:highlight w:val="none"/>
          <w:lang w:val="en-US" w:eastAsia="zh-CN" w:bidi="ar-SA"/>
        </w:rPr>
      </w:pPr>
    </w:p>
    <w:p w14:paraId="12AB2A8F">
      <w:pPr>
        <w:spacing w:line="360" w:lineRule="auto"/>
        <w:jc w:val="left"/>
        <w:rPr>
          <w:rFonts w:ascii="Times New Roman" w:hAnsi="Times New Roman" w:eastAsia="宋体" w:cs="Times New Roman"/>
          <w:sz w:val="24"/>
          <w:szCs w:val="24"/>
        </w:rPr>
      </w:pPr>
      <w:r>
        <w:rPr>
          <w:rFonts w:hint="eastAsia" w:ascii="仿宋" w:hAnsi="仿宋" w:eastAsia="仿宋" w:cs="仿宋"/>
          <w:b/>
          <w:bCs/>
          <w:color w:val="auto"/>
          <w:sz w:val="24"/>
          <w:szCs w:val="24"/>
          <w:highlight w:val="none"/>
        </w:rPr>
        <w:t>注：</w:t>
      </w:r>
      <w:r>
        <w:rPr>
          <w:rFonts w:hint="eastAsia" w:ascii="仿宋" w:hAnsi="仿宋" w:eastAsia="仿宋" w:cs="仿宋"/>
          <w:b/>
          <w:bCs/>
          <w:color w:val="auto"/>
          <w:sz w:val="24"/>
          <w:szCs w:val="24"/>
          <w:highlight w:val="none"/>
          <w:lang w:val="en-US" w:eastAsia="zh-CN"/>
        </w:rPr>
        <w:t>第四</w:t>
      </w:r>
      <w:r>
        <w:rPr>
          <w:rFonts w:hint="eastAsia" w:ascii="仿宋" w:hAnsi="仿宋" w:eastAsia="仿宋" w:cs="仿宋"/>
          <w:b/>
          <w:bCs/>
          <w:color w:val="auto"/>
          <w:sz w:val="24"/>
          <w:szCs w:val="24"/>
          <w:highlight w:val="none"/>
        </w:rPr>
        <w:t>章中的</w:t>
      </w:r>
      <w:r>
        <w:rPr>
          <w:rFonts w:hint="eastAsia" w:ascii="仿宋" w:hAnsi="仿宋" w:eastAsia="仿宋" w:cs="仿宋"/>
          <w:b/>
          <w:bCs/>
          <w:color w:val="auto"/>
          <w:sz w:val="24"/>
          <w:szCs w:val="24"/>
          <w:highlight w:val="none"/>
          <w:lang w:val="en-US" w:eastAsia="zh-CN"/>
        </w:rPr>
        <w:t>所有</w:t>
      </w:r>
      <w:r>
        <w:rPr>
          <w:rFonts w:hint="eastAsia" w:ascii="仿宋" w:hAnsi="仿宋" w:eastAsia="仿宋" w:cs="仿宋"/>
          <w:b/>
          <w:bCs/>
          <w:color w:val="auto"/>
          <w:sz w:val="24"/>
          <w:szCs w:val="24"/>
          <w:highlight w:val="none"/>
        </w:rPr>
        <w:t>条款</w:t>
      </w:r>
      <w:r>
        <w:rPr>
          <w:rFonts w:hint="eastAsia" w:ascii="仿宋" w:hAnsi="仿宋" w:eastAsia="仿宋" w:cs="仿宋"/>
          <w:b/>
          <w:bCs/>
          <w:color w:val="auto"/>
          <w:sz w:val="24"/>
          <w:szCs w:val="24"/>
          <w:highlight w:val="none"/>
          <w:lang w:val="en-US" w:eastAsia="zh-CN"/>
        </w:rPr>
        <w:t>均</w:t>
      </w:r>
      <w:r>
        <w:rPr>
          <w:rFonts w:hint="eastAsia" w:ascii="仿宋" w:hAnsi="仿宋" w:eastAsia="仿宋" w:cs="仿宋"/>
          <w:b/>
          <w:bCs/>
          <w:color w:val="auto"/>
          <w:sz w:val="24"/>
          <w:szCs w:val="24"/>
          <w:highlight w:val="none"/>
        </w:rPr>
        <w:t>为实质性要求，不满足将被作为无效响应处理。</w:t>
      </w: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320A839F">
      <w:pPr>
        <w:jc w:val="center"/>
        <w:rPr>
          <w:rFonts w:ascii="Times New Roman" w:hAnsi="Times New Roman" w:cs="Times New Roman"/>
        </w:rPr>
      </w:pPr>
      <w:r>
        <w:rPr>
          <w:rFonts w:hint="eastAsia"/>
          <w:color w:val="auto"/>
          <w:highlight w:val="none"/>
          <w:lang w:val="en-US" w:eastAsia="zh-CN"/>
        </w:rPr>
        <w:t>（本项目不涉及）</w:t>
      </w: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24859"/>
      <w:bookmarkStart w:id="34" w:name="_Toc3274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24123"/>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6029"/>
      <w:bookmarkStart w:id="50" w:name="_Toc11352"/>
      <w:bookmarkStart w:id="51" w:name="_Toc6482"/>
      <w:bookmarkStart w:id="52" w:name="_Toc3023"/>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17857"/>
      <w:bookmarkStart w:id="56" w:name="_Toc31838"/>
      <w:bookmarkStart w:id="57" w:name="_Toc4305"/>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20589"/>
      <w:bookmarkStart w:id="69" w:name="_Toc25638"/>
      <w:bookmarkStart w:id="70" w:name="_Toc27661"/>
      <w:bookmarkStart w:id="71" w:name="_Toc15526"/>
      <w:bookmarkStart w:id="72" w:name="_Toc12015"/>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2967"/>
      <w:bookmarkStart w:id="75" w:name="_Toc16435"/>
      <w:bookmarkStart w:id="76" w:name="_Toc1074"/>
      <w:bookmarkStart w:id="77" w:name="_Toc2041"/>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7"/>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5"/>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31686"/>
      <w:bookmarkStart w:id="81" w:name="_Toc21082"/>
      <w:bookmarkStart w:id="82" w:name="_Toc24806"/>
      <w:bookmarkStart w:id="83" w:name="_Toc136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7"/>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2641"/>
        <w:gridCol w:w="2924"/>
        <w:gridCol w:w="3328"/>
      </w:tblGrid>
      <w:tr w14:paraId="77809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14:paraId="16FC1251">
            <w:pPr>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1361" w:type="pct"/>
            <w:tcBorders>
              <w:top w:val="single" w:color="auto" w:sz="4" w:space="0"/>
              <w:left w:val="single" w:color="auto" w:sz="4" w:space="0"/>
              <w:bottom w:val="single" w:color="auto" w:sz="4" w:space="0"/>
              <w:right w:val="single" w:color="auto" w:sz="4" w:space="0"/>
            </w:tcBorders>
            <w:vAlign w:val="center"/>
          </w:tcPr>
          <w:p w14:paraId="46561B9E">
            <w:pPr>
              <w:spacing w:line="360" w:lineRule="auto"/>
              <w:jc w:val="center"/>
              <w:rPr>
                <w:rFonts w:hint="default" w:ascii="仿宋" w:hAnsi="仿宋" w:eastAsia="仿宋" w:cs="仿宋"/>
                <w:b/>
                <w:bCs/>
                <w:color w:val="auto"/>
                <w:sz w:val="24"/>
                <w:highlight w:val="none"/>
                <w:lang w:val="en-US"/>
              </w:rPr>
            </w:pPr>
            <w:r>
              <w:rPr>
                <w:rFonts w:hint="eastAsia" w:ascii="仿宋" w:hAnsi="仿宋" w:eastAsia="仿宋" w:cs="仿宋"/>
                <w:b/>
                <w:bCs/>
                <w:color w:val="auto"/>
                <w:sz w:val="24"/>
                <w:highlight w:val="none"/>
                <w:lang w:val="en-US" w:eastAsia="zh-CN"/>
              </w:rPr>
              <w:t>货物名称</w:t>
            </w:r>
          </w:p>
        </w:tc>
        <w:tc>
          <w:tcPr>
            <w:tcW w:w="1507" w:type="pct"/>
            <w:tcBorders>
              <w:top w:val="single" w:color="auto" w:sz="4" w:space="0"/>
              <w:left w:val="single" w:color="auto" w:sz="4" w:space="0"/>
              <w:bottom w:val="single" w:color="auto" w:sz="4" w:space="0"/>
              <w:right w:val="single" w:color="auto" w:sz="4" w:space="0"/>
            </w:tcBorders>
            <w:vAlign w:val="center"/>
          </w:tcPr>
          <w:p w14:paraId="58355E61">
            <w:pPr>
              <w:spacing w:line="360" w:lineRule="auto"/>
              <w:jc w:val="center"/>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限高单价统一下浮率</w:t>
            </w:r>
          </w:p>
        </w:tc>
        <w:tc>
          <w:tcPr>
            <w:tcW w:w="1715" w:type="pct"/>
            <w:tcBorders>
              <w:top w:val="single" w:color="auto" w:sz="4" w:space="0"/>
              <w:left w:val="single" w:color="auto" w:sz="4" w:space="0"/>
              <w:bottom w:val="single" w:color="auto" w:sz="4" w:space="0"/>
              <w:right w:val="single" w:color="auto" w:sz="4" w:space="0"/>
            </w:tcBorders>
            <w:vAlign w:val="center"/>
          </w:tcPr>
          <w:p w14:paraId="0F2E54E4">
            <w:pPr>
              <w:spacing w:line="360" w:lineRule="auto"/>
              <w:ind w:left="356" w:hanging="357" w:hangingChars="148"/>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说明</w:t>
            </w:r>
          </w:p>
        </w:tc>
      </w:tr>
      <w:tr w14:paraId="387D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14:paraId="2A8AA24A">
            <w:pPr>
              <w:spacing w:line="360" w:lineRule="auto"/>
              <w:jc w:val="center"/>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w:t>
            </w:r>
          </w:p>
        </w:tc>
        <w:tc>
          <w:tcPr>
            <w:tcW w:w="1361" w:type="pct"/>
            <w:tcBorders>
              <w:top w:val="single" w:color="auto" w:sz="4" w:space="0"/>
              <w:left w:val="single" w:color="auto" w:sz="4" w:space="0"/>
              <w:bottom w:val="single" w:color="auto" w:sz="4" w:space="0"/>
              <w:right w:val="single" w:color="auto" w:sz="4" w:space="0"/>
            </w:tcBorders>
            <w:shd w:val="clear" w:color="auto" w:fill="auto"/>
            <w:vAlign w:val="center"/>
          </w:tcPr>
          <w:p w14:paraId="779E1080">
            <w:pPr>
              <w:spacing w:line="360" w:lineRule="auto"/>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AID精液、IVF精液</w:t>
            </w:r>
          </w:p>
        </w:tc>
        <w:tc>
          <w:tcPr>
            <w:tcW w:w="1507" w:type="pct"/>
            <w:tcBorders>
              <w:top w:val="single" w:color="auto" w:sz="4" w:space="0"/>
              <w:left w:val="single" w:color="auto" w:sz="4" w:space="0"/>
              <w:bottom w:val="single" w:color="auto" w:sz="4" w:space="0"/>
              <w:right w:val="single" w:color="auto" w:sz="4" w:space="0"/>
            </w:tcBorders>
            <w:vAlign w:val="center"/>
          </w:tcPr>
          <w:p w14:paraId="59EDF29F">
            <w:pPr>
              <w:spacing w:line="360" w:lineRule="auto"/>
              <w:jc w:val="center"/>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none"/>
                <w:lang w:val="en-US" w:eastAsia="zh-CN"/>
              </w:rPr>
              <w:t>%</w:t>
            </w:r>
          </w:p>
        </w:tc>
        <w:tc>
          <w:tcPr>
            <w:tcW w:w="1715" w:type="pct"/>
            <w:tcBorders>
              <w:top w:val="single" w:color="auto" w:sz="4" w:space="0"/>
              <w:left w:val="single" w:color="auto" w:sz="4" w:space="0"/>
              <w:bottom w:val="single" w:color="auto" w:sz="4" w:space="0"/>
              <w:right w:val="single" w:color="auto" w:sz="4" w:space="0"/>
            </w:tcBorders>
            <w:vAlign w:val="top"/>
          </w:tcPr>
          <w:p w14:paraId="1A5F25C3">
            <w:pPr>
              <w:spacing w:line="360" w:lineRule="auto"/>
              <w:jc w:val="both"/>
              <w:rPr>
                <w:rFonts w:hint="eastAsia" w:ascii="仿宋" w:hAnsi="仿宋" w:eastAsia="仿宋" w:cs="仿宋"/>
                <w:b/>
                <w:bCs/>
                <w:color w:val="auto"/>
                <w:sz w:val="24"/>
                <w:highlight w:val="none"/>
              </w:rPr>
            </w:pPr>
            <w:r>
              <w:rPr>
                <w:rFonts w:hint="eastAsia" w:ascii="仿宋" w:hAnsi="仿宋" w:eastAsia="仿宋" w:cs="仿宋"/>
                <w:color w:val="auto"/>
                <w:sz w:val="22"/>
                <w:szCs w:val="22"/>
                <w:highlight w:val="none"/>
                <w:lang w:val="en-US" w:eastAsia="zh-CN"/>
              </w:rPr>
              <w:t>下浮率即折扣率，是指价格减让与原价的百分率。如下浮率20%，成交价格=限价×（1-20%）</w:t>
            </w:r>
          </w:p>
        </w:tc>
      </w:tr>
    </w:tbl>
    <w:p w14:paraId="2EB32732">
      <w:pPr>
        <w:pStyle w:val="7"/>
        <w:rPr>
          <w:rFonts w:ascii="Times New Roman" w:hAnsi="Times New Roman" w:eastAsia="仿宋" w:cs="Times New Roman"/>
          <w:szCs w:val="21"/>
        </w:rPr>
      </w:pPr>
    </w:p>
    <w:p w14:paraId="0AC4D306">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EEE85A8">
      <w:pPr>
        <w:pStyle w:val="39"/>
        <w:rPr>
          <w:rFonts w:hint="eastAsia"/>
          <w:sz w:val="48"/>
          <w:szCs w:val="48"/>
        </w:rPr>
      </w:pPr>
    </w:p>
    <w:p w14:paraId="622B975B">
      <w:pPr>
        <w:pStyle w:val="39"/>
        <w:rPr>
          <w:sz w:val="48"/>
          <w:szCs w:val="48"/>
        </w:rPr>
      </w:pPr>
      <w:r>
        <w:rPr>
          <w:rFonts w:hint="eastAsia"/>
          <w:sz w:val="48"/>
          <w:szCs w:val="48"/>
        </w:rPr>
        <w:t>四川省人民医院购买冷冻精液</w:t>
      </w:r>
      <w:r>
        <w:rPr>
          <w:sz w:val="48"/>
          <w:szCs w:val="48"/>
        </w:rPr>
        <w:t>合同</w:t>
      </w: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7"/>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7"/>
        <w:numPr>
          <w:ilvl w:val="0"/>
          <w:numId w:val="15"/>
        </w:numPr>
        <w:ind w:left="0" w:firstLine="0" w:firstLineChars="0"/>
        <w:contextualSpacing/>
        <w:jc w:val="left"/>
        <w:rPr>
          <w:b/>
          <w:szCs w:val="21"/>
        </w:rPr>
      </w:pPr>
      <w:r>
        <w:rPr>
          <w:b/>
          <w:szCs w:val="21"/>
        </w:rPr>
        <w:t>合同标的</w:t>
      </w:r>
    </w:p>
    <w:p w14:paraId="2E385537">
      <w:pPr>
        <w:pStyle w:val="9"/>
        <w:numPr>
          <w:ilvl w:val="0"/>
          <w:numId w:val="16"/>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6"/>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6"/>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7"/>
              <w:ind w:firstLine="0" w:firstLineChars="0"/>
              <w:jc w:val="center"/>
              <w:rPr>
                <w:color w:val="000000"/>
                <w:szCs w:val="21"/>
              </w:rPr>
            </w:pPr>
            <w:r>
              <w:rPr>
                <w:color w:val="000000"/>
                <w:szCs w:val="21"/>
              </w:rPr>
              <w:t>序号</w:t>
            </w:r>
          </w:p>
        </w:tc>
        <w:tc>
          <w:tcPr>
            <w:tcW w:w="2977" w:type="dxa"/>
            <w:vAlign w:val="center"/>
          </w:tcPr>
          <w:p w14:paraId="42032E31">
            <w:pPr>
              <w:pStyle w:val="27"/>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7"/>
              <w:ind w:firstLine="0" w:firstLineChars="0"/>
              <w:jc w:val="center"/>
              <w:rPr>
                <w:color w:val="000000"/>
                <w:szCs w:val="21"/>
              </w:rPr>
            </w:pPr>
            <w:r>
              <w:rPr>
                <w:color w:val="000000"/>
                <w:szCs w:val="21"/>
              </w:rPr>
              <w:t>具体内容</w:t>
            </w:r>
          </w:p>
        </w:tc>
        <w:tc>
          <w:tcPr>
            <w:tcW w:w="963" w:type="dxa"/>
            <w:vAlign w:val="center"/>
          </w:tcPr>
          <w:p w14:paraId="6E75E46C">
            <w:pPr>
              <w:pStyle w:val="27"/>
              <w:ind w:firstLine="0" w:firstLineChars="0"/>
              <w:jc w:val="center"/>
              <w:rPr>
                <w:color w:val="000000"/>
                <w:szCs w:val="21"/>
              </w:rPr>
            </w:pPr>
            <w:r>
              <w:rPr>
                <w:color w:val="000000"/>
                <w:szCs w:val="21"/>
              </w:rPr>
              <w:t>分项价格（万元）</w:t>
            </w:r>
          </w:p>
        </w:tc>
        <w:tc>
          <w:tcPr>
            <w:tcW w:w="2016" w:type="dxa"/>
          </w:tcPr>
          <w:p w14:paraId="3BC8F9B2">
            <w:pPr>
              <w:pStyle w:val="27"/>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7"/>
              <w:ind w:firstLine="0" w:firstLineChars="0"/>
              <w:jc w:val="center"/>
              <w:rPr>
                <w:color w:val="000000"/>
                <w:szCs w:val="21"/>
              </w:rPr>
            </w:pPr>
            <w:r>
              <w:rPr>
                <w:rFonts w:hint="eastAsia"/>
                <w:color w:val="000000"/>
                <w:szCs w:val="21"/>
              </w:rPr>
              <w:t>1</w:t>
            </w:r>
          </w:p>
        </w:tc>
        <w:tc>
          <w:tcPr>
            <w:tcW w:w="2977" w:type="dxa"/>
            <w:vAlign w:val="center"/>
          </w:tcPr>
          <w:p w14:paraId="629F7C51">
            <w:pPr>
              <w:pStyle w:val="27"/>
              <w:ind w:firstLine="0" w:firstLineChars="0"/>
              <w:rPr>
                <w:color w:val="000000"/>
                <w:szCs w:val="21"/>
              </w:rPr>
            </w:pPr>
          </w:p>
        </w:tc>
        <w:tc>
          <w:tcPr>
            <w:tcW w:w="3686" w:type="dxa"/>
            <w:vAlign w:val="center"/>
          </w:tcPr>
          <w:p w14:paraId="1B711F72">
            <w:pPr>
              <w:pStyle w:val="27"/>
              <w:ind w:firstLine="0" w:firstLineChars="0"/>
              <w:rPr>
                <w:color w:val="000000"/>
                <w:szCs w:val="21"/>
              </w:rPr>
            </w:pPr>
          </w:p>
        </w:tc>
        <w:tc>
          <w:tcPr>
            <w:tcW w:w="963" w:type="dxa"/>
            <w:vAlign w:val="center"/>
          </w:tcPr>
          <w:p w14:paraId="5DD02118">
            <w:pPr>
              <w:pStyle w:val="27"/>
              <w:ind w:firstLine="0" w:firstLineChars="0"/>
              <w:jc w:val="center"/>
              <w:rPr>
                <w:color w:val="000000"/>
                <w:szCs w:val="21"/>
              </w:rPr>
            </w:pPr>
          </w:p>
        </w:tc>
        <w:tc>
          <w:tcPr>
            <w:tcW w:w="2016" w:type="dxa"/>
          </w:tcPr>
          <w:p w14:paraId="149276E7">
            <w:pPr>
              <w:pStyle w:val="27"/>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7"/>
              <w:ind w:firstLine="0" w:firstLineChars="0"/>
              <w:jc w:val="center"/>
              <w:rPr>
                <w:color w:val="000000"/>
                <w:szCs w:val="21"/>
              </w:rPr>
            </w:pPr>
            <w:r>
              <w:rPr>
                <w:rFonts w:hint="eastAsia"/>
                <w:color w:val="000000"/>
                <w:szCs w:val="21"/>
              </w:rPr>
              <w:t>2</w:t>
            </w:r>
          </w:p>
        </w:tc>
        <w:tc>
          <w:tcPr>
            <w:tcW w:w="2977" w:type="dxa"/>
            <w:vAlign w:val="center"/>
          </w:tcPr>
          <w:p w14:paraId="0E44D544">
            <w:pPr>
              <w:pStyle w:val="27"/>
              <w:ind w:firstLine="0" w:firstLineChars="0"/>
              <w:rPr>
                <w:color w:val="000000"/>
                <w:szCs w:val="21"/>
              </w:rPr>
            </w:pPr>
          </w:p>
        </w:tc>
        <w:tc>
          <w:tcPr>
            <w:tcW w:w="3686" w:type="dxa"/>
            <w:vAlign w:val="center"/>
          </w:tcPr>
          <w:p w14:paraId="01B65D9C">
            <w:pPr>
              <w:pStyle w:val="27"/>
              <w:ind w:firstLine="0" w:firstLineChars="0"/>
              <w:rPr>
                <w:color w:val="000000"/>
                <w:szCs w:val="21"/>
              </w:rPr>
            </w:pPr>
          </w:p>
        </w:tc>
        <w:tc>
          <w:tcPr>
            <w:tcW w:w="963" w:type="dxa"/>
            <w:vAlign w:val="center"/>
          </w:tcPr>
          <w:p w14:paraId="4C31DD39">
            <w:pPr>
              <w:pStyle w:val="27"/>
              <w:ind w:firstLine="0" w:firstLineChars="0"/>
              <w:jc w:val="center"/>
              <w:rPr>
                <w:color w:val="000000"/>
                <w:szCs w:val="21"/>
              </w:rPr>
            </w:pPr>
          </w:p>
        </w:tc>
        <w:tc>
          <w:tcPr>
            <w:tcW w:w="2016" w:type="dxa"/>
          </w:tcPr>
          <w:p w14:paraId="3000AC5A">
            <w:pPr>
              <w:pStyle w:val="27"/>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7"/>
              <w:ind w:firstLine="0" w:firstLineChars="0"/>
              <w:jc w:val="center"/>
              <w:rPr>
                <w:color w:val="000000"/>
                <w:szCs w:val="21"/>
              </w:rPr>
            </w:pPr>
            <w:r>
              <w:rPr>
                <w:rFonts w:hint="eastAsia"/>
                <w:color w:val="000000"/>
                <w:szCs w:val="21"/>
              </w:rPr>
              <w:t>3</w:t>
            </w:r>
          </w:p>
        </w:tc>
        <w:tc>
          <w:tcPr>
            <w:tcW w:w="2977" w:type="dxa"/>
            <w:vAlign w:val="center"/>
          </w:tcPr>
          <w:p w14:paraId="71D5F885">
            <w:pPr>
              <w:pStyle w:val="27"/>
              <w:ind w:firstLine="0" w:firstLineChars="0"/>
              <w:rPr>
                <w:color w:val="000000"/>
                <w:szCs w:val="21"/>
              </w:rPr>
            </w:pPr>
          </w:p>
        </w:tc>
        <w:tc>
          <w:tcPr>
            <w:tcW w:w="3686" w:type="dxa"/>
            <w:vAlign w:val="center"/>
          </w:tcPr>
          <w:p w14:paraId="38AC0A57">
            <w:pPr>
              <w:pStyle w:val="27"/>
              <w:ind w:firstLine="0" w:firstLineChars="0"/>
              <w:rPr>
                <w:color w:val="000000"/>
                <w:szCs w:val="21"/>
              </w:rPr>
            </w:pPr>
          </w:p>
        </w:tc>
        <w:tc>
          <w:tcPr>
            <w:tcW w:w="963" w:type="dxa"/>
            <w:vAlign w:val="center"/>
          </w:tcPr>
          <w:p w14:paraId="3B158765">
            <w:pPr>
              <w:pStyle w:val="27"/>
              <w:ind w:firstLine="0" w:firstLineChars="0"/>
              <w:jc w:val="center"/>
              <w:rPr>
                <w:color w:val="000000"/>
                <w:szCs w:val="21"/>
              </w:rPr>
            </w:pPr>
          </w:p>
        </w:tc>
        <w:tc>
          <w:tcPr>
            <w:tcW w:w="2016" w:type="dxa"/>
          </w:tcPr>
          <w:p w14:paraId="43F7F4B9">
            <w:pPr>
              <w:pStyle w:val="27"/>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7"/>
              <w:ind w:firstLine="0" w:firstLineChars="0"/>
              <w:jc w:val="center"/>
              <w:rPr>
                <w:color w:val="000000"/>
                <w:szCs w:val="21"/>
              </w:rPr>
            </w:pPr>
            <w:r>
              <w:rPr>
                <w:color w:val="000000"/>
                <w:szCs w:val="21"/>
              </w:rPr>
              <w:t>…</w:t>
            </w:r>
          </w:p>
        </w:tc>
        <w:tc>
          <w:tcPr>
            <w:tcW w:w="2977" w:type="dxa"/>
            <w:vAlign w:val="center"/>
          </w:tcPr>
          <w:p w14:paraId="492CFE5D">
            <w:pPr>
              <w:pStyle w:val="27"/>
              <w:ind w:firstLine="0" w:firstLineChars="0"/>
              <w:rPr>
                <w:color w:val="000000"/>
                <w:szCs w:val="21"/>
              </w:rPr>
            </w:pPr>
          </w:p>
        </w:tc>
        <w:tc>
          <w:tcPr>
            <w:tcW w:w="3686" w:type="dxa"/>
            <w:vAlign w:val="center"/>
          </w:tcPr>
          <w:p w14:paraId="5E27032F">
            <w:pPr>
              <w:pStyle w:val="27"/>
              <w:ind w:firstLine="0" w:firstLineChars="0"/>
              <w:rPr>
                <w:color w:val="000000"/>
                <w:szCs w:val="21"/>
              </w:rPr>
            </w:pPr>
          </w:p>
        </w:tc>
        <w:tc>
          <w:tcPr>
            <w:tcW w:w="963" w:type="dxa"/>
            <w:vAlign w:val="center"/>
          </w:tcPr>
          <w:p w14:paraId="19B21445">
            <w:pPr>
              <w:pStyle w:val="27"/>
              <w:ind w:firstLine="0" w:firstLineChars="0"/>
              <w:jc w:val="center"/>
              <w:rPr>
                <w:color w:val="000000"/>
                <w:szCs w:val="21"/>
              </w:rPr>
            </w:pPr>
          </w:p>
        </w:tc>
        <w:tc>
          <w:tcPr>
            <w:tcW w:w="2016" w:type="dxa"/>
          </w:tcPr>
          <w:p w14:paraId="5FC047A6">
            <w:pPr>
              <w:pStyle w:val="27"/>
              <w:ind w:firstLine="0" w:firstLineChars="0"/>
              <w:rPr>
                <w:color w:val="000000"/>
                <w:szCs w:val="21"/>
              </w:rPr>
            </w:pPr>
          </w:p>
        </w:tc>
      </w:tr>
    </w:tbl>
    <w:p w14:paraId="2D35C912">
      <w:pPr>
        <w:pStyle w:val="27"/>
        <w:numPr>
          <w:ilvl w:val="0"/>
          <w:numId w:val="15"/>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7"/>
        <w:numPr>
          <w:ilvl w:val="0"/>
          <w:numId w:val="15"/>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7"/>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7"/>
        <w:jc w:val="left"/>
        <w:rPr>
          <w:bCs/>
          <w:szCs w:val="21"/>
        </w:rPr>
      </w:pPr>
    </w:p>
    <w:p w14:paraId="368787FF">
      <w:pPr>
        <w:pStyle w:val="27"/>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7"/>
        <w:jc w:val="left"/>
        <w:rPr>
          <w:bCs/>
          <w:szCs w:val="21"/>
        </w:rPr>
      </w:pPr>
    </w:p>
    <w:p w14:paraId="27DB179C">
      <w:pPr>
        <w:pStyle w:val="27"/>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7"/>
        <w:numPr>
          <w:ilvl w:val="0"/>
          <w:numId w:val="15"/>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7"/>
        <w:numPr>
          <w:ilvl w:val="0"/>
          <w:numId w:val="15"/>
        </w:numPr>
        <w:ind w:left="0" w:firstLine="0" w:firstLineChars="0"/>
        <w:contextualSpacing/>
        <w:jc w:val="left"/>
        <w:rPr>
          <w:b/>
          <w:szCs w:val="21"/>
        </w:rPr>
      </w:pPr>
      <w:r>
        <w:rPr>
          <w:b/>
          <w:szCs w:val="21"/>
        </w:rPr>
        <w:t>验收</w:t>
      </w:r>
    </w:p>
    <w:p w14:paraId="57707485">
      <w:pPr>
        <w:pStyle w:val="27"/>
        <w:numPr>
          <w:ilvl w:val="0"/>
          <w:numId w:val="17"/>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7"/>
        <w:numPr>
          <w:ilvl w:val="0"/>
          <w:numId w:val="17"/>
        </w:numPr>
        <w:ind w:left="0" w:firstLine="0" w:firstLineChars="0"/>
        <w:contextualSpacing/>
        <w:rPr>
          <w:szCs w:val="21"/>
        </w:rPr>
      </w:pPr>
      <w:r>
        <w:rPr>
          <w:szCs w:val="21"/>
        </w:rPr>
        <w:t>验收方案：</w:t>
      </w:r>
    </w:p>
    <w:p w14:paraId="10719FFA">
      <w:pPr>
        <w:pStyle w:val="27"/>
        <w:numPr>
          <w:ilvl w:val="0"/>
          <w:numId w:val="18"/>
        </w:numPr>
        <w:ind w:firstLineChars="0"/>
        <w:contextualSpacing/>
        <w:rPr>
          <w:color w:val="000000"/>
          <w:szCs w:val="21"/>
        </w:rPr>
      </w:pPr>
      <w:r>
        <w:rPr>
          <w:rFonts w:hint="eastAsia"/>
          <w:color w:val="000000"/>
          <w:szCs w:val="21"/>
        </w:rPr>
        <w:t>验收主体：甲方</w:t>
      </w:r>
    </w:p>
    <w:p w14:paraId="7212F6E2">
      <w:pPr>
        <w:pStyle w:val="27"/>
        <w:numPr>
          <w:ilvl w:val="0"/>
          <w:numId w:val="18"/>
        </w:numPr>
        <w:ind w:firstLineChars="0"/>
        <w:contextualSpacing/>
        <w:rPr>
          <w:color w:val="000000"/>
          <w:szCs w:val="21"/>
        </w:rPr>
      </w:pPr>
      <w:r>
        <w:rPr>
          <w:rFonts w:hint="eastAsia"/>
          <w:color w:val="000000"/>
          <w:szCs w:val="21"/>
        </w:rPr>
        <w:t>验收组织方式：自行验收</w:t>
      </w:r>
    </w:p>
    <w:p w14:paraId="5C963DBA">
      <w:pPr>
        <w:pStyle w:val="27"/>
        <w:numPr>
          <w:ilvl w:val="0"/>
          <w:numId w:val="18"/>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7"/>
        <w:numPr>
          <w:ilvl w:val="0"/>
          <w:numId w:val="18"/>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7"/>
        <w:numPr>
          <w:ilvl w:val="0"/>
          <w:numId w:val="18"/>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7"/>
        <w:numPr>
          <w:ilvl w:val="0"/>
          <w:numId w:val="18"/>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5"/>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7"/>
        <w:numPr>
          <w:ilvl w:val="0"/>
          <w:numId w:val="18"/>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7"/>
        <w:numPr>
          <w:ilvl w:val="0"/>
          <w:numId w:val="18"/>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7"/>
        <w:numPr>
          <w:ilvl w:val="0"/>
          <w:numId w:val="18"/>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7"/>
        <w:numPr>
          <w:ilvl w:val="0"/>
          <w:numId w:val="18"/>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7"/>
        <w:numPr>
          <w:ilvl w:val="0"/>
          <w:numId w:val="18"/>
        </w:numPr>
        <w:ind w:firstLineChars="0"/>
        <w:contextualSpacing/>
        <w:rPr>
          <w:szCs w:val="21"/>
        </w:rPr>
      </w:pPr>
      <w:r>
        <w:rPr>
          <w:szCs w:val="21"/>
        </w:rPr>
        <w:t>验收标准：</w:t>
      </w:r>
    </w:p>
    <w:p w14:paraId="24757C73">
      <w:pPr>
        <w:pStyle w:val="15"/>
        <w:numPr>
          <w:ilvl w:val="0"/>
          <w:numId w:val="19"/>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5"/>
        <w:numPr>
          <w:ilvl w:val="0"/>
          <w:numId w:val="19"/>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5"/>
        <w:numPr>
          <w:ilvl w:val="0"/>
          <w:numId w:val="19"/>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5"/>
        <w:numPr>
          <w:ilvl w:val="0"/>
          <w:numId w:val="19"/>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5"/>
        <w:numPr>
          <w:ilvl w:val="0"/>
          <w:numId w:val="19"/>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5"/>
        <w:numPr>
          <w:ilvl w:val="0"/>
          <w:numId w:val="19"/>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7"/>
        <w:numPr>
          <w:ilvl w:val="0"/>
          <w:numId w:val="18"/>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7"/>
        <w:numPr>
          <w:ilvl w:val="0"/>
          <w:numId w:val="17"/>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7"/>
        <w:numPr>
          <w:ilvl w:val="0"/>
          <w:numId w:val="15"/>
        </w:numPr>
        <w:ind w:left="0" w:firstLine="0" w:firstLineChars="0"/>
        <w:contextualSpacing/>
        <w:jc w:val="left"/>
        <w:rPr>
          <w:b/>
          <w:szCs w:val="21"/>
        </w:rPr>
      </w:pPr>
      <w:r>
        <w:rPr>
          <w:b/>
          <w:szCs w:val="21"/>
        </w:rPr>
        <w:t>付款方式</w:t>
      </w:r>
    </w:p>
    <w:p w14:paraId="5CC20725">
      <w:pPr>
        <w:pStyle w:val="9"/>
        <w:numPr>
          <w:ilvl w:val="0"/>
          <w:numId w:val="20"/>
        </w:numPr>
        <w:spacing w:after="0" w:line="240" w:lineRule="auto"/>
        <w:ind w:left="227" w:leftChars="0" w:hanging="227"/>
        <w:contextualSpacing/>
        <w:jc w:val="left"/>
        <w:rPr>
          <w:szCs w:val="21"/>
        </w:rPr>
      </w:pPr>
      <w:r>
        <w:rPr>
          <w:szCs w:val="21"/>
        </w:rPr>
        <w:t>履约保证金：</w:t>
      </w:r>
    </w:p>
    <w:p w14:paraId="1A98FD8C">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20"/>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5"/>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5"/>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5"/>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5"/>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20"/>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20"/>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7"/>
        <w:numPr>
          <w:ilvl w:val="0"/>
          <w:numId w:val="15"/>
        </w:numPr>
        <w:ind w:left="0" w:firstLine="0" w:firstLineChars="0"/>
        <w:contextualSpacing/>
        <w:jc w:val="left"/>
        <w:rPr>
          <w:b/>
          <w:szCs w:val="21"/>
        </w:rPr>
      </w:pPr>
      <w:r>
        <w:rPr>
          <w:b/>
          <w:szCs w:val="21"/>
        </w:rPr>
        <w:t>双方权利与义务</w:t>
      </w:r>
    </w:p>
    <w:p w14:paraId="581F8AA0">
      <w:pPr>
        <w:pStyle w:val="9"/>
        <w:numPr>
          <w:ilvl w:val="0"/>
          <w:numId w:val="21"/>
        </w:numPr>
        <w:spacing w:after="0" w:line="240" w:lineRule="auto"/>
        <w:ind w:left="227" w:leftChars="0" w:hanging="227"/>
        <w:contextualSpacing/>
        <w:jc w:val="left"/>
        <w:rPr>
          <w:szCs w:val="21"/>
        </w:rPr>
      </w:pPr>
      <w:r>
        <w:rPr>
          <w:szCs w:val="21"/>
        </w:rPr>
        <w:t>甲方权利与义务</w:t>
      </w:r>
    </w:p>
    <w:p w14:paraId="4D16113D">
      <w:pPr>
        <w:pStyle w:val="27"/>
        <w:numPr>
          <w:ilvl w:val="0"/>
          <w:numId w:val="22"/>
        </w:numPr>
        <w:adjustRightInd w:val="0"/>
        <w:ind w:left="525" w:hanging="525" w:hangingChars="250"/>
        <w:contextualSpacing/>
        <w:jc w:val="left"/>
        <w:rPr>
          <w:szCs w:val="21"/>
        </w:rPr>
      </w:pPr>
      <w:r>
        <w:rPr>
          <w:szCs w:val="21"/>
        </w:rPr>
        <w:t>按合同约定向乙方支付费用。</w:t>
      </w:r>
    </w:p>
    <w:p w14:paraId="62A02753">
      <w:pPr>
        <w:pStyle w:val="27"/>
        <w:numPr>
          <w:ilvl w:val="0"/>
          <w:numId w:val="22"/>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7"/>
        <w:numPr>
          <w:ilvl w:val="0"/>
          <w:numId w:val="22"/>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7"/>
        <w:numPr>
          <w:ilvl w:val="0"/>
          <w:numId w:val="22"/>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21"/>
        </w:numPr>
        <w:spacing w:after="0" w:line="240" w:lineRule="auto"/>
        <w:ind w:left="227" w:leftChars="0" w:hanging="227"/>
        <w:contextualSpacing/>
        <w:jc w:val="left"/>
        <w:rPr>
          <w:szCs w:val="21"/>
        </w:rPr>
      </w:pPr>
      <w:r>
        <w:rPr>
          <w:szCs w:val="21"/>
        </w:rPr>
        <w:t>乙方权利与义务</w:t>
      </w:r>
    </w:p>
    <w:p w14:paraId="319B30B1">
      <w:pPr>
        <w:pStyle w:val="9"/>
        <w:numPr>
          <w:ilvl w:val="0"/>
          <w:numId w:val="23"/>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3"/>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3"/>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3"/>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3"/>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7"/>
        <w:numPr>
          <w:ilvl w:val="0"/>
          <w:numId w:val="15"/>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4"/>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7"/>
        <w:numPr>
          <w:ilvl w:val="0"/>
          <w:numId w:val="24"/>
        </w:numPr>
        <w:ind w:left="0" w:firstLine="0" w:firstLineChars="0"/>
        <w:rPr>
          <w:szCs w:val="21"/>
        </w:rPr>
      </w:pPr>
      <w:r>
        <w:rPr>
          <w:szCs w:val="21"/>
        </w:rPr>
        <w:t>乙方违约责任：</w:t>
      </w:r>
    </w:p>
    <w:p w14:paraId="354B31C5">
      <w:pPr>
        <w:pStyle w:val="9"/>
        <w:numPr>
          <w:ilvl w:val="0"/>
          <w:numId w:val="25"/>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5"/>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5"/>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5"/>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5"/>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5"/>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5"/>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5"/>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5"/>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7"/>
        <w:numPr>
          <w:ilvl w:val="0"/>
          <w:numId w:val="15"/>
        </w:numPr>
        <w:ind w:left="0" w:firstLine="0" w:firstLineChars="0"/>
        <w:contextualSpacing/>
        <w:jc w:val="left"/>
        <w:rPr>
          <w:b/>
          <w:szCs w:val="21"/>
        </w:rPr>
      </w:pPr>
      <w:r>
        <w:rPr>
          <w:b/>
          <w:szCs w:val="21"/>
        </w:rPr>
        <w:t>不可抗力</w:t>
      </w:r>
    </w:p>
    <w:p w14:paraId="26541785">
      <w:pPr>
        <w:pStyle w:val="27"/>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7"/>
        <w:numPr>
          <w:ilvl w:val="0"/>
          <w:numId w:val="15"/>
        </w:numPr>
        <w:ind w:left="0" w:firstLine="0" w:firstLineChars="0"/>
        <w:contextualSpacing/>
        <w:jc w:val="left"/>
        <w:rPr>
          <w:b/>
          <w:szCs w:val="21"/>
        </w:rPr>
      </w:pPr>
      <w:r>
        <w:rPr>
          <w:b/>
          <w:szCs w:val="21"/>
        </w:rPr>
        <w:t>合同终止及解除</w:t>
      </w:r>
    </w:p>
    <w:p w14:paraId="275C61D9">
      <w:pPr>
        <w:pStyle w:val="27"/>
        <w:numPr>
          <w:ilvl w:val="0"/>
          <w:numId w:val="26"/>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7"/>
        <w:numPr>
          <w:ilvl w:val="0"/>
          <w:numId w:val="26"/>
        </w:numPr>
        <w:ind w:left="0" w:firstLine="0" w:firstLineChars="0"/>
        <w:rPr>
          <w:szCs w:val="21"/>
        </w:rPr>
      </w:pPr>
      <w:r>
        <w:rPr>
          <w:szCs w:val="21"/>
        </w:rPr>
        <w:t>在甲、乙任何一方有严重违约行为时，另一方有权单方解除合同。</w:t>
      </w:r>
    </w:p>
    <w:p w14:paraId="2BA7B89E">
      <w:pPr>
        <w:pStyle w:val="27"/>
        <w:numPr>
          <w:ilvl w:val="0"/>
          <w:numId w:val="15"/>
        </w:numPr>
        <w:ind w:left="0" w:firstLine="0" w:firstLineChars="0"/>
        <w:contextualSpacing/>
        <w:jc w:val="left"/>
        <w:rPr>
          <w:b/>
          <w:szCs w:val="21"/>
        </w:rPr>
      </w:pPr>
      <w:r>
        <w:rPr>
          <w:b/>
          <w:szCs w:val="21"/>
        </w:rPr>
        <w:t>争议解决办法</w:t>
      </w:r>
    </w:p>
    <w:p w14:paraId="5C6244A3">
      <w:pPr>
        <w:pStyle w:val="27"/>
        <w:numPr>
          <w:ilvl w:val="0"/>
          <w:numId w:val="27"/>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7"/>
        <w:numPr>
          <w:ilvl w:val="0"/>
          <w:numId w:val="27"/>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7"/>
        <w:numPr>
          <w:ilvl w:val="0"/>
          <w:numId w:val="15"/>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2"/>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2"/>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2"/>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7"/>
        <w:numPr>
          <w:ilvl w:val="0"/>
          <w:numId w:val="15"/>
        </w:numPr>
        <w:ind w:left="0" w:firstLine="0" w:firstLineChars="0"/>
        <w:contextualSpacing/>
        <w:jc w:val="left"/>
        <w:rPr>
          <w:b/>
          <w:szCs w:val="21"/>
        </w:rPr>
      </w:pPr>
      <w:r>
        <w:rPr>
          <w:b/>
          <w:szCs w:val="21"/>
        </w:rPr>
        <w:t>其他</w:t>
      </w:r>
    </w:p>
    <w:p w14:paraId="162904B6">
      <w:pPr>
        <w:pStyle w:val="27"/>
        <w:numPr>
          <w:ilvl w:val="0"/>
          <w:numId w:val="29"/>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7"/>
        <w:numPr>
          <w:ilvl w:val="0"/>
          <w:numId w:val="29"/>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7"/>
        <w:numPr>
          <w:ilvl w:val="0"/>
          <w:numId w:val="15"/>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7"/>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1A128CAE">
      <w:pPr>
        <w:widowControl/>
        <w:jc w:val="left"/>
        <w:rPr>
          <w:szCs w:val="21"/>
        </w:rPr>
      </w:pPr>
    </w:p>
    <w:p w14:paraId="208777B5">
      <w:pPr>
        <w:widowControl/>
        <w:jc w:val="left"/>
        <w:rPr>
          <w:szCs w:val="21"/>
        </w:rPr>
      </w:pPr>
    </w:p>
    <w:p w14:paraId="43D44BA9">
      <w:pPr>
        <w:widowControl/>
        <w:jc w:val="left"/>
        <w:rPr>
          <w:szCs w:val="21"/>
        </w:rPr>
      </w:pPr>
    </w:p>
    <w:p w14:paraId="06E4A80E">
      <w:pPr>
        <w:widowControl/>
        <w:jc w:val="left"/>
        <w:rPr>
          <w:szCs w:val="21"/>
        </w:rPr>
      </w:pPr>
    </w:p>
    <w:p w14:paraId="08978E93">
      <w:pPr>
        <w:widowControl/>
        <w:jc w:val="left"/>
        <w:rPr>
          <w:szCs w:val="21"/>
        </w:rPr>
      </w:pPr>
    </w:p>
    <w:p w14:paraId="68DE8385">
      <w:pPr>
        <w:widowControl/>
        <w:jc w:val="left"/>
        <w:rPr>
          <w:szCs w:val="21"/>
        </w:rPr>
      </w:pPr>
    </w:p>
    <w:p w14:paraId="0405F5A1">
      <w:pPr>
        <w:widowControl/>
        <w:jc w:val="left"/>
        <w:rPr>
          <w:szCs w:val="21"/>
        </w:rPr>
      </w:pPr>
    </w:p>
    <w:p w14:paraId="2B53CBB9">
      <w:pPr>
        <w:widowControl/>
        <w:jc w:val="left"/>
        <w:rPr>
          <w:szCs w:val="21"/>
        </w:rPr>
      </w:pPr>
    </w:p>
    <w:p w14:paraId="6B943024">
      <w:pPr>
        <w:widowControl/>
        <w:jc w:val="left"/>
        <w:rPr>
          <w:szCs w:val="21"/>
        </w:rPr>
      </w:pPr>
    </w:p>
    <w:p w14:paraId="5B86E406">
      <w:pPr>
        <w:widowControl/>
        <w:jc w:val="left"/>
        <w:rPr>
          <w:szCs w:val="21"/>
        </w:rPr>
      </w:pPr>
    </w:p>
    <w:p w14:paraId="0CE58DA1">
      <w:pPr>
        <w:widowControl/>
        <w:jc w:val="left"/>
        <w:rPr>
          <w:szCs w:val="21"/>
        </w:rPr>
      </w:pPr>
    </w:p>
    <w:p w14:paraId="1DCF0E6F">
      <w:pPr>
        <w:widowControl/>
        <w:jc w:val="left"/>
        <w:rPr>
          <w:szCs w:val="21"/>
        </w:rPr>
      </w:pPr>
    </w:p>
    <w:p w14:paraId="3A57024A">
      <w:pPr>
        <w:widowControl/>
        <w:jc w:val="left"/>
        <w:rPr>
          <w:szCs w:val="21"/>
        </w:rPr>
      </w:pPr>
    </w:p>
    <w:p w14:paraId="4BD1ACBE">
      <w:pPr>
        <w:rPr>
          <w:rFonts w:hint="eastAsia"/>
          <w:szCs w:val="21"/>
        </w:rPr>
      </w:pPr>
      <w:r>
        <w:rPr>
          <w:rFonts w:hint="eastAsia"/>
          <w:szCs w:val="21"/>
        </w:rPr>
        <w:br w:type="page"/>
      </w:r>
    </w:p>
    <w:p w14:paraId="169CCBF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2347EE3E">
      <w:pPr>
        <w:widowControl/>
        <w:jc w:val="left"/>
        <w:rPr>
          <w:szCs w:val="21"/>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6DA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5C4BC4D">
            <w:pPr>
              <w:widowControl/>
              <w:jc w:val="center"/>
              <w:rPr>
                <w:b/>
                <w:bCs/>
                <w:szCs w:val="21"/>
              </w:rPr>
            </w:pPr>
            <w:r>
              <w:rPr>
                <w:rFonts w:hint="eastAsia"/>
                <w:b/>
                <w:bCs/>
                <w:szCs w:val="21"/>
              </w:rPr>
              <w:t>序号</w:t>
            </w:r>
          </w:p>
        </w:tc>
        <w:tc>
          <w:tcPr>
            <w:tcW w:w="3686" w:type="dxa"/>
            <w:vAlign w:val="center"/>
          </w:tcPr>
          <w:p w14:paraId="7C80F34F">
            <w:pPr>
              <w:widowControl/>
              <w:jc w:val="center"/>
              <w:rPr>
                <w:b/>
                <w:bCs/>
                <w:szCs w:val="21"/>
              </w:rPr>
            </w:pPr>
            <w:r>
              <w:rPr>
                <w:rFonts w:hint="eastAsia"/>
                <w:b/>
                <w:bCs/>
                <w:szCs w:val="21"/>
              </w:rPr>
              <w:t>结算项目名称</w:t>
            </w:r>
          </w:p>
        </w:tc>
        <w:tc>
          <w:tcPr>
            <w:tcW w:w="3402" w:type="dxa"/>
            <w:vAlign w:val="center"/>
          </w:tcPr>
          <w:p w14:paraId="406261E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4086348A">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0E2B424B">
            <w:pPr>
              <w:widowControl/>
              <w:jc w:val="center"/>
              <w:rPr>
                <w:b/>
                <w:bCs/>
                <w:szCs w:val="21"/>
              </w:rPr>
            </w:pPr>
            <w:r>
              <w:rPr>
                <w:rFonts w:hint="eastAsia"/>
                <w:b/>
                <w:bCs/>
                <w:szCs w:val="21"/>
              </w:rPr>
              <w:t>结算单价</w:t>
            </w:r>
          </w:p>
        </w:tc>
      </w:tr>
      <w:tr w14:paraId="7E4C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7062D49">
            <w:pPr>
              <w:widowControl/>
              <w:jc w:val="center"/>
              <w:rPr>
                <w:szCs w:val="21"/>
              </w:rPr>
            </w:pPr>
            <w:r>
              <w:rPr>
                <w:rFonts w:hint="eastAsia"/>
                <w:szCs w:val="21"/>
              </w:rPr>
              <w:t>1</w:t>
            </w:r>
          </w:p>
        </w:tc>
        <w:tc>
          <w:tcPr>
            <w:tcW w:w="3686" w:type="dxa"/>
            <w:vAlign w:val="center"/>
          </w:tcPr>
          <w:p w14:paraId="2E00AE29">
            <w:pPr>
              <w:widowControl/>
              <w:jc w:val="left"/>
              <w:rPr>
                <w:szCs w:val="21"/>
              </w:rPr>
            </w:pPr>
          </w:p>
        </w:tc>
        <w:tc>
          <w:tcPr>
            <w:tcW w:w="3402" w:type="dxa"/>
            <w:vAlign w:val="center"/>
          </w:tcPr>
          <w:p w14:paraId="7EEB999F">
            <w:pPr>
              <w:widowControl/>
              <w:jc w:val="left"/>
              <w:rPr>
                <w:szCs w:val="21"/>
              </w:rPr>
            </w:pPr>
          </w:p>
        </w:tc>
        <w:tc>
          <w:tcPr>
            <w:tcW w:w="992" w:type="dxa"/>
            <w:vAlign w:val="center"/>
          </w:tcPr>
          <w:p w14:paraId="49DA1F3D">
            <w:pPr>
              <w:widowControl/>
              <w:jc w:val="center"/>
              <w:rPr>
                <w:szCs w:val="21"/>
              </w:rPr>
            </w:pPr>
          </w:p>
        </w:tc>
        <w:tc>
          <w:tcPr>
            <w:tcW w:w="986" w:type="dxa"/>
            <w:vAlign w:val="center"/>
          </w:tcPr>
          <w:p w14:paraId="4D84EF3E">
            <w:pPr>
              <w:widowControl/>
              <w:jc w:val="center"/>
              <w:rPr>
                <w:szCs w:val="21"/>
              </w:rPr>
            </w:pPr>
          </w:p>
        </w:tc>
      </w:tr>
      <w:tr w14:paraId="7D2E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BE136AA">
            <w:pPr>
              <w:widowControl/>
              <w:jc w:val="center"/>
              <w:rPr>
                <w:szCs w:val="21"/>
              </w:rPr>
            </w:pPr>
            <w:r>
              <w:rPr>
                <w:rFonts w:hint="eastAsia"/>
                <w:szCs w:val="21"/>
              </w:rPr>
              <w:t>2</w:t>
            </w:r>
          </w:p>
        </w:tc>
        <w:tc>
          <w:tcPr>
            <w:tcW w:w="3686" w:type="dxa"/>
            <w:vAlign w:val="center"/>
          </w:tcPr>
          <w:p w14:paraId="0824B234">
            <w:pPr>
              <w:widowControl/>
              <w:jc w:val="left"/>
              <w:rPr>
                <w:szCs w:val="21"/>
              </w:rPr>
            </w:pPr>
          </w:p>
        </w:tc>
        <w:tc>
          <w:tcPr>
            <w:tcW w:w="3402" w:type="dxa"/>
            <w:vAlign w:val="center"/>
          </w:tcPr>
          <w:p w14:paraId="16E50191">
            <w:pPr>
              <w:widowControl/>
              <w:jc w:val="left"/>
              <w:rPr>
                <w:szCs w:val="21"/>
              </w:rPr>
            </w:pPr>
          </w:p>
        </w:tc>
        <w:tc>
          <w:tcPr>
            <w:tcW w:w="992" w:type="dxa"/>
            <w:vAlign w:val="center"/>
          </w:tcPr>
          <w:p w14:paraId="74E67E7A">
            <w:pPr>
              <w:widowControl/>
              <w:jc w:val="center"/>
              <w:rPr>
                <w:szCs w:val="21"/>
              </w:rPr>
            </w:pPr>
          </w:p>
        </w:tc>
        <w:tc>
          <w:tcPr>
            <w:tcW w:w="986" w:type="dxa"/>
            <w:vAlign w:val="center"/>
          </w:tcPr>
          <w:p w14:paraId="4EBC2412">
            <w:pPr>
              <w:widowControl/>
              <w:jc w:val="center"/>
              <w:rPr>
                <w:szCs w:val="21"/>
              </w:rPr>
            </w:pPr>
          </w:p>
        </w:tc>
      </w:tr>
      <w:tr w14:paraId="46635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02C15FA">
            <w:pPr>
              <w:widowControl/>
              <w:jc w:val="center"/>
              <w:rPr>
                <w:szCs w:val="21"/>
              </w:rPr>
            </w:pPr>
            <w:r>
              <w:rPr>
                <w:szCs w:val="21"/>
              </w:rPr>
              <w:t>…</w:t>
            </w:r>
          </w:p>
        </w:tc>
        <w:tc>
          <w:tcPr>
            <w:tcW w:w="3686" w:type="dxa"/>
            <w:vAlign w:val="center"/>
          </w:tcPr>
          <w:p w14:paraId="3B54029C">
            <w:pPr>
              <w:widowControl/>
              <w:jc w:val="left"/>
              <w:rPr>
                <w:szCs w:val="21"/>
              </w:rPr>
            </w:pPr>
          </w:p>
        </w:tc>
        <w:tc>
          <w:tcPr>
            <w:tcW w:w="3402" w:type="dxa"/>
            <w:vAlign w:val="center"/>
          </w:tcPr>
          <w:p w14:paraId="6AB4E64F">
            <w:pPr>
              <w:widowControl/>
              <w:jc w:val="left"/>
              <w:rPr>
                <w:szCs w:val="21"/>
              </w:rPr>
            </w:pPr>
          </w:p>
        </w:tc>
        <w:tc>
          <w:tcPr>
            <w:tcW w:w="992" w:type="dxa"/>
            <w:vAlign w:val="center"/>
          </w:tcPr>
          <w:p w14:paraId="4D3A93E0">
            <w:pPr>
              <w:widowControl/>
              <w:jc w:val="center"/>
              <w:rPr>
                <w:szCs w:val="21"/>
              </w:rPr>
            </w:pPr>
          </w:p>
        </w:tc>
        <w:tc>
          <w:tcPr>
            <w:tcW w:w="986" w:type="dxa"/>
            <w:vAlign w:val="center"/>
          </w:tcPr>
          <w:p w14:paraId="2955B084">
            <w:pPr>
              <w:widowControl/>
              <w:jc w:val="center"/>
              <w:rPr>
                <w:szCs w:val="21"/>
              </w:rPr>
            </w:pPr>
          </w:p>
        </w:tc>
      </w:tr>
    </w:tbl>
    <w:p w14:paraId="7CF15C8A">
      <w:pPr>
        <w:widowControl/>
        <w:jc w:val="left"/>
        <w:rPr>
          <w:szCs w:val="21"/>
        </w:rPr>
        <w:sectPr>
          <w:footerReference r:id="rId6" w:type="default"/>
          <w:pgSz w:w="11906" w:h="16838"/>
          <w:pgMar w:top="851" w:right="1134" w:bottom="851" w:left="1134" w:header="0" w:footer="567" w:gutter="0"/>
          <w:pgBorders>
            <w:top w:val="none" w:sz="0" w:space="0"/>
            <w:left w:val="none" w:sz="0" w:space="0"/>
            <w:bottom w:val="none" w:sz="0" w:space="0"/>
            <w:right w:val="none" w:sz="0" w:space="0"/>
          </w:pgBorders>
          <w:pgNumType w:start="1"/>
          <w:cols w:space="425" w:num="1"/>
          <w:docGrid w:linePitch="312" w:charSpace="0"/>
        </w:sectPr>
      </w:pPr>
    </w:p>
    <w:p w14:paraId="03383ED1">
      <w:pPr>
        <w:widowControl/>
        <w:jc w:val="left"/>
        <w:rPr>
          <w:rFonts w:ascii="宋体" w:hAnsi="宋体"/>
          <w:b/>
          <w:bCs/>
          <w:szCs w:val="21"/>
        </w:rPr>
      </w:pPr>
      <w:r>
        <w:rPr>
          <w:rFonts w:hint="eastAsia" w:ascii="宋体" w:hAnsi="宋体"/>
          <w:b/>
          <w:bCs/>
          <w:szCs w:val="21"/>
        </w:rPr>
        <w:t>附件2：考核标准</w:t>
      </w:r>
    </w:p>
    <w:p w14:paraId="27FA7710"/>
    <w:p w14:paraId="3FBEF5A0">
      <w:pPr>
        <w:sectPr>
          <w:pgSz w:w="11906" w:h="16838"/>
          <w:pgMar w:top="851" w:right="1134" w:bottom="851" w:left="1134" w:header="0" w:footer="567" w:gutter="0"/>
          <w:pgBorders>
            <w:top w:val="none" w:sz="0" w:space="0"/>
            <w:left w:val="none" w:sz="0" w:space="0"/>
            <w:bottom w:val="none" w:sz="0" w:space="0"/>
            <w:right w:val="none" w:sz="0" w:space="0"/>
          </w:pgBorders>
          <w:cols w:space="425" w:num="1"/>
          <w:docGrid w:linePitch="312" w:charSpace="0"/>
        </w:sectPr>
      </w:pPr>
      <w:r>
        <w:rPr>
          <w:rFonts w:hint="eastAsia"/>
        </w:rPr>
        <w:t>*</w:t>
      </w:r>
      <w:r>
        <w:t>**</w:t>
      </w:r>
    </w:p>
    <w:p w14:paraId="539073C5">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B60664A"/>
    <w:p w14:paraId="1264A449">
      <w:r>
        <w:rPr>
          <w:rFonts w:hint="eastAsia"/>
        </w:rPr>
        <w:t>*</w:t>
      </w:r>
      <w:r>
        <w:t>**</w:t>
      </w:r>
    </w:p>
    <w:p w14:paraId="37FF576C">
      <w:pPr>
        <w:rPr>
          <w:szCs w:val="21"/>
        </w:rPr>
      </w:pPr>
      <w:r>
        <w:rPr>
          <w:szCs w:val="21"/>
        </w:rPr>
        <w:br w:type="page"/>
      </w:r>
    </w:p>
    <w:p w14:paraId="397A50C8">
      <w:pPr>
        <w:rPr>
          <w:szCs w:val="21"/>
        </w:rPr>
      </w:pPr>
    </w:p>
    <w:p w14:paraId="268BB46B">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1A06BAA9">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74A0FE73">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7AFB42EE">
      <w:pPr>
        <w:ind w:firstLine="560" w:firstLineChars="200"/>
        <w:rPr>
          <w:rFonts w:ascii="Times New Roman" w:hAnsi="Times New Roman" w:eastAsia="仿宋" w:cs="Times New Roman"/>
          <w:sz w:val="28"/>
          <w:szCs w:val="28"/>
        </w:rPr>
      </w:pPr>
    </w:p>
    <w:p w14:paraId="6905D2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6F584A1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3C2A480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232E578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2F2FA761">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1ECBC40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8C6160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067415C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0C847E6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713C9DE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7A2D32D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B54DD5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7EB66588">
      <w:pPr>
        <w:ind w:firstLine="560" w:firstLineChars="200"/>
        <w:rPr>
          <w:rFonts w:ascii="Times New Roman" w:hAnsi="Times New Roman" w:eastAsia="仿宋" w:cs="Times New Roman"/>
          <w:sz w:val="28"/>
          <w:szCs w:val="28"/>
        </w:rPr>
      </w:pPr>
    </w:p>
    <w:p w14:paraId="4E511F2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CDC61E1">
      <w:pPr>
        <w:ind w:firstLine="560" w:firstLineChars="200"/>
        <w:rPr>
          <w:rFonts w:ascii="Times New Roman" w:hAnsi="Times New Roman" w:eastAsia="仿宋" w:cs="Times New Roman"/>
          <w:sz w:val="28"/>
          <w:szCs w:val="28"/>
        </w:rPr>
      </w:pPr>
    </w:p>
    <w:p w14:paraId="1368012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E213CA">
      <w:pPr>
        <w:ind w:firstLine="4200" w:firstLineChars="1500"/>
        <w:rPr>
          <w:rFonts w:ascii="Times New Roman" w:hAnsi="Times New Roman" w:eastAsia="仿宋" w:cs="Times New Roman"/>
          <w:sz w:val="28"/>
          <w:szCs w:val="28"/>
        </w:rPr>
      </w:pPr>
    </w:p>
    <w:p w14:paraId="57B74785">
      <w:pPr>
        <w:ind w:firstLine="560" w:firstLineChars="200"/>
        <w:jc w:val="center"/>
        <w:rPr>
          <w:rFonts w:ascii="Times New Roman" w:hAnsi="Times New Roman" w:eastAsia="仿宋" w:cs="Times New Roman"/>
          <w:sz w:val="28"/>
          <w:szCs w:val="28"/>
        </w:rPr>
      </w:pPr>
      <w:r>
        <w:rPr>
          <w:rFonts w:hint="eastAsia"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年   月  </w:t>
      </w:r>
    </w:p>
    <w:sectPr>
      <w:headerReference r:id="rId7" w:type="default"/>
      <w:footerReference r:id="rId8" w:type="default"/>
      <w:pgSz w:w="11905" w:h="16838"/>
      <w:pgMar w:top="1134" w:right="1134" w:bottom="1134" w:left="1134" w:header="851" w:footer="992" w:gutter="0"/>
      <w:pgBorders>
        <w:top w:val="none" w:sz="0" w:space="0"/>
        <w:left w:val="none" w:sz="0" w:space="0"/>
        <w:bottom w:val="none" w:sz="0" w:space="0"/>
        <w:right w:val="none" w:sz="0" w:space="0"/>
      </w:pgBorders>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FBA347A-174C-4D7E-94EB-0BDF8AA44F6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15ECA1E-8F24-49E8-95D6-0AD192E49E0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BB83722-434D-453A-8A0B-B723205E425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024F46EC-74BC-4CF2-B55D-7F5FCE2C8FC8}"/>
  </w:font>
  <w:font w:name="Wingdings 2">
    <w:altName w:val="Wingdings"/>
    <w:panose1 w:val="05020102010507070707"/>
    <w:charset w:val="4D"/>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embedRegular r:id="rId5" w:fontKey="{1E9839E1-6789-45C3-AA11-FCDD4421B2D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400B0">
    <w:pPr>
      <w:pStyle w:val="11"/>
      <w:jc w:val="center"/>
    </w:pPr>
    <w:r>
      <w:rPr>
        <w:rStyle w:val="20"/>
        <w:rFonts w:hint="eastAsia"/>
      </w:rPr>
      <w:t>第</w:t>
    </w:r>
    <w:r>
      <w:rPr>
        <w:rStyle w:val="20"/>
      </w:rPr>
      <w:fldChar w:fldCharType="begin"/>
    </w:r>
    <w:r>
      <w:rPr>
        <w:rStyle w:val="20"/>
      </w:rPr>
      <w:instrText xml:space="preserve"> </w:instrText>
    </w:r>
    <w:r>
      <w:rPr>
        <w:rStyle w:val="20"/>
        <w:rFonts w:hint="eastAsia"/>
      </w:rPr>
      <w:instrText xml:space="preserve">PAGE  \* MERGEFORMAT</w:instrText>
    </w:r>
    <w:r>
      <w:rPr>
        <w:rStyle w:val="20"/>
      </w:rPr>
      <w:instrText xml:space="preserve"> </w:instrText>
    </w:r>
    <w:r>
      <w:rPr>
        <w:rStyle w:val="20"/>
      </w:rPr>
      <w:fldChar w:fldCharType="separate"/>
    </w:r>
    <w:r>
      <w:rPr>
        <w:rStyle w:val="20"/>
      </w:rPr>
      <w:t>5</w:t>
    </w:r>
    <w:r>
      <w:rPr>
        <w:rStyle w:val="20"/>
      </w:rPr>
      <w:fldChar w:fldCharType="end"/>
    </w:r>
    <w:r>
      <w:rPr>
        <w:rStyle w:val="20"/>
        <w:rFonts w:hint="eastAsia"/>
      </w:rPr>
      <w:t>页/共</w:t>
    </w:r>
    <w:r>
      <w:rPr>
        <w:rStyle w:val="20"/>
        <w:rFonts w:hint="eastAsia"/>
        <w:lang w:val="en-US" w:eastAsia="zh-CN"/>
      </w:rPr>
      <w:t>34</w:t>
    </w:r>
    <w:r>
      <w:rPr>
        <w:rStyle w:val="20"/>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7E7D82">
                          <w:pPr>
                            <w:pStyle w:val="11"/>
                            <w:rPr>
                              <w:rFonts w:hint="default" w:eastAsiaTheme="minorEastAsia"/>
                              <w:lang w:val="en-US" w:eastAsia="zh-CN"/>
                            </w:rPr>
                          </w:pPr>
                          <w:r>
                            <w:rPr>
                              <w:rFonts w:hint="eastAsia"/>
                              <w:lang w:val="en-US" w:eastAsia="zh-CN"/>
                            </w:rPr>
                            <w:t>第</w:t>
                          </w:r>
                          <w:r>
                            <w:fldChar w:fldCharType="begin"/>
                          </w:r>
                          <w:r>
                            <w:instrText xml:space="preserve"> PAGE  \* MERGEFORMAT </w:instrText>
                          </w:r>
                          <w:r>
                            <w:fldChar w:fldCharType="separate"/>
                          </w:r>
                          <w:r>
                            <w:t>1</w:t>
                          </w:r>
                          <w:r>
                            <w:fldChar w:fldCharType="end"/>
                          </w:r>
                          <w:r>
                            <w:rPr>
                              <w:rFonts w:hint="eastAsia"/>
                              <w:lang w:val="en-US" w:eastAsia="zh-CN"/>
                            </w:rPr>
                            <w:t>页/共34页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87E7D82">
                    <w:pPr>
                      <w:pStyle w:val="11"/>
                      <w:rPr>
                        <w:rFonts w:hint="default" w:eastAsiaTheme="minorEastAsia"/>
                        <w:lang w:val="en-US" w:eastAsia="zh-CN"/>
                      </w:rPr>
                    </w:pPr>
                    <w:r>
                      <w:rPr>
                        <w:rFonts w:hint="eastAsia"/>
                        <w:lang w:val="en-US" w:eastAsia="zh-CN"/>
                      </w:rPr>
                      <w:t>第</w:t>
                    </w:r>
                    <w:r>
                      <w:fldChar w:fldCharType="begin"/>
                    </w:r>
                    <w:r>
                      <w:instrText xml:space="preserve"> PAGE  \* MERGEFORMAT </w:instrText>
                    </w:r>
                    <w:r>
                      <w:fldChar w:fldCharType="separate"/>
                    </w:r>
                    <w:r>
                      <w:t>1</w:t>
                    </w:r>
                    <w:r>
                      <w:fldChar w:fldCharType="end"/>
                    </w:r>
                    <w:r>
                      <w:rPr>
                        <w:rFonts w:hint="eastAsia"/>
                        <w:lang w:val="en-US" w:eastAsia="zh-CN"/>
                      </w:rPr>
                      <w:t>页/共34页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76D1EC1"/>
    <w:multiLevelType w:val="multilevel"/>
    <w:tmpl w:val="376D1EC1"/>
    <w:lvl w:ilvl="0" w:tentative="0">
      <w:start w:val="1"/>
      <w:numFmt w:val="decimal"/>
      <w:lvlText w:val="%1."/>
      <w:lvlJc w:val="left"/>
      <w:pPr>
        <w:ind w:left="170" w:hanging="170"/>
      </w:pPr>
      <w:rPr>
        <w:rFonts w:hint="default" w:ascii="Times New Roman" w:hAnsi="Times New Roman"/>
        <w:b w:val="0"/>
        <w:i w:val="0"/>
        <w:sz w:val="21"/>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47E1C92"/>
    <w:multiLevelType w:val="multilevel"/>
    <w:tmpl w:val="547E1C92"/>
    <w:lvl w:ilvl="0" w:tentative="0">
      <w:start w:val="1"/>
      <w:numFmt w:val="decimal"/>
      <w:lvlText w:val="（%1）"/>
      <w:lvlJc w:val="left"/>
      <w:pPr>
        <w:ind w:left="907" w:hanging="623"/>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8"/>
  </w:num>
  <w:num w:numId="4">
    <w:abstractNumId w:val="28"/>
  </w:num>
  <w:num w:numId="5">
    <w:abstractNumId w:val="13"/>
  </w:num>
  <w:num w:numId="6">
    <w:abstractNumId w:val="23"/>
  </w:num>
  <w:num w:numId="7">
    <w:abstractNumId w:val="17"/>
  </w:num>
  <w:num w:numId="8">
    <w:abstractNumId w:val="3"/>
  </w:num>
  <w:num w:numId="9">
    <w:abstractNumId w:val="2"/>
  </w:num>
  <w:num w:numId="10">
    <w:abstractNumId w:val="1"/>
  </w:num>
  <w:num w:numId="11">
    <w:abstractNumId w:val="5"/>
  </w:num>
  <w:num w:numId="12">
    <w:abstractNumId w:val="0"/>
  </w:num>
  <w:num w:numId="13">
    <w:abstractNumId w:val="16"/>
  </w:num>
  <w:num w:numId="14">
    <w:abstractNumId w:val="20"/>
  </w:num>
  <w:num w:numId="15">
    <w:abstractNumId w:val="12"/>
  </w:num>
  <w:num w:numId="16">
    <w:abstractNumId w:val="24"/>
  </w:num>
  <w:num w:numId="17">
    <w:abstractNumId w:val="27"/>
  </w:num>
  <w:num w:numId="18">
    <w:abstractNumId w:val="21"/>
  </w:num>
  <w:num w:numId="19">
    <w:abstractNumId w:val="9"/>
  </w:num>
  <w:num w:numId="20">
    <w:abstractNumId w:val="7"/>
  </w:num>
  <w:num w:numId="21">
    <w:abstractNumId w:val="25"/>
  </w:num>
  <w:num w:numId="22">
    <w:abstractNumId w:val="19"/>
  </w:num>
  <w:num w:numId="23">
    <w:abstractNumId w:val="8"/>
  </w:num>
  <w:num w:numId="24">
    <w:abstractNumId w:val="11"/>
  </w:num>
  <w:num w:numId="25">
    <w:abstractNumId w:val="26"/>
  </w:num>
  <w:num w:numId="26">
    <w:abstractNumId w:val="6"/>
  </w:num>
  <w:num w:numId="27">
    <w:abstractNumId w:val="22"/>
  </w:num>
  <w:num w:numId="28">
    <w:abstractNumId w:val="10"/>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58C78B0"/>
    <w:rsid w:val="05E13064"/>
    <w:rsid w:val="078A573C"/>
    <w:rsid w:val="093A3733"/>
    <w:rsid w:val="0AA7304A"/>
    <w:rsid w:val="0B4508AE"/>
    <w:rsid w:val="0CF161C9"/>
    <w:rsid w:val="0E0B7FF0"/>
    <w:rsid w:val="0E3876B0"/>
    <w:rsid w:val="10CD5191"/>
    <w:rsid w:val="117A5014"/>
    <w:rsid w:val="121F1DDC"/>
    <w:rsid w:val="127F05A0"/>
    <w:rsid w:val="136D78F8"/>
    <w:rsid w:val="13E46BAF"/>
    <w:rsid w:val="144D6A10"/>
    <w:rsid w:val="15CC4977"/>
    <w:rsid w:val="162A4F7D"/>
    <w:rsid w:val="16A82A66"/>
    <w:rsid w:val="1914392F"/>
    <w:rsid w:val="1994787E"/>
    <w:rsid w:val="1B617245"/>
    <w:rsid w:val="1C284952"/>
    <w:rsid w:val="1DD000AF"/>
    <w:rsid w:val="1E09745A"/>
    <w:rsid w:val="1FD77AD6"/>
    <w:rsid w:val="20D83B05"/>
    <w:rsid w:val="219E6AFD"/>
    <w:rsid w:val="23C335AC"/>
    <w:rsid w:val="23D4489F"/>
    <w:rsid w:val="24170DE9"/>
    <w:rsid w:val="261521C7"/>
    <w:rsid w:val="262001B9"/>
    <w:rsid w:val="274526B5"/>
    <w:rsid w:val="27B87AF9"/>
    <w:rsid w:val="27E80EA9"/>
    <w:rsid w:val="280414A1"/>
    <w:rsid w:val="28570368"/>
    <w:rsid w:val="286A598B"/>
    <w:rsid w:val="29C5318E"/>
    <w:rsid w:val="2B502F98"/>
    <w:rsid w:val="2C9A0A9E"/>
    <w:rsid w:val="2D1C7470"/>
    <w:rsid w:val="2D4C1EE7"/>
    <w:rsid w:val="2DA70D65"/>
    <w:rsid w:val="2E5C3FC8"/>
    <w:rsid w:val="313A6212"/>
    <w:rsid w:val="326C31F7"/>
    <w:rsid w:val="32EF3BEE"/>
    <w:rsid w:val="33A663C1"/>
    <w:rsid w:val="3427766B"/>
    <w:rsid w:val="343706EB"/>
    <w:rsid w:val="351A08D0"/>
    <w:rsid w:val="36334CE5"/>
    <w:rsid w:val="3A551407"/>
    <w:rsid w:val="3B033C36"/>
    <w:rsid w:val="3C5E62B4"/>
    <w:rsid w:val="3D3C1506"/>
    <w:rsid w:val="3E5D4E8E"/>
    <w:rsid w:val="3FE05BB7"/>
    <w:rsid w:val="3FE25336"/>
    <w:rsid w:val="41596145"/>
    <w:rsid w:val="42075FF8"/>
    <w:rsid w:val="42842020"/>
    <w:rsid w:val="43EE47BE"/>
    <w:rsid w:val="44054362"/>
    <w:rsid w:val="451E4270"/>
    <w:rsid w:val="468567BB"/>
    <w:rsid w:val="4782487D"/>
    <w:rsid w:val="4B31068E"/>
    <w:rsid w:val="4BA55220"/>
    <w:rsid w:val="4BAD0151"/>
    <w:rsid w:val="4C8F75A2"/>
    <w:rsid w:val="4DAD4403"/>
    <w:rsid w:val="4E8C008E"/>
    <w:rsid w:val="4FC21359"/>
    <w:rsid w:val="4FEF758C"/>
    <w:rsid w:val="50771A9C"/>
    <w:rsid w:val="51C47F6D"/>
    <w:rsid w:val="52543730"/>
    <w:rsid w:val="5455382C"/>
    <w:rsid w:val="55C67A47"/>
    <w:rsid w:val="56694C24"/>
    <w:rsid w:val="5AF10EA5"/>
    <w:rsid w:val="5D0A3490"/>
    <w:rsid w:val="5D5A404E"/>
    <w:rsid w:val="5D7E0D39"/>
    <w:rsid w:val="5E9D3F29"/>
    <w:rsid w:val="5FA70F2F"/>
    <w:rsid w:val="60384CD1"/>
    <w:rsid w:val="60655808"/>
    <w:rsid w:val="624318C1"/>
    <w:rsid w:val="63A9427A"/>
    <w:rsid w:val="63D462B1"/>
    <w:rsid w:val="63EB2F4C"/>
    <w:rsid w:val="641A3596"/>
    <w:rsid w:val="64D96647"/>
    <w:rsid w:val="655B51E5"/>
    <w:rsid w:val="65E40ADA"/>
    <w:rsid w:val="66330B86"/>
    <w:rsid w:val="66E22203"/>
    <w:rsid w:val="67254250"/>
    <w:rsid w:val="68AD6BF3"/>
    <w:rsid w:val="68B812C9"/>
    <w:rsid w:val="68DE733A"/>
    <w:rsid w:val="692F585A"/>
    <w:rsid w:val="69D50CF4"/>
    <w:rsid w:val="6C487AFD"/>
    <w:rsid w:val="6C4A5E6C"/>
    <w:rsid w:val="6CB24363"/>
    <w:rsid w:val="6D3276C6"/>
    <w:rsid w:val="6EA93466"/>
    <w:rsid w:val="6FCF0795"/>
    <w:rsid w:val="71381023"/>
    <w:rsid w:val="71724535"/>
    <w:rsid w:val="73714961"/>
    <w:rsid w:val="754D1D92"/>
    <w:rsid w:val="758350A9"/>
    <w:rsid w:val="75E80198"/>
    <w:rsid w:val="78EF290F"/>
    <w:rsid w:val="78F80721"/>
    <w:rsid w:val="7A4E39B4"/>
    <w:rsid w:val="7B560FD7"/>
    <w:rsid w:val="7B5F74F8"/>
    <w:rsid w:val="7B690630"/>
    <w:rsid w:val="7C5123F4"/>
    <w:rsid w:val="7C630EA1"/>
    <w:rsid w:val="7C820CF7"/>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annotation subject"/>
    <w:basedOn w:val="6"/>
    <w:next w:val="6"/>
    <w:link w:val="36"/>
    <w:qFormat/>
    <w:uiPriority w:val="0"/>
    <w:rPr>
      <w:b/>
      <w:bCs/>
    </w:rPr>
  </w:style>
  <w:style w:type="paragraph" w:styleId="15">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6">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semiHidden/>
    <w:qFormat/>
    <w:uiPriority w:val="0"/>
  </w:style>
  <w:style w:type="character" w:styleId="21">
    <w:name w:val="annotation reference"/>
    <w:basedOn w:val="19"/>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5"/>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6"/>
    <w:qFormat/>
    <w:uiPriority w:val="99"/>
    <w:rPr>
      <w:rFonts w:ascii="宋体" w:hAnsi="Times New Roman"/>
      <w:kern w:val="0"/>
      <w:sz w:val="21"/>
      <w:szCs w:val="24"/>
    </w:rPr>
  </w:style>
  <w:style w:type="character" w:customStyle="1" w:styleId="35">
    <w:name w:val="Comment Text Char"/>
    <w:basedOn w:val="19"/>
    <w:link w:val="6"/>
    <w:qFormat/>
    <w:uiPriority w:val="0"/>
    <w:rPr>
      <w:kern w:val="2"/>
      <w:sz w:val="21"/>
      <w:szCs w:val="22"/>
    </w:rPr>
  </w:style>
  <w:style w:type="character" w:customStyle="1" w:styleId="36">
    <w:name w:val="Comment Subject Char"/>
    <w:basedOn w:val="35"/>
    <w:link w:val="14"/>
    <w:qFormat/>
    <w:uiPriority w:val="0"/>
    <w:rPr>
      <w:b/>
      <w:bCs/>
      <w:kern w:val="2"/>
      <w:sz w:val="21"/>
      <w:szCs w:val="22"/>
    </w:rPr>
  </w:style>
  <w:style w:type="character" w:customStyle="1" w:styleId="37">
    <w:name w:val="Balloon Text Char"/>
    <w:basedOn w:val="19"/>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paragraph" w:customStyle="1" w:styleId="39">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1183</Words>
  <Characters>1263</Characters>
  <Lines>67</Lines>
  <Paragraphs>19</Paragraphs>
  <TotalTime>9</TotalTime>
  <ScaleCrop>false</ScaleCrop>
  <LinksUpToDate>false</LinksUpToDate>
  <CharactersWithSpaces>1342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Present</cp:lastModifiedBy>
  <dcterms:modified xsi:type="dcterms:W3CDTF">2025-11-11T00:52:07Z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859CEBF4C0DE4B47A1E2999C93BD0708_13</vt:lpwstr>
  </property>
  <property fmtid="{D5CDD505-2E9C-101B-9397-08002B2CF9AE}" pid="4" name="KSOTemplateDocerSaveRecord">
    <vt:lpwstr>eyJoZGlkIjoiOTkyMTAwNWNkOWQxN2M2ZGU0YTllNDJiNjQ2ZjgyNjkiLCJ1c2VySWQiOiIxNDQzMjY4NTA4In0=</vt:lpwstr>
  </property>
</Properties>
</file>