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四川省人民医院移动护理运维服务采购项目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3240"/>
      <w:bookmarkStart w:id="1" w:name="_Toc20358"/>
      <w:bookmarkStart w:id="2" w:name="_Toc62832406"/>
      <w:bookmarkStart w:id="3" w:name="_Toc1907"/>
      <w:bookmarkStart w:id="4" w:name="_Toc21919"/>
      <w:bookmarkStart w:id="5" w:name="_Toc471310326"/>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四川省人民医院移动护理运维服务采购项目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仿宋" w:hAnsi="仿宋" w:eastAsia="仿宋" w:cs="仿宋"/>
                <w:b w:val="0"/>
                <w:bCs w:val="0"/>
                <w:sz w:val="22"/>
                <w:lang w:val="en-US" w:eastAsia="zh-CN"/>
              </w:rPr>
              <w:t>CGZX-YXX20261374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hint="eastAsia" w:ascii="仿宋" w:hAnsi="仿宋" w:eastAsia="仿宋" w:cs="仿宋"/>
                <w:kern w:val="0"/>
                <w:sz w:val="22"/>
                <w:szCs w:val="22"/>
                <w:lang w:val="zh-CN"/>
              </w:rPr>
            </w:pPr>
            <w:r>
              <w:rPr>
                <w:rFonts w:hint="eastAsia" w:ascii="仿宋" w:hAnsi="仿宋" w:eastAsia="仿宋" w:cs="仿宋"/>
                <w:kern w:val="0"/>
                <w:sz w:val="22"/>
                <w:szCs w:val="22"/>
                <w:lang w:val="zh-CN"/>
              </w:rPr>
              <w:t>最高限价</w:t>
            </w:r>
          </w:p>
        </w:tc>
        <w:tc>
          <w:tcPr>
            <w:tcW w:w="6674" w:type="dxa"/>
            <w:vAlign w:val="center"/>
          </w:tcPr>
          <w:p w14:paraId="49C07E1E">
            <w:pPr>
              <w:spacing w:line="360" w:lineRule="auto"/>
              <w:ind w:left="210" w:leftChars="100"/>
              <w:rPr>
                <w:rFonts w:hint="eastAsia" w:ascii="仿宋" w:hAnsi="仿宋" w:eastAsia="仿宋" w:cs="仿宋"/>
                <w:sz w:val="22"/>
                <w:szCs w:val="22"/>
                <w:lang w:val="en-US" w:eastAsia="zh-CN"/>
              </w:rPr>
            </w:pPr>
            <w:r>
              <w:rPr>
                <w:rFonts w:hint="eastAsia" w:ascii="仿宋" w:hAnsi="仿宋" w:eastAsia="仿宋" w:cs="仿宋"/>
                <w:sz w:val="22"/>
                <w:szCs w:val="22"/>
              </w:rPr>
              <w:t>人民币</w:t>
            </w:r>
            <w:r>
              <w:rPr>
                <w:rFonts w:hint="eastAsia" w:ascii="仿宋" w:hAnsi="仿宋" w:eastAsia="仿宋" w:cs="仿宋"/>
                <w:sz w:val="22"/>
                <w:szCs w:val="22"/>
                <w:lang w:val="en-US" w:eastAsia="zh-CN"/>
              </w:rPr>
              <w:t>26.5万</w:t>
            </w:r>
            <w:r>
              <w:rPr>
                <w:rFonts w:hint="eastAsia" w:ascii="仿宋" w:hAnsi="仿宋" w:eastAsia="仿宋" w:cs="仿宋"/>
                <w:sz w:val="22"/>
                <w:szCs w:val="22"/>
              </w:rPr>
              <w:t>元</w:t>
            </w:r>
            <w:r>
              <w:rPr>
                <w:rFonts w:hint="eastAsia" w:ascii="仿宋" w:hAnsi="仿宋" w:eastAsia="仿宋" w:cs="仿宋"/>
                <w:sz w:val="22"/>
                <w:szCs w:val="22"/>
                <w:lang w:val="en-US" w:eastAsia="zh-CN"/>
              </w:rPr>
              <w:t>。</w:t>
            </w:r>
          </w:p>
          <w:p w14:paraId="2F4C1157">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lang w:val="en-US" w:eastAsia="zh-CN"/>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hint="eastAsia" w:ascii="仿宋" w:hAnsi="仿宋" w:eastAsia="仿宋" w:cs="仿宋"/>
                <w:kern w:val="0"/>
                <w:sz w:val="22"/>
                <w:szCs w:val="22"/>
                <w:lang w:val="zh-CN"/>
              </w:rPr>
            </w:pPr>
            <w:r>
              <w:rPr>
                <w:rFonts w:hint="eastAsia" w:ascii="仿宋" w:hAnsi="仿宋" w:eastAsia="仿宋" w:cs="仿宋"/>
                <w:kern w:val="0"/>
                <w:sz w:val="22"/>
                <w:szCs w:val="22"/>
              </w:rPr>
              <w:t>邀请</w:t>
            </w:r>
            <w:r>
              <w:rPr>
                <w:rFonts w:hint="eastAsia" w:ascii="仿宋" w:hAnsi="仿宋" w:eastAsia="仿宋" w:cs="仿宋"/>
                <w:kern w:val="0"/>
                <w:sz w:val="22"/>
                <w:szCs w:val="22"/>
                <w:lang w:val="zh-CN"/>
              </w:rPr>
              <w:t>方式</w:t>
            </w:r>
          </w:p>
        </w:tc>
        <w:tc>
          <w:tcPr>
            <w:tcW w:w="6674" w:type="dxa"/>
            <w:vAlign w:val="center"/>
          </w:tcPr>
          <w:p w14:paraId="4B5D5EC2">
            <w:pPr>
              <w:spacing w:line="360" w:lineRule="auto"/>
              <w:ind w:left="210" w:leftChars="100"/>
              <w:rPr>
                <w:rFonts w:hint="eastAsia" w:ascii="仿宋" w:hAnsi="仿宋" w:eastAsia="仿宋" w:cs="仿宋"/>
                <w:sz w:val="22"/>
                <w:szCs w:val="22"/>
                <w:lang w:eastAsia="zh-CN"/>
              </w:rPr>
            </w:pPr>
            <w:r>
              <w:rPr>
                <w:rFonts w:hint="eastAsia" w:ascii="仿宋" w:hAnsi="仿宋" w:eastAsia="仿宋" w:cs="仿宋"/>
                <w:sz w:val="22"/>
                <w:szCs w:val="22"/>
              </w:rPr>
              <w:t>公告方式：四川省人民医院官方网站上以公告形式发布</w:t>
            </w:r>
            <w:r>
              <w:rPr>
                <w:rFonts w:hint="eastAsia" w:ascii="仿宋" w:hAnsi="仿宋" w:eastAsia="仿宋" w:cs="仿宋"/>
                <w:sz w:val="22"/>
                <w:szCs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1CD0C089">
            <w:pPr>
              <w:pStyle w:val="28"/>
              <w:numPr>
                <w:ilvl w:val="0"/>
                <w:numId w:val="0"/>
              </w:numPr>
              <w:tabs>
                <w:tab w:val="left" w:pos="218"/>
              </w:tabs>
              <w:spacing w:line="360" w:lineRule="auto"/>
              <w:ind w:leftChars="104"/>
              <w:jc w:val="both"/>
              <w:rPr>
                <w:rFonts w:ascii="Times New Roman" w:hAnsi="Times New Roman" w:eastAsia="仿宋" w:cs="Times New Roman"/>
                <w:sz w:val="22"/>
                <w:szCs w:val="22"/>
              </w:rPr>
            </w:pPr>
            <w:r>
              <w:rPr>
                <w:rFonts w:hint="eastAsia" w:ascii="Times New Roman" w:hAnsi="Times New Roman" w:eastAsia="仿宋" w:cs="Times New Roman"/>
                <w:sz w:val="22"/>
                <w:szCs w:val="22"/>
              </w:rPr>
              <w:sym w:font="Wingdings" w:char="00A8"/>
            </w:r>
            <w:r>
              <w:rPr>
                <w:rFonts w:hint="eastAsia" w:ascii="Times New Roman" w:hAnsi="Times New Roman" w:eastAsia="仿宋" w:cs="Times New Roman"/>
                <w:sz w:val="22"/>
                <w:szCs w:val="22"/>
              </w:rPr>
              <w:t>收取</w:t>
            </w:r>
          </w:p>
          <w:p w14:paraId="0F771746">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1.</w:t>
            </w:r>
            <w:r>
              <w:rPr>
                <w:rFonts w:hint="eastAsia"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合同总价10%（逾期未缴纳履约保证金，视为自动放弃成交资格。）</w:t>
            </w:r>
          </w:p>
          <w:p w14:paraId="2228C67C">
            <w:pPr>
              <w:pStyle w:val="28"/>
              <w:numPr>
                <w:ilvl w:val="0"/>
                <w:numId w:val="0"/>
              </w:numPr>
              <w:tabs>
                <w:tab w:val="left" w:pos="218"/>
              </w:tabs>
              <w:spacing w:line="360" w:lineRule="auto"/>
              <w:ind w:leftChars="104"/>
              <w:jc w:val="both"/>
              <w:rPr>
                <w:rFonts w:hint="eastAsia" w:ascii="Times New Roman" w:hAnsi="Times New Roman" w:eastAsia="仿宋" w:cs="Times New Roman"/>
                <w:sz w:val="22"/>
                <w:szCs w:val="22"/>
                <w:lang w:val="zh-CN" w:eastAsia="zh-CN"/>
              </w:rPr>
            </w:pPr>
            <w:r>
              <w:rPr>
                <w:rFonts w:hint="default" w:ascii="Times New Roman" w:hAnsi="Times New Roman" w:eastAsia="仿宋" w:cs="Times New Roman"/>
                <w:sz w:val="22"/>
                <w:szCs w:val="22"/>
                <w:lang w:val="zh-CN" w:eastAsia="zh-CN"/>
              </w:rPr>
              <w:t>2.</w:t>
            </w:r>
            <w:r>
              <w:rPr>
                <w:rFonts w:hint="eastAsia"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履约保证金可以以支票、汇票、本票或者金融机构出具的保函等非现金形式提交（包括网银转账，电汇等方式）。</w:t>
            </w:r>
          </w:p>
          <w:p w14:paraId="66C48130">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收款单位、开户行、银行账号签订合同前同采购人约定；</w:t>
            </w:r>
          </w:p>
          <w:p w14:paraId="1B9D0773">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(1)</w:t>
            </w:r>
            <w:r>
              <w:rPr>
                <w:rFonts w:hint="eastAsia" w:ascii="Times New Roman" w:hAnsi="Times New Roman" w:eastAsia="仿宋" w:cs="Times New Roman"/>
                <w:sz w:val="22"/>
                <w:szCs w:val="22"/>
                <w:lang w:val="zh-CN"/>
              </w:rPr>
              <w:t>收款单位：四川省人民医院</w:t>
            </w:r>
          </w:p>
          <w:p w14:paraId="723387AA">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(2)</w:t>
            </w:r>
            <w:r>
              <w:rPr>
                <w:rFonts w:hint="eastAsia" w:ascii="Times New Roman" w:hAnsi="Times New Roman" w:eastAsia="仿宋" w:cs="Times New Roman"/>
                <w:sz w:val="22"/>
                <w:szCs w:val="22"/>
                <w:lang w:val="zh-CN"/>
              </w:rPr>
              <w:t>开户行：建设银行成都青羊支行</w:t>
            </w:r>
          </w:p>
          <w:p w14:paraId="3DE86A23">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(3)</w:t>
            </w:r>
            <w:r>
              <w:rPr>
                <w:rFonts w:hint="eastAsia" w:ascii="Times New Roman" w:hAnsi="Times New Roman" w:eastAsia="仿宋" w:cs="Times New Roman"/>
                <w:sz w:val="22"/>
                <w:szCs w:val="22"/>
                <w:lang w:val="zh-CN"/>
              </w:rPr>
              <w:t>银行账号：5100 1446 4360 5037 4282</w:t>
            </w:r>
          </w:p>
          <w:p w14:paraId="183C916A">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3.</w:t>
            </w:r>
            <w:r>
              <w:rPr>
                <w:rFonts w:hint="eastAsia" w:ascii="Times New Roman" w:hAnsi="Times New Roman" w:eastAsia="仿宋" w:cs="Times New Roman"/>
                <w:sz w:val="22"/>
                <w:szCs w:val="22"/>
                <w:lang w:val="zh-CN"/>
              </w:rPr>
              <w:t>交款时间：</w:t>
            </w:r>
          </w:p>
          <w:p w14:paraId="66A35B09">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合同生效后7个工作日内</w:t>
            </w:r>
            <w:r>
              <w:rPr>
                <w:rFonts w:hint="eastAsia" w:ascii="Times New Roman" w:hAnsi="Times New Roman" w:eastAsia="仿宋" w:cs="Times New Roman"/>
                <w:sz w:val="22"/>
                <w:szCs w:val="22"/>
                <w:lang w:val="zh-CN"/>
              </w:rPr>
              <w:t>；</w:t>
            </w:r>
          </w:p>
          <w:p w14:paraId="23E845B5">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sym w:font="Wingdings" w:char="00A8"/>
            </w:r>
            <w:r>
              <w:rPr>
                <w:rFonts w:hint="eastAsia" w:ascii="Times New Roman" w:hAnsi="Times New Roman" w:eastAsia="仿宋" w:cs="Times New Roman"/>
                <w:sz w:val="22"/>
                <w:szCs w:val="22"/>
              </w:rPr>
              <w:t>成交公告发出后7个</w:t>
            </w:r>
            <w:r>
              <w:rPr>
                <w:rFonts w:hint="eastAsia" w:ascii="Times New Roman" w:hAnsi="Times New Roman" w:eastAsia="仿宋" w:cs="Times New Roman"/>
                <w:sz w:val="22"/>
                <w:szCs w:val="22"/>
                <w:lang w:val="zh-CN"/>
              </w:rPr>
              <w:t>工作日内。</w:t>
            </w:r>
          </w:p>
          <w:p w14:paraId="20C6F7A3">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4.</w:t>
            </w:r>
            <w:r>
              <w:rPr>
                <w:rFonts w:hint="eastAsia"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项目验收合格且服务期结束12个月后，供应商向采购人提交退款申请及相应票据，采购人在 60 工作日内将履约保证金扣减考核金额（如涉及考核）后一次性无息退还</w:t>
            </w:r>
            <w:r>
              <w:rPr>
                <w:rFonts w:hint="eastAsia" w:ascii="Times New Roman" w:hAnsi="Times New Roman" w:eastAsia="仿宋" w:cs="Times New Roman"/>
                <w:sz w:val="22"/>
                <w:szCs w:val="22"/>
                <w:lang w:val="zh-CN"/>
              </w:rPr>
              <w:t>；</w:t>
            </w:r>
          </w:p>
          <w:p w14:paraId="0C16FB9D">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5.</w:t>
            </w:r>
            <w:r>
              <w:rPr>
                <w:rFonts w:hint="eastAsia" w:ascii="Times New Roman" w:hAnsi="Times New Roman" w:eastAsia="仿宋" w:cs="Times New Roman"/>
                <w:sz w:val="22"/>
                <w:szCs w:val="22"/>
                <w:lang w:val="zh-CN"/>
              </w:rPr>
              <w:t>履约保证金不予退还情形：</w:t>
            </w:r>
          </w:p>
          <w:p w14:paraId="68BF6FE1">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(1)供应商拒绝履行与采购人订立的合同</w:t>
            </w:r>
            <w:r>
              <w:rPr>
                <w:rFonts w:hint="eastAsia" w:ascii="Times New Roman" w:hAnsi="Times New Roman" w:eastAsia="仿宋" w:cs="Times New Roman"/>
                <w:sz w:val="22"/>
                <w:szCs w:val="22"/>
                <w:lang w:val="zh-CN"/>
              </w:rPr>
              <w:t>；</w:t>
            </w:r>
          </w:p>
          <w:p w14:paraId="04D955DB">
            <w:pPr>
              <w:pStyle w:val="28"/>
              <w:numPr>
                <w:ilvl w:val="0"/>
                <w:numId w:val="0"/>
              </w:numPr>
              <w:tabs>
                <w:tab w:val="left" w:pos="218"/>
              </w:tabs>
              <w:spacing w:line="360" w:lineRule="auto"/>
              <w:ind w:leftChars="104"/>
              <w:jc w:val="both"/>
              <w:rPr>
                <w:rFonts w:ascii="Times New Roman" w:hAnsi="Times New Roman" w:eastAsia="仿宋" w:cs="Times New Roman"/>
                <w:sz w:val="22"/>
                <w:szCs w:val="22"/>
              </w:rPr>
            </w:pPr>
            <w:r>
              <w:rPr>
                <w:rFonts w:hint="default" w:ascii="Times New Roman" w:hAnsi="Times New Roman" w:eastAsia="仿宋" w:cs="Times New Roman"/>
                <w:sz w:val="22"/>
                <w:szCs w:val="22"/>
                <w:lang w:val="zh-CN" w:eastAsia="zh-CN"/>
              </w:rPr>
              <w:t>(2)因供应商严重违约或其它违法违规行为等情形，导致双方无法继续履约</w:t>
            </w:r>
            <w:r>
              <w:rPr>
                <w:rFonts w:hint="eastAsia"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2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7D71E93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4"/>
                <w:szCs w:val="24"/>
              </w:rPr>
              <w:t>综合评分法</w:t>
            </w:r>
          </w:p>
          <w:p w14:paraId="579FA05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通过资格、符合性审查且满足谈判文件全部实质性要求的供应商达到3家以上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且谈判文</w:t>
            </w:r>
            <w:r>
              <w:rPr>
                <w:rFonts w:ascii="Times New Roman" w:hAnsi="Times New Roman" w:eastAsia="仿宋" w:cs="Times New Roman"/>
                <w:sz w:val="24"/>
                <w:szCs w:val="24"/>
              </w:rPr>
              <w:t>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w:t>
            </w:r>
            <w:r>
              <w:rPr>
                <w:rFonts w:ascii="Times New Roman" w:hAnsi="Times New Roman" w:eastAsia="仿宋" w:cs="Times New Roman"/>
                <w:sz w:val="24"/>
                <w:szCs w:val="24"/>
              </w:rPr>
              <w:t>符合规定的，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可以继续开展采购活动。谈判小组按照评审因素进行评分，得分最高的供应商为成交供应商</w:t>
            </w: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rPr>
              <w:t>若得分相同则报价最低的为成</w:t>
            </w:r>
            <w:r>
              <w:rPr>
                <w:rFonts w:hint="eastAsia" w:ascii="Times New Roman" w:hAnsi="Times New Roman" w:eastAsia="仿宋" w:cs="Times New Roman"/>
                <w:sz w:val="24"/>
                <w:szCs w:val="24"/>
              </w:rPr>
              <w:t>交供应商。若得分相同且报价亦相同，则采取随机抽取的方式确定成交供应商。</w:t>
            </w:r>
          </w:p>
          <w:p w14:paraId="354363C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FE"/>
            </w:r>
            <w:r>
              <w:rPr>
                <w:rFonts w:ascii="Times New Roman" w:hAnsi="Times New Roman" w:eastAsia="仿宋" w:cs="Times New Roman"/>
                <w:sz w:val="24"/>
                <w:szCs w:val="24"/>
              </w:rPr>
              <w:t>最低评审价法</w:t>
            </w:r>
          </w:p>
          <w:p w14:paraId="6DFB5BC6">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w:t>
            </w:r>
            <w:r>
              <w:rPr>
                <w:rFonts w:ascii="Times New Roman" w:hAnsi="Times New Roman" w:eastAsia="仿宋" w:cs="Times New Roman"/>
                <w:sz w:val="24"/>
                <w:szCs w:val="24"/>
              </w:rPr>
              <w:t>文件没有不合理条款，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亦符</w:t>
            </w:r>
            <w:r>
              <w:rPr>
                <w:rFonts w:ascii="Times New Roman" w:hAnsi="Times New Roman" w:eastAsia="仿宋" w:cs="Times New Roman"/>
                <w:sz w:val="24"/>
                <w:szCs w:val="24"/>
              </w:rPr>
              <w:t>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可以继续开展采购活动。谈判小组按照有效</w:t>
            </w:r>
            <w:r>
              <w:rPr>
                <w:rFonts w:hint="eastAsia" w:ascii="Times New Roman" w:hAnsi="Times New Roman" w:eastAsia="仿宋" w:cs="Times New Roman"/>
                <w:sz w:val="24"/>
                <w:szCs w:val="24"/>
              </w:rPr>
              <w:t>报价</w:t>
            </w:r>
            <w:r>
              <w:rPr>
                <w:rFonts w:ascii="Times New Roman" w:hAnsi="Times New Roman" w:eastAsia="仿宋" w:cs="Times New Roman"/>
                <w:sz w:val="24"/>
                <w:szCs w:val="24"/>
              </w:rPr>
              <w:t>进行评审，</w:t>
            </w:r>
            <w:r>
              <w:rPr>
                <w:rFonts w:hint="eastAsia" w:ascii="Times New Roman" w:hAnsi="Times New Roman" w:eastAsia="仿宋" w:cs="Times New Roman"/>
                <w:sz w:val="24"/>
                <w:szCs w:val="24"/>
              </w:rPr>
              <w:t>报价最低</w:t>
            </w:r>
            <w:r>
              <w:rPr>
                <w:rFonts w:ascii="Times New Roman" w:hAnsi="Times New Roman" w:eastAsia="仿宋" w:cs="Times New Roman"/>
                <w:sz w:val="24"/>
                <w:szCs w:val="24"/>
              </w:rPr>
              <w:t>的合格供应商为成交供应商。</w:t>
            </w:r>
            <w:r>
              <w:rPr>
                <w:rFonts w:hint="eastAsia" w:ascii="Times New Roman" w:hAnsi="Times New Roman" w:eastAsia="仿宋" w:cs="Times New Roman"/>
                <w:sz w:val="24"/>
                <w:szCs w:val="24"/>
                <w:lang w:val="en-US" w:eastAsia="zh-CN"/>
              </w:rPr>
              <w:t>若</w:t>
            </w:r>
            <w:r>
              <w:rPr>
                <w:rFonts w:hint="eastAsia" w:ascii="Times New Roman" w:hAnsi="Times New Roman" w:eastAsia="仿宋" w:cs="Times New Roman"/>
                <w:sz w:val="24"/>
                <w:szCs w:val="24"/>
              </w:rPr>
              <w:t>报价</w:t>
            </w:r>
            <w:r>
              <w:rPr>
                <w:rFonts w:ascii="Times New Roman" w:hAnsi="Times New Roman" w:eastAsia="仿宋" w:cs="Times New Roman"/>
                <w:sz w:val="24"/>
                <w:szCs w:val="24"/>
              </w:rPr>
              <w:t>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6"/>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6"/>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6"/>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5002D3CE">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17845E1B">
            <w:pPr>
              <w:spacing w:line="360" w:lineRule="auto"/>
              <w:ind w:left="210" w:leftChars="100"/>
              <w:rPr>
                <w:rFonts w:hint="default" w:ascii="仿宋" w:hAnsi="仿宋" w:eastAsia="仿宋" w:cs="仿宋"/>
                <w:sz w:val="22"/>
                <w:szCs w:val="22"/>
                <w:lang w:val="en-US" w:eastAsia="zh-CN"/>
              </w:rPr>
            </w:pPr>
            <w:r>
              <w:rPr>
                <w:rFonts w:hint="eastAsia" w:ascii="仿宋" w:hAnsi="仿宋" w:eastAsia="仿宋" w:cs="仿宋"/>
                <w:sz w:val="22"/>
                <w:szCs w:val="22"/>
              </w:rPr>
              <w:t>联系方式：</w:t>
            </w:r>
            <w:r>
              <w:rPr>
                <w:rFonts w:hint="eastAsia" w:ascii="仿宋" w:hAnsi="仿宋" w:eastAsia="仿宋" w:cs="仿宋"/>
                <w:sz w:val="22"/>
                <w:szCs w:val="22"/>
                <w:lang w:val="en-US" w:eastAsia="zh-CN"/>
              </w:rPr>
              <w:t>王</w:t>
            </w:r>
            <w:r>
              <w:rPr>
                <w:rFonts w:hint="eastAsia" w:ascii="仿宋" w:hAnsi="仿宋" w:eastAsia="仿宋" w:cs="仿宋"/>
                <w:sz w:val="22"/>
                <w:szCs w:val="22"/>
              </w:rPr>
              <w:t>老师</w:t>
            </w:r>
            <w:r>
              <w:rPr>
                <w:rFonts w:hint="eastAsia" w:ascii="仿宋" w:hAnsi="仿宋" w:eastAsia="仿宋" w:cs="仿宋"/>
                <w:sz w:val="22"/>
                <w:szCs w:val="22"/>
                <w:lang w:val="en-US" w:eastAsia="zh-CN"/>
              </w:rPr>
              <w:t xml:space="preserve"> </w:t>
            </w:r>
            <w:r>
              <w:rPr>
                <w:rFonts w:hint="eastAsia" w:ascii="仿宋" w:hAnsi="仿宋" w:eastAsia="仿宋" w:cs="仿宋"/>
                <w:sz w:val="22"/>
                <w:szCs w:val="22"/>
              </w:rPr>
              <w:t>028-</w:t>
            </w:r>
            <w:r>
              <w:rPr>
                <w:rFonts w:hint="eastAsia" w:ascii="仿宋" w:hAnsi="仿宋" w:eastAsia="仿宋" w:cs="仿宋"/>
                <w:sz w:val="22"/>
                <w:szCs w:val="22"/>
                <w:lang w:val="en-US" w:eastAsia="zh-CN"/>
              </w:rPr>
              <w:t>87393060</w:t>
            </w:r>
          </w:p>
          <w:p w14:paraId="4C1AE43C">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（2）归口部门：医学信息中心</w:t>
            </w:r>
          </w:p>
          <w:p w14:paraId="3EB2B501">
            <w:pPr>
              <w:spacing w:line="360" w:lineRule="auto"/>
              <w:ind w:left="210" w:leftChars="100"/>
              <w:rPr>
                <w:rFonts w:hint="eastAsia" w:ascii="仿宋" w:hAnsi="仿宋" w:eastAsia="仿宋" w:cs="仿宋"/>
                <w:sz w:val="22"/>
                <w:szCs w:val="22"/>
                <w:lang w:val="en-US" w:eastAsia="zh-CN"/>
              </w:rPr>
            </w:pPr>
            <w:r>
              <w:rPr>
                <w:rFonts w:hint="eastAsia" w:ascii="仿宋" w:hAnsi="仿宋" w:eastAsia="仿宋" w:cs="仿宋"/>
                <w:sz w:val="22"/>
                <w:szCs w:val="22"/>
              </w:rPr>
              <w:t>联系方式：</w:t>
            </w:r>
            <w:r>
              <w:rPr>
                <w:rFonts w:hint="eastAsia" w:ascii="仿宋" w:hAnsi="仿宋" w:eastAsia="仿宋" w:cs="仿宋"/>
                <w:sz w:val="22"/>
                <w:szCs w:val="22"/>
                <w:lang w:val="en-US" w:eastAsia="zh-CN"/>
              </w:rPr>
              <w:t>郭</w:t>
            </w:r>
            <w:r>
              <w:rPr>
                <w:rFonts w:hint="eastAsia" w:ascii="仿宋" w:hAnsi="仿宋" w:eastAsia="仿宋" w:cs="仿宋"/>
                <w:sz w:val="22"/>
                <w:szCs w:val="22"/>
              </w:rPr>
              <w:t>老师</w:t>
            </w:r>
            <w:r>
              <w:rPr>
                <w:rFonts w:hint="eastAsia" w:ascii="仿宋" w:hAnsi="仿宋" w:eastAsia="仿宋" w:cs="仿宋"/>
                <w:sz w:val="22"/>
                <w:szCs w:val="22"/>
                <w:lang w:val="en-US" w:eastAsia="zh-CN"/>
              </w:rPr>
              <w:t xml:space="preserve"> </w:t>
            </w:r>
            <w:r>
              <w:rPr>
                <w:rFonts w:hint="eastAsia" w:ascii="仿宋" w:hAnsi="仿宋" w:eastAsia="仿宋" w:cs="仿宋"/>
                <w:sz w:val="22"/>
                <w:szCs w:val="22"/>
              </w:rPr>
              <w:t>028-</w:t>
            </w:r>
            <w:r>
              <w:rPr>
                <w:rFonts w:hint="eastAsia" w:ascii="仿宋" w:hAnsi="仿宋" w:eastAsia="仿宋" w:cs="仿宋"/>
                <w:sz w:val="22"/>
                <w:szCs w:val="22"/>
                <w:lang w:val="en-US" w:eastAsia="zh-CN"/>
              </w:rPr>
              <w:t>87393250</w:t>
            </w:r>
          </w:p>
          <w:p w14:paraId="68D6ADB8">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（3）监督部门：审计部</w:t>
            </w:r>
          </w:p>
          <w:p w14:paraId="0ED35B31">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联系方式：028-87394709</w:t>
            </w:r>
          </w:p>
          <w:p w14:paraId="3B0CDE17">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22329"/>
      <w:bookmarkStart w:id="7" w:name="_Toc14460"/>
      <w:bookmarkStart w:id="8" w:name="_Toc24154"/>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8"/>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8"/>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19400"/>
      <w:bookmarkStart w:id="10" w:name="_Toc32181"/>
      <w:bookmarkStart w:id="11" w:name="_Toc2805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3988"/>
      <w:bookmarkStart w:id="13" w:name="_Toc16403"/>
      <w:bookmarkStart w:id="14" w:name="_Toc1266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highlight w:val="none"/>
        </w:rPr>
        <w:cr/>
      </w:r>
      <w:r>
        <w:rPr>
          <w:rFonts w:hint="eastAsia" w:ascii="仿宋" w:hAnsi="仿宋" w:eastAsia="仿宋" w:cs="仿宋"/>
          <w:sz w:val="24"/>
          <w:szCs w:val="24"/>
          <w:highlight w:val="none"/>
          <w:lang w:val="en-US" w:eastAsia="zh-CN"/>
        </w:rPr>
        <w:t>本项目拟确定一名供应商提供移动护理运维服务。</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cs="仿宋"/>
          <w:kern w:val="2"/>
          <w:sz w:val="24"/>
          <w:szCs w:val="24"/>
          <w:lang w:val="en-US" w:eastAsia="zh-CN"/>
        </w:rPr>
        <w:t>采购内容</w:t>
      </w:r>
    </w:p>
    <w:p w14:paraId="481DEF9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default"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1.采购清单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63"/>
        <w:gridCol w:w="2163"/>
        <w:gridCol w:w="3691"/>
        <w:gridCol w:w="782"/>
        <w:gridCol w:w="799"/>
        <w:gridCol w:w="1650"/>
      </w:tblGrid>
      <w:tr w14:paraId="650AF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63"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F50FF3A">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2163"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2A007A8">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项目名称</w:t>
            </w:r>
          </w:p>
        </w:tc>
        <w:tc>
          <w:tcPr>
            <w:tcW w:w="3691"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77B3A18">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详细描述</w:t>
            </w:r>
          </w:p>
        </w:tc>
        <w:tc>
          <w:tcPr>
            <w:tcW w:w="782"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7A84597">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数量</w:t>
            </w:r>
          </w:p>
        </w:tc>
        <w:tc>
          <w:tcPr>
            <w:tcW w:w="799"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16A4705">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单位</w:t>
            </w:r>
          </w:p>
        </w:tc>
        <w:tc>
          <w:tcPr>
            <w:tcW w:w="16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BBDC879">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限高单价（元）</w:t>
            </w:r>
          </w:p>
        </w:tc>
      </w:tr>
      <w:tr w14:paraId="0BC3A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6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D5BA7C7">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2163"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465BC09">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移动护理运维服务</w:t>
            </w:r>
          </w:p>
        </w:tc>
        <w:tc>
          <w:tcPr>
            <w:tcW w:w="3691"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8C04644">
            <w:pPr>
              <w:keepNext w:val="0"/>
              <w:keepLines w:val="0"/>
              <w:widowControl/>
              <w:suppressLineNumbers w:val="0"/>
              <w:autoSpaceDE w:val="0"/>
              <w:autoSpaceDN/>
              <w:spacing w:before="0" w:beforeAutospacing="1" w:after="0" w:afterAutospacing="1"/>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移动护理系统维护与升级；原系统的名称：移动护理信息系统；版本号：V6.98；生产厂家：北京远卓科技有限责任公司</w:t>
            </w:r>
          </w:p>
        </w:tc>
        <w:tc>
          <w:tcPr>
            <w:tcW w:w="78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903D322">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79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A0741C">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项</w:t>
            </w:r>
          </w:p>
        </w:tc>
        <w:tc>
          <w:tcPr>
            <w:tcW w:w="16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23BC54A">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265000</w:t>
            </w:r>
          </w:p>
        </w:tc>
      </w:tr>
    </w:tbl>
    <w:p w14:paraId="3AA5A9C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default"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2.接口清单</w:t>
      </w:r>
    </w:p>
    <w:p w14:paraId="4F5135C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default"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无。</w:t>
      </w:r>
    </w:p>
    <w:p w14:paraId="57334B7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三、技术、</w:t>
      </w:r>
      <w:r>
        <w:rPr>
          <w:rFonts w:hint="eastAsia" w:ascii="仿宋" w:hAnsi="仿宋" w:eastAsia="仿宋" w:cs="仿宋"/>
          <w:b/>
          <w:bCs/>
          <w:sz w:val="24"/>
          <w:szCs w:val="24"/>
        </w:rPr>
        <w:t>服务要求</w:t>
      </w:r>
      <w:r>
        <w:rPr>
          <w:rFonts w:hint="eastAsia" w:ascii="仿宋" w:hAnsi="仿宋" w:eastAsia="仿宋" w:cs="仿宋"/>
          <w:b/>
          <w:bCs/>
          <w:sz w:val="24"/>
          <w:szCs w:val="24"/>
          <w:lang w:eastAsia="zh-CN"/>
        </w:rPr>
        <w:t>：</w:t>
      </w:r>
    </w:p>
    <w:p w14:paraId="5C0138A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textAlignment w:val="auto"/>
        <w:rPr>
          <w:rFonts w:hint="default"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1.技术要求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31"/>
        <w:gridCol w:w="9017"/>
      </w:tblGrid>
      <w:tr w14:paraId="686D2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E5EF3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7815"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49F7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功能描述</w:t>
            </w:r>
          </w:p>
        </w:tc>
      </w:tr>
      <w:tr w14:paraId="264CE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35292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87A7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新增PC、PDA延续护理需求调查表以及对应统计功能。</w:t>
            </w:r>
          </w:p>
        </w:tc>
      </w:tr>
      <w:tr w14:paraId="74B0E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5160D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54CA7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修改VTE接口筛选医生评估表单不导入护理记录功能。</w:t>
            </w:r>
          </w:p>
        </w:tc>
      </w:tr>
      <w:tr w14:paraId="63584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F12E9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7155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新增获取患者护理记录信息接口。</w:t>
            </w:r>
          </w:p>
        </w:tc>
      </w:tr>
      <w:tr w14:paraId="50868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F1DA6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0F05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新增PDA展示推送信息功能以及对应接口。</w:t>
            </w:r>
          </w:p>
        </w:tc>
      </w:tr>
      <w:tr w14:paraId="38660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CEDFF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19604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修改体温单心率脉搏大于180次显示规则以及打印样式，增加鼠标悬浮预览数据及时间功能。</w:t>
            </w:r>
          </w:p>
        </w:tc>
      </w:tr>
      <w:tr w14:paraId="75D23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FB8CF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00BEF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新增查看输血观察记录单功能。（单袋血以及多袋血根据发血时间排序查看）</w:t>
            </w:r>
          </w:p>
        </w:tc>
      </w:tr>
      <w:tr w14:paraId="51EC6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F0A7F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79EFB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新增护士交班护士长审签锁定功能。（审签后修改需要解锁）</w:t>
            </w:r>
          </w:p>
        </w:tc>
      </w:tr>
      <w:tr w14:paraId="41C3F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34E78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CF613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新增PC、PDA MASCC止吐评价表。</w:t>
            </w:r>
          </w:p>
        </w:tc>
      </w:tr>
      <w:tr w14:paraId="04E0F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CCF49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9</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9B9C7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修改PC、PDA手术患者交接记录单录入以及打印内容，增加扫码交接流程控制功能。</w:t>
            </w:r>
          </w:p>
        </w:tc>
      </w:tr>
      <w:tr w14:paraId="7E98E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CEF67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10</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1C61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添加、修改程序内以及全部打印界面院徽显示。</w:t>
            </w:r>
          </w:p>
        </w:tc>
      </w:tr>
      <w:tr w14:paraId="01C19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0BF11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11</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C3C3C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新增PDA息屏状态呼叫提醒功能（声音、震动）</w:t>
            </w:r>
          </w:p>
        </w:tc>
      </w:tr>
      <w:tr w14:paraId="73709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FFD1D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12</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2389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新增PDA POCT扫码功能。</w:t>
            </w:r>
          </w:p>
        </w:tc>
      </w:tr>
      <w:tr w14:paraId="1E6DF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AD07B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13</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36888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新增PC、PDA改良洼田饮水试验评估单。</w:t>
            </w:r>
          </w:p>
        </w:tc>
      </w:tr>
      <w:tr w14:paraId="0D053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CF378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14</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8CE8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新增护理评估单全院统计情况回传功能。</w:t>
            </w:r>
          </w:p>
        </w:tc>
      </w:tr>
      <w:tr w14:paraId="114BB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D0B93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15</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4B44C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修改PC、PDA床位统筹涉及内容。</w:t>
            </w:r>
          </w:p>
        </w:tc>
      </w:tr>
      <w:tr w14:paraId="793EA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D759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16</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DEB49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修改PC、PDA延续护理评估单，改为发送功能。</w:t>
            </w:r>
          </w:p>
        </w:tc>
      </w:tr>
      <w:tr w14:paraId="0A0BB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E41AE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17</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F7CCC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新增PDA医保追溯码绑定功能，以及PC解绑功能。</w:t>
            </w:r>
          </w:p>
          <w:p w14:paraId="735453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根据目前提供的扫码规则：</w:t>
            </w:r>
          </w:p>
          <w:p w14:paraId="44D8CB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1.条码长度等于20位；</w:t>
            </w:r>
          </w:p>
          <w:p w14:paraId="2B25BA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条码长度大于等于47位小于等于65位；以上条码信息判断为药品追溯码，根据条码信息按照顺序去查询东软的2个药品信息视图，成功后弹出患者床号，姓名，药品编码和药品名称以及条码号，护士确认信息无误后绑定。</w:t>
            </w:r>
          </w:p>
          <w:p w14:paraId="31BA03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解绑操作：PC医嘱模块中，默认显示当天绑定的数据，点击即可解绑。</w:t>
            </w:r>
          </w:p>
          <w:p w14:paraId="4351BA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回传功能：绑定数据和解绑数据后台间隔4s自动调用东软回传接口。</w:t>
            </w:r>
          </w:p>
        </w:tc>
      </w:tr>
      <w:tr w14:paraId="60EC9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720"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B3C0D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18</w:t>
            </w:r>
          </w:p>
        </w:tc>
        <w:tc>
          <w:tcPr>
            <w:tcW w:w="7815"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D94CB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新增PDA图特扫码扣库功能。</w:t>
            </w:r>
          </w:p>
        </w:tc>
      </w:tr>
    </w:tbl>
    <w:p w14:paraId="188E2F9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textAlignment w:val="auto"/>
        <w:rPr>
          <w:rFonts w:hint="default"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2.维护服务</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29"/>
        <w:gridCol w:w="945"/>
        <w:gridCol w:w="927"/>
        <w:gridCol w:w="7247"/>
      </w:tblGrid>
      <w:tr w14:paraId="495D0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A2F4B89">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94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78E7949">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系统</w:t>
            </w:r>
          </w:p>
        </w:tc>
        <w:tc>
          <w:tcPr>
            <w:tcW w:w="927"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FE6E4D4">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模块</w:t>
            </w:r>
          </w:p>
        </w:tc>
        <w:tc>
          <w:tcPr>
            <w:tcW w:w="7247"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6899716">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参数</w:t>
            </w:r>
          </w:p>
        </w:tc>
      </w:tr>
      <w:tr w14:paraId="7A4D0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0E4FB21">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94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CC6B22A">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移动护理运维</w:t>
            </w:r>
          </w:p>
        </w:tc>
        <w:tc>
          <w:tcPr>
            <w:tcW w:w="92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0B06F13">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维护服务</w:t>
            </w:r>
          </w:p>
        </w:tc>
        <w:tc>
          <w:tcPr>
            <w:tcW w:w="7247"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B5107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1.日常维护</w:t>
            </w:r>
            <w:bookmarkStart w:id="106" w:name="_GoBack"/>
            <w:bookmarkEnd w:id="106"/>
          </w:p>
          <w:p w14:paraId="50C4F2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（1）远程解决移动护理系统PC、PDA应用端、服务器端反馈的系统问题。</w:t>
            </w:r>
          </w:p>
          <w:p w14:paraId="7D54D4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（2）移动护理系统PC、PDA端日常临床提出的操作问题处理、产品功能答疑、业务需求调研以及产品的改进建议。</w:t>
            </w:r>
          </w:p>
          <w:p w14:paraId="3AAA20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（3）日常处理和排查第三方核心系统的接口、视图数据同步实时性、准确性，如有接口视图超时报错等问题，协调医院信息中心或第三方系统厂商共同修复。</w:t>
            </w:r>
          </w:p>
          <w:p w14:paraId="0CA792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2.补丁更新</w:t>
            </w:r>
          </w:p>
          <w:p w14:paraId="38CC96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软件补丁的更新，及时修复系统漏洞，避免数据泄露。</w:t>
            </w:r>
          </w:p>
          <w:p w14:paraId="312BC3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3.系统后台监控与优化</w:t>
            </w:r>
          </w:p>
          <w:p w14:paraId="0D0F60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通过各种后台日志，查看和分析相应功能的使用运行状态，定期清理日志并进行性能优化，合理的分配服务器资源。</w:t>
            </w:r>
          </w:p>
          <w:p w14:paraId="3122F1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4、远程支持和配合医院进行电子病历、互联互通等相关工作。</w:t>
            </w:r>
          </w:p>
        </w:tc>
      </w:tr>
    </w:tbl>
    <w:p w14:paraId="267CB1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textAlignment w:val="auto"/>
        <w:rPr>
          <w:rFonts w:hint="default"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3.服务要求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14"/>
        <w:gridCol w:w="1587"/>
        <w:gridCol w:w="6110"/>
        <w:gridCol w:w="1437"/>
      </w:tblGrid>
      <w:tr w14:paraId="774DB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14" w:type="dxa"/>
            <w:shd w:val="clear" w:color="auto" w:fill="auto"/>
            <w:tcMar>
              <w:top w:w="0" w:type="dxa"/>
              <w:left w:w="105" w:type="dxa"/>
              <w:bottom w:w="0" w:type="dxa"/>
              <w:right w:w="105" w:type="dxa"/>
            </w:tcMar>
            <w:vAlign w:val="top"/>
          </w:tcPr>
          <w:p w14:paraId="29AF8934">
            <w:pPr>
              <w:keepNext w:val="0"/>
              <w:keepLines w:val="0"/>
              <w:pageBreakBefore w:val="0"/>
              <w:widowControl/>
              <w:suppressLineNumbers w:val="0"/>
              <w:kinsoku/>
              <w:wordWrap/>
              <w:overflowPunct/>
              <w:topLinePunct w:val="0"/>
              <w:autoSpaceDN/>
              <w:bidi w:val="0"/>
              <w:adjustRightInd/>
              <w:snapToGrid/>
              <w:spacing w:beforeAutospacing="0" w:afterAutospacing="0" w:line="240" w:lineRule="auto"/>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序号</w:t>
            </w:r>
          </w:p>
        </w:tc>
        <w:tc>
          <w:tcPr>
            <w:tcW w:w="1587" w:type="dxa"/>
            <w:shd w:val="clear" w:color="auto" w:fill="auto"/>
            <w:tcMar>
              <w:top w:w="0" w:type="dxa"/>
              <w:left w:w="105" w:type="dxa"/>
              <w:bottom w:w="0" w:type="dxa"/>
              <w:right w:w="105" w:type="dxa"/>
            </w:tcMar>
            <w:vAlign w:val="top"/>
          </w:tcPr>
          <w:p w14:paraId="6B4F0C64">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服务类型</w:t>
            </w:r>
          </w:p>
        </w:tc>
        <w:tc>
          <w:tcPr>
            <w:tcW w:w="6110" w:type="dxa"/>
            <w:shd w:val="clear" w:color="auto" w:fill="auto"/>
            <w:tcMar>
              <w:top w:w="0" w:type="dxa"/>
              <w:left w:w="105" w:type="dxa"/>
              <w:bottom w:w="0" w:type="dxa"/>
              <w:right w:w="105" w:type="dxa"/>
            </w:tcMar>
            <w:vAlign w:val="top"/>
          </w:tcPr>
          <w:p w14:paraId="7A87DB69">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服务内容</w:t>
            </w:r>
          </w:p>
        </w:tc>
        <w:tc>
          <w:tcPr>
            <w:tcW w:w="1437" w:type="dxa"/>
            <w:shd w:val="clear" w:color="auto" w:fill="auto"/>
            <w:tcMar>
              <w:top w:w="0" w:type="dxa"/>
              <w:left w:w="105" w:type="dxa"/>
              <w:bottom w:w="0" w:type="dxa"/>
              <w:right w:w="105" w:type="dxa"/>
            </w:tcMar>
            <w:vAlign w:val="top"/>
          </w:tcPr>
          <w:p w14:paraId="6A36712C">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服务期</w:t>
            </w:r>
          </w:p>
        </w:tc>
      </w:tr>
      <w:tr w14:paraId="2E4AF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4" w:type="dxa"/>
            <w:shd w:val="clear" w:color="auto" w:fill="auto"/>
            <w:tcMar>
              <w:top w:w="0" w:type="dxa"/>
              <w:left w:w="105" w:type="dxa"/>
              <w:bottom w:w="0" w:type="dxa"/>
              <w:right w:w="105" w:type="dxa"/>
            </w:tcMar>
            <w:vAlign w:val="center"/>
          </w:tcPr>
          <w:p w14:paraId="2E08EC93">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587" w:type="dxa"/>
            <w:shd w:val="clear" w:color="auto" w:fill="auto"/>
            <w:tcMar>
              <w:top w:w="0" w:type="dxa"/>
              <w:left w:w="105" w:type="dxa"/>
              <w:bottom w:w="0" w:type="dxa"/>
              <w:right w:w="105" w:type="dxa"/>
            </w:tcMar>
            <w:vAlign w:val="center"/>
          </w:tcPr>
          <w:p w14:paraId="63FF0E95">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基本服务</w:t>
            </w:r>
          </w:p>
        </w:tc>
        <w:tc>
          <w:tcPr>
            <w:tcW w:w="6110" w:type="dxa"/>
            <w:shd w:val="clear" w:color="auto" w:fill="auto"/>
            <w:tcMar>
              <w:top w:w="0" w:type="dxa"/>
              <w:left w:w="105" w:type="dxa"/>
              <w:bottom w:w="0" w:type="dxa"/>
              <w:right w:w="105" w:type="dxa"/>
            </w:tcMar>
            <w:vAlign w:val="top"/>
          </w:tcPr>
          <w:p w14:paraId="6E1CACE7">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基本服务至少满足以下内容：</w:t>
            </w:r>
          </w:p>
          <w:p w14:paraId="1116047C">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1、稳定性：</w:t>
            </w:r>
            <w:r>
              <w:rPr>
                <w:rFonts w:hint="eastAsia" w:ascii="仿宋" w:hAnsi="仿宋" w:eastAsia="仿宋" w:cs="仿宋"/>
                <w:kern w:val="0"/>
                <w:sz w:val="24"/>
                <w:szCs w:val="24"/>
                <w:lang w:val="en-US" w:eastAsia="zh-CN" w:bidi="ar"/>
              </w:rPr>
              <w:t>服务期内需保障业务稳定，不无故出现崩溃或宕机现象；</w:t>
            </w:r>
          </w:p>
          <w:p w14:paraId="518833AB">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2、安全性：</w:t>
            </w:r>
            <w:r>
              <w:rPr>
                <w:rFonts w:hint="eastAsia" w:ascii="仿宋" w:hAnsi="仿宋" w:eastAsia="仿宋" w:cs="仿宋"/>
                <w:kern w:val="0"/>
                <w:sz w:val="24"/>
                <w:szCs w:val="24"/>
                <w:lang w:val="en-US" w:eastAsia="zh-CN" w:bidi="ar"/>
              </w:rPr>
              <w:t>具备完善的安全防护机制，做好数据备份，在合同签订后15个工作日内提交《安全事件应急响应手册》，重大安全事件（数据泄露、勒索病毒等）30 分钟内电话通报、2小时内到场、4小时内出具初步处置报告；</w:t>
            </w:r>
          </w:p>
          <w:p w14:paraId="3869645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3、数据质量：</w:t>
            </w:r>
            <w:r>
              <w:rPr>
                <w:rFonts w:hint="eastAsia" w:ascii="仿宋" w:hAnsi="仿宋" w:eastAsia="仿宋" w:cs="仿宋"/>
                <w:kern w:val="0"/>
                <w:sz w:val="24"/>
                <w:szCs w:val="24"/>
                <w:lang w:val="en-US" w:eastAsia="zh-CN" w:bidi="ar"/>
              </w:rPr>
              <w:t>供应商收到异议后，成交供应商应在5个工作日内对数据质量问题进行原因查找和反馈，30个工作日内对数据质量问题进行数据清洗；</w:t>
            </w:r>
          </w:p>
          <w:p w14:paraId="0FCE29C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4、响应速度：</w:t>
            </w:r>
            <w:r>
              <w:rPr>
                <w:rFonts w:hint="eastAsia" w:ascii="仿宋" w:hAnsi="仿宋" w:eastAsia="仿宋" w:cs="仿宋"/>
                <w:kern w:val="0"/>
                <w:sz w:val="24"/>
                <w:szCs w:val="24"/>
                <w:lang w:val="en-US" w:eastAsia="zh-CN" w:bidi="ar"/>
              </w:rPr>
              <w:t>服务期内，采购人通过电话、微信、现场提出的支持需求，供应商须在需求提出的当日完成响应；</w:t>
            </w:r>
          </w:p>
          <w:p w14:paraId="34DF58C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5、定期巡检：</w:t>
            </w:r>
            <w:r>
              <w:rPr>
                <w:rFonts w:hint="eastAsia" w:ascii="仿宋" w:hAnsi="仿宋" w:eastAsia="仿宋" w:cs="仿宋"/>
                <w:kern w:val="0"/>
                <w:sz w:val="24"/>
                <w:szCs w:val="24"/>
                <w:lang w:val="en-US" w:eastAsia="zh-CN" w:bidi="ar"/>
              </w:rPr>
              <w:t>服务期内每月提供至少1次软硬件服务期巡检报告；</w:t>
            </w:r>
          </w:p>
          <w:p w14:paraId="5F4C23A2">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6、培训服务：</w:t>
            </w:r>
            <w:r>
              <w:rPr>
                <w:rFonts w:hint="eastAsia" w:ascii="仿宋" w:hAnsi="仿宋" w:eastAsia="仿宋" w:cs="仿宋"/>
                <w:kern w:val="0"/>
                <w:sz w:val="24"/>
                <w:szCs w:val="24"/>
                <w:lang w:val="en-US" w:eastAsia="zh-CN" w:bidi="ar"/>
              </w:rPr>
              <w:t>每年提供≥2次培训服务，并提交培训方案和签到表；</w:t>
            </w:r>
          </w:p>
          <w:p w14:paraId="2079290E">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7、文档服务：</w:t>
            </w:r>
            <w:r>
              <w:rPr>
                <w:rFonts w:hint="eastAsia" w:ascii="仿宋" w:hAnsi="仿宋" w:eastAsia="仿宋" w:cs="仿宋"/>
                <w:kern w:val="0"/>
                <w:sz w:val="24"/>
                <w:szCs w:val="24"/>
                <w:lang w:val="en-US" w:eastAsia="zh-CN" w:bidi="ar"/>
              </w:rPr>
              <w:t>上线运行之日提交本次采购内容的《四川省人民医院应用系统档案》。服务期满后需提交本次采购内容的运维记录签字扫描版本。</w:t>
            </w:r>
          </w:p>
          <w:p w14:paraId="199AB57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8、</w:t>
            </w:r>
            <w:r>
              <w:rPr>
                <w:rStyle w:val="21"/>
                <w:rFonts w:hint="eastAsia" w:ascii="仿宋" w:hAnsi="仿宋" w:eastAsia="仿宋" w:cs="仿宋"/>
                <w:kern w:val="0"/>
                <w:sz w:val="24"/>
                <w:szCs w:val="24"/>
                <w:lang w:val="en-US" w:eastAsia="zh-CN" w:bidi="ar"/>
              </w:rPr>
              <w:t>人员服务：</w:t>
            </w:r>
            <w:r>
              <w:rPr>
                <w:rFonts w:hint="eastAsia" w:ascii="仿宋" w:hAnsi="仿宋" w:eastAsia="仿宋" w:cs="仿宋"/>
                <w:kern w:val="0"/>
                <w:sz w:val="24"/>
                <w:szCs w:val="24"/>
                <w:lang w:val="en-US" w:eastAsia="zh-CN" w:bidi="ar"/>
              </w:rPr>
              <w:t>无</w:t>
            </w:r>
          </w:p>
          <w:p w14:paraId="55F3378D">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9、</w:t>
            </w:r>
            <w:r>
              <w:rPr>
                <w:rStyle w:val="21"/>
                <w:rFonts w:hint="eastAsia" w:ascii="仿宋" w:hAnsi="仿宋" w:eastAsia="仿宋" w:cs="仿宋"/>
                <w:kern w:val="0"/>
                <w:sz w:val="24"/>
                <w:szCs w:val="24"/>
                <w:lang w:val="en-US" w:eastAsia="zh-CN" w:bidi="ar"/>
              </w:rPr>
              <w:t>其他：</w:t>
            </w:r>
          </w:p>
          <w:p w14:paraId="45960E17">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1）服务期内，采购人</w:t>
            </w:r>
            <w:r>
              <w:rPr>
                <w:rStyle w:val="21"/>
                <w:rFonts w:hint="eastAsia" w:ascii="仿宋" w:hAnsi="仿宋" w:eastAsia="仿宋" w:cs="仿宋"/>
                <w:kern w:val="0"/>
                <w:sz w:val="24"/>
                <w:szCs w:val="24"/>
                <w:u w:val="single"/>
                <w:lang w:val="en-US" w:eastAsia="zh-CN" w:bidi="ar"/>
              </w:rPr>
              <w:t>每月</w:t>
            </w:r>
            <w:r>
              <w:rPr>
                <w:rFonts w:hint="eastAsia" w:ascii="仿宋" w:hAnsi="仿宋" w:eastAsia="仿宋" w:cs="仿宋"/>
                <w:kern w:val="0"/>
                <w:sz w:val="24"/>
                <w:szCs w:val="24"/>
                <w:lang w:val="en-US" w:eastAsia="zh-CN" w:bidi="ar"/>
              </w:rPr>
              <w:t>按照</w:t>
            </w:r>
            <w:r>
              <w:rPr>
                <w:rStyle w:val="21"/>
                <w:rFonts w:hint="eastAsia" w:ascii="仿宋" w:hAnsi="仿宋" w:eastAsia="仿宋" w:cs="仿宋"/>
                <w:kern w:val="0"/>
                <w:sz w:val="24"/>
                <w:szCs w:val="24"/>
                <w:lang w:val="en-US" w:eastAsia="zh-CN" w:bidi="ar"/>
              </w:rPr>
              <w:t>四川省人民医院供应商考核</w:t>
            </w:r>
            <w:r>
              <w:rPr>
                <w:rFonts w:hint="eastAsia" w:ascii="仿宋" w:hAnsi="仿宋" w:eastAsia="仿宋" w:cs="仿宋"/>
                <w:kern w:val="0"/>
                <w:sz w:val="24"/>
                <w:szCs w:val="24"/>
                <w:lang w:val="en-US" w:eastAsia="zh-CN" w:bidi="ar"/>
              </w:rPr>
              <w:t>指标对供应商行为进行评价考核，考核结果关联最终付款金额和履约保证金</w:t>
            </w:r>
            <w:r>
              <w:rPr>
                <w:rFonts w:hint="eastAsia" w:ascii="仿宋" w:hAnsi="仿宋" w:eastAsia="仿宋" w:cs="仿宋"/>
                <w:kern w:val="0"/>
                <w:sz w:val="24"/>
                <w:szCs w:val="24"/>
                <w:shd w:val="clear"/>
                <w:lang w:val="en-US" w:eastAsia="zh-CN" w:bidi="ar"/>
              </w:rPr>
              <w:t>（如有履约保证金）</w:t>
            </w:r>
            <w:r>
              <w:rPr>
                <w:rFonts w:hint="eastAsia" w:ascii="仿宋" w:hAnsi="仿宋" w:eastAsia="仿宋" w:cs="仿宋"/>
                <w:kern w:val="0"/>
                <w:sz w:val="24"/>
                <w:szCs w:val="24"/>
                <w:lang w:val="en-US" w:eastAsia="zh-CN" w:bidi="ar"/>
              </w:rPr>
              <w:t>。</w:t>
            </w:r>
          </w:p>
          <w:p w14:paraId="633A50F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2）成交供应商应当与本项目相关的第三方保持有痕的沟通，明确项目的具体要求和功能等方面的细节。采购人负责组织、监督和验收，以确保项目的顺利完成。</w:t>
            </w:r>
          </w:p>
          <w:p w14:paraId="740A3ADD">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3）如涉及因本项目开发的系统原因造成采购人的经济损失，由成交供应商负责向采购人进行赔偿。</w:t>
            </w:r>
          </w:p>
        </w:tc>
        <w:tc>
          <w:tcPr>
            <w:tcW w:w="1437" w:type="dxa"/>
            <w:shd w:val="clear" w:color="auto" w:fill="auto"/>
            <w:tcMar>
              <w:top w:w="0" w:type="dxa"/>
              <w:left w:w="105" w:type="dxa"/>
              <w:bottom w:w="0" w:type="dxa"/>
              <w:right w:w="105" w:type="dxa"/>
            </w:tcMar>
            <w:vAlign w:val="center"/>
          </w:tcPr>
          <w:p w14:paraId="5F1F9D6A">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2027年1月23日-2028年1月22日</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textAlignment w:val="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1.服务</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本项目涉及的四川省人民医院所有院区。</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bookmarkStart w:id="15" w:name="_Toc153964904"/>
      <w:bookmarkEnd w:id="15"/>
      <w:bookmarkStart w:id="16" w:name="_Toc18622"/>
      <w:bookmarkEnd w:id="16"/>
      <w:r>
        <w:rPr>
          <w:rFonts w:hint="eastAsia" w:ascii="仿宋" w:hAnsi="仿宋" w:eastAsia="仿宋" w:cs="仿宋"/>
          <w:sz w:val="24"/>
          <w:szCs w:val="24"/>
          <w:lang w:val="en-US" w:eastAsia="zh-CN"/>
        </w:rPr>
        <w:t>总价包干，一次性付款，服务期满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（5）履约验收内容：按照基于本项目采购需求编制的采购文件要求及供应商响应文件情况，由供应商向采购人提供的全部服务。</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（6）履约验收时间：服务期满且供应商完成所有服务内容后5日内通知采购人验收，采购人接供应商通知后10日内组织验收。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1C0BD50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4287793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40B6259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7D9804F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0A1596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696F1E8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1F0F1F1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73FCAFF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4.其他要求：由采购人、供应商双方共同开发的项目：采购人、供应商双方共同研发的该系统软件产品，知识产权归采购人、供应商双方共同拥有，软件所有数据归采购人所有。</w:t>
      </w:r>
    </w:p>
    <w:p w14:paraId="2576330B">
      <w:pPr>
        <w:rPr>
          <w:rFonts w:hint="eastAsia" w:ascii="仿宋" w:hAnsi="仿宋" w:eastAsia="仿宋" w:cs="仿宋"/>
          <w:sz w:val="24"/>
          <w:szCs w:val="24"/>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lang w:val="en-US" w:eastAsia="zh-CN"/>
        </w:rPr>
        <w:t>供应商考核</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63"/>
        <w:gridCol w:w="1558"/>
        <w:gridCol w:w="1731"/>
        <w:gridCol w:w="1367"/>
        <w:gridCol w:w="3150"/>
        <w:gridCol w:w="779"/>
      </w:tblGrid>
      <w:tr w14:paraId="19217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520" w:type="dxa"/>
            <w:gridSpan w:val="6"/>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B28272B">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32"/>
                <w:szCs w:val="32"/>
                <w:lang w:val="en-US" w:eastAsia="zh-CN" w:bidi="ar"/>
              </w:rPr>
              <w:t>四川省人民医院供应商考核</w:t>
            </w:r>
          </w:p>
        </w:tc>
      </w:tr>
      <w:tr w14:paraId="35061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A580AB5">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供应商</w:t>
            </w:r>
          </w:p>
        </w:tc>
        <w:tc>
          <w:tcPr>
            <w:tcW w:w="2850" w:type="dxa"/>
            <w:gridSpan w:val="2"/>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F7DD866">
            <w:pPr>
              <w:keepNext w:val="0"/>
              <w:keepLines w:val="0"/>
              <w:widowControl/>
              <w:suppressLineNumbers w:val="0"/>
              <w:spacing w:line="240" w:lineRule="auto"/>
              <w:jc w:val="left"/>
              <w:rPr>
                <w:rFonts w:hint="eastAsia" w:ascii="仿宋" w:hAnsi="仿宋" w:eastAsia="仿宋" w:cs="仿宋"/>
                <w:kern w:val="0"/>
                <w:sz w:val="24"/>
                <w:szCs w:val="24"/>
                <w:lang w:bidi="ar"/>
              </w:rPr>
            </w:pPr>
          </w:p>
        </w:tc>
        <w:tc>
          <w:tcPr>
            <w:tcW w:w="118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666EAFE">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合同名</w:t>
            </w:r>
          </w:p>
        </w:tc>
        <w:tc>
          <w:tcPr>
            <w:tcW w:w="3390" w:type="dxa"/>
            <w:gridSpan w:val="2"/>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38875AF">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21D63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6FFE1D">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指标类别</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C094020">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41672B8">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考核内容</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7117E6F">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w:t>
            </w:r>
          </w:p>
        </w:tc>
      </w:tr>
      <w:tr w14:paraId="5256F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2EE10AA">
            <w:pPr>
              <w:keepNext w:val="0"/>
              <w:keepLines w:val="0"/>
              <w:widowControl/>
              <w:suppressLineNumbers w:val="0"/>
              <w:autoSpaceDE w:val="0"/>
              <w:autoSpaceDN/>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性能质</w:t>
            </w:r>
          </w:p>
          <w:p w14:paraId="4F71BA9C">
            <w:pPr>
              <w:keepNext w:val="0"/>
              <w:keepLines w:val="0"/>
              <w:widowControl/>
              <w:suppressLineNumbers w:val="0"/>
              <w:autoSpaceDE w:val="0"/>
              <w:autoSpaceDN/>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量评价</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70DCBD">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稳定性</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2652001">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出现故障，导致系统不稳定，影响医院业务：出现故障时间≤30分钟扣1分，30＜分钟且≤60分钟扣2分，&gt;60分钟扣5分；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736E187">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19C67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4A2EE78">
            <w:pPr>
              <w:widowControl/>
              <w:spacing w:line="240" w:lineRule="auto"/>
              <w:jc w:val="left"/>
              <w:rPr>
                <w:rFonts w:hint="eastAsia" w:ascii="仿宋" w:hAnsi="仿宋" w:eastAsia="仿宋" w:cs="仿宋"/>
                <w:kern w:val="0"/>
                <w:sz w:val="24"/>
                <w:szCs w:val="24"/>
                <w:lang w:bidi="ar"/>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424B0AA">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安全性</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0E2188B">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5F676BE">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4DDF7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05BECF1">
            <w:pPr>
              <w:widowControl/>
              <w:spacing w:line="240" w:lineRule="auto"/>
              <w:jc w:val="left"/>
              <w:rPr>
                <w:rFonts w:hint="eastAsia" w:ascii="仿宋" w:hAnsi="仿宋" w:eastAsia="仿宋" w:cs="仿宋"/>
                <w:kern w:val="0"/>
                <w:sz w:val="24"/>
                <w:szCs w:val="24"/>
                <w:lang w:bidi="ar"/>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9EEAD32">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用户满意度</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9357387">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接到投诉时，一次扣1分；出现整改和处理后仍然不满足要求的情况，每5日为一个周期追扣2分，不满一个周期的算一个周期；</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50379B3">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4AD24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5" w:hRule="atLeast"/>
        </w:trPr>
        <w:tc>
          <w:tcPr>
            <w:tcW w:w="109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2E7C470">
            <w:pPr>
              <w:keepNext w:val="0"/>
              <w:keepLines w:val="0"/>
              <w:widowControl/>
              <w:suppressLineNumbers w:val="0"/>
              <w:autoSpaceDE w:val="0"/>
              <w:autoSpaceDN/>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使用支</w:t>
            </w:r>
          </w:p>
          <w:p w14:paraId="26402A18">
            <w:pPr>
              <w:keepNext w:val="0"/>
              <w:keepLines w:val="0"/>
              <w:widowControl/>
              <w:suppressLineNumbers w:val="0"/>
              <w:autoSpaceDE w:val="0"/>
              <w:autoSpaceDN/>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持评价</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3C7494A">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考勤</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4F95B23">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驻场工程师每日签到，每次迟到一次扣0.5分；旷工或漏签一次扣1分；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FE200D2">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576BF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63AC3DE">
            <w:pPr>
              <w:widowControl/>
              <w:spacing w:line="240" w:lineRule="auto"/>
              <w:jc w:val="left"/>
              <w:rPr>
                <w:rFonts w:hint="eastAsia" w:ascii="仿宋" w:hAnsi="仿宋" w:eastAsia="仿宋" w:cs="仿宋"/>
                <w:kern w:val="0"/>
                <w:sz w:val="24"/>
                <w:szCs w:val="24"/>
                <w:lang w:bidi="ar"/>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C92483">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响应速度</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C20380B">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若需要现场支持时，须及时响应，不响应扣1分；发现异常不处理或未向采购人及时汇报，扣0.5分；服务期内不接听电话，每次扣0.5分；微信群响应不及时或不按规定响应，每次扣0.1分；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6AAA3E4">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4FC6D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8CD996">
            <w:pPr>
              <w:widowControl/>
              <w:spacing w:line="240" w:lineRule="auto"/>
              <w:jc w:val="left"/>
              <w:rPr>
                <w:rFonts w:hint="eastAsia" w:ascii="仿宋" w:hAnsi="仿宋" w:eastAsia="仿宋" w:cs="仿宋"/>
                <w:kern w:val="0"/>
                <w:sz w:val="24"/>
                <w:szCs w:val="24"/>
                <w:lang w:bidi="ar"/>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A09E859">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备件供应</w:t>
            </w:r>
          </w:p>
          <w:p w14:paraId="0F34BFAA">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(本项仅涉</w:t>
            </w:r>
          </w:p>
          <w:p w14:paraId="5E392837">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及提供硬件</w:t>
            </w:r>
          </w:p>
          <w:p w14:paraId="44979F59">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的供应商)</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4B6BE49">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6366BEB">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5DD4F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A6E2880">
            <w:pPr>
              <w:widowControl/>
              <w:spacing w:line="240" w:lineRule="auto"/>
              <w:jc w:val="left"/>
              <w:rPr>
                <w:rFonts w:hint="eastAsia" w:ascii="仿宋" w:hAnsi="仿宋" w:eastAsia="仿宋" w:cs="仿宋"/>
                <w:kern w:val="0"/>
                <w:sz w:val="24"/>
                <w:szCs w:val="24"/>
                <w:lang w:bidi="ar"/>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1289F0">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定期巡检</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B2D24D1">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每月定期巡检服务，缺少一次扣1分；没有按要求提供巡检报告的，缺少一次扣1分；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466D3FD">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5D6E3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9FB2657">
            <w:pPr>
              <w:widowControl/>
              <w:spacing w:line="240" w:lineRule="auto"/>
              <w:jc w:val="left"/>
              <w:rPr>
                <w:rFonts w:hint="eastAsia" w:ascii="仿宋" w:hAnsi="仿宋" w:eastAsia="仿宋" w:cs="仿宋"/>
                <w:kern w:val="0"/>
                <w:sz w:val="24"/>
                <w:szCs w:val="24"/>
                <w:lang w:bidi="ar"/>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216ABBF">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培训服务</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9730444">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没有按要求派专业技术人员对医院相关人员进行使用操作、设备维修、保养等技术的培训（不少于2次/年，并提供培训方案和培训签到表），缺少一次扣1分；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BBC5A40">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6BF78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11592FE">
            <w:pPr>
              <w:widowControl/>
              <w:spacing w:line="240" w:lineRule="auto"/>
              <w:jc w:val="left"/>
              <w:rPr>
                <w:rFonts w:hint="eastAsia" w:ascii="仿宋" w:hAnsi="仿宋" w:eastAsia="仿宋" w:cs="仿宋"/>
                <w:kern w:val="0"/>
                <w:sz w:val="24"/>
                <w:szCs w:val="24"/>
                <w:lang w:bidi="ar"/>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5705C2B">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技术文档</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0DC0BF2">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未能在规定时间内按要求提交文档，包括但不限于操作手册、业务数据结构表、运维记录、巡检记录等，缺少一项扣1分；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46D9BBD">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36A92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70" w:hRule="atLeast"/>
        </w:trPr>
        <w:tc>
          <w:tcPr>
            <w:tcW w:w="1095"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AADA49C">
            <w:pPr>
              <w:keepNext w:val="0"/>
              <w:keepLines w:val="0"/>
              <w:widowControl/>
              <w:suppressLineNumbers w:val="0"/>
              <w:autoSpaceDE w:val="0"/>
              <w:autoSpaceDN/>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违规违</w:t>
            </w:r>
          </w:p>
          <w:p w14:paraId="79C18B1E">
            <w:pPr>
              <w:keepNext w:val="0"/>
              <w:keepLines w:val="0"/>
              <w:widowControl/>
              <w:suppressLineNumbers w:val="0"/>
              <w:autoSpaceDE w:val="0"/>
              <w:autoSpaceDN/>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纪评价</w:t>
            </w: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DFE5247">
            <w:pPr>
              <w:keepNext w:val="0"/>
              <w:keepLines w:val="0"/>
              <w:widowControl/>
              <w:suppressLineNumbers w:val="0"/>
              <w:autoSpaceDE w:val="0"/>
              <w:autoSpaceDN/>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廉洁从业</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CFBFB43">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违反行业廉洁要求或违法违纪行为，一旦查实，一票否决</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25DE02B">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一票否决</w:t>
            </w:r>
          </w:p>
        </w:tc>
      </w:tr>
      <w:tr w14:paraId="608CB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429CE1E">
            <w:pPr>
              <w:widowControl/>
              <w:spacing w:line="240" w:lineRule="auto"/>
              <w:jc w:val="left"/>
              <w:rPr>
                <w:rFonts w:hint="eastAsia" w:ascii="仿宋" w:hAnsi="仿宋" w:eastAsia="仿宋" w:cs="仿宋"/>
                <w:kern w:val="0"/>
                <w:sz w:val="24"/>
                <w:szCs w:val="24"/>
                <w:lang w:bidi="ar"/>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01D8AAF">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安全规范</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1B1323B">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不遵守安全生产规范，每次扣2分；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ED9759D">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400DC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34FD23">
            <w:pPr>
              <w:widowControl/>
              <w:spacing w:line="240" w:lineRule="auto"/>
              <w:jc w:val="left"/>
              <w:rPr>
                <w:rFonts w:hint="eastAsia" w:ascii="仿宋" w:hAnsi="仿宋" w:eastAsia="仿宋" w:cs="仿宋"/>
                <w:kern w:val="0"/>
                <w:sz w:val="24"/>
                <w:szCs w:val="24"/>
                <w:lang w:bidi="ar"/>
              </w:rPr>
            </w:pPr>
          </w:p>
        </w:tc>
        <w:tc>
          <w:tcPr>
            <w:tcW w:w="13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3B6820B">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其他违纪违规</w:t>
            </w:r>
          </w:p>
        </w:tc>
        <w:tc>
          <w:tcPr>
            <w:tcW w:w="5415"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0D0E73C">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其它不利于医院信息化建设相关行为，视情节严重程度，经采购人讨论酌情扣分</w:t>
            </w:r>
          </w:p>
        </w:tc>
        <w:tc>
          <w:tcPr>
            <w:tcW w:w="67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25282E9">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68346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B406648">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扣分合计</w:t>
            </w:r>
          </w:p>
        </w:tc>
        <w:tc>
          <w:tcPr>
            <w:tcW w:w="742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F98E956">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2C28E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026109D">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考核人</w:t>
            </w:r>
          </w:p>
        </w:tc>
        <w:tc>
          <w:tcPr>
            <w:tcW w:w="742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7058AE4">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w:t>
            </w:r>
          </w:p>
          <w:p w14:paraId="183A04F5">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年    月    日</w:t>
            </w:r>
          </w:p>
        </w:tc>
      </w:tr>
    </w:tbl>
    <w:p w14:paraId="4ABFB6F7">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2"/>
          <w:sz w:val="24"/>
          <w:szCs w:val="24"/>
          <w:lang w:val="en-US" w:eastAsia="zh-CN" w:bidi="ar"/>
        </w:rPr>
        <w:t>备注：</w:t>
      </w:r>
    </w:p>
    <w:p w14:paraId="160EB7B5">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1.服务期内，采购人可按照本项目采购需求内容对应的考核指标对供应商进行考核，具体指标以采购人要求为准；</w:t>
      </w:r>
    </w:p>
    <w:p w14:paraId="0BE4B2A4">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2.考核关联最终付款金额，具体计算规则如下：</w:t>
      </w:r>
    </w:p>
    <w:p w14:paraId="1F44E5B1">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firstLine="482" w:firstLineChars="20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2"/>
          <w:sz w:val="24"/>
          <w:szCs w:val="24"/>
          <w:lang w:val="en-US" w:eastAsia="zh-CN" w:bidi="ar"/>
        </w:rPr>
        <w:t>1）平均扣分</w:t>
      </w:r>
      <w:r>
        <w:rPr>
          <w:rFonts w:hint="eastAsia" w:ascii="仿宋" w:hAnsi="仿宋" w:eastAsia="仿宋" w:cs="仿宋"/>
          <w:kern w:val="2"/>
          <w:sz w:val="24"/>
          <w:szCs w:val="24"/>
          <w:lang w:val="en-US" w:eastAsia="zh-CN" w:bidi="ar"/>
        </w:rPr>
        <w:t>=服务期汇总考核扣分之和÷服务期内考核次数；</w:t>
      </w:r>
    </w:p>
    <w:p w14:paraId="26A8E0CC">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u w:val="none"/>
          <w:lang w:val="en-US" w:eastAsia="zh-CN" w:bidi="ar"/>
        </w:rPr>
      </w:pPr>
      <w:r>
        <w:rPr>
          <w:rFonts w:hint="eastAsia" w:ascii="仿宋" w:hAnsi="仿宋" w:eastAsia="仿宋" w:cs="仿宋"/>
          <w:kern w:val="2"/>
          <w:sz w:val="24"/>
          <w:szCs w:val="24"/>
          <w:lang w:val="en-US" w:eastAsia="zh-CN" w:bidi="ar"/>
        </w:rPr>
        <w:t>2）0分&lt;</w:t>
      </w:r>
      <w:r>
        <w:rPr>
          <w:rStyle w:val="21"/>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u w:val="none"/>
          <w:lang w:val="en-US" w:eastAsia="zh-CN" w:bidi="ar"/>
        </w:rPr>
        <w:t>≤3分，将对供应商进行诫勉谈话；</w:t>
      </w:r>
    </w:p>
    <w:p w14:paraId="07394563">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u w:val="none"/>
          <w:lang w:val="en-US" w:eastAsia="zh-CN" w:bidi="ar"/>
        </w:rPr>
      </w:pPr>
      <w:r>
        <w:rPr>
          <w:rFonts w:hint="eastAsia" w:ascii="仿宋" w:hAnsi="仿宋" w:eastAsia="仿宋" w:cs="仿宋"/>
          <w:kern w:val="2"/>
          <w:sz w:val="24"/>
          <w:szCs w:val="24"/>
          <w:u w:val="none"/>
          <w:lang w:val="en-US" w:eastAsia="zh-CN" w:bidi="ar"/>
        </w:rPr>
        <w:t>3）3分&lt;</w:t>
      </w:r>
      <w:r>
        <w:rPr>
          <w:rStyle w:val="21"/>
          <w:rFonts w:hint="eastAsia" w:ascii="仿宋" w:hAnsi="仿宋" w:eastAsia="仿宋" w:cs="仿宋"/>
          <w:kern w:val="2"/>
          <w:sz w:val="24"/>
          <w:szCs w:val="24"/>
          <w:u w:val="none"/>
          <w:lang w:val="en-US" w:eastAsia="zh-CN" w:bidi="ar"/>
        </w:rPr>
        <w:t>平均扣分</w:t>
      </w:r>
      <w:r>
        <w:rPr>
          <w:rFonts w:hint="eastAsia" w:ascii="仿宋" w:hAnsi="仿宋" w:eastAsia="仿宋" w:cs="仿宋"/>
          <w:kern w:val="2"/>
          <w:sz w:val="24"/>
          <w:szCs w:val="24"/>
          <w:u w:val="none"/>
          <w:lang w:val="en-US" w:eastAsia="zh-CN" w:bidi="ar"/>
        </w:rPr>
        <w:t>≤5分，对供应商提出警告，从合同待支付金额中或履约保证金中扣除合同总金额5%费用，扣完为止；</w:t>
      </w:r>
    </w:p>
    <w:p w14:paraId="36245EDC">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u w:val="none"/>
          <w:lang w:val="en-US" w:eastAsia="zh-CN" w:bidi="ar"/>
        </w:rPr>
      </w:pPr>
      <w:r>
        <w:rPr>
          <w:rFonts w:hint="eastAsia" w:ascii="仿宋" w:hAnsi="仿宋" w:eastAsia="仿宋" w:cs="仿宋"/>
          <w:kern w:val="2"/>
          <w:sz w:val="24"/>
          <w:szCs w:val="24"/>
          <w:u w:val="none"/>
          <w:lang w:val="en-US" w:eastAsia="zh-CN" w:bidi="ar"/>
        </w:rPr>
        <w:t>4）5分&lt;</w:t>
      </w:r>
      <w:r>
        <w:rPr>
          <w:rStyle w:val="21"/>
          <w:rFonts w:hint="eastAsia" w:ascii="仿宋" w:hAnsi="仿宋" w:eastAsia="仿宋" w:cs="仿宋"/>
          <w:kern w:val="2"/>
          <w:sz w:val="24"/>
          <w:szCs w:val="24"/>
          <w:u w:val="none"/>
          <w:lang w:val="en-US" w:eastAsia="zh-CN" w:bidi="ar"/>
        </w:rPr>
        <w:t>平均扣分</w:t>
      </w:r>
      <w:r>
        <w:rPr>
          <w:rFonts w:hint="eastAsia" w:ascii="仿宋" w:hAnsi="仿宋" w:eastAsia="仿宋" w:cs="仿宋"/>
          <w:kern w:val="2"/>
          <w:sz w:val="24"/>
          <w:szCs w:val="24"/>
          <w:u w:val="none"/>
          <w:lang w:val="en-US" w:eastAsia="zh-CN" w:bidi="ar"/>
        </w:rPr>
        <w:t>≤10分，对供应商提出严重警告，从合同待支付金额中或履约保证金中扣除合同总金额10%费用，扣完为止；</w:t>
      </w:r>
    </w:p>
    <w:p w14:paraId="668782D0">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5）10分&lt;</w:t>
      </w:r>
      <w:r>
        <w:rPr>
          <w:rStyle w:val="21"/>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，视为</w:t>
      </w:r>
      <w:r>
        <w:rPr>
          <w:rStyle w:val="21"/>
          <w:rFonts w:hint="eastAsia" w:ascii="仿宋" w:hAnsi="仿宋" w:eastAsia="仿宋" w:cs="仿宋"/>
          <w:kern w:val="2"/>
          <w:sz w:val="24"/>
          <w:szCs w:val="24"/>
          <w:lang w:val="en-US" w:eastAsia="zh-CN" w:bidi="ar"/>
        </w:rPr>
        <w:t>不合格</w:t>
      </w:r>
      <w:r>
        <w:rPr>
          <w:rFonts w:hint="eastAsia" w:ascii="仿宋" w:hAnsi="仿宋" w:eastAsia="仿宋" w:cs="仿宋"/>
          <w:kern w:val="2"/>
          <w:sz w:val="24"/>
          <w:szCs w:val="24"/>
          <w:lang w:val="en-US" w:eastAsia="zh-CN" w:bidi="ar"/>
        </w:rPr>
        <w:t>，终止合同，合同待支付金额不予支付，履约保证金（如有履约保证金）不予退还；</w:t>
      </w:r>
    </w:p>
    <w:p w14:paraId="29C11DF2">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5FCE3F5C">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4.如合同待支付金额或履约保证金中无款可扣且考核后出现扣款情况，供应商承诺在得到采购人考核结果后的10日内向采购人缴纳对应的扣款金额。（提供承诺函）</w:t>
      </w:r>
    </w:p>
    <w:p w14:paraId="11F34C8D">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b w:val="0"/>
          <w:bCs/>
          <w:color w:val="000000"/>
          <w:kern w:val="2"/>
          <w:sz w:val="24"/>
          <w:szCs w:val="24"/>
          <w:u w:color="000000"/>
          <w:lang w:val="en-US" w:eastAsia="zh-CN" w:bidi="ar"/>
        </w:rPr>
      </w:pPr>
      <w:r>
        <w:rPr>
          <w:rFonts w:hint="eastAsia" w:ascii="仿宋" w:hAnsi="仿宋" w:eastAsia="仿宋" w:cs="仿宋"/>
          <w:kern w:val="2"/>
          <w:sz w:val="24"/>
          <w:szCs w:val="24"/>
          <w:lang w:val="en-US" w:eastAsia="zh-CN" w:bidi="ar"/>
        </w:rPr>
        <w:t>5.本考核指标最终解释权归四川省医学科学院·四川省人民医院。</w:t>
      </w:r>
    </w:p>
    <w:p w14:paraId="3BE1121F">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480" w:firstLineChars="200"/>
        <w:textAlignment w:val="auto"/>
        <w:rPr>
          <w:rFonts w:hint="eastAsia" w:ascii="仿宋" w:hAnsi="仿宋" w:eastAsia="仿宋" w:cs="仿宋"/>
          <w:sz w:val="24"/>
          <w:szCs w:val="24"/>
        </w:rPr>
      </w:pP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注：本章中</w:t>
      </w:r>
      <w:r>
        <w:rPr>
          <w:rFonts w:hint="eastAsia" w:ascii="仿宋" w:hAnsi="仿宋" w:eastAsia="仿宋" w:cs="仿宋"/>
          <w:sz w:val="24"/>
          <w:szCs w:val="24"/>
          <w:lang w:val="en-US" w:eastAsia="zh-CN"/>
        </w:rPr>
        <w:t>所有</w:t>
      </w:r>
      <w:r>
        <w:rPr>
          <w:rFonts w:hint="eastAsia" w:ascii="仿宋" w:hAnsi="仿宋" w:eastAsia="仿宋" w:cs="仿宋"/>
          <w:sz w:val="24"/>
          <w:szCs w:val="24"/>
        </w:rPr>
        <w:t>的条款</w:t>
      </w:r>
      <w:r>
        <w:rPr>
          <w:rFonts w:hint="eastAsia" w:ascii="仿宋" w:hAnsi="仿宋" w:eastAsia="仿宋" w:cs="仿宋"/>
          <w:sz w:val="24"/>
          <w:szCs w:val="24"/>
          <w:lang w:val="en-US" w:eastAsia="zh-CN"/>
        </w:rPr>
        <w:t>均</w:t>
      </w:r>
      <w:r>
        <w:rPr>
          <w:rFonts w:hint="eastAsia" w:ascii="仿宋" w:hAnsi="仿宋" w:eastAsia="仿宋" w:cs="仿宋"/>
          <w:sz w:val="24"/>
          <w:szCs w:val="24"/>
        </w:rPr>
        <w:t>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7" w:name="_Toc22588"/>
      <w:bookmarkStart w:id="18" w:name="_Toc13768"/>
      <w:bookmarkStart w:id="19" w:name="_Toc28789"/>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p w14:paraId="75DD339C">
      <w:pPr>
        <w:rPr>
          <w:rFonts w:hint="eastAsia" w:eastAsiaTheme="minorEastAsia"/>
          <w:lang w:val="en-US" w:eastAsia="zh-CN"/>
        </w:rPr>
      </w:pPr>
      <w:r>
        <w:rPr>
          <w:rFonts w:hint="eastAsia"/>
          <w:lang w:val="en-US" w:eastAsia="zh-CN"/>
        </w:rPr>
        <w:t>不涉及</w:t>
      </w: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0" w:name="_Toc22827"/>
      <w:bookmarkStart w:id="21" w:name="_Toc3094"/>
      <w:bookmarkStart w:id="22" w:name="_Toc28171"/>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4960"/>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19851"/>
      <w:bookmarkStart w:id="27" w:name="_Toc9428"/>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9041"/>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1690"/>
      <w:bookmarkStart w:id="36" w:name="_Toc32749"/>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24123"/>
      <w:bookmarkStart w:id="40" w:name="_Toc17905"/>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2989"/>
      <w:bookmarkStart w:id="44" w:name="_Toc27526"/>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5056"/>
      <w:bookmarkStart w:id="47" w:name="_Toc19987"/>
      <w:bookmarkStart w:id="48" w:name="_Toc2031"/>
      <w:bookmarkStart w:id="49" w:name="_Toc7233"/>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4829"/>
      <w:bookmarkStart w:id="51" w:name="_Toc3023"/>
      <w:bookmarkStart w:id="52" w:name="_Toc16029"/>
      <w:bookmarkStart w:id="53" w:name="_Toc21519"/>
      <w:bookmarkStart w:id="54" w:name="_Toc11352"/>
      <w:bookmarkStart w:id="55" w:name="_Toc648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4305"/>
      <w:bookmarkStart w:id="57" w:name="_Toc22676"/>
      <w:bookmarkStart w:id="58" w:name="_Toc17857"/>
      <w:bookmarkStart w:id="59" w:name="_Toc31838"/>
      <w:bookmarkStart w:id="60" w:name="_Toc30971"/>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904"/>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7661"/>
      <w:bookmarkStart w:id="70" w:name="_Toc12015"/>
      <w:bookmarkStart w:id="71" w:name="_Toc15526"/>
      <w:bookmarkStart w:id="72" w:name="_Toc11351"/>
      <w:bookmarkStart w:id="73" w:name="_Toc25638"/>
      <w:bookmarkStart w:id="74" w:name="_Toc20589"/>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074"/>
      <w:bookmarkStart w:id="76" w:name="_Toc16435"/>
      <w:bookmarkStart w:id="77" w:name="_Toc23967"/>
      <w:bookmarkStart w:id="78" w:name="_Toc2041"/>
      <w:bookmarkStart w:id="79" w:name="_Toc12967"/>
      <w:bookmarkStart w:id="80" w:name="_Toc26969"/>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1369"/>
      <w:bookmarkStart w:id="82" w:name="_Toc26839"/>
      <w:bookmarkStart w:id="83" w:name="_Toc24806"/>
      <w:bookmarkStart w:id="84" w:name="_Toc21082"/>
      <w:bookmarkStart w:id="85" w:name="_Toc31686"/>
      <w:bookmarkStart w:id="86" w:name="_Toc28634"/>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24494"/>
      <w:bookmarkStart w:id="89" w:name="_Toc32605"/>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4"/>
        <w:gridCol w:w="2240"/>
        <w:gridCol w:w="2924"/>
        <w:gridCol w:w="955"/>
        <w:gridCol w:w="1036"/>
        <w:gridCol w:w="1929"/>
      </w:tblGrid>
      <w:tr w14:paraId="349BD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764" w:type="dxa"/>
            <w:shd w:val="clear" w:color="auto" w:fill="auto"/>
            <w:tcMar>
              <w:top w:w="0" w:type="dxa"/>
              <w:left w:w="105" w:type="dxa"/>
              <w:bottom w:w="0" w:type="dxa"/>
              <w:right w:w="105" w:type="dxa"/>
            </w:tcMar>
            <w:vAlign w:val="center"/>
          </w:tcPr>
          <w:p w14:paraId="420C2730">
            <w:pPr>
              <w:pStyle w:val="7"/>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2240" w:type="dxa"/>
            <w:shd w:val="clear" w:color="auto" w:fill="auto"/>
            <w:tcMar>
              <w:top w:w="0" w:type="dxa"/>
              <w:left w:w="105" w:type="dxa"/>
              <w:bottom w:w="0" w:type="dxa"/>
              <w:right w:w="105" w:type="dxa"/>
            </w:tcMar>
            <w:vAlign w:val="center"/>
          </w:tcPr>
          <w:p w14:paraId="4FC1BB5E">
            <w:pPr>
              <w:pStyle w:val="7"/>
              <w:jc w:val="center"/>
              <w:rPr>
                <w:rFonts w:hint="eastAsia" w:ascii="仿宋" w:hAnsi="仿宋" w:eastAsia="仿宋" w:cs="仿宋"/>
                <w:b/>
                <w:bCs/>
                <w:sz w:val="24"/>
                <w:szCs w:val="24"/>
              </w:rPr>
            </w:pPr>
            <w:r>
              <w:rPr>
                <w:rFonts w:hint="eastAsia" w:ascii="仿宋" w:hAnsi="仿宋" w:eastAsia="仿宋" w:cs="仿宋"/>
                <w:b/>
                <w:bCs/>
                <w:sz w:val="24"/>
                <w:szCs w:val="24"/>
              </w:rPr>
              <w:t>品名</w:t>
            </w:r>
          </w:p>
        </w:tc>
        <w:tc>
          <w:tcPr>
            <w:tcW w:w="2924" w:type="dxa"/>
            <w:shd w:val="clear" w:color="auto" w:fill="auto"/>
            <w:tcMar>
              <w:top w:w="0" w:type="dxa"/>
              <w:left w:w="105" w:type="dxa"/>
              <w:bottom w:w="0" w:type="dxa"/>
              <w:right w:w="105" w:type="dxa"/>
            </w:tcMar>
            <w:vAlign w:val="center"/>
          </w:tcPr>
          <w:p w14:paraId="2E39E3DC">
            <w:pPr>
              <w:pStyle w:val="7"/>
              <w:jc w:val="center"/>
              <w:rPr>
                <w:rFonts w:hint="eastAsia" w:ascii="仿宋" w:hAnsi="仿宋" w:eastAsia="仿宋" w:cs="仿宋"/>
                <w:b/>
                <w:bCs/>
                <w:sz w:val="24"/>
                <w:szCs w:val="24"/>
              </w:rPr>
            </w:pPr>
            <w:r>
              <w:rPr>
                <w:rFonts w:hint="eastAsia" w:ascii="仿宋" w:hAnsi="仿宋" w:eastAsia="仿宋" w:cs="仿宋"/>
                <w:b/>
                <w:bCs/>
                <w:sz w:val="24"/>
                <w:szCs w:val="24"/>
              </w:rPr>
              <w:t>详细描述</w:t>
            </w:r>
          </w:p>
        </w:tc>
        <w:tc>
          <w:tcPr>
            <w:tcW w:w="955" w:type="dxa"/>
            <w:shd w:val="clear" w:color="auto" w:fill="auto"/>
            <w:tcMar>
              <w:top w:w="0" w:type="dxa"/>
              <w:left w:w="105" w:type="dxa"/>
              <w:bottom w:w="0" w:type="dxa"/>
              <w:right w:w="105" w:type="dxa"/>
            </w:tcMar>
            <w:vAlign w:val="center"/>
          </w:tcPr>
          <w:p w14:paraId="68DA611E">
            <w:pPr>
              <w:pStyle w:val="7"/>
              <w:jc w:val="center"/>
              <w:rPr>
                <w:rFonts w:hint="eastAsia" w:ascii="仿宋" w:hAnsi="仿宋" w:eastAsia="仿宋" w:cs="仿宋"/>
                <w:b/>
                <w:bCs/>
                <w:sz w:val="24"/>
                <w:szCs w:val="24"/>
              </w:rPr>
            </w:pPr>
            <w:r>
              <w:rPr>
                <w:rFonts w:hint="eastAsia" w:ascii="仿宋" w:hAnsi="仿宋" w:eastAsia="仿宋" w:cs="仿宋"/>
                <w:b/>
                <w:bCs/>
                <w:sz w:val="24"/>
                <w:szCs w:val="24"/>
              </w:rPr>
              <w:t>数量</w:t>
            </w:r>
          </w:p>
        </w:tc>
        <w:tc>
          <w:tcPr>
            <w:tcW w:w="1036" w:type="dxa"/>
            <w:shd w:val="clear" w:color="auto" w:fill="auto"/>
            <w:tcMar>
              <w:top w:w="0" w:type="dxa"/>
              <w:left w:w="105" w:type="dxa"/>
              <w:bottom w:w="0" w:type="dxa"/>
              <w:right w:w="105" w:type="dxa"/>
            </w:tcMar>
            <w:vAlign w:val="center"/>
          </w:tcPr>
          <w:p w14:paraId="6F88B8BF">
            <w:pPr>
              <w:pStyle w:val="7"/>
              <w:jc w:val="center"/>
              <w:rPr>
                <w:rFonts w:hint="eastAsia" w:ascii="仿宋" w:hAnsi="仿宋" w:eastAsia="仿宋" w:cs="仿宋"/>
                <w:b/>
                <w:bCs/>
                <w:sz w:val="24"/>
                <w:szCs w:val="24"/>
              </w:rPr>
            </w:pPr>
            <w:r>
              <w:rPr>
                <w:rFonts w:hint="eastAsia" w:ascii="仿宋" w:hAnsi="仿宋" w:eastAsia="仿宋" w:cs="仿宋"/>
                <w:b/>
                <w:bCs/>
                <w:sz w:val="24"/>
                <w:szCs w:val="24"/>
              </w:rPr>
              <w:t>单位</w:t>
            </w:r>
          </w:p>
        </w:tc>
        <w:tc>
          <w:tcPr>
            <w:tcW w:w="1928" w:type="dxa"/>
            <w:shd w:val="clear" w:color="auto" w:fill="auto"/>
            <w:tcMar>
              <w:top w:w="0" w:type="dxa"/>
              <w:left w:w="105" w:type="dxa"/>
              <w:bottom w:w="0" w:type="dxa"/>
              <w:right w:w="105" w:type="dxa"/>
            </w:tcMar>
            <w:vAlign w:val="center"/>
          </w:tcPr>
          <w:p w14:paraId="13EB0CDF">
            <w:pPr>
              <w:pStyle w:val="7"/>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报价</w:t>
            </w:r>
            <w:r>
              <w:rPr>
                <w:rFonts w:hint="eastAsia" w:ascii="仿宋" w:hAnsi="仿宋" w:eastAsia="仿宋" w:cs="仿宋"/>
                <w:b/>
                <w:bCs/>
                <w:sz w:val="24"/>
                <w:szCs w:val="24"/>
              </w:rPr>
              <w:t>（元）</w:t>
            </w:r>
          </w:p>
        </w:tc>
      </w:tr>
      <w:tr w14:paraId="0B73F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764" w:type="dxa"/>
            <w:shd w:val="clear" w:color="auto" w:fill="auto"/>
            <w:tcMar>
              <w:top w:w="0" w:type="dxa"/>
              <w:left w:w="105" w:type="dxa"/>
              <w:bottom w:w="0" w:type="dxa"/>
              <w:right w:w="105" w:type="dxa"/>
            </w:tcMar>
            <w:vAlign w:val="center"/>
          </w:tcPr>
          <w:p w14:paraId="3FD3FBCE">
            <w:pPr>
              <w:pStyle w:val="7"/>
              <w:jc w:val="center"/>
              <w:rPr>
                <w:rFonts w:hint="eastAsia" w:ascii="仿宋" w:hAnsi="仿宋" w:eastAsia="仿宋" w:cs="仿宋"/>
                <w:sz w:val="24"/>
                <w:szCs w:val="24"/>
              </w:rPr>
            </w:pPr>
            <w:r>
              <w:rPr>
                <w:rFonts w:hint="eastAsia" w:ascii="仿宋" w:hAnsi="仿宋" w:eastAsia="仿宋" w:cs="仿宋"/>
                <w:sz w:val="24"/>
                <w:szCs w:val="24"/>
              </w:rPr>
              <w:t>1</w:t>
            </w:r>
          </w:p>
        </w:tc>
        <w:tc>
          <w:tcPr>
            <w:tcW w:w="2240" w:type="dxa"/>
            <w:shd w:val="clear" w:color="auto" w:fill="auto"/>
            <w:tcMar>
              <w:top w:w="0" w:type="dxa"/>
              <w:left w:w="105" w:type="dxa"/>
              <w:bottom w:w="0" w:type="dxa"/>
              <w:right w:w="105" w:type="dxa"/>
            </w:tcMar>
            <w:vAlign w:val="center"/>
          </w:tcPr>
          <w:p w14:paraId="3EC42B74">
            <w:pPr>
              <w:pStyle w:val="7"/>
              <w:jc w:val="center"/>
              <w:rPr>
                <w:rFonts w:hint="eastAsia" w:ascii="仿宋" w:hAnsi="仿宋" w:eastAsia="仿宋" w:cs="仿宋"/>
                <w:sz w:val="24"/>
                <w:szCs w:val="24"/>
              </w:rPr>
            </w:pPr>
            <w:r>
              <w:rPr>
                <w:rFonts w:hint="eastAsia" w:ascii="仿宋" w:hAnsi="仿宋" w:eastAsia="仿宋" w:cs="仿宋"/>
                <w:sz w:val="24"/>
                <w:szCs w:val="24"/>
              </w:rPr>
              <w:t>移动护理运维服务</w:t>
            </w:r>
          </w:p>
        </w:tc>
        <w:tc>
          <w:tcPr>
            <w:tcW w:w="2924" w:type="dxa"/>
            <w:shd w:val="clear" w:color="auto" w:fill="auto"/>
            <w:tcMar>
              <w:top w:w="0" w:type="dxa"/>
              <w:left w:w="105" w:type="dxa"/>
              <w:bottom w:w="0" w:type="dxa"/>
              <w:right w:w="105" w:type="dxa"/>
            </w:tcMar>
            <w:vAlign w:val="center"/>
          </w:tcPr>
          <w:p w14:paraId="1EFAB343">
            <w:pPr>
              <w:pStyle w:val="7"/>
              <w:jc w:val="center"/>
              <w:rPr>
                <w:rFonts w:hint="eastAsia" w:ascii="仿宋" w:hAnsi="仿宋" w:eastAsia="仿宋" w:cs="仿宋"/>
                <w:sz w:val="24"/>
                <w:szCs w:val="24"/>
              </w:rPr>
            </w:pPr>
            <w:r>
              <w:rPr>
                <w:rFonts w:hint="eastAsia" w:ascii="仿宋" w:hAnsi="仿宋" w:eastAsia="仿宋" w:cs="仿宋"/>
                <w:sz w:val="24"/>
                <w:szCs w:val="24"/>
                <w:lang w:val="en-US" w:eastAsia="zh-CN"/>
              </w:rPr>
              <w:t>移动护理系统维护与升级；原系统的名称：移动护理信息系统；版本号：V6.98；生产厂家：北京远卓科技有限责任公司</w:t>
            </w:r>
          </w:p>
        </w:tc>
        <w:tc>
          <w:tcPr>
            <w:tcW w:w="955" w:type="dxa"/>
            <w:shd w:val="clear" w:color="auto" w:fill="auto"/>
            <w:tcMar>
              <w:top w:w="0" w:type="dxa"/>
              <w:left w:w="105" w:type="dxa"/>
              <w:bottom w:w="0" w:type="dxa"/>
              <w:right w:w="105" w:type="dxa"/>
            </w:tcMar>
            <w:vAlign w:val="center"/>
          </w:tcPr>
          <w:p w14:paraId="74024BB6">
            <w:pPr>
              <w:pStyle w:val="7"/>
              <w:jc w:val="center"/>
              <w:rPr>
                <w:rFonts w:hint="eastAsia" w:ascii="仿宋" w:hAnsi="仿宋" w:eastAsia="仿宋" w:cs="仿宋"/>
                <w:sz w:val="24"/>
                <w:szCs w:val="24"/>
              </w:rPr>
            </w:pPr>
            <w:r>
              <w:rPr>
                <w:rFonts w:hint="eastAsia" w:ascii="仿宋" w:hAnsi="仿宋" w:eastAsia="仿宋" w:cs="仿宋"/>
                <w:sz w:val="24"/>
                <w:szCs w:val="24"/>
              </w:rPr>
              <w:t>1</w:t>
            </w:r>
          </w:p>
        </w:tc>
        <w:tc>
          <w:tcPr>
            <w:tcW w:w="1036" w:type="dxa"/>
            <w:shd w:val="clear" w:color="auto" w:fill="auto"/>
            <w:tcMar>
              <w:top w:w="0" w:type="dxa"/>
              <w:left w:w="105" w:type="dxa"/>
              <w:bottom w:w="0" w:type="dxa"/>
              <w:right w:w="105" w:type="dxa"/>
            </w:tcMar>
            <w:vAlign w:val="center"/>
          </w:tcPr>
          <w:p w14:paraId="24E0BAEF">
            <w:pPr>
              <w:pStyle w:val="7"/>
              <w:jc w:val="center"/>
              <w:rPr>
                <w:rFonts w:hint="eastAsia" w:ascii="仿宋" w:hAnsi="仿宋" w:eastAsia="仿宋" w:cs="仿宋"/>
                <w:sz w:val="24"/>
                <w:szCs w:val="24"/>
              </w:rPr>
            </w:pPr>
            <w:r>
              <w:rPr>
                <w:rFonts w:hint="eastAsia" w:ascii="仿宋" w:hAnsi="仿宋" w:eastAsia="仿宋" w:cs="仿宋"/>
                <w:sz w:val="24"/>
                <w:szCs w:val="24"/>
              </w:rPr>
              <w:t>项</w:t>
            </w:r>
          </w:p>
        </w:tc>
        <w:tc>
          <w:tcPr>
            <w:tcW w:w="1928" w:type="dxa"/>
            <w:shd w:val="clear" w:color="auto" w:fill="auto"/>
            <w:tcMar>
              <w:top w:w="0" w:type="dxa"/>
              <w:left w:w="105" w:type="dxa"/>
              <w:bottom w:w="0" w:type="dxa"/>
              <w:right w:w="105" w:type="dxa"/>
            </w:tcMar>
            <w:vAlign w:val="center"/>
          </w:tcPr>
          <w:p w14:paraId="1D24B868">
            <w:pPr>
              <w:pStyle w:val="7"/>
              <w:jc w:val="center"/>
              <w:rPr>
                <w:rFonts w:hint="eastAsia" w:ascii="仿宋" w:hAnsi="仿宋" w:eastAsia="仿宋" w:cs="仿宋"/>
                <w:sz w:val="24"/>
                <w:szCs w:val="24"/>
              </w:rPr>
            </w:pPr>
          </w:p>
        </w:tc>
      </w:tr>
      <w:tr w14:paraId="28A3C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764" w:type="dxa"/>
            <w:shd w:val="clear" w:color="auto" w:fill="auto"/>
            <w:tcMar>
              <w:top w:w="0" w:type="dxa"/>
              <w:left w:w="105" w:type="dxa"/>
              <w:bottom w:w="0" w:type="dxa"/>
              <w:right w:w="105" w:type="dxa"/>
            </w:tcMar>
            <w:vAlign w:val="center"/>
          </w:tcPr>
          <w:p w14:paraId="024ED296">
            <w:pPr>
              <w:pStyle w:val="7"/>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合计</w:t>
            </w:r>
          </w:p>
        </w:tc>
        <w:tc>
          <w:tcPr>
            <w:tcW w:w="9083" w:type="dxa"/>
            <w:gridSpan w:val="5"/>
            <w:shd w:val="clear" w:color="auto" w:fill="auto"/>
            <w:tcMar>
              <w:top w:w="0" w:type="dxa"/>
              <w:left w:w="105" w:type="dxa"/>
              <w:bottom w:w="0" w:type="dxa"/>
              <w:right w:w="105" w:type="dxa"/>
            </w:tcMar>
            <w:vAlign w:val="center"/>
          </w:tcPr>
          <w:p w14:paraId="1D546C6F">
            <w:pPr>
              <w:pStyle w:val="7"/>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                      小写：</w:t>
            </w:r>
          </w:p>
        </w:tc>
      </w:tr>
    </w:tbl>
    <w:p w14:paraId="3BD14D21">
      <w:pPr>
        <w:pStyle w:val="7"/>
        <w:rPr>
          <w:rFonts w:hint="eastAsia" w:ascii="仿宋" w:hAnsi="仿宋" w:eastAsia="仿宋" w:cs="仿宋"/>
          <w:sz w:val="24"/>
          <w:szCs w:val="24"/>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30002"/>
      <w:bookmarkStart w:id="92" w:name="_Toc29032"/>
      <w:bookmarkStart w:id="93" w:name="_Toc14685"/>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5447"/>
      <w:bookmarkStart w:id="95" w:name="_Toc20691"/>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63DE3D9">
      <w:pPr>
        <w:widowControl w:val="0"/>
        <w:jc w:val="center"/>
        <w:rPr>
          <w:rFonts w:hint="eastAsia" w:ascii="Times New Roman" w:hAnsi="Times New Roman" w:eastAsia="黑体" w:cs="Times New Roman"/>
          <w:b/>
          <w:color w:val="000000"/>
          <w:kern w:val="2"/>
          <w:sz w:val="48"/>
          <w:szCs w:val="48"/>
          <w:u w:color="000000"/>
          <w:lang w:val="en-US" w:eastAsia="zh-CN" w:bidi="ar-SA"/>
        </w:rPr>
      </w:pPr>
      <w:r>
        <w:rPr>
          <w:rFonts w:hint="eastAsia" w:ascii="Times New Roman" w:hAnsi="Times New Roman" w:eastAsia="黑体" w:cs="Times New Roman"/>
          <w:b/>
          <w:color w:val="000000"/>
          <w:kern w:val="2"/>
          <w:sz w:val="48"/>
          <w:szCs w:val="48"/>
          <w:u w:color="000000"/>
          <w:lang w:val="en-US" w:eastAsia="zh-CN" w:bidi="ar-SA"/>
        </w:rPr>
        <w:t>计算机软件</w:t>
      </w:r>
    </w:p>
    <w:p w14:paraId="045E4D02">
      <w:pPr>
        <w:widowControl w:val="0"/>
        <w:jc w:val="center"/>
        <w:rPr>
          <w:rFonts w:hint="eastAsia" w:ascii="Times New Roman" w:hAnsi="Times New Roman" w:eastAsia="黑体" w:cs="Times New Roman"/>
          <w:b/>
          <w:color w:val="000000"/>
          <w:kern w:val="2"/>
          <w:sz w:val="48"/>
          <w:szCs w:val="48"/>
          <w:u w:color="000000"/>
          <w:lang w:val="en-US" w:eastAsia="zh-CN" w:bidi="ar-SA"/>
        </w:rPr>
      </w:pPr>
      <w:r>
        <w:rPr>
          <w:rFonts w:hint="eastAsia" w:ascii="Times New Roman" w:hAnsi="Times New Roman" w:eastAsia="黑体" w:cs="Times New Roman"/>
          <w:b/>
          <w:color w:val="000000"/>
          <w:kern w:val="2"/>
          <w:sz w:val="48"/>
          <w:szCs w:val="48"/>
          <w:u w:color="000000"/>
          <w:lang w:val="en-US" w:eastAsia="zh-CN" w:bidi="ar-SA"/>
        </w:rPr>
        <w:t>维保服务合同</w:t>
      </w:r>
    </w:p>
    <w:p w14:paraId="4E6E016D">
      <w:pPr>
        <w:keepNext/>
        <w:keepLines/>
        <w:widowControl w:val="0"/>
        <w:spacing w:before="260" w:after="260" w:line="240" w:lineRule="auto"/>
        <w:jc w:val="both"/>
        <w:outlineLvl w:val="9"/>
        <w:rPr>
          <w:rFonts w:hint="eastAsia" w:ascii="Times New Roman" w:hAnsi="Times New Roman" w:eastAsia="宋体" w:cs="Times New Roman"/>
          <w:b/>
          <w:color w:val="000000"/>
          <w:kern w:val="2"/>
          <w:sz w:val="21"/>
          <w:szCs w:val="21"/>
          <w:u w:color="000000"/>
          <w:lang w:val="en-US" w:eastAsia="zh-CN" w:bidi="ar-SA"/>
        </w:rPr>
      </w:pPr>
    </w:p>
    <w:tbl>
      <w:tblPr>
        <w:tblStyle w:val="18"/>
        <w:tblW w:w="5000" w:type="pct"/>
        <w:jc w:val="center"/>
        <w:tblLayout w:type="autofit"/>
        <w:tblCellMar>
          <w:top w:w="0" w:type="dxa"/>
          <w:left w:w="0" w:type="dxa"/>
          <w:bottom w:w="0" w:type="dxa"/>
          <w:right w:w="0" w:type="dxa"/>
        </w:tblCellMar>
      </w:tblPr>
      <w:tblGrid>
        <w:gridCol w:w="4688"/>
        <w:gridCol w:w="4950"/>
      </w:tblGrid>
      <w:tr w14:paraId="6932F2A5">
        <w:tblPrEx>
          <w:tblCellMar>
            <w:top w:w="0" w:type="dxa"/>
            <w:left w:w="0" w:type="dxa"/>
            <w:bottom w:w="0" w:type="dxa"/>
            <w:right w:w="0" w:type="dxa"/>
          </w:tblCellMar>
        </w:tblPrEx>
        <w:trPr>
          <w:trHeight w:val="767" w:hRule="atLeast"/>
          <w:jc w:val="center"/>
        </w:trPr>
        <w:tc>
          <w:tcPr>
            <w:tcW w:w="10204" w:type="dxa"/>
            <w:gridSpan w:val="2"/>
          </w:tcPr>
          <w:p w14:paraId="0BF2FD2C">
            <w:pPr>
              <w:contextualSpacing/>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合同编号</w:t>
            </w:r>
            <w:r>
              <w:rPr>
                <w:rFonts w:hint="default" w:ascii="Times New Roman" w:hAnsi="Times New Roman" w:eastAsia="宋体" w:cs="Times New Roman"/>
                <w:color w:val="000000"/>
                <w:szCs w:val="21"/>
                <w:u w:color="000000"/>
              </w:rPr>
              <w:t>：CGZX-***</w:t>
            </w:r>
          </w:p>
          <w:p w14:paraId="481515F6">
            <w:pPr>
              <w:contextualSpacing/>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签订地点</w:t>
            </w:r>
            <w:r>
              <w:rPr>
                <w:rFonts w:hint="default" w:ascii="Times New Roman" w:hAnsi="Times New Roman" w:eastAsia="宋体" w:cs="Times New Roman"/>
                <w:color w:val="000000"/>
                <w:szCs w:val="21"/>
                <w:u w:color="000000"/>
              </w:rPr>
              <w:t>：四川省人民医院</w:t>
            </w:r>
          </w:p>
        </w:tc>
      </w:tr>
      <w:tr w14:paraId="239B7125">
        <w:tblPrEx>
          <w:tblCellMar>
            <w:top w:w="0" w:type="dxa"/>
            <w:left w:w="0" w:type="dxa"/>
            <w:bottom w:w="0" w:type="dxa"/>
            <w:right w:w="0" w:type="dxa"/>
          </w:tblCellMar>
        </w:tblPrEx>
        <w:trPr>
          <w:jc w:val="center"/>
        </w:trPr>
        <w:tc>
          <w:tcPr>
            <w:tcW w:w="4962" w:type="dxa"/>
          </w:tcPr>
          <w:p w14:paraId="7DE22525">
            <w:pPr>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采购人（以下简称甲方）</w:t>
            </w:r>
            <w:r>
              <w:rPr>
                <w:rFonts w:hint="default" w:ascii="Times New Roman" w:hAnsi="Times New Roman" w:eastAsia="宋体" w:cs="Times New Roman"/>
                <w:color w:val="000000"/>
                <w:szCs w:val="21"/>
                <w:u w:color="000000"/>
              </w:rPr>
              <w:t>：四川省人民医院</w:t>
            </w:r>
          </w:p>
          <w:p w14:paraId="7E317658">
            <w:pPr>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地址</w:t>
            </w:r>
            <w:r>
              <w:rPr>
                <w:rFonts w:hint="default" w:ascii="Times New Roman" w:hAnsi="Times New Roman" w:eastAsia="宋体" w:cs="Times New Roman"/>
                <w:color w:val="000000"/>
                <w:szCs w:val="21"/>
                <w:u w:color="000000"/>
              </w:rPr>
              <w:t>：四川省成都市一环路西二段32号</w:t>
            </w:r>
          </w:p>
          <w:p w14:paraId="1AF9E116">
            <w:pPr>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项目联系人</w:t>
            </w:r>
            <w:r>
              <w:rPr>
                <w:rFonts w:hint="default" w:ascii="Times New Roman" w:hAnsi="Times New Roman" w:eastAsia="宋体" w:cs="Times New Roman"/>
                <w:color w:val="000000"/>
                <w:szCs w:val="21"/>
                <w:u w:color="000000"/>
              </w:rPr>
              <w:t xml:space="preserve">：*** </w:t>
            </w:r>
            <w:r>
              <w:rPr>
                <w:rFonts w:hint="default" w:ascii="Times New Roman" w:hAnsi="Times New Roman" w:eastAsia="宋体" w:cs="Times New Roman"/>
                <w:b/>
                <w:bCs/>
                <w:color w:val="000000"/>
                <w:szCs w:val="21"/>
                <w:u w:color="000000"/>
              </w:rPr>
              <w:t>电话</w:t>
            </w:r>
            <w:r>
              <w:rPr>
                <w:rFonts w:hint="default" w:ascii="Times New Roman" w:hAnsi="Times New Roman" w:eastAsia="宋体" w:cs="Times New Roman"/>
                <w:color w:val="000000"/>
                <w:szCs w:val="21"/>
                <w:u w:color="000000"/>
              </w:rPr>
              <w:t>：***</w:t>
            </w:r>
          </w:p>
        </w:tc>
        <w:tc>
          <w:tcPr>
            <w:tcW w:w="5242" w:type="dxa"/>
          </w:tcPr>
          <w:p w14:paraId="402ED294">
            <w:pPr>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供应商（以下简称乙方）</w:t>
            </w:r>
            <w:r>
              <w:rPr>
                <w:rFonts w:hint="default" w:ascii="Times New Roman" w:hAnsi="Times New Roman" w:eastAsia="宋体" w:cs="Times New Roman"/>
                <w:color w:val="000000"/>
                <w:szCs w:val="21"/>
                <w:u w:color="000000"/>
              </w:rPr>
              <w:t>：***</w:t>
            </w:r>
          </w:p>
          <w:p w14:paraId="2D64895A">
            <w:pPr>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地址</w:t>
            </w:r>
            <w:r>
              <w:rPr>
                <w:rFonts w:hint="default" w:ascii="Times New Roman" w:hAnsi="Times New Roman" w:eastAsia="宋体" w:cs="Times New Roman"/>
                <w:color w:val="000000"/>
                <w:szCs w:val="21"/>
                <w:u w:color="000000"/>
              </w:rPr>
              <w:t>：***</w:t>
            </w:r>
          </w:p>
          <w:p w14:paraId="46BEF6DD">
            <w:pPr>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移动电话</w:t>
            </w:r>
            <w:r>
              <w:rPr>
                <w:rFonts w:hint="default" w:ascii="Times New Roman" w:hAnsi="Times New Roman" w:eastAsia="宋体" w:cs="Times New Roman"/>
                <w:color w:val="000000"/>
                <w:szCs w:val="21"/>
                <w:u w:color="000000"/>
              </w:rPr>
              <w:t>：***</w:t>
            </w:r>
          </w:p>
          <w:p w14:paraId="50DDED52">
            <w:pPr>
              <w:contextualSpacing/>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联系人</w:t>
            </w:r>
            <w:r>
              <w:rPr>
                <w:rFonts w:hint="default" w:ascii="Times New Roman" w:hAnsi="Times New Roman" w:eastAsia="宋体" w:cs="Times New Roman"/>
                <w:color w:val="000000"/>
                <w:szCs w:val="21"/>
                <w:u w:color="000000"/>
              </w:rPr>
              <w:t>：***</w:t>
            </w:r>
          </w:p>
        </w:tc>
      </w:tr>
    </w:tbl>
    <w:p w14:paraId="1A5E9168">
      <w:pPr>
        <w:ind w:firstLine="420" w:firstLineChars="200"/>
        <w:contextualSpacing/>
        <w:jc w:val="left"/>
        <w:rPr>
          <w:rFonts w:hint="default" w:ascii="Times New Roman" w:hAnsi="Times New Roman" w:eastAsia="宋体" w:cs="Times New Roman"/>
          <w:color w:val="000000"/>
          <w:szCs w:val="21"/>
          <w:u w:color="000000"/>
        </w:rPr>
      </w:pPr>
    </w:p>
    <w:p w14:paraId="3A81B3E7">
      <w:pPr>
        <w:adjustRightInd w:val="0"/>
        <w:ind w:firstLine="420" w:firstLineChars="200"/>
        <w:contextualSpacing/>
        <w:jc w:val="left"/>
        <w:rPr>
          <w:rFonts w:hint="default" w:ascii="Times New Roman" w:hAnsi="Times New Roman" w:eastAsia="宋体" w:cs="Times New Roman"/>
          <w:b/>
          <w:color w:val="000000"/>
          <w:szCs w:val="21"/>
          <w:highlight w:val="none"/>
          <w:u w:color="000000"/>
        </w:rPr>
      </w:pPr>
      <w:r>
        <w:rPr>
          <w:rFonts w:hint="eastAsia" w:ascii="Times New Roman" w:hAnsi="Times New Roman" w:eastAsia="宋体" w:cs="Times New Roman"/>
          <w:color w:val="000000"/>
          <w:szCs w:val="21"/>
          <w:u w:color="000000"/>
        </w:rPr>
        <w:t>根</w:t>
      </w:r>
      <w:r>
        <w:rPr>
          <w:rFonts w:hint="default" w:ascii="Times New Roman" w:hAnsi="Times New Roman" w:eastAsia="宋体" w:cs="Times New Roman"/>
          <w:color w:val="000000"/>
          <w:szCs w:val="21"/>
          <w:u w:color="000000"/>
        </w:rPr>
        <w:t>据《中华人民共和国民法典》及甲方发布的***项目（项目编号</w:t>
      </w:r>
      <w:permStart w:id="0" w:edGrp="everyone"/>
      <w:r>
        <w:rPr>
          <w:rFonts w:hint="default" w:ascii="Times New Roman" w:hAnsi="Times New Roman" w:eastAsia="宋体" w:cs="Times New Roman"/>
          <w:color w:val="000000"/>
          <w:szCs w:val="21"/>
          <w:u w:color="000000"/>
        </w:rPr>
        <w:t>：***</w:t>
      </w:r>
      <w:permEnd w:id="0"/>
      <w:r>
        <w:rPr>
          <w:rFonts w:hint="default" w:ascii="Times New Roman" w:hAnsi="Times New Roman" w:eastAsia="宋体" w:cs="Times New Roman"/>
          <w:color w:val="000000"/>
          <w:szCs w:val="21"/>
          <w:u w:color="000000"/>
        </w:rPr>
        <w:t>）《采购文件》、乙方的《</w:t>
      </w:r>
      <w:r>
        <w:rPr>
          <w:rFonts w:hint="eastAsia" w:ascii="Times New Roman" w:hAnsi="Times New Roman" w:eastAsia="宋体" w:cs="Times New Roman"/>
          <w:color w:val="000000"/>
          <w:szCs w:val="21"/>
          <w:u w:color="000000"/>
        </w:rPr>
        <w:t>响应</w:t>
      </w:r>
      <w:r>
        <w:rPr>
          <w:rFonts w:hint="default" w:ascii="Times New Roman" w:hAnsi="Times New Roman" w:eastAsia="宋体" w:cs="Times New Roman"/>
          <w:color w:val="000000"/>
          <w:szCs w:val="21"/>
          <w:u w:color="000000"/>
        </w:rPr>
        <w:t>文件》，甲、乙双方同意签订本合同。详细技术说明及其他有关合同项目的特定信息可由合同附件予以说明，合同附件及本项目的《采购文件》、《</w:t>
      </w:r>
      <w:r>
        <w:rPr>
          <w:rFonts w:hint="eastAsia" w:ascii="Times New Roman" w:hAnsi="Times New Roman" w:eastAsia="宋体" w:cs="Times New Roman"/>
          <w:color w:val="000000"/>
          <w:szCs w:val="21"/>
          <w:u w:color="000000"/>
        </w:rPr>
        <w:t>响应</w:t>
      </w:r>
      <w:r>
        <w:rPr>
          <w:rFonts w:hint="default" w:ascii="Times New Roman" w:hAnsi="Times New Roman" w:eastAsia="宋体" w:cs="Times New Roman"/>
          <w:color w:val="000000"/>
          <w:szCs w:val="21"/>
          <w:u w:color="000000"/>
        </w:rPr>
        <w:t>文件》等均为本合同不可分割的部分。双方同意共同遵守以下条款：</w:t>
      </w:r>
    </w:p>
    <w:p w14:paraId="2A4B38B1">
      <w:pPr>
        <w:contextualSpacing/>
        <w:jc w:val="left"/>
        <w:rPr>
          <w:rFonts w:hint="default" w:ascii="Times New Roman" w:hAnsi="Times New Roman" w:eastAsia="宋体" w:cs="Times New Roman"/>
          <w:b/>
          <w:color w:val="000000"/>
          <w:szCs w:val="21"/>
          <w:highlight w:val="none"/>
          <w:u w:color="000000"/>
        </w:rPr>
      </w:pPr>
    </w:p>
    <w:p w14:paraId="5A011BF0">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合同标的</w:t>
      </w:r>
    </w:p>
    <w:p w14:paraId="019121E7">
      <w:pPr>
        <w:widowControl w:val="0"/>
        <w:numPr>
          <w:ilvl w:val="0"/>
          <w:numId w:val="10"/>
        </w:numPr>
        <w:spacing w:after="0" w:line="240" w:lineRule="auto"/>
        <w:ind w:left="210" w:leftChars="0" w:hanging="210" w:hangingChars="10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标的名称：</w:t>
      </w:r>
      <w:permStart w:id="1" w:edGrp="everyone"/>
      <w:r>
        <w:rPr>
          <w:rFonts w:hint="eastAsia" w:ascii="Times New Roman" w:hAnsi="Times New Roman" w:eastAsia="宋体" w:cs="Times New Roman"/>
          <w:color w:val="000000"/>
          <w:kern w:val="2"/>
          <w:sz w:val="21"/>
          <w:szCs w:val="21"/>
          <w:highlight w:val="none"/>
          <w:u w:color="000000"/>
          <w:lang w:val="en-US" w:eastAsia="zh-CN" w:bidi="ar-SA"/>
        </w:rPr>
        <w:t>***</w:t>
      </w:r>
      <w:permEnd w:id="1"/>
      <w:r>
        <w:rPr>
          <w:rFonts w:hint="eastAsia" w:ascii="Times New Roman" w:hAnsi="Times New Roman" w:eastAsia="宋体" w:cs="Times New Roman"/>
          <w:color w:val="000000"/>
          <w:kern w:val="2"/>
          <w:sz w:val="21"/>
          <w:szCs w:val="21"/>
          <w:highlight w:val="none"/>
          <w:u w:color="000000"/>
          <w:lang w:val="en-US" w:eastAsia="zh-CN" w:bidi="ar-SA"/>
        </w:rPr>
        <w:t>。</w:t>
      </w:r>
    </w:p>
    <w:p w14:paraId="0F6A7702">
      <w:pPr>
        <w:widowControl w:val="0"/>
        <w:numPr>
          <w:ilvl w:val="0"/>
          <w:numId w:val="10"/>
        </w:numPr>
        <w:spacing w:after="0" w:line="240" w:lineRule="auto"/>
        <w:ind w:left="210" w:leftChars="0" w:hanging="210" w:hangingChars="100"/>
        <w:contextualSpacing/>
        <w:jc w:val="left"/>
        <w:rPr>
          <w:rFonts w:hint="eastAsia" w:ascii="Times New Roman" w:hAnsi="Times New Roman" w:eastAsia="宋体" w:cs="Times New Roman"/>
          <w:color w:val="000000"/>
          <w:kern w:val="2"/>
          <w:sz w:val="18"/>
          <w:szCs w:val="18"/>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维保服务涉及的分项明细（如计算机软件为医疗器械，则以下表格中填写的相关内容均须与医疗器械注册证或备案证信息保持一致）。</w:t>
      </w:r>
      <w:r>
        <w:rPr>
          <w:rFonts w:hint="eastAsia" w:ascii="Times New Roman" w:hAnsi="Times New Roman" w:eastAsia="宋体" w:cs="Times New Roman"/>
          <w:i/>
          <w:iCs/>
          <w:color w:val="000000"/>
          <w:kern w:val="2"/>
          <w:sz w:val="21"/>
          <w:szCs w:val="21"/>
          <w:highlight w:val="none"/>
          <w:u w:color="000000"/>
          <w:lang w:val="zh-CN" w:eastAsia="zh-CN" w:bidi="ar-SA"/>
        </w:rPr>
        <w:t>&lt;根据项目实际情况调整&gt;</w:t>
      </w:r>
    </w:p>
    <w:tbl>
      <w:tblPr>
        <w:tblStyle w:val="18"/>
        <w:tblW w:w="5000" w:type="pct"/>
        <w:jc w:val="center"/>
        <w:tblLayout w:type="fixed"/>
        <w:tblCellMar>
          <w:top w:w="0" w:type="dxa"/>
          <w:left w:w="0" w:type="dxa"/>
          <w:bottom w:w="0" w:type="dxa"/>
          <w:right w:w="0" w:type="dxa"/>
        </w:tblCellMar>
      </w:tblPr>
      <w:tblGrid>
        <w:gridCol w:w="419"/>
        <w:gridCol w:w="2027"/>
        <w:gridCol w:w="1850"/>
        <w:gridCol w:w="1339"/>
        <w:gridCol w:w="1339"/>
        <w:gridCol w:w="1124"/>
        <w:gridCol w:w="1556"/>
      </w:tblGrid>
      <w:tr w14:paraId="618F9041">
        <w:tblPrEx>
          <w:tblCellMar>
            <w:top w:w="0" w:type="dxa"/>
            <w:left w:w="0" w:type="dxa"/>
            <w:bottom w:w="0" w:type="dxa"/>
            <w:right w:w="0" w:type="dxa"/>
          </w:tblCellMar>
        </w:tblPrEx>
        <w:trPr>
          <w:cantSplit/>
          <w:trHeight w:val="495" w:hRule="atLeast"/>
          <w:jc w:val="center"/>
        </w:trPr>
        <w:tc>
          <w:tcPr>
            <w:tcW w:w="418" w:type="dxa"/>
            <w:tcBorders>
              <w:top w:val="single" w:color="auto" w:sz="6" w:space="0"/>
              <w:left w:val="single" w:color="auto" w:sz="6" w:space="0"/>
              <w:bottom w:val="single" w:color="auto" w:sz="6" w:space="0"/>
              <w:right w:val="single" w:color="auto" w:sz="6" w:space="0"/>
            </w:tcBorders>
            <w:vAlign w:val="center"/>
          </w:tcPr>
          <w:p w14:paraId="568222E8">
            <w:pPr>
              <w:autoSpaceDE w:val="0"/>
              <w:autoSpaceDN w:val="0"/>
              <w:adjustRightInd w:val="0"/>
              <w:contextualSpacing/>
              <w:jc w:val="center"/>
              <w:rPr>
                <w:rFonts w:hint="default" w:ascii="Times New Roman" w:hAnsi="Times New Roman" w:eastAsia="宋体" w:cs="Times New Roman"/>
                <w:b/>
                <w:bCs/>
                <w:color w:val="000000"/>
                <w:sz w:val="18"/>
                <w:szCs w:val="18"/>
                <w:highlight w:val="none"/>
                <w:u w:color="000000"/>
              </w:rPr>
            </w:pPr>
            <w:permStart w:id="2" w:edGrp="everyone"/>
            <w:r>
              <w:rPr>
                <w:rFonts w:hint="default" w:ascii="Times New Roman" w:hAnsi="Times New Roman" w:eastAsia="宋体" w:cs="Times New Roman"/>
                <w:b/>
                <w:bCs/>
                <w:color w:val="000000"/>
                <w:sz w:val="18"/>
                <w:szCs w:val="18"/>
                <w:highlight w:val="none"/>
                <w:u w:color="000000"/>
              </w:rPr>
              <w:t>序号</w:t>
            </w:r>
          </w:p>
        </w:tc>
        <w:tc>
          <w:tcPr>
            <w:tcW w:w="2020" w:type="dxa"/>
            <w:tcBorders>
              <w:top w:val="single" w:color="auto" w:sz="6" w:space="0"/>
              <w:left w:val="single" w:color="auto" w:sz="6" w:space="0"/>
              <w:bottom w:val="single" w:color="auto" w:sz="6" w:space="0"/>
              <w:right w:val="single" w:color="auto" w:sz="4" w:space="0"/>
            </w:tcBorders>
            <w:vAlign w:val="center"/>
          </w:tcPr>
          <w:p w14:paraId="49A51A8D">
            <w:pPr>
              <w:autoSpaceDE w:val="0"/>
              <w:autoSpaceDN w:val="0"/>
              <w:adjustRightInd w:val="0"/>
              <w:contextualSpacing/>
              <w:jc w:val="center"/>
              <w:rPr>
                <w:rFonts w:hint="default" w:ascii="Times New Roman" w:hAnsi="Times New Roman" w:eastAsia="宋体" w:cs="Times New Roman"/>
                <w:b/>
                <w:bCs/>
                <w:color w:val="000000"/>
                <w:sz w:val="18"/>
                <w:szCs w:val="18"/>
                <w:highlight w:val="none"/>
                <w:u w:color="000000"/>
              </w:rPr>
            </w:pPr>
            <w:r>
              <w:rPr>
                <w:rFonts w:hint="default" w:ascii="Times New Roman" w:hAnsi="Times New Roman" w:eastAsia="宋体" w:cs="Times New Roman"/>
                <w:b/>
                <w:bCs/>
                <w:color w:val="000000"/>
                <w:sz w:val="18"/>
                <w:szCs w:val="18"/>
                <w:highlight w:val="none"/>
                <w:u w:color="000000"/>
              </w:rPr>
              <w:t>计算机软件名称</w:t>
            </w:r>
          </w:p>
        </w:tc>
        <w:tc>
          <w:tcPr>
            <w:tcW w:w="1844" w:type="dxa"/>
            <w:tcBorders>
              <w:top w:val="single" w:color="auto" w:sz="6" w:space="0"/>
              <w:left w:val="single" w:color="auto" w:sz="4" w:space="0"/>
              <w:bottom w:val="single" w:color="auto" w:sz="6" w:space="0"/>
              <w:right w:val="single" w:color="auto" w:sz="4" w:space="0"/>
            </w:tcBorders>
            <w:vAlign w:val="center"/>
          </w:tcPr>
          <w:p w14:paraId="0830F7CD">
            <w:pPr>
              <w:autoSpaceDE w:val="0"/>
              <w:autoSpaceDN w:val="0"/>
              <w:adjustRightInd w:val="0"/>
              <w:contextualSpacing/>
              <w:jc w:val="center"/>
              <w:rPr>
                <w:rFonts w:hint="default" w:ascii="Times New Roman" w:hAnsi="Times New Roman" w:eastAsia="宋体" w:cs="Times New Roman"/>
                <w:b/>
                <w:bCs/>
                <w:color w:val="000000"/>
                <w:sz w:val="18"/>
                <w:szCs w:val="18"/>
                <w:highlight w:val="none"/>
                <w:u w:color="000000"/>
              </w:rPr>
            </w:pPr>
            <w:r>
              <w:rPr>
                <w:rFonts w:hint="eastAsia" w:ascii="Times New Roman" w:hAnsi="Times New Roman" w:eastAsia="宋体" w:cs="Times New Roman"/>
                <w:b/>
                <w:bCs/>
                <w:color w:val="000000"/>
                <w:sz w:val="18"/>
                <w:szCs w:val="18"/>
                <w:highlight w:val="none"/>
                <w:u w:color="000000"/>
              </w:rPr>
              <w:t>开发企业</w:t>
            </w:r>
          </w:p>
        </w:tc>
        <w:tc>
          <w:tcPr>
            <w:tcW w:w="1335" w:type="dxa"/>
            <w:tcBorders>
              <w:top w:val="single" w:color="auto" w:sz="6" w:space="0"/>
              <w:left w:val="single" w:color="auto" w:sz="4" w:space="0"/>
              <w:bottom w:val="single" w:color="auto" w:sz="6" w:space="0"/>
              <w:right w:val="single" w:color="auto" w:sz="6" w:space="0"/>
            </w:tcBorders>
            <w:vAlign w:val="center"/>
          </w:tcPr>
          <w:p w14:paraId="651DBD6C">
            <w:pPr>
              <w:autoSpaceDE w:val="0"/>
              <w:autoSpaceDN w:val="0"/>
              <w:adjustRightInd w:val="0"/>
              <w:contextualSpacing/>
              <w:jc w:val="center"/>
              <w:rPr>
                <w:rFonts w:hint="default" w:ascii="Times New Roman" w:hAnsi="Times New Roman" w:eastAsia="宋体" w:cs="Times New Roman"/>
                <w:b/>
                <w:bCs/>
                <w:color w:val="000000"/>
                <w:sz w:val="18"/>
                <w:szCs w:val="18"/>
                <w:highlight w:val="none"/>
                <w:u w:color="000000"/>
              </w:rPr>
            </w:pPr>
            <w:r>
              <w:rPr>
                <w:rFonts w:hint="eastAsia" w:ascii="Times New Roman" w:hAnsi="Times New Roman" w:eastAsia="宋体" w:cs="Times New Roman"/>
                <w:b/>
                <w:bCs/>
                <w:color w:val="000000"/>
                <w:sz w:val="18"/>
                <w:szCs w:val="18"/>
                <w:highlight w:val="none"/>
                <w:u w:color="000000"/>
              </w:rPr>
              <w:t>版本</w:t>
            </w:r>
          </w:p>
        </w:tc>
        <w:tc>
          <w:tcPr>
            <w:tcW w:w="1335" w:type="dxa"/>
            <w:tcBorders>
              <w:top w:val="single" w:color="auto" w:sz="6" w:space="0"/>
              <w:left w:val="single" w:color="auto" w:sz="6" w:space="0"/>
              <w:bottom w:val="single" w:color="auto" w:sz="6" w:space="0"/>
              <w:right w:val="single" w:color="auto" w:sz="6" w:space="0"/>
            </w:tcBorders>
            <w:vAlign w:val="center"/>
          </w:tcPr>
          <w:p w14:paraId="7E233D24">
            <w:pPr>
              <w:autoSpaceDE w:val="0"/>
              <w:autoSpaceDN w:val="0"/>
              <w:adjustRightInd w:val="0"/>
              <w:contextualSpacing/>
              <w:jc w:val="center"/>
              <w:rPr>
                <w:rFonts w:hint="default" w:ascii="Times New Roman" w:hAnsi="Times New Roman" w:eastAsia="宋体" w:cs="Times New Roman"/>
                <w:b/>
                <w:bCs/>
                <w:color w:val="000000"/>
                <w:sz w:val="18"/>
                <w:szCs w:val="18"/>
                <w:highlight w:val="none"/>
                <w:u w:color="000000"/>
              </w:rPr>
            </w:pPr>
            <w:r>
              <w:rPr>
                <w:rFonts w:hint="eastAsia" w:ascii="Times New Roman" w:hAnsi="Times New Roman" w:eastAsia="宋体" w:cs="Times New Roman"/>
                <w:b/>
                <w:bCs/>
                <w:color w:val="000000"/>
                <w:sz w:val="18"/>
                <w:szCs w:val="18"/>
                <w:highlight w:val="none"/>
                <w:u w:color="000000"/>
              </w:rPr>
              <w:t>序列号</w:t>
            </w:r>
          </w:p>
        </w:tc>
        <w:tc>
          <w:tcPr>
            <w:tcW w:w="1120" w:type="dxa"/>
            <w:tcBorders>
              <w:top w:val="single" w:color="auto" w:sz="6" w:space="0"/>
              <w:left w:val="single" w:color="auto" w:sz="6" w:space="0"/>
              <w:bottom w:val="single" w:color="auto" w:sz="6" w:space="0"/>
              <w:right w:val="single" w:color="auto" w:sz="6" w:space="0"/>
            </w:tcBorders>
            <w:vAlign w:val="center"/>
          </w:tcPr>
          <w:p w14:paraId="3BF3D770">
            <w:pPr>
              <w:autoSpaceDE w:val="0"/>
              <w:autoSpaceDN w:val="0"/>
              <w:adjustRightInd w:val="0"/>
              <w:contextualSpacing/>
              <w:jc w:val="center"/>
              <w:rPr>
                <w:rFonts w:hint="default" w:ascii="Times New Roman" w:hAnsi="Times New Roman" w:eastAsia="宋体" w:cs="Times New Roman"/>
                <w:b/>
                <w:bCs/>
                <w:color w:val="000000"/>
                <w:sz w:val="18"/>
                <w:szCs w:val="18"/>
                <w:highlight w:val="none"/>
                <w:u w:color="000000"/>
              </w:rPr>
            </w:pPr>
            <w:r>
              <w:rPr>
                <w:rFonts w:hint="eastAsia" w:ascii="Times New Roman" w:hAnsi="Times New Roman" w:eastAsia="宋体" w:cs="Times New Roman"/>
                <w:b/>
                <w:bCs/>
                <w:color w:val="000000"/>
                <w:sz w:val="18"/>
                <w:szCs w:val="18"/>
                <w:highlight w:val="none"/>
                <w:u w:color="000000"/>
              </w:rPr>
              <w:t>维保分项价格（万元）</w:t>
            </w:r>
          </w:p>
        </w:tc>
        <w:tc>
          <w:tcPr>
            <w:tcW w:w="1550" w:type="dxa"/>
            <w:tcBorders>
              <w:top w:val="single" w:color="auto" w:sz="6" w:space="0"/>
              <w:left w:val="single" w:color="auto" w:sz="6" w:space="0"/>
              <w:bottom w:val="single" w:color="auto" w:sz="6" w:space="0"/>
              <w:right w:val="single" w:color="auto" w:sz="6" w:space="0"/>
            </w:tcBorders>
            <w:vAlign w:val="center"/>
          </w:tcPr>
          <w:p w14:paraId="1DEE4EE1">
            <w:pPr>
              <w:autoSpaceDE w:val="0"/>
              <w:autoSpaceDN w:val="0"/>
              <w:adjustRightInd w:val="0"/>
              <w:contextualSpacing/>
              <w:jc w:val="center"/>
              <w:rPr>
                <w:rFonts w:hint="default" w:ascii="Times New Roman" w:hAnsi="Times New Roman" w:eastAsia="宋体" w:cs="Times New Roman"/>
                <w:b/>
                <w:bCs/>
                <w:color w:val="000000"/>
                <w:sz w:val="18"/>
                <w:szCs w:val="18"/>
                <w:highlight w:val="none"/>
                <w:u w:color="000000"/>
              </w:rPr>
            </w:pPr>
            <w:r>
              <w:rPr>
                <w:rFonts w:hint="eastAsia" w:ascii="Times New Roman" w:hAnsi="Times New Roman" w:eastAsia="宋体" w:cs="Times New Roman"/>
                <w:b/>
                <w:bCs/>
                <w:color w:val="000000"/>
                <w:sz w:val="18"/>
                <w:szCs w:val="18"/>
                <w:highlight w:val="none"/>
                <w:u w:color="000000"/>
              </w:rPr>
              <w:t>备注</w:t>
            </w:r>
          </w:p>
        </w:tc>
      </w:tr>
      <w:tr w14:paraId="677722FC">
        <w:tblPrEx>
          <w:tblCellMar>
            <w:top w:w="0" w:type="dxa"/>
            <w:left w:w="0" w:type="dxa"/>
            <w:bottom w:w="0" w:type="dxa"/>
            <w:right w:w="0" w:type="dxa"/>
          </w:tblCellMar>
        </w:tblPrEx>
        <w:trPr>
          <w:cantSplit/>
          <w:trHeight w:val="767" w:hRule="atLeast"/>
          <w:jc w:val="center"/>
        </w:trPr>
        <w:tc>
          <w:tcPr>
            <w:tcW w:w="418" w:type="dxa"/>
            <w:tcBorders>
              <w:top w:val="single" w:color="auto" w:sz="6" w:space="0"/>
              <w:left w:val="single" w:color="auto" w:sz="6" w:space="0"/>
              <w:bottom w:val="single" w:color="auto" w:sz="6" w:space="0"/>
              <w:right w:val="single" w:color="auto" w:sz="6" w:space="0"/>
            </w:tcBorders>
            <w:vAlign w:val="center"/>
          </w:tcPr>
          <w:p w14:paraId="3F20DFE7">
            <w:pPr>
              <w:autoSpaceDE w:val="0"/>
              <w:autoSpaceDN w:val="0"/>
              <w:adjustRightInd w:val="0"/>
              <w:contextualSpacing/>
              <w:jc w:val="center"/>
              <w:rPr>
                <w:rFonts w:hint="default" w:ascii="Times New Roman" w:hAnsi="Times New Roman" w:eastAsia="宋体" w:cs="Times New Roman"/>
                <w:color w:val="000000"/>
                <w:sz w:val="18"/>
                <w:szCs w:val="18"/>
                <w:highlight w:val="none"/>
                <w:u w:color="000000"/>
              </w:rPr>
            </w:pPr>
            <w:r>
              <w:rPr>
                <w:rFonts w:hint="default" w:ascii="Times New Roman" w:hAnsi="Times New Roman" w:eastAsia="宋体" w:cs="Times New Roman"/>
                <w:color w:val="000000"/>
                <w:sz w:val="18"/>
                <w:szCs w:val="18"/>
                <w:highlight w:val="none"/>
                <w:u w:color="000000"/>
              </w:rPr>
              <w:t>1</w:t>
            </w:r>
          </w:p>
        </w:tc>
        <w:tc>
          <w:tcPr>
            <w:tcW w:w="2020" w:type="dxa"/>
            <w:tcBorders>
              <w:top w:val="single" w:color="auto" w:sz="6" w:space="0"/>
              <w:left w:val="single" w:color="auto" w:sz="6" w:space="0"/>
              <w:bottom w:val="single" w:color="auto" w:sz="6" w:space="0"/>
              <w:right w:val="single" w:color="auto" w:sz="4" w:space="0"/>
            </w:tcBorders>
            <w:vAlign w:val="center"/>
          </w:tcPr>
          <w:p w14:paraId="1F0E8FEA">
            <w:pPr>
              <w:autoSpaceDE w:val="0"/>
              <w:autoSpaceDN w:val="0"/>
              <w:adjustRightInd w:val="0"/>
              <w:contextualSpacing/>
              <w:rPr>
                <w:rFonts w:hint="default" w:ascii="Times New Roman" w:hAnsi="Times New Roman" w:eastAsia="宋体" w:cs="Times New Roman"/>
                <w:color w:val="000000"/>
                <w:sz w:val="18"/>
                <w:szCs w:val="18"/>
                <w:highlight w:val="none"/>
                <w:u w:color="000000"/>
              </w:rPr>
            </w:pPr>
            <w:r>
              <w:rPr>
                <w:rFonts w:hint="default" w:ascii="Times New Roman" w:hAnsi="Times New Roman" w:eastAsia="宋体" w:cs="Times New Roman"/>
                <w:color w:val="000000"/>
                <w:sz w:val="18"/>
                <w:szCs w:val="18"/>
                <w:highlight w:val="none"/>
                <w:u w:color="000000"/>
              </w:rPr>
              <w:t>***</w:t>
            </w:r>
          </w:p>
        </w:tc>
        <w:tc>
          <w:tcPr>
            <w:tcW w:w="1844" w:type="dxa"/>
            <w:tcBorders>
              <w:top w:val="single" w:color="auto" w:sz="6" w:space="0"/>
              <w:left w:val="single" w:color="auto" w:sz="4" w:space="0"/>
              <w:bottom w:val="single" w:color="auto" w:sz="6" w:space="0"/>
              <w:right w:val="single" w:color="auto" w:sz="4" w:space="0"/>
            </w:tcBorders>
            <w:vAlign w:val="center"/>
          </w:tcPr>
          <w:p w14:paraId="50FBA0DB">
            <w:pPr>
              <w:autoSpaceDE w:val="0"/>
              <w:autoSpaceDN w:val="0"/>
              <w:adjustRightInd w:val="0"/>
              <w:contextualSpacing/>
              <w:jc w:val="center"/>
              <w:rPr>
                <w:rFonts w:hint="default" w:ascii="Times New Roman" w:hAnsi="Times New Roman" w:eastAsia="宋体" w:cs="Times New Roman"/>
                <w:color w:val="000000"/>
                <w:sz w:val="18"/>
                <w:szCs w:val="18"/>
                <w:highlight w:val="none"/>
                <w:u w:color="000000"/>
              </w:rPr>
            </w:pPr>
            <w:r>
              <w:rPr>
                <w:rFonts w:hint="default" w:ascii="Times New Roman" w:hAnsi="Times New Roman" w:eastAsia="宋体" w:cs="Times New Roman"/>
                <w:color w:val="000000"/>
                <w:sz w:val="18"/>
                <w:szCs w:val="18"/>
                <w:highlight w:val="none"/>
                <w:u w:color="000000"/>
              </w:rPr>
              <w:t>***</w:t>
            </w:r>
          </w:p>
        </w:tc>
        <w:tc>
          <w:tcPr>
            <w:tcW w:w="1335" w:type="dxa"/>
            <w:tcBorders>
              <w:top w:val="single" w:color="auto" w:sz="6" w:space="0"/>
              <w:left w:val="single" w:color="auto" w:sz="4" w:space="0"/>
              <w:bottom w:val="single" w:color="auto" w:sz="6" w:space="0"/>
              <w:right w:val="single" w:color="auto" w:sz="6" w:space="0"/>
            </w:tcBorders>
            <w:vAlign w:val="center"/>
          </w:tcPr>
          <w:p w14:paraId="6081F60A">
            <w:pPr>
              <w:autoSpaceDE w:val="0"/>
              <w:autoSpaceDN w:val="0"/>
              <w:adjustRightInd w:val="0"/>
              <w:contextualSpacing/>
              <w:jc w:val="center"/>
              <w:rPr>
                <w:rFonts w:hint="default" w:ascii="Times New Roman" w:hAnsi="Times New Roman" w:eastAsia="宋体" w:cs="Times New Roman"/>
                <w:color w:val="000000"/>
                <w:sz w:val="18"/>
                <w:szCs w:val="18"/>
                <w:highlight w:val="none"/>
                <w:u w:color="000000"/>
              </w:rPr>
            </w:pPr>
            <w:r>
              <w:rPr>
                <w:rFonts w:hint="default" w:ascii="Times New Roman" w:hAnsi="Times New Roman" w:eastAsia="宋体" w:cs="Times New Roman"/>
                <w:color w:val="000000"/>
                <w:sz w:val="18"/>
                <w:szCs w:val="18"/>
                <w:highlight w:val="none"/>
                <w:u w:color="000000"/>
              </w:rPr>
              <w:t>***</w:t>
            </w:r>
          </w:p>
        </w:tc>
        <w:tc>
          <w:tcPr>
            <w:tcW w:w="1335" w:type="dxa"/>
            <w:tcBorders>
              <w:top w:val="single" w:color="auto" w:sz="6" w:space="0"/>
              <w:left w:val="single" w:color="auto" w:sz="6" w:space="0"/>
              <w:bottom w:val="single" w:color="auto" w:sz="6" w:space="0"/>
              <w:right w:val="single" w:color="auto" w:sz="6" w:space="0"/>
            </w:tcBorders>
            <w:vAlign w:val="center"/>
          </w:tcPr>
          <w:p w14:paraId="6EA1CC4D">
            <w:pPr>
              <w:autoSpaceDE w:val="0"/>
              <w:autoSpaceDN w:val="0"/>
              <w:adjustRightInd w:val="0"/>
              <w:contextualSpacing/>
              <w:jc w:val="center"/>
              <w:rPr>
                <w:rFonts w:hint="default" w:ascii="Times New Roman" w:hAnsi="Times New Roman" w:eastAsia="宋体" w:cs="Times New Roman"/>
                <w:color w:val="000000"/>
                <w:sz w:val="18"/>
                <w:szCs w:val="18"/>
                <w:highlight w:val="none"/>
                <w:u w:color="000000"/>
              </w:rPr>
            </w:pPr>
            <w:r>
              <w:rPr>
                <w:rFonts w:hint="default" w:ascii="Times New Roman" w:hAnsi="Times New Roman" w:eastAsia="宋体" w:cs="Times New Roman"/>
                <w:color w:val="000000"/>
                <w:sz w:val="18"/>
                <w:szCs w:val="18"/>
                <w:highlight w:val="none"/>
                <w:u w:color="000000"/>
              </w:rPr>
              <w:t>***</w:t>
            </w:r>
          </w:p>
        </w:tc>
        <w:tc>
          <w:tcPr>
            <w:tcW w:w="1120" w:type="dxa"/>
            <w:tcBorders>
              <w:top w:val="single" w:color="auto" w:sz="6" w:space="0"/>
              <w:left w:val="single" w:color="auto" w:sz="6" w:space="0"/>
              <w:bottom w:val="single" w:color="auto" w:sz="6" w:space="0"/>
              <w:right w:val="single" w:color="auto" w:sz="6" w:space="0"/>
            </w:tcBorders>
            <w:vAlign w:val="center"/>
          </w:tcPr>
          <w:p w14:paraId="06EB0380">
            <w:pPr>
              <w:autoSpaceDE w:val="0"/>
              <w:autoSpaceDN w:val="0"/>
              <w:adjustRightInd w:val="0"/>
              <w:contextualSpacing/>
              <w:jc w:val="center"/>
              <w:rPr>
                <w:rFonts w:hint="default" w:ascii="Times New Roman" w:hAnsi="Times New Roman" w:eastAsia="宋体" w:cs="Times New Roman"/>
                <w:color w:val="000000"/>
                <w:sz w:val="18"/>
                <w:szCs w:val="18"/>
                <w:highlight w:val="none"/>
                <w:u w:color="000000"/>
              </w:rPr>
            </w:pPr>
          </w:p>
        </w:tc>
        <w:tc>
          <w:tcPr>
            <w:tcW w:w="1550" w:type="dxa"/>
            <w:tcBorders>
              <w:top w:val="single" w:color="auto" w:sz="6" w:space="0"/>
              <w:left w:val="single" w:color="auto" w:sz="6" w:space="0"/>
              <w:bottom w:val="single" w:color="auto" w:sz="6" w:space="0"/>
              <w:right w:val="single" w:color="auto" w:sz="6" w:space="0"/>
            </w:tcBorders>
            <w:vAlign w:val="center"/>
          </w:tcPr>
          <w:p w14:paraId="730743C7">
            <w:pPr>
              <w:autoSpaceDE w:val="0"/>
              <w:autoSpaceDN w:val="0"/>
              <w:adjustRightInd w:val="0"/>
              <w:contextualSpacing/>
              <w:rPr>
                <w:rFonts w:hint="default" w:ascii="Times New Roman" w:hAnsi="Times New Roman" w:eastAsia="宋体" w:cs="Times New Roman"/>
                <w:color w:val="000000"/>
                <w:sz w:val="18"/>
                <w:szCs w:val="18"/>
                <w:highlight w:val="none"/>
                <w:u w:color="000000"/>
              </w:rPr>
            </w:pPr>
          </w:p>
        </w:tc>
      </w:tr>
      <w:permEnd w:id="2"/>
    </w:tbl>
    <w:p w14:paraId="470146C5">
      <w:pPr>
        <w:widowControl w:val="0"/>
        <w:numPr>
          <w:ilvl w:val="0"/>
          <w:numId w:val="9"/>
        </w:numPr>
        <w:ind w:left="480" w:hanging="480" w:firstLineChars="0"/>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合同总价</w:t>
      </w:r>
    </w:p>
    <w:p w14:paraId="1AC579CF">
      <w:pPr>
        <w:ind w:firstLine="480"/>
        <w:contextualSpacing/>
        <w:jc w:val="left"/>
        <w:rPr>
          <w:rFonts w:hint="default" w:ascii="Times New Roman" w:hAnsi="Times New Roman" w:eastAsia="宋体" w:cs="Times New Roman"/>
          <w:color w:val="000000"/>
          <w:szCs w:val="21"/>
          <w:highlight w:val="none"/>
          <w:u w:color="000000"/>
        </w:rPr>
      </w:pPr>
      <w:bookmarkStart w:id="97" w:name="OLE_LINK2"/>
      <w:bookmarkStart w:id="98" w:name="OLE_LINK1"/>
      <w:r>
        <w:rPr>
          <w:rFonts w:hint="default" w:ascii="Times New Roman" w:hAnsi="Times New Roman" w:eastAsia="宋体" w:cs="Times New Roman"/>
          <w:color w:val="000000"/>
          <w:szCs w:val="21"/>
          <w:highlight w:val="none"/>
          <w:u w:color="000000"/>
        </w:rPr>
        <w:sym w:font="Wingdings 2" w:char="F052"/>
      </w:r>
      <w:r>
        <w:rPr>
          <w:rFonts w:hint="eastAsia" w:ascii="Times New Roman" w:hAnsi="Times New Roman" w:eastAsia="宋体" w:cs="Times New Roman"/>
          <w:color w:val="000000"/>
          <w:szCs w:val="21"/>
          <w:highlight w:val="none"/>
          <w:u w:color="000000"/>
        </w:rPr>
        <w:t>全包服务</w:t>
      </w:r>
    </w:p>
    <w:p w14:paraId="0B171758">
      <w:pPr>
        <w:ind w:left="420" w:leftChars="200" w:firstLine="420" w:firstLineChars="200"/>
        <w:contextualSpacing/>
        <w:jc w:val="left"/>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合同总价（含税）为人民币大写：*** 圆整，即RMB *** 元</w:t>
      </w:r>
      <w:r>
        <w:rPr>
          <w:rFonts w:hint="eastAsia" w:ascii="Times New Roman" w:hAnsi="Times New Roman" w:eastAsia="宋体" w:cs="Times New Roman"/>
          <w:color w:val="000000"/>
          <w:szCs w:val="21"/>
          <w:highlight w:val="none"/>
          <w:u w:color="000000"/>
        </w:rPr>
        <w:t>，</w:t>
      </w:r>
      <w:r>
        <w:rPr>
          <w:rFonts w:hint="default" w:ascii="Times New Roman" w:hAnsi="Times New Roman" w:eastAsia="宋体" w:cs="Times New Roman"/>
          <w:color w:val="000000"/>
          <w:szCs w:val="21"/>
          <w:highlight w:val="none"/>
          <w:u w:color="000000"/>
        </w:rPr>
        <w:t>该合同总价已包括本合同标的所涉及的所有相关费用（包括但不限于技术服务、差旅</w:t>
      </w:r>
      <w:r>
        <w:rPr>
          <w:rFonts w:hint="eastAsia" w:ascii="Times New Roman" w:hAnsi="Times New Roman" w:eastAsia="宋体" w:cs="Times New Roman"/>
          <w:color w:val="000000"/>
          <w:szCs w:val="21"/>
          <w:highlight w:val="none"/>
          <w:u w:color="000000"/>
        </w:rPr>
        <w:t>交通</w:t>
      </w:r>
      <w:r>
        <w:rPr>
          <w:rFonts w:hint="default" w:ascii="Times New Roman" w:hAnsi="Times New Roman" w:eastAsia="宋体" w:cs="Times New Roman"/>
          <w:color w:val="000000"/>
          <w:szCs w:val="21"/>
          <w:highlight w:val="none"/>
          <w:u w:color="000000"/>
        </w:rPr>
        <w:t>、</w:t>
      </w:r>
      <w:r>
        <w:rPr>
          <w:rFonts w:hint="eastAsia" w:ascii="Times New Roman" w:hAnsi="Times New Roman" w:eastAsia="宋体" w:cs="Times New Roman"/>
          <w:color w:val="000000"/>
          <w:szCs w:val="21"/>
          <w:highlight w:val="none"/>
          <w:u w:color="000000"/>
        </w:rPr>
        <w:t>原材料、备品备件及</w:t>
      </w:r>
      <w:r>
        <w:rPr>
          <w:rFonts w:hint="default" w:ascii="Times New Roman" w:hAnsi="Times New Roman" w:eastAsia="宋体" w:cs="Times New Roman"/>
          <w:color w:val="000000"/>
          <w:szCs w:val="21"/>
          <w:highlight w:val="none"/>
          <w:u w:color="000000"/>
        </w:rPr>
        <w:t>税费</w:t>
      </w:r>
      <w:r>
        <w:rPr>
          <w:rFonts w:hint="eastAsia" w:ascii="Times New Roman" w:hAnsi="Times New Roman" w:eastAsia="宋体" w:cs="Times New Roman"/>
          <w:color w:val="000000"/>
          <w:szCs w:val="21"/>
          <w:highlight w:val="none"/>
          <w:u w:color="000000"/>
        </w:rPr>
        <w:t>等在内</w:t>
      </w:r>
      <w:r>
        <w:rPr>
          <w:rFonts w:hint="default" w:ascii="Times New Roman" w:hAnsi="Times New Roman" w:eastAsia="宋体" w:cs="Times New Roman"/>
          <w:color w:val="000000"/>
          <w:szCs w:val="21"/>
          <w:highlight w:val="none"/>
          <w:u w:color="000000"/>
        </w:rPr>
        <w:t>的全部含税费用）。本合同执行期间合同总价不变，甲方无须另向乙方支付本合同规定之外的其他任何费用。</w:t>
      </w:r>
    </w:p>
    <w:p w14:paraId="25109604">
      <w:pPr>
        <w:ind w:firstLine="480"/>
        <w:contextualSpacing/>
        <w:jc w:val="left"/>
        <w:rPr>
          <w:rFonts w:hint="default" w:ascii="Times New Roman" w:hAnsi="Times New Roman" w:eastAsia="宋体" w:cs="Times New Roman"/>
          <w:color w:val="000000"/>
          <w:szCs w:val="20"/>
          <w:highlight w:val="none"/>
          <w:u w:color="000000"/>
        </w:rPr>
      </w:pPr>
      <w:r>
        <w:rPr>
          <w:rFonts w:hint="default" w:ascii="Times New Roman" w:hAnsi="Times New Roman" w:eastAsia="宋体" w:cs="Times New Roman"/>
          <w:color w:val="000000"/>
          <w:szCs w:val="21"/>
          <w:highlight w:val="none"/>
          <w:u w:color="000000"/>
          <w:shd w:val="clear" w:color="auto" w:fill="FFFFFF"/>
        </w:rPr>
        <w:sym w:font="Wingdings" w:char="F0A8"/>
      </w:r>
      <w:r>
        <w:rPr>
          <w:rFonts w:hint="eastAsia" w:ascii="Times New Roman" w:hAnsi="Times New Roman" w:eastAsia="宋体" w:cs="Times New Roman"/>
          <w:color w:val="000000"/>
          <w:szCs w:val="20"/>
          <w:highlight w:val="none"/>
          <w:u w:color="000000"/>
        </w:rPr>
        <w:t>半包服务</w:t>
      </w:r>
    </w:p>
    <w:p w14:paraId="4FFC53D0">
      <w:pPr>
        <w:ind w:left="420" w:leftChars="200" w:firstLine="420" w:firstLineChars="200"/>
        <w:contextualSpacing/>
        <w:jc w:val="left"/>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1</w:t>
      </w:r>
      <w:r>
        <w:rPr>
          <w:rFonts w:hint="default" w:ascii="Times New Roman" w:hAnsi="Times New Roman" w:eastAsia="宋体" w:cs="Times New Roman"/>
          <w:color w:val="000000"/>
          <w:szCs w:val="21"/>
          <w:highlight w:val="none"/>
          <w:u w:color="000000"/>
        </w:rPr>
        <w:t>.</w:t>
      </w:r>
      <w:r>
        <w:rPr>
          <w:rFonts w:hint="eastAsia" w:ascii="Times New Roman" w:hAnsi="Times New Roman" w:eastAsia="宋体" w:cs="Times New Roman"/>
          <w:color w:val="000000"/>
          <w:szCs w:val="21"/>
          <w:highlight w:val="none"/>
          <w:u w:color="000000"/>
        </w:rPr>
        <w:t>本合同固定部分价款为</w:t>
      </w:r>
      <w:bookmarkStart w:id="99" w:name="OLE_LINK28"/>
      <w:r>
        <w:rPr>
          <w:rFonts w:hint="default" w:ascii="Times New Roman" w:hAnsi="Times New Roman" w:eastAsia="宋体" w:cs="Times New Roman"/>
          <w:color w:val="000000"/>
          <w:szCs w:val="21"/>
          <w:highlight w:val="none"/>
          <w:u w:color="000000"/>
        </w:rPr>
        <w:t>人民币大写：*** 圆整，即RMB *** 元</w:t>
      </w:r>
      <w:bookmarkEnd w:id="99"/>
      <w:r>
        <w:rPr>
          <w:rFonts w:hint="eastAsia" w:ascii="Times New Roman" w:hAnsi="Times New Roman" w:eastAsia="宋体" w:cs="Times New Roman"/>
          <w:color w:val="000000"/>
          <w:szCs w:val="21"/>
          <w:highlight w:val="none"/>
          <w:u w:color="000000"/>
        </w:rPr>
        <w:t>，</w:t>
      </w:r>
      <w:r>
        <w:rPr>
          <w:rFonts w:hint="default" w:ascii="Times New Roman" w:hAnsi="Times New Roman" w:eastAsia="宋体" w:cs="Times New Roman"/>
          <w:color w:val="000000"/>
          <w:szCs w:val="21"/>
          <w:highlight w:val="none"/>
          <w:u w:color="000000"/>
        </w:rPr>
        <w:t>该</w:t>
      </w:r>
      <w:r>
        <w:rPr>
          <w:rFonts w:hint="eastAsia" w:ascii="Times New Roman" w:hAnsi="Times New Roman" w:eastAsia="宋体" w:cs="Times New Roman"/>
          <w:color w:val="000000"/>
          <w:szCs w:val="21"/>
          <w:highlight w:val="none"/>
          <w:u w:color="000000"/>
        </w:rPr>
        <w:t>部分价款</w:t>
      </w:r>
      <w:r>
        <w:rPr>
          <w:rFonts w:hint="default" w:ascii="Times New Roman" w:hAnsi="Times New Roman" w:eastAsia="宋体" w:cs="Times New Roman"/>
          <w:color w:val="000000"/>
          <w:szCs w:val="21"/>
          <w:highlight w:val="none"/>
          <w:u w:color="000000"/>
        </w:rPr>
        <w:t>已包括</w:t>
      </w:r>
      <w:r>
        <w:rPr>
          <w:rFonts w:hint="eastAsia" w:ascii="Times New Roman" w:hAnsi="Times New Roman" w:eastAsia="宋体" w:cs="Times New Roman"/>
          <w:color w:val="000000"/>
          <w:szCs w:val="21"/>
          <w:highlight w:val="none"/>
          <w:u w:color="000000"/>
        </w:rPr>
        <w:t>*</w:t>
      </w:r>
      <w:r>
        <w:rPr>
          <w:rFonts w:hint="default" w:ascii="Times New Roman" w:hAnsi="Times New Roman" w:eastAsia="宋体" w:cs="Times New Roman"/>
          <w:color w:val="000000"/>
          <w:szCs w:val="21"/>
          <w:highlight w:val="none"/>
          <w:u w:color="000000"/>
        </w:rPr>
        <w:t>**</w:t>
      </w:r>
      <w:r>
        <w:rPr>
          <w:rFonts w:hint="eastAsia" w:ascii="Times New Roman" w:hAnsi="Times New Roman" w:eastAsia="宋体" w:cs="Times New Roman"/>
          <w:color w:val="000000"/>
          <w:szCs w:val="21"/>
          <w:highlight w:val="none"/>
          <w:u w:color="000000"/>
        </w:rPr>
        <w:t>及</w:t>
      </w:r>
      <w:r>
        <w:rPr>
          <w:rFonts w:hint="default" w:ascii="Times New Roman" w:hAnsi="Times New Roman" w:eastAsia="宋体" w:cs="Times New Roman"/>
          <w:color w:val="000000"/>
          <w:szCs w:val="21"/>
          <w:highlight w:val="none"/>
          <w:u w:color="000000"/>
        </w:rPr>
        <w:t>税费</w:t>
      </w:r>
      <w:r>
        <w:rPr>
          <w:rFonts w:hint="eastAsia" w:ascii="Times New Roman" w:hAnsi="Times New Roman" w:eastAsia="宋体" w:cs="Times New Roman"/>
          <w:color w:val="000000"/>
          <w:szCs w:val="21"/>
          <w:highlight w:val="none"/>
          <w:u w:color="000000"/>
        </w:rPr>
        <w:t>在内</w:t>
      </w:r>
      <w:r>
        <w:rPr>
          <w:rFonts w:hint="default" w:ascii="Times New Roman" w:hAnsi="Times New Roman" w:eastAsia="宋体" w:cs="Times New Roman"/>
          <w:color w:val="000000"/>
          <w:szCs w:val="21"/>
          <w:highlight w:val="none"/>
          <w:u w:color="000000"/>
        </w:rPr>
        <w:t>的全部含税费用。本合同执行期间</w:t>
      </w:r>
      <w:r>
        <w:rPr>
          <w:rFonts w:hint="eastAsia" w:ascii="Times New Roman" w:hAnsi="Times New Roman" w:eastAsia="宋体" w:cs="Times New Roman"/>
          <w:color w:val="000000"/>
          <w:szCs w:val="21"/>
          <w:highlight w:val="none"/>
          <w:u w:color="000000"/>
        </w:rPr>
        <w:t>该部分</w:t>
      </w:r>
      <w:r>
        <w:rPr>
          <w:rFonts w:hint="default" w:ascii="Times New Roman" w:hAnsi="Times New Roman" w:eastAsia="宋体" w:cs="Times New Roman"/>
          <w:color w:val="000000"/>
          <w:szCs w:val="21"/>
          <w:highlight w:val="none"/>
          <w:u w:color="000000"/>
        </w:rPr>
        <w:t>合同</w:t>
      </w:r>
      <w:r>
        <w:rPr>
          <w:rFonts w:hint="eastAsia" w:ascii="Times New Roman" w:hAnsi="Times New Roman" w:eastAsia="宋体" w:cs="Times New Roman"/>
          <w:color w:val="000000"/>
          <w:szCs w:val="21"/>
          <w:highlight w:val="none"/>
          <w:u w:color="000000"/>
        </w:rPr>
        <w:t>价款</w:t>
      </w:r>
      <w:r>
        <w:rPr>
          <w:rFonts w:hint="default" w:ascii="Times New Roman" w:hAnsi="Times New Roman" w:eastAsia="宋体" w:cs="Times New Roman"/>
          <w:color w:val="000000"/>
          <w:szCs w:val="21"/>
          <w:highlight w:val="none"/>
          <w:u w:color="000000"/>
        </w:rPr>
        <w:t>不变，甲方无须向乙方支付本合同规定之外的其他任何费用。</w:t>
      </w:r>
    </w:p>
    <w:p w14:paraId="7C120967">
      <w:pPr>
        <w:ind w:left="420" w:leftChars="200" w:firstLine="420" w:firstLineChars="200"/>
        <w:contextualSpacing/>
        <w:jc w:val="left"/>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2</w:t>
      </w:r>
      <w:r>
        <w:rPr>
          <w:rFonts w:hint="default" w:ascii="Times New Roman" w:hAnsi="Times New Roman" w:eastAsia="宋体" w:cs="Times New Roman"/>
          <w:color w:val="000000"/>
          <w:szCs w:val="21"/>
          <w:highlight w:val="none"/>
          <w:u w:color="000000"/>
        </w:rPr>
        <w:t>.</w:t>
      </w:r>
      <w:r>
        <w:rPr>
          <w:rFonts w:hint="eastAsia" w:ascii="Times New Roman" w:hAnsi="Times New Roman" w:eastAsia="宋体" w:cs="Times New Roman"/>
          <w:color w:val="000000"/>
          <w:szCs w:val="21"/>
          <w:highlight w:val="none"/>
          <w:u w:color="000000"/>
        </w:rPr>
        <w:t>本合同按实结算部分支付总额不超过</w:t>
      </w:r>
      <w:r>
        <w:rPr>
          <w:rFonts w:hint="default" w:ascii="Times New Roman" w:hAnsi="Times New Roman" w:eastAsia="宋体" w:cs="Times New Roman"/>
          <w:color w:val="000000"/>
          <w:szCs w:val="21"/>
          <w:highlight w:val="none"/>
          <w:u w:color="000000"/>
        </w:rPr>
        <w:t>人民币大写：*** 圆整，即RMB *** 元</w:t>
      </w:r>
      <w:r>
        <w:rPr>
          <w:rFonts w:hint="eastAsia" w:ascii="Times New Roman" w:hAnsi="Times New Roman" w:eastAsia="宋体" w:cs="Times New Roman"/>
          <w:color w:val="000000"/>
          <w:szCs w:val="21"/>
          <w:highlight w:val="none"/>
          <w:u w:color="000000"/>
        </w:rPr>
        <w:t>，依据本合同单价进行结算，结算依据及标准为：*</w:t>
      </w:r>
      <w:r>
        <w:rPr>
          <w:rFonts w:hint="default" w:ascii="Times New Roman" w:hAnsi="Times New Roman" w:eastAsia="宋体" w:cs="Times New Roman"/>
          <w:color w:val="000000"/>
          <w:szCs w:val="21"/>
          <w:highlight w:val="none"/>
          <w:u w:color="000000"/>
        </w:rPr>
        <w:t>**</w:t>
      </w:r>
      <w:r>
        <w:rPr>
          <w:rFonts w:hint="eastAsia" w:ascii="Times New Roman" w:hAnsi="Times New Roman" w:eastAsia="宋体" w:cs="Times New Roman"/>
          <w:color w:val="000000"/>
          <w:szCs w:val="21"/>
          <w:highlight w:val="none"/>
          <w:u w:color="000000"/>
        </w:rPr>
        <w:t>，结算单价详见</w:t>
      </w:r>
      <w:r>
        <w:rPr>
          <w:rFonts w:hint="eastAsia" w:ascii="Times New Roman" w:hAnsi="Times New Roman" w:eastAsia="宋体" w:cs="Times New Roman"/>
          <w:color w:val="000000"/>
          <w:szCs w:val="21"/>
          <w:highlight w:val="none"/>
          <w:u w:val="single" w:color="000000"/>
        </w:rPr>
        <w:t>附件1《结算单价清单》</w:t>
      </w:r>
      <w:r>
        <w:rPr>
          <w:rFonts w:hint="eastAsia" w:ascii="Times New Roman" w:hAnsi="Times New Roman" w:eastAsia="宋体" w:cs="Times New Roman"/>
          <w:color w:val="000000"/>
          <w:szCs w:val="21"/>
          <w:highlight w:val="none"/>
          <w:u w:color="000000"/>
        </w:rPr>
        <w:t>。</w:t>
      </w:r>
      <w:r>
        <w:rPr>
          <w:rFonts w:hint="default" w:ascii="Times New Roman" w:hAnsi="Times New Roman" w:eastAsia="宋体" w:cs="Times New Roman"/>
          <w:i/>
          <w:iCs/>
          <w:color w:val="000000"/>
          <w:szCs w:val="21"/>
          <w:highlight w:val="none"/>
          <w:u w:color="000000"/>
        </w:rPr>
        <w:t>&lt;根据项目实际情况</w:t>
      </w:r>
      <w:r>
        <w:rPr>
          <w:rFonts w:hint="eastAsia" w:ascii="Times New Roman" w:hAnsi="Times New Roman" w:eastAsia="宋体" w:cs="Times New Roman"/>
          <w:i/>
          <w:iCs/>
          <w:color w:val="000000"/>
          <w:szCs w:val="21"/>
          <w:highlight w:val="none"/>
          <w:u w:color="000000"/>
        </w:rPr>
        <w:t>编制结算依据、标准等必要内容</w:t>
      </w:r>
      <w:r>
        <w:rPr>
          <w:rFonts w:hint="default" w:ascii="Times New Roman" w:hAnsi="Times New Roman" w:eastAsia="宋体" w:cs="Times New Roman"/>
          <w:i/>
          <w:iCs/>
          <w:color w:val="000000"/>
          <w:szCs w:val="21"/>
          <w:highlight w:val="none"/>
          <w:u w:color="000000"/>
        </w:rPr>
        <w:t>&gt;</w:t>
      </w:r>
    </w:p>
    <w:p w14:paraId="6A78EB28">
      <w:pPr>
        <w:ind w:firstLine="480"/>
        <w:contextualSpacing/>
        <w:jc w:val="left"/>
        <w:rPr>
          <w:rFonts w:hint="default" w:ascii="Times New Roman" w:hAnsi="Times New Roman" w:eastAsia="宋体" w:cs="Times New Roman"/>
          <w:color w:val="000000"/>
          <w:szCs w:val="20"/>
          <w:highlight w:val="none"/>
          <w:u w:color="000000"/>
        </w:rPr>
      </w:pPr>
      <w:r>
        <w:rPr>
          <w:rFonts w:hint="default" w:ascii="Times New Roman" w:hAnsi="Times New Roman" w:eastAsia="宋体" w:cs="Times New Roman"/>
          <w:color w:val="000000"/>
          <w:szCs w:val="21"/>
          <w:highlight w:val="none"/>
          <w:u w:color="000000"/>
          <w:shd w:val="clear" w:color="auto" w:fill="FFFFFF"/>
        </w:rPr>
        <w:sym w:font="Wingdings" w:char="F0A8"/>
      </w:r>
      <w:r>
        <w:rPr>
          <w:rFonts w:hint="eastAsia" w:ascii="Times New Roman" w:hAnsi="Times New Roman" w:eastAsia="宋体" w:cs="Times New Roman"/>
          <w:color w:val="000000"/>
          <w:szCs w:val="20"/>
          <w:highlight w:val="none"/>
          <w:u w:color="000000"/>
        </w:rPr>
        <w:t>按实结算</w:t>
      </w:r>
    </w:p>
    <w:p w14:paraId="78B46675">
      <w:pPr>
        <w:ind w:left="420" w:leftChars="200" w:firstLine="420" w:firstLineChars="200"/>
        <w:contextualSpacing/>
        <w:jc w:val="left"/>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本合同支付总额不超过</w:t>
      </w:r>
      <w:r>
        <w:rPr>
          <w:rFonts w:hint="default" w:ascii="Times New Roman" w:hAnsi="Times New Roman" w:eastAsia="宋体" w:cs="Times New Roman"/>
          <w:color w:val="000000"/>
          <w:szCs w:val="21"/>
          <w:highlight w:val="none"/>
          <w:u w:color="000000"/>
        </w:rPr>
        <w:t>人民币大写：*** 圆整，即RMB *** 元</w:t>
      </w:r>
      <w:r>
        <w:rPr>
          <w:rFonts w:hint="eastAsia" w:ascii="Times New Roman" w:hAnsi="Times New Roman" w:eastAsia="宋体" w:cs="Times New Roman"/>
          <w:color w:val="000000"/>
          <w:szCs w:val="21"/>
          <w:highlight w:val="none"/>
          <w:u w:color="000000"/>
        </w:rPr>
        <w:t>，依据本合同单价进行结算，结算依据及标准为：*</w:t>
      </w:r>
      <w:r>
        <w:rPr>
          <w:rFonts w:hint="default" w:ascii="Times New Roman" w:hAnsi="Times New Roman" w:eastAsia="宋体" w:cs="Times New Roman"/>
          <w:color w:val="000000"/>
          <w:szCs w:val="21"/>
          <w:highlight w:val="none"/>
          <w:u w:color="000000"/>
        </w:rPr>
        <w:t>**</w:t>
      </w:r>
      <w:r>
        <w:rPr>
          <w:rFonts w:hint="eastAsia" w:ascii="Times New Roman" w:hAnsi="Times New Roman" w:eastAsia="宋体" w:cs="Times New Roman"/>
          <w:color w:val="000000"/>
          <w:szCs w:val="21"/>
          <w:highlight w:val="none"/>
          <w:u w:color="000000"/>
        </w:rPr>
        <w:t>，结算单价详见</w:t>
      </w:r>
      <w:r>
        <w:rPr>
          <w:rFonts w:hint="eastAsia" w:ascii="Times New Roman" w:hAnsi="Times New Roman" w:eastAsia="宋体" w:cs="Times New Roman"/>
          <w:color w:val="000000"/>
          <w:szCs w:val="21"/>
          <w:highlight w:val="none"/>
          <w:u w:val="single" w:color="000000"/>
        </w:rPr>
        <w:t>附件1《结算单价清单》</w:t>
      </w:r>
      <w:r>
        <w:rPr>
          <w:rFonts w:hint="eastAsia" w:ascii="Times New Roman" w:hAnsi="Times New Roman" w:eastAsia="宋体" w:cs="Times New Roman"/>
          <w:color w:val="000000"/>
          <w:szCs w:val="21"/>
          <w:highlight w:val="none"/>
          <w:u w:color="000000"/>
        </w:rPr>
        <w:t>。</w:t>
      </w:r>
      <w:r>
        <w:rPr>
          <w:rFonts w:hint="default" w:ascii="Times New Roman" w:hAnsi="Times New Roman" w:eastAsia="宋体" w:cs="Times New Roman"/>
          <w:i/>
          <w:iCs/>
          <w:color w:val="000000"/>
          <w:szCs w:val="21"/>
          <w:highlight w:val="none"/>
          <w:u w:color="000000"/>
        </w:rPr>
        <w:t>&lt;根据项目实际情况</w:t>
      </w:r>
      <w:r>
        <w:rPr>
          <w:rFonts w:hint="eastAsia" w:ascii="Times New Roman" w:hAnsi="Times New Roman" w:eastAsia="宋体" w:cs="Times New Roman"/>
          <w:i/>
          <w:iCs/>
          <w:color w:val="000000"/>
          <w:szCs w:val="21"/>
          <w:highlight w:val="none"/>
          <w:u w:color="000000"/>
        </w:rPr>
        <w:t>编制结算依据、标准等必要内容</w:t>
      </w:r>
      <w:r>
        <w:rPr>
          <w:rFonts w:hint="default" w:ascii="Times New Roman" w:hAnsi="Times New Roman" w:eastAsia="宋体" w:cs="Times New Roman"/>
          <w:i/>
          <w:iCs/>
          <w:color w:val="000000"/>
          <w:szCs w:val="21"/>
          <w:highlight w:val="none"/>
          <w:u w:color="000000"/>
        </w:rPr>
        <w:t>&gt;</w:t>
      </w:r>
    </w:p>
    <w:bookmarkEnd w:id="97"/>
    <w:bookmarkEnd w:id="98"/>
    <w:p w14:paraId="39A207A2">
      <w:pPr>
        <w:widowControl w:val="0"/>
        <w:numPr>
          <w:ilvl w:val="0"/>
          <w:numId w:val="9"/>
        </w:numPr>
        <w:ind w:left="480" w:hanging="480" w:firstLineChars="0"/>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计算机软件维保服务期限</w:t>
      </w:r>
      <w:r>
        <w:rPr>
          <w:rFonts w:hint="eastAsia" w:ascii="Times New Roman" w:hAnsi="Times New Roman" w:eastAsia="宋体" w:cs="Times New Roman"/>
          <w:i/>
          <w:iCs/>
          <w:color w:val="000000"/>
          <w:kern w:val="2"/>
          <w:sz w:val="21"/>
          <w:szCs w:val="21"/>
          <w:highlight w:val="none"/>
          <w:u w:color="000000"/>
          <w:lang w:val="en-US" w:eastAsia="zh-CN" w:bidi="ar-SA"/>
        </w:rPr>
        <w:t>&lt;根据项目实际情况选择&gt;</w:t>
      </w:r>
    </w:p>
    <w:p w14:paraId="3B7BF4D5">
      <w:pPr>
        <w:widowControl w:val="0"/>
        <w:ind w:firstLine="420" w:firstLineChars="200"/>
        <w:jc w:val="left"/>
        <w:rPr>
          <w:rFonts w:hint="eastAsia" w:ascii="Times New Roman" w:hAnsi="Times New Roman" w:eastAsia="宋体" w:cs="Times New Roman"/>
          <w:bCs/>
          <w:color w:val="000000"/>
          <w:kern w:val="2"/>
          <w:sz w:val="21"/>
          <w:szCs w:val="21"/>
          <w:highlight w:val="none"/>
          <w:u w:color="000000"/>
          <w:lang w:val="en-US" w:eastAsia="zh-CN" w:bidi="ar-SA"/>
        </w:rPr>
      </w:pPr>
      <w:r>
        <w:rPr>
          <w:rFonts w:hint="eastAsia" w:ascii="Times New Roman" w:hAnsi="Times New Roman" w:eastAsia="宋体" w:cs="Times New Roman"/>
          <w:bCs/>
          <w:color w:val="000000"/>
          <w:kern w:val="2"/>
          <w:sz w:val="21"/>
          <w:szCs w:val="21"/>
          <w:highlight w:val="none"/>
          <w:u w:color="000000"/>
          <w:lang w:val="en-US" w:eastAsia="zh-CN" w:bidi="ar-SA"/>
        </w:rPr>
        <w:t>本合同维保服务期限为 *** 年，自 202* 年 *** 月 *** 日起至 202* 年 *** 月 *** 日。</w:t>
      </w:r>
    </w:p>
    <w:p w14:paraId="67FCD13E">
      <w:pPr>
        <w:widowControl w:val="0"/>
        <w:ind w:firstLine="420" w:firstLineChars="200"/>
        <w:jc w:val="left"/>
        <w:rPr>
          <w:rFonts w:hint="eastAsia" w:ascii="Times New Roman" w:hAnsi="Times New Roman" w:eastAsia="宋体" w:cs="Times New Roman"/>
          <w:bCs/>
          <w:color w:val="000000"/>
          <w:kern w:val="2"/>
          <w:sz w:val="21"/>
          <w:szCs w:val="21"/>
          <w:highlight w:val="none"/>
          <w:u w:color="000000"/>
          <w:lang w:val="en-US" w:eastAsia="zh-CN" w:bidi="ar-SA"/>
        </w:rPr>
      </w:pPr>
    </w:p>
    <w:p w14:paraId="2CDFD483">
      <w:pPr>
        <w:widowControl w:val="0"/>
        <w:ind w:left="105" w:leftChars="50" w:firstLine="315" w:firstLineChars="150"/>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Cs/>
          <w:color w:val="000000"/>
          <w:kern w:val="2"/>
          <w:sz w:val="21"/>
          <w:szCs w:val="21"/>
          <w:highlight w:val="none"/>
          <w:u w:color="000000"/>
          <w:lang w:val="en-US" w:eastAsia="zh-CN" w:bidi="ar-SA"/>
        </w:rPr>
        <w:t>本项目服务期为</w:t>
      </w:r>
      <w:r>
        <w:rPr>
          <w:rFonts w:hint="eastAsia" w:ascii="Times New Roman" w:hAnsi="Times New Roman" w:eastAsia="宋体" w:cs="Times New Roman"/>
          <w:bCs/>
          <w:color w:val="000000"/>
          <w:kern w:val="2"/>
          <w:sz w:val="21"/>
          <w:szCs w:val="21"/>
          <w:highlight w:val="none"/>
          <w:u w:val="single" w:color="000000"/>
          <w:lang w:val="en-US" w:eastAsia="zh-CN" w:bidi="ar-SA"/>
        </w:rPr>
        <w:t>叁</w:t>
      </w:r>
      <w:r>
        <w:rPr>
          <w:rFonts w:hint="eastAsia" w:ascii="Times New Roman" w:hAnsi="Times New Roman" w:eastAsia="宋体" w:cs="Times New Roman"/>
          <w:bCs/>
          <w:color w:val="000000"/>
          <w:kern w:val="2"/>
          <w:sz w:val="21"/>
          <w:szCs w:val="21"/>
          <w:highlight w:val="none"/>
          <w:u w:color="000000"/>
          <w:lang w:val="en-US" w:eastAsia="zh-CN" w:bidi="ar-SA"/>
        </w:rPr>
        <w:t>年（自202*年**月**日到202*年**月**日），合同一年一签，每年服务费为人民币 *** 元（大写：*** 圆整）。本合同为第***期，服务期为自202*年***月***日至202*年**月**日</w:t>
      </w:r>
      <w:r>
        <w:rPr>
          <w:rFonts w:hint="eastAsia" w:ascii="Times New Roman" w:hAnsi="Times New Roman" w:eastAsia="宋体" w:cs="Times New Roman"/>
          <w:bCs/>
          <w:color w:val="000000"/>
          <w:kern w:val="2"/>
          <w:sz w:val="21"/>
          <w:szCs w:val="21"/>
          <w:highlight w:val="none"/>
          <w:u w:val="single" w:color="000000"/>
          <w:lang w:val="en-US" w:eastAsia="zh-CN" w:bidi="ar-SA"/>
        </w:rPr>
        <w:t>，经甲方考核合格后续签下一年合同</w:t>
      </w:r>
      <w:bookmarkStart w:id="100" w:name="OLE_LINK29"/>
      <w:r>
        <w:rPr>
          <w:rFonts w:hint="eastAsia" w:ascii="Times New Roman" w:hAnsi="Times New Roman" w:eastAsia="宋体" w:cs="Times New Roman"/>
          <w:bCs/>
          <w:color w:val="000000"/>
          <w:kern w:val="2"/>
          <w:sz w:val="21"/>
          <w:szCs w:val="21"/>
          <w:highlight w:val="none"/>
          <w:u w:color="000000"/>
          <w:lang w:val="en-US" w:eastAsia="zh-CN" w:bidi="ar-SA"/>
        </w:rPr>
        <w:t>，考核标准详见</w:t>
      </w:r>
      <w:r>
        <w:rPr>
          <w:rFonts w:hint="eastAsia" w:ascii="Times New Roman" w:hAnsi="Times New Roman" w:eastAsia="宋体" w:cs="Times New Roman"/>
          <w:bCs/>
          <w:color w:val="000000"/>
          <w:kern w:val="2"/>
          <w:sz w:val="21"/>
          <w:szCs w:val="21"/>
          <w:highlight w:val="none"/>
          <w:u w:val="single" w:color="000000"/>
          <w:lang w:val="en-US" w:eastAsia="zh-CN" w:bidi="ar-SA"/>
        </w:rPr>
        <w:t>附件2《考核标准》</w:t>
      </w:r>
      <w:bookmarkEnd w:id="100"/>
      <w:r>
        <w:rPr>
          <w:rFonts w:hint="eastAsia" w:ascii="Times New Roman" w:hAnsi="Times New Roman" w:eastAsia="宋体" w:cs="Times New Roman"/>
          <w:bCs/>
          <w:color w:val="000000"/>
          <w:kern w:val="2"/>
          <w:sz w:val="21"/>
          <w:szCs w:val="21"/>
          <w:highlight w:val="none"/>
          <w:u w:color="000000"/>
          <w:lang w:val="en-US" w:eastAsia="zh-CN" w:bidi="ar-SA"/>
        </w:rPr>
        <w:t>。</w:t>
      </w:r>
    </w:p>
    <w:p w14:paraId="62A8F09F">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维保服务内容</w:t>
      </w:r>
    </w:p>
    <w:p w14:paraId="0EEC2A90">
      <w:pPr>
        <w:ind w:firstLine="420" w:firstLineChars="200"/>
        <w:contextualSpacing/>
        <w:jc w:val="left"/>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bCs/>
          <w:color w:val="000000"/>
          <w:szCs w:val="21"/>
          <w:highlight w:val="none"/>
          <w:u w:color="000000"/>
        </w:rPr>
        <w:t>乙方应严格按照本合同服务方案和甲方要求提供服务，服务方案</w:t>
      </w:r>
      <w:r>
        <w:rPr>
          <w:rFonts w:hint="default" w:ascii="Times New Roman" w:hAnsi="Times New Roman" w:eastAsia="宋体" w:cs="Times New Roman"/>
          <w:bCs/>
          <w:color w:val="000000"/>
          <w:szCs w:val="21"/>
          <w:highlight w:val="none"/>
          <w:u w:color="000000"/>
        </w:rPr>
        <w:t>详见附件3《服务</w:t>
      </w:r>
      <w:r>
        <w:rPr>
          <w:rFonts w:hint="eastAsia" w:ascii="Times New Roman" w:hAnsi="Times New Roman" w:eastAsia="宋体" w:cs="Times New Roman"/>
          <w:bCs/>
          <w:color w:val="000000"/>
          <w:szCs w:val="21"/>
          <w:highlight w:val="none"/>
          <w:u w:color="000000"/>
        </w:rPr>
        <w:t>方案</w:t>
      </w:r>
      <w:r>
        <w:rPr>
          <w:rFonts w:hint="default" w:ascii="Times New Roman" w:hAnsi="Times New Roman" w:eastAsia="宋体" w:cs="Times New Roman"/>
          <w:bCs/>
          <w:color w:val="000000"/>
          <w:szCs w:val="21"/>
          <w:highlight w:val="none"/>
          <w:u w:color="000000"/>
        </w:rPr>
        <w:t>》</w:t>
      </w:r>
      <w:r>
        <w:rPr>
          <w:rFonts w:hint="eastAsia" w:ascii="Times New Roman" w:hAnsi="Times New Roman" w:eastAsia="宋体" w:cs="Times New Roman"/>
          <w:bCs/>
          <w:color w:val="000000"/>
          <w:szCs w:val="21"/>
          <w:highlight w:val="none"/>
          <w:u w:color="000000"/>
        </w:rPr>
        <w:t>。</w:t>
      </w:r>
    </w:p>
    <w:p w14:paraId="0FCB3870">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验收</w:t>
      </w:r>
    </w:p>
    <w:p w14:paraId="2AEB590E">
      <w:pPr>
        <w:widowControl w:val="0"/>
        <w:numPr>
          <w:ilvl w:val="0"/>
          <w:numId w:val="11"/>
        </w:numPr>
        <w:ind w:left="420" w:hanging="42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甲、乙双方确定，按照本合同约定的验收方案对乙方按本合同约定所提供的服务进行验收。</w:t>
      </w:r>
    </w:p>
    <w:p w14:paraId="5C905104">
      <w:pPr>
        <w:widowControl w:val="0"/>
        <w:numPr>
          <w:ilvl w:val="0"/>
          <w:numId w:val="11"/>
        </w:numPr>
        <w:ind w:left="420" w:hanging="42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验收方案：</w:t>
      </w:r>
    </w:p>
    <w:p w14:paraId="3292245D">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验收主体：甲方</w:t>
      </w:r>
    </w:p>
    <w:p w14:paraId="04E434D1">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验收组织方式：自行验收</w:t>
      </w:r>
    </w:p>
    <w:p w14:paraId="1A0CA55C">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验收程序：</w:t>
      </w: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 xml:space="preserve">一次性验收   </w:t>
      </w: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分段/分期验收</w:t>
      </w:r>
    </w:p>
    <w:p w14:paraId="1765EA4E">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验收方式：</w:t>
      </w: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现场整体验收</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t xml:space="preserve">   </w:t>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考核验收</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t xml:space="preserve">   </w:t>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其它验收方式：</w:t>
      </w:r>
      <w:r>
        <w:rPr>
          <w:rFonts w:hint="eastAsia" w:ascii="Times New Roman" w:hAnsi="Times New Roman" w:eastAsia="宋体" w:cs="Times New Roman"/>
          <w:color w:val="000000"/>
          <w:kern w:val="2"/>
          <w:sz w:val="21"/>
          <w:szCs w:val="21"/>
          <w:highlight w:val="none"/>
          <w:u w:val="single" w:color="000000"/>
          <w:shd w:val="clear" w:color="auto" w:fill="FFFFFF"/>
          <w:lang w:val="en-US" w:eastAsia="zh-CN" w:bidi="ar-SA"/>
        </w:rPr>
        <w:t>***</w:t>
      </w:r>
    </w:p>
    <w:p w14:paraId="4C347125">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履约验收内容：按照甲方的采购文件要求及乙方响应文件响应情况，由乙方向甲方提供的</w:t>
      </w:r>
      <w:r>
        <w:rPr>
          <w:rFonts w:hint="eastAsia" w:ascii="Times New Roman" w:hAnsi="Times New Roman" w:eastAsia="宋体" w:cs="Times New Roman"/>
          <w:color w:val="000000"/>
          <w:kern w:val="2"/>
          <w:sz w:val="21"/>
          <w:szCs w:val="21"/>
          <w:highlight w:val="none"/>
          <w:u w:val="single" w:color="000000"/>
          <w:lang w:val="en-US" w:eastAsia="zh-CN" w:bidi="ar-SA"/>
        </w:rPr>
        <w:t>全部服务</w:t>
      </w:r>
      <w:r>
        <w:rPr>
          <w:rFonts w:hint="eastAsia" w:ascii="Times New Roman" w:hAnsi="Times New Roman" w:eastAsia="宋体" w:cs="Times New Roman"/>
          <w:color w:val="000000"/>
          <w:kern w:val="2"/>
          <w:sz w:val="21"/>
          <w:szCs w:val="21"/>
          <w:highlight w:val="none"/>
          <w:u w:color="000000"/>
          <w:lang w:val="en-US" w:eastAsia="zh-CN" w:bidi="ar-SA"/>
        </w:rPr>
        <w:t>的履约情况。</w:t>
      </w:r>
    </w:p>
    <w:p w14:paraId="100C09C8">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履约验收时间：</w:t>
      </w:r>
    </w:p>
    <w:p w14:paraId="0A27831B">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服务期满且乙方完成所有服务内容后X日内通知甲方验收，甲方接乙方通知后X日内组织验收</w:t>
      </w:r>
    </w:p>
    <w:p w14:paraId="26409DEF">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乙方完成每一阶段或轮次服务内容后X日内通知甲方验收，甲方接乙方通知后X日内组织验收</w:t>
      </w:r>
    </w:p>
    <w:p w14:paraId="162994B6">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甲方完成考核后X日内组织验收</w:t>
      </w:r>
    </w:p>
    <w:p w14:paraId="70DDD3D2">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 xml:space="preserve">其它验收时间：            </w:t>
      </w:r>
    </w:p>
    <w:p w14:paraId="337AC346">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 xml:space="preserve">是否邀请本项目的其他供应商： </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 xml:space="preserve">是   </w:t>
      </w:r>
      <w:r>
        <w:rPr>
          <w:rFonts w:hint="eastAsia" w:ascii="Times New Roman" w:hAnsi="Times New Roman" w:eastAsia="宋体" w:cs="Times New Roman"/>
          <w:color w:val="000000"/>
          <w:kern w:val="0"/>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否</w:t>
      </w:r>
    </w:p>
    <w:p w14:paraId="48C00CB9">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 xml:space="preserve">是否邀请专家： </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 xml:space="preserve">是   </w:t>
      </w:r>
      <w:r>
        <w:rPr>
          <w:rFonts w:hint="eastAsia" w:ascii="Times New Roman" w:hAnsi="Times New Roman" w:eastAsia="宋体" w:cs="Times New Roman"/>
          <w:color w:val="000000"/>
          <w:kern w:val="0"/>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否</w:t>
      </w:r>
    </w:p>
    <w:p w14:paraId="161476FF">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 xml:space="preserve">是否邀请服务对象： </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 xml:space="preserve">是   </w:t>
      </w:r>
      <w:r>
        <w:rPr>
          <w:rFonts w:hint="eastAsia" w:ascii="Times New Roman" w:hAnsi="Times New Roman" w:eastAsia="宋体" w:cs="Times New Roman"/>
          <w:color w:val="000000"/>
          <w:kern w:val="0"/>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否</w:t>
      </w:r>
    </w:p>
    <w:p w14:paraId="2D1F6B05">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是否邀请第三方检测机构：</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t xml:space="preserve"> </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 xml:space="preserve">是   </w:t>
      </w:r>
      <w:r>
        <w:rPr>
          <w:rFonts w:hint="eastAsia" w:ascii="Times New Roman" w:hAnsi="Times New Roman" w:eastAsia="宋体" w:cs="Times New Roman"/>
          <w:color w:val="000000"/>
          <w:kern w:val="0"/>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否</w:t>
      </w:r>
    </w:p>
    <w:p w14:paraId="469338C8">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验收标准：</w:t>
      </w:r>
    </w:p>
    <w:p w14:paraId="079677BA">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国家相关法律法规、行业标准、技术规范。</w:t>
      </w:r>
    </w:p>
    <w:p w14:paraId="225E3CE7">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甲方的采购文件相关技术、服务要求、乙方响应文件相关响应内容。</w:t>
      </w:r>
    </w:p>
    <w:p w14:paraId="791AA8FE">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如本项目验收方式为考核验收，则考核结果须为合格。</w:t>
      </w:r>
    </w:p>
    <w:p w14:paraId="024B5E45">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如验收时，甲方与乙方认为本项目验收标准中的技术指标、质量要求等内容存在相互抵触或对其理解存在异议，应按照其中更严格的要求、标准等进行验收。</w:t>
      </w:r>
    </w:p>
    <w:p w14:paraId="03CC460B">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参照《财政部关于进一步加强政府采购需求和履约验收管理的指导意见》（财库〔2016〕205号）的要求进行验收。</w:t>
      </w:r>
    </w:p>
    <w:p w14:paraId="0A2C3F76">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其它标准：</w:t>
      </w:r>
      <w:r>
        <w:rPr>
          <w:rFonts w:hint="eastAsia" w:ascii="Times New Roman" w:hAnsi="Times New Roman" w:eastAsia="宋体" w:cs="Times New Roman"/>
          <w:color w:val="000000"/>
          <w:kern w:val="2"/>
          <w:sz w:val="21"/>
          <w:szCs w:val="21"/>
          <w:highlight w:val="none"/>
          <w:u w:val="single" w:color="000000"/>
          <w:lang w:val="en-US" w:eastAsia="zh-CN" w:bidi="ar-SA"/>
        </w:rPr>
        <w:t>无。</w:t>
      </w:r>
    </w:p>
    <w:p w14:paraId="67AA923D">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其它验收要求：</w:t>
      </w:r>
      <w:r>
        <w:rPr>
          <w:rFonts w:hint="eastAsia" w:ascii="Times New Roman" w:hAnsi="Times New Roman" w:eastAsia="宋体" w:cs="Times New Roman"/>
          <w:color w:val="000000"/>
          <w:kern w:val="0"/>
          <w:sz w:val="21"/>
          <w:szCs w:val="21"/>
          <w:highlight w:val="none"/>
          <w:u w:val="single" w:color="000000"/>
          <w:lang w:val="en-US" w:eastAsia="zh-CN" w:bidi="ar-SA"/>
        </w:rPr>
        <w:t>无</w:t>
      </w:r>
      <w:r>
        <w:rPr>
          <w:rFonts w:hint="eastAsia" w:ascii="Times New Roman" w:hAnsi="Times New Roman" w:eastAsia="宋体" w:cs="Times New Roman"/>
          <w:i/>
          <w:iCs/>
          <w:color w:val="000000"/>
          <w:kern w:val="0"/>
          <w:sz w:val="21"/>
          <w:szCs w:val="21"/>
          <w:highlight w:val="none"/>
          <w:u w:color="000000"/>
          <w:lang w:val="en-US" w:eastAsia="zh-CN" w:bidi="ar-SA"/>
        </w:rPr>
        <w:t>&lt;如有请填写&gt;</w:t>
      </w:r>
    </w:p>
    <w:p w14:paraId="46705F83">
      <w:pPr>
        <w:widowControl w:val="0"/>
        <w:numPr>
          <w:ilvl w:val="0"/>
          <w:numId w:val="11"/>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验收合格，双方签署验收报告或维修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或维修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ascii="Times New Roman" w:hAnsi="Times New Roman" w:eastAsia="宋体" w:cs="Times New Roman"/>
          <w:color w:val="000000"/>
          <w:kern w:val="2"/>
          <w:sz w:val="21"/>
          <w:szCs w:val="21"/>
          <w:highlight w:val="none"/>
          <w:u w:val="single" w:color="000000"/>
          <w:lang w:val="en-US" w:eastAsia="zh-CN" w:bidi="ar-SA"/>
        </w:rPr>
        <w:t>10</w:t>
      </w:r>
      <w:r>
        <w:rPr>
          <w:rFonts w:hint="eastAsia" w:ascii="Times New Roman" w:hAnsi="Times New Roman" w:eastAsia="宋体" w:cs="Times New Roman"/>
          <w:color w:val="000000"/>
          <w:kern w:val="2"/>
          <w:sz w:val="21"/>
          <w:szCs w:val="21"/>
          <w:highlight w:val="none"/>
          <w:u w:color="000000"/>
          <w:lang w:val="en-US" w:eastAsia="zh-CN" w:bidi="ar-SA"/>
        </w:rPr>
        <w:t>%的违约金给甲方，违约金不能弥补甲方损失的，乙方应全额赔偿。</w:t>
      </w:r>
    </w:p>
    <w:p w14:paraId="4D1479BB">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付款方式</w:t>
      </w:r>
    </w:p>
    <w:p w14:paraId="46EACB7D">
      <w:pPr>
        <w:widowControl w:val="0"/>
        <w:numPr>
          <w:ilvl w:val="0"/>
          <w:numId w:val="14"/>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履约保证金：</w:t>
      </w:r>
    </w:p>
    <w:p w14:paraId="58C7BCC9">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乙方在合同签订生效之日起的***个工作日内，按合同总价的</w:t>
      </w:r>
      <w:r>
        <w:rPr>
          <w:rFonts w:hint="eastAsia" w:ascii="Times New Roman" w:hAnsi="Times New Roman" w:eastAsia="宋体" w:cs="Times New Roman"/>
          <w:color w:val="000000"/>
          <w:kern w:val="2"/>
          <w:sz w:val="21"/>
          <w:szCs w:val="21"/>
          <w:highlight w:val="none"/>
          <w:u w:val="single" w:color="000000"/>
          <w:lang w:val="en-US" w:eastAsia="zh-CN" w:bidi="ar-SA"/>
        </w:rPr>
        <w:t>***</w:t>
      </w:r>
      <w:r>
        <w:rPr>
          <w:rFonts w:hint="eastAsia" w:ascii="Times New Roman" w:hAnsi="Times New Roman" w:eastAsia="宋体" w:cs="Times New Roman"/>
          <w:color w:val="000000"/>
          <w:kern w:val="2"/>
          <w:sz w:val="21"/>
          <w:szCs w:val="21"/>
          <w:highlight w:val="none"/>
          <w:u w:color="000000"/>
          <w:lang w:val="en-US" w:eastAsia="zh-CN" w:bidi="ar-SA"/>
        </w:rPr>
        <w:t>%支付履约保证金；本合同维保服务结束且验收合格后，甲方接到乙方付款申请后30个工作日内，甲方一次性无息退还乙方的履约保证金；经验收后乙方履约不合格的，履约保证金不予退还。</w:t>
      </w:r>
    </w:p>
    <w:p w14:paraId="7114B010">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本合同不涉及履约保证金。</w:t>
      </w:r>
    </w:p>
    <w:p w14:paraId="7D14C3DF">
      <w:pPr>
        <w:widowControl w:val="0"/>
        <w:numPr>
          <w:ilvl w:val="0"/>
          <w:numId w:val="14"/>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本项目价款采用以下方式支付，以人民币结算：</w:t>
      </w:r>
    </w:p>
    <w:p w14:paraId="1407C598">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一次性支付：</w:t>
      </w:r>
    </w:p>
    <w:p w14:paraId="322C8DE5">
      <w:pPr>
        <w:widowControl w:val="0"/>
        <w:spacing w:after="0"/>
        <w:ind w:left="840" w:leftChars="400" w:firstLine="420" w:firstLineChars="20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本合同维保服务期满且经甲方验收合格后5日内，乙方须向甲方提供合法有效票据及其他相关请款资料，甲方自收到乙方请款资料后55日内支付合同总价100%的金额给乙方。</w:t>
      </w:r>
    </w:p>
    <w:p w14:paraId="69FC4B5E">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分阶段支付，支付期限及额度如下：</w:t>
      </w:r>
    </w:p>
    <w:p w14:paraId="4AD1623B">
      <w:pPr>
        <w:widowControl w:val="0"/>
        <w:spacing w:after="0"/>
        <w:ind w:left="840" w:leftChars="400" w:firstLine="0" w:firstLineChars="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（1）预付款：本合同生效后***个工作日内，甲方预付本合同总价的***%，即人民币（大写） *** 圆整（RMB *** 元）。</w:t>
      </w:r>
    </w:p>
    <w:p w14:paraId="19114225">
      <w:pPr>
        <w:widowControl w:val="0"/>
        <w:spacing w:after="0"/>
        <w:ind w:left="840" w:leftChars="400" w:firstLine="0" w:firstLineChars="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（2）进度款，甲方应当按照下列方式支付进度款：</w:t>
      </w:r>
    </w:p>
    <w:p w14:paraId="05D17AD0">
      <w:pPr>
        <w:widowControl w:val="0"/>
        <w:spacing w:after="0"/>
        <w:ind w:left="1260" w:leftChars="600" w:firstLine="0" w:firstLineChars="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乙方按照本合同约定完成阶段性工作后，甲方应于每一阶段性工作成果验收合格之日起***个工作日内，向乙方支付相应的费用。</w:t>
      </w:r>
    </w:p>
    <w:p w14:paraId="6CF678B8">
      <w:pPr>
        <w:widowControl w:val="0"/>
        <w:spacing w:after="0"/>
        <w:ind w:left="1260" w:leftChars="600" w:firstLine="0" w:firstLineChars="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乙方完成***，甲方支付项目费用总额的***%，即 人民币（大写）*** 圆整（RMB *** 元）。</w:t>
      </w:r>
    </w:p>
    <w:p w14:paraId="7ADFDDEB">
      <w:pPr>
        <w:widowControl w:val="0"/>
        <w:spacing w:after="0"/>
        <w:ind w:left="945" w:leftChars="400" w:hanging="105" w:hangingChars="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（3）结算款：本合同维保服务结束后，甲方向乙方支付剩余价款人民币（大写）*** 圆整（RMB *** 元）。</w:t>
      </w:r>
    </w:p>
    <w:p w14:paraId="6917859F">
      <w:pPr>
        <w:widowControl w:val="0"/>
        <w:numPr>
          <w:ilvl w:val="0"/>
          <w:numId w:val="14"/>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甲方付款前，乙方需提供合法有效票据及其他相关请款资料，否则甲方有权拒绝支付且不承担任何违约责任，且乙方不得因此停止工作。</w:t>
      </w:r>
    </w:p>
    <w:p w14:paraId="2846E0AF">
      <w:pPr>
        <w:widowControl w:val="0"/>
        <w:numPr>
          <w:ilvl w:val="0"/>
          <w:numId w:val="14"/>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乙方开票信息应与合同预留账户信息一致。如有变更，乙方应当在变更后3日内通知甲方。否则，由此造成的损失由乙方自行承担。</w:t>
      </w:r>
    </w:p>
    <w:p w14:paraId="6F0619FA">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双方权利与义务</w:t>
      </w:r>
    </w:p>
    <w:p w14:paraId="31418525">
      <w:pPr>
        <w:widowControl w:val="0"/>
        <w:numPr>
          <w:ilvl w:val="0"/>
          <w:numId w:val="15"/>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甲方权利与义务</w:t>
      </w:r>
    </w:p>
    <w:p w14:paraId="360EFDB0">
      <w:pPr>
        <w:widowControl w:val="0"/>
        <w:numPr>
          <w:ilvl w:val="0"/>
          <w:numId w:val="16"/>
        </w:numPr>
        <w:adjustRightInd w:val="0"/>
        <w:ind w:left="525"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按合同约定向乙方支付费用。</w:t>
      </w:r>
    </w:p>
    <w:p w14:paraId="208930E6">
      <w:pPr>
        <w:widowControl w:val="0"/>
        <w:numPr>
          <w:ilvl w:val="0"/>
          <w:numId w:val="16"/>
        </w:numPr>
        <w:adjustRightInd w:val="0"/>
        <w:ind w:left="525"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保证乙方实施维保服务所必须的外部条件如电源、水源的正常供应及开启、关闭等。</w:t>
      </w:r>
    </w:p>
    <w:p w14:paraId="7C10C61C">
      <w:pPr>
        <w:widowControl w:val="0"/>
        <w:numPr>
          <w:ilvl w:val="0"/>
          <w:numId w:val="16"/>
        </w:numPr>
        <w:adjustRightInd w:val="0"/>
        <w:ind w:left="525"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对于乙方在提供保修保养期间所提供的信息，甲方应予保密，未经乙方书面同意，甲方不得擅自使用或透露给第三方。</w:t>
      </w:r>
    </w:p>
    <w:p w14:paraId="19EE6C97">
      <w:pPr>
        <w:widowControl w:val="0"/>
        <w:numPr>
          <w:ilvl w:val="0"/>
          <w:numId w:val="16"/>
        </w:numPr>
        <w:adjustRightInd w:val="0"/>
        <w:ind w:left="525"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甲方对服务人员不满意的，有权要求乙方在7日内更换相关服务人员。</w:t>
      </w:r>
    </w:p>
    <w:p w14:paraId="70E5A990">
      <w:pPr>
        <w:widowControl w:val="0"/>
        <w:numPr>
          <w:ilvl w:val="0"/>
          <w:numId w:val="15"/>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乙方权利与义务</w:t>
      </w:r>
    </w:p>
    <w:p w14:paraId="2BD3357E">
      <w:pPr>
        <w:widowControl w:val="0"/>
        <w:numPr>
          <w:ilvl w:val="0"/>
          <w:numId w:val="17"/>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按本合同约定向甲方提供维保服务。</w:t>
      </w:r>
    </w:p>
    <w:p w14:paraId="55B6B289">
      <w:pPr>
        <w:widowControl w:val="0"/>
        <w:numPr>
          <w:ilvl w:val="0"/>
          <w:numId w:val="17"/>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乙方应保证提供的服务人员具备相应的服务能力和服务资质（如涉及）。</w:t>
      </w:r>
    </w:p>
    <w:p w14:paraId="4A845DA0">
      <w:pPr>
        <w:widowControl w:val="0"/>
        <w:numPr>
          <w:ilvl w:val="0"/>
          <w:numId w:val="17"/>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乙方应保证计算机软件达到</w:t>
      </w:r>
      <w:bookmarkStart w:id="101" w:name="OLE_LINK19"/>
      <w:r>
        <w:rPr>
          <w:rFonts w:hint="eastAsia" w:ascii="Times New Roman" w:hAnsi="Times New Roman" w:eastAsia="宋体" w:cs="Times New Roman"/>
          <w:color w:val="000000"/>
          <w:kern w:val="2"/>
          <w:sz w:val="21"/>
          <w:szCs w:val="21"/>
          <w:highlight w:val="none"/>
          <w:u w:color="000000"/>
          <w:lang w:val="en-US" w:eastAsia="zh-CN" w:bidi="ar-SA"/>
        </w:rPr>
        <w:t>本项目采购文件中的功能要求和质量标准</w:t>
      </w:r>
      <w:bookmarkEnd w:id="101"/>
      <w:r>
        <w:rPr>
          <w:rFonts w:hint="eastAsia" w:ascii="Times New Roman" w:hAnsi="Times New Roman" w:eastAsia="宋体" w:cs="Times New Roman"/>
          <w:color w:val="000000"/>
          <w:kern w:val="2"/>
          <w:sz w:val="21"/>
          <w:szCs w:val="21"/>
          <w:highlight w:val="none"/>
          <w:u w:color="000000"/>
          <w:lang w:val="en-US" w:eastAsia="zh-CN" w:bidi="ar-SA"/>
        </w:rPr>
        <w:t>，且符合或优于国家（行业）标准。</w:t>
      </w:r>
    </w:p>
    <w:p w14:paraId="21EE9F9D">
      <w:pPr>
        <w:widowControl w:val="0"/>
        <w:numPr>
          <w:ilvl w:val="0"/>
          <w:numId w:val="17"/>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如维保服务涉及使用其它计算机软件产品的，乙方须承诺所使用的软件已获得软件厂商的正规授权。</w:t>
      </w:r>
    </w:p>
    <w:p w14:paraId="4F8190CF">
      <w:pPr>
        <w:widowControl w:val="0"/>
        <w:numPr>
          <w:ilvl w:val="0"/>
          <w:numId w:val="17"/>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乙方在提供维保服务的过程中，发现计算机软件已经无法通过本合同第四条中说明的维保服务内容达到本合同约定的功能要求和质量标准的情况，乙方须以书面形式告知甲方。</w:t>
      </w:r>
    </w:p>
    <w:p w14:paraId="2E893F09">
      <w:pPr>
        <w:widowControl w:val="0"/>
        <w:numPr>
          <w:ilvl w:val="0"/>
          <w:numId w:val="17"/>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乙方对在按本合同约定向甲方提供服务过程中所获得的所有数据、商业秘密或其它技术及经营信息负有保密的义务，不得向任何第三方透露或泄露。</w:t>
      </w:r>
    </w:p>
    <w:p w14:paraId="32939C79">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违约责任</w:t>
      </w:r>
      <w:r>
        <w:rPr>
          <w:rFonts w:hint="eastAsia" w:ascii="Times New Roman" w:hAnsi="Times New Roman" w:eastAsia="宋体" w:cs="Times New Roman"/>
          <w:bCs/>
          <w:i/>
          <w:iCs/>
          <w:color w:val="000000"/>
          <w:kern w:val="2"/>
          <w:sz w:val="21"/>
          <w:szCs w:val="21"/>
          <w:highlight w:val="none"/>
          <w:u w:color="000000"/>
          <w:lang w:val="en-US" w:eastAsia="zh-CN" w:bidi="ar-SA"/>
        </w:rPr>
        <w:t>&lt;本条款中违约金比例可根据项目实际情况确定&gt;</w:t>
      </w:r>
    </w:p>
    <w:p w14:paraId="719C3966">
      <w:pPr>
        <w:widowControl w:val="0"/>
        <w:numPr>
          <w:ilvl w:val="0"/>
          <w:numId w:val="18"/>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甲方违约责任：甲方无正当理由拒绝乙方按本合同约定提供服务的，甲方应偿付合同总金额的</w:t>
      </w:r>
      <w:r>
        <w:rPr>
          <w:rFonts w:hint="eastAsia" w:ascii="Times New Roman" w:hAnsi="Times New Roman" w:eastAsia="宋体" w:cs="Times New Roman"/>
          <w:color w:val="000000"/>
          <w:kern w:val="2"/>
          <w:sz w:val="21"/>
          <w:szCs w:val="21"/>
          <w:highlight w:val="none"/>
          <w:u w:val="single" w:color="000000"/>
          <w:lang w:val="en-US" w:eastAsia="zh-CN" w:bidi="ar-SA"/>
        </w:rPr>
        <w:t>10%</w:t>
      </w:r>
      <w:r>
        <w:rPr>
          <w:rFonts w:hint="eastAsia" w:ascii="Times New Roman" w:hAnsi="Times New Roman" w:eastAsia="宋体" w:cs="Times New Roman"/>
          <w:color w:val="000000"/>
          <w:kern w:val="2"/>
          <w:sz w:val="21"/>
          <w:szCs w:val="21"/>
          <w:highlight w:val="none"/>
          <w:u w:color="000000"/>
          <w:lang w:val="en-US" w:eastAsia="zh-CN" w:bidi="ar-SA"/>
        </w:rPr>
        <w:t>作为违约金。</w:t>
      </w:r>
    </w:p>
    <w:p w14:paraId="1A0A2138">
      <w:pPr>
        <w:widowControl w:val="0"/>
        <w:numPr>
          <w:ilvl w:val="0"/>
          <w:numId w:val="18"/>
        </w:numPr>
        <w:ind w:left="480" w:hanging="48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乙方违约责任：</w:t>
      </w:r>
    </w:p>
    <w:p w14:paraId="678C378D">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bookmarkStart w:id="102" w:name="OLE_LINK18"/>
      <w:bookmarkStart w:id="103" w:name="OLE_LINK17"/>
      <w:r>
        <w:rPr>
          <w:rFonts w:hint="eastAsia" w:ascii="Times New Roman" w:hAnsi="Times New Roman" w:eastAsia="宋体" w:cs="Times New Roman"/>
          <w:color w:val="000000"/>
          <w:kern w:val="2"/>
          <w:sz w:val="21"/>
          <w:szCs w:val="21"/>
          <w:highlight w:val="none"/>
          <w:u w:color="000000"/>
          <w:lang w:val="en-US" w:eastAsia="zh-CN" w:bidi="ar-SA"/>
        </w:rPr>
        <w:t>乙方应派遣具备相关资质的技术人员为甲方提供维保服务，维保服务过程中，乙方技术人员因操作不当、未采取必要的安全防范措施等原因导致安全责任事故的，由乙方承担由此造成的全部法律责任。</w:t>
      </w:r>
    </w:p>
    <w:p w14:paraId="559E80A8">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因乙方提供维保服务后计算机软件在正常使用情况下出现质量原因导致甲方或第三方财产或人身损害的，由乙方承担赔偿责任。</w:t>
      </w:r>
    </w:p>
    <w:p w14:paraId="6B53B5F3">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在本合同的履行中，如乙方提供的服务存在设计、工艺或材料缺陷（包括潜在缺陷），乙方应当对由于上述缺陷造成的损失负责。</w:t>
      </w:r>
    </w:p>
    <w:p w14:paraId="137B01B0">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在本合同履行中，计算机软件出现故障时，如乙方在接到甲方或使用单位通知后，在本合同第三条中写明的响应时间内，没有作出响应措施，每发生一次，乙方应按合同总金额的</w:t>
      </w:r>
      <w:r>
        <w:rPr>
          <w:rFonts w:hint="eastAsia" w:ascii="Times New Roman" w:hAnsi="Times New Roman" w:eastAsia="宋体" w:cs="Times New Roman"/>
          <w:color w:val="000000"/>
          <w:kern w:val="2"/>
          <w:sz w:val="21"/>
          <w:szCs w:val="21"/>
          <w:highlight w:val="none"/>
          <w:u w:val="single" w:color="000000"/>
          <w:lang w:val="en-US" w:eastAsia="zh-CN" w:bidi="ar-SA"/>
        </w:rPr>
        <w:t>***</w:t>
      </w:r>
      <w:r>
        <w:rPr>
          <w:rFonts w:hint="eastAsia" w:ascii="Times New Roman" w:hAnsi="Times New Roman" w:eastAsia="宋体" w:cs="Times New Roman"/>
          <w:color w:val="000000"/>
          <w:kern w:val="2"/>
          <w:sz w:val="21"/>
          <w:szCs w:val="21"/>
          <w:highlight w:val="none"/>
          <w:u w:val="none" w:color="000000"/>
          <w:lang w:val="en-US" w:eastAsia="zh-CN" w:bidi="ar-SA"/>
        </w:rPr>
        <w:t>‰</w:t>
      </w:r>
      <w:r>
        <w:rPr>
          <w:rFonts w:hint="eastAsia" w:ascii="Times New Roman" w:hAnsi="Times New Roman" w:eastAsia="宋体" w:cs="Times New Roman"/>
          <w:color w:val="000000"/>
          <w:kern w:val="2"/>
          <w:sz w:val="21"/>
          <w:szCs w:val="21"/>
          <w:highlight w:val="none"/>
          <w:u w:color="000000"/>
          <w:lang w:val="en-US" w:eastAsia="zh-CN" w:bidi="ar-SA"/>
        </w:rPr>
        <w:t>向甲方支付违约金。甲方可采取必要的补救措施，但由此而产生的风险责任和费用将由乙方负担，甲方根据合同规定对乙方行使的其他权利不受影响。</w:t>
      </w:r>
    </w:p>
    <w:p w14:paraId="68BDB92C">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乙方在</w:t>
      </w:r>
      <w:bookmarkStart w:id="104" w:name="OLE_LINK20"/>
      <w:r>
        <w:rPr>
          <w:rFonts w:hint="eastAsia" w:ascii="Times New Roman" w:hAnsi="Times New Roman" w:eastAsia="宋体" w:cs="Times New Roman"/>
          <w:color w:val="000000"/>
          <w:kern w:val="2"/>
          <w:sz w:val="21"/>
          <w:szCs w:val="21"/>
          <w:highlight w:val="none"/>
          <w:u w:color="000000"/>
          <w:lang w:val="en-US" w:eastAsia="zh-CN" w:bidi="ar-SA"/>
        </w:rPr>
        <w:t>提供维保服务</w:t>
      </w:r>
      <w:bookmarkEnd w:id="104"/>
      <w:r>
        <w:rPr>
          <w:rFonts w:hint="eastAsia" w:ascii="Times New Roman" w:hAnsi="Times New Roman" w:eastAsia="宋体" w:cs="Times New Roman"/>
          <w:color w:val="000000"/>
          <w:kern w:val="2"/>
          <w:sz w:val="21"/>
          <w:szCs w:val="21"/>
          <w:highlight w:val="none"/>
          <w:u w:color="000000"/>
          <w:lang w:val="en-US" w:eastAsia="zh-CN" w:bidi="ar-SA"/>
        </w:rPr>
        <w:t>过程中侵犯他人知识产权，甲方有权单方解除合同，并要求乙方赔偿所造成的损失，同时甲方有权要求对方按照合同总金额的</w:t>
      </w:r>
      <w:r>
        <w:rPr>
          <w:rFonts w:hint="eastAsia" w:ascii="Times New Roman" w:hAnsi="Times New Roman" w:eastAsia="宋体" w:cs="Times New Roman"/>
          <w:color w:val="000000"/>
          <w:kern w:val="2"/>
          <w:sz w:val="21"/>
          <w:szCs w:val="21"/>
          <w:highlight w:val="none"/>
          <w:u w:val="single" w:color="000000"/>
          <w:lang w:val="en-US" w:eastAsia="zh-CN" w:bidi="ar-SA"/>
        </w:rPr>
        <w:t>10</w:t>
      </w:r>
      <w:r>
        <w:rPr>
          <w:rFonts w:hint="eastAsia" w:ascii="Times New Roman" w:hAnsi="Times New Roman" w:eastAsia="宋体" w:cs="Times New Roman"/>
          <w:color w:val="000000"/>
          <w:kern w:val="2"/>
          <w:sz w:val="21"/>
          <w:szCs w:val="21"/>
          <w:highlight w:val="none"/>
          <w:u w:color="000000"/>
          <w:lang w:val="en-US" w:eastAsia="zh-CN" w:bidi="ar-SA"/>
        </w:rPr>
        <w:t>%支付违约金。</w:t>
      </w:r>
    </w:p>
    <w:p w14:paraId="65BA4A44">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乙方违反保密义务，甲方有权单方解除合同，乙方应按甲方实际损失向甲方进行赔偿并向甲方支付合同总金额的</w:t>
      </w:r>
      <w:r>
        <w:rPr>
          <w:rFonts w:hint="eastAsia" w:ascii="Times New Roman" w:hAnsi="Times New Roman" w:eastAsia="宋体" w:cs="Times New Roman"/>
          <w:color w:val="000000"/>
          <w:kern w:val="2"/>
          <w:sz w:val="21"/>
          <w:szCs w:val="21"/>
          <w:highlight w:val="none"/>
          <w:u w:val="single" w:color="000000"/>
          <w:lang w:val="en-US" w:eastAsia="zh-CN" w:bidi="ar-SA"/>
        </w:rPr>
        <w:t>10</w:t>
      </w:r>
      <w:r>
        <w:rPr>
          <w:rFonts w:hint="eastAsia" w:ascii="Times New Roman" w:hAnsi="Times New Roman" w:eastAsia="宋体" w:cs="Times New Roman"/>
          <w:color w:val="000000"/>
          <w:kern w:val="2"/>
          <w:sz w:val="21"/>
          <w:szCs w:val="21"/>
          <w:highlight w:val="none"/>
          <w:u w:color="000000"/>
          <w:lang w:val="en-US" w:eastAsia="zh-CN" w:bidi="ar-SA"/>
        </w:rPr>
        <w:t>%作为违约金。</w:t>
      </w:r>
    </w:p>
    <w:bookmarkEnd w:id="102"/>
    <w:bookmarkEnd w:id="103"/>
    <w:p w14:paraId="5D78E672">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乙方偿付的违约金不足以弥补甲方损失的，还应按甲方损失尚未弥补的部分，支付赔偿金给甲方。</w:t>
      </w:r>
    </w:p>
    <w:p w14:paraId="4231BE59">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乙方未按照本合同约定的时限提供合法发票或提供发票瑕疵（包括但不限于发票种类有误、发票金额有误等），甲方付款时限相应顺延并不承担任何延期支付的违约责任。</w:t>
      </w:r>
    </w:p>
    <w:p w14:paraId="46076C9B">
      <w:pPr>
        <w:widowControl w:val="0"/>
        <w:numPr>
          <w:ilvl w:val="0"/>
          <w:numId w:val="19"/>
        </w:numPr>
        <w:snapToGrid w:val="0"/>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如本</w:t>
      </w:r>
      <w:r>
        <w:rPr>
          <w:rFonts w:hint="eastAsia" w:ascii="宋体" w:hAnsi="宋体" w:eastAsia="宋体" w:cs="微软雅黑"/>
          <w:color w:val="000000"/>
          <w:kern w:val="2"/>
          <w:sz w:val="21"/>
          <w:szCs w:val="21"/>
          <w:highlight w:val="none"/>
          <w:u w:color="000000"/>
          <w:lang w:val="en-US" w:eastAsia="zh-CN" w:bidi="ar-SA"/>
        </w:rPr>
        <w:t>合同</w:t>
      </w:r>
      <w:r>
        <w:rPr>
          <w:rFonts w:hint="eastAsia" w:ascii="宋体" w:hAnsi="宋体" w:eastAsia="宋体" w:cs="Times New Roman"/>
          <w:color w:val="000000"/>
          <w:kern w:val="2"/>
          <w:sz w:val="21"/>
          <w:szCs w:val="21"/>
          <w:highlight w:val="none"/>
          <w:u w:color="000000"/>
          <w:lang w:val="en-US" w:eastAsia="zh-CN" w:bidi="ar-SA"/>
        </w:rPr>
        <w:t>要</w:t>
      </w:r>
      <w:r>
        <w:rPr>
          <w:rFonts w:hint="eastAsia" w:ascii="Times New Roman" w:hAnsi="Times New Roman" w:eastAsia="宋体" w:cs="Times New Roman"/>
          <w:color w:val="000000"/>
          <w:kern w:val="2"/>
          <w:sz w:val="21"/>
          <w:szCs w:val="21"/>
          <w:highlight w:val="none"/>
          <w:u w:color="000000"/>
          <w:lang w:val="en-US" w:eastAsia="zh-CN" w:bidi="ar-SA"/>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3B05D4B">
      <w:pPr>
        <w:widowControl w:val="0"/>
        <w:spacing w:after="0" w:line="240" w:lineRule="auto"/>
        <w:ind w:left="0" w:leftChars="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3.本合同履行中如有任何一方违约，那么守约方为保障自己合法权益而产生的律师费、诉讼费、差旅费、公告费等，均由违约方承担。</w:t>
      </w:r>
    </w:p>
    <w:p w14:paraId="14B75D9C">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不可抗力</w:t>
      </w:r>
    </w:p>
    <w:p w14:paraId="6CD666DA">
      <w:pPr>
        <w:widowControl w:val="0"/>
        <w:snapToGrid w:val="0"/>
        <w:ind w:firstLine="420" w:firstLineChars="200"/>
        <w:jc w:val="both"/>
        <w:rPr>
          <w:rFonts w:hint="eastAsia" w:ascii="Times New Roman" w:hAnsi="Times New Roman" w:eastAsia="宋体" w:cs="Times New Roman"/>
          <w:bCs/>
          <w:color w:val="000000"/>
          <w:kern w:val="2"/>
          <w:sz w:val="21"/>
          <w:szCs w:val="21"/>
          <w:highlight w:val="none"/>
          <w:u w:color="000000"/>
          <w:lang w:val="en-US" w:eastAsia="zh-CN" w:bidi="ar-SA"/>
        </w:rPr>
      </w:pPr>
      <w:r>
        <w:rPr>
          <w:rFonts w:hint="eastAsia" w:ascii="Times New Roman" w:hAnsi="Times New Roman" w:eastAsia="宋体" w:cs="Times New Roman"/>
          <w:bCs/>
          <w:color w:val="000000"/>
          <w:kern w:val="2"/>
          <w:sz w:val="21"/>
          <w:szCs w:val="21"/>
          <w:highlight w:val="none"/>
          <w:u w:color="000000"/>
          <w:lang w:val="en-US" w:eastAsia="zh-CN" w:bidi="ar-SA"/>
        </w:rPr>
        <w:t>如果遇到自然灾害和灾难及其他不可抗力事件而影响合同履行时，乙方应在三个工作日内以书面形式通知甲方。若不可抗力原因影响本合同执行时间超过***日，甲方有权解除合同，双方互不承担违约责任。</w:t>
      </w:r>
    </w:p>
    <w:p w14:paraId="2B89FE88">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合同终止及解除</w:t>
      </w:r>
    </w:p>
    <w:p w14:paraId="2A04BD66">
      <w:pPr>
        <w:widowControl w:val="0"/>
        <w:numPr>
          <w:ilvl w:val="0"/>
          <w:numId w:val="20"/>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合同一方发现可能致使本合同无法按约定继续履行的情形时，应当及时通知另一方并采取适当措施减少损失；没有及时通知并采取适当措施，致使损失扩大的，应当就扩大的损失承担责任。</w:t>
      </w:r>
    </w:p>
    <w:p w14:paraId="6402CDEB">
      <w:pPr>
        <w:widowControl w:val="0"/>
        <w:numPr>
          <w:ilvl w:val="0"/>
          <w:numId w:val="20"/>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在甲、乙任何一方有严重违约行为时，另一方有权单方解除合同。</w:t>
      </w:r>
    </w:p>
    <w:p w14:paraId="38FA8C39">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争议解决办法</w:t>
      </w:r>
    </w:p>
    <w:p w14:paraId="0D220E80">
      <w:pPr>
        <w:widowControl w:val="0"/>
        <w:numPr>
          <w:ilvl w:val="0"/>
          <w:numId w:val="21"/>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因服务质量问题发生争议，由质量技术监督部门或其指定的质量鉴定机构进行质量鉴定，结果符合标准的，鉴定费由甲方承担；不符合标准的，鉴定费由乙方承担。</w:t>
      </w:r>
    </w:p>
    <w:p w14:paraId="40943AED">
      <w:pPr>
        <w:widowControl w:val="0"/>
        <w:numPr>
          <w:ilvl w:val="0"/>
          <w:numId w:val="21"/>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合同履行期间,若双方发生争议，可协商或由有关部门调解解决，协商或调解不成的，任何一方均有权向甲方所在地具有管辖权的人民法院起诉。</w:t>
      </w:r>
    </w:p>
    <w:p w14:paraId="2A292AF2">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送达（送达地址是司法机关、执法机关和仲裁机关将法律文书送达给当事人的收件地址）</w:t>
      </w:r>
    </w:p>
    <w:p w14:paraId="3A318C0E">
      <w:pPr>
        <w:widowControl w:val="0"/>
        <w:numPr>
          <w:ilvl w:val="0"/>
          <w:numId w:val="22"/>
        </w:numPr>
        <w:ind w:left="420" w:hanging="420"/>
        <w:jc w:val="both"/>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甲方送达地址：四川省成都市青羊区一环路西二段32号。</w:t>
      </w:r>
    </w:p>
    <w:p w14:paraId="432C9396">
      <w:pPr>
        <w:widowControl w:val="0"/>
        <w:numPr>
          <w:ilvl w:val="0"/>
          <w:numId w:val="22"/>
        </w:numPr>
        <w:ind w:left="420" w:hanging="420"/>
        <w:jc w:val="both"/>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乙方送达地址：***</w:t>
      </w:r>
    </w:p>
    <w:p w14:paraId="1A335CD7">
      <w:pPr>
        <w:widowControl w:val="0"/>
        <w:numPr>
          <w:ilvl w:val="0"/>
          <w:numId w:val="22"/>
        </w:numPr>
        <w:ind w:left="420" w:hanging="420"/>
        <w:jc w:val="both"/>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625558B0">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其他</w:t>
      </w:r>
    </w:p>
    <w:p w14:paraId="68DB0FD7">
      <w:pPr>
        <w:widowControl w:val="0"/>
        <w:numPr>
          <w:ilvl w:val="0"/>
          <w:numId w:val="23"/>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如有未尽事宜，由双方依法订立补充合同。补充合同及本合同附件均为本合同的组成部分，与本合同具有同等法律效力。</w:t>
      </w:r>
    </w:p>
    <w:p w14:paraId="3A88D40B">
      <w:pPr>
        <w:widowControl w:val="0"/>
        <w:numPr>
          <w:ilvl w:val="0"/>
          <w:numId w:val="23"/>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本合同一式四份，自双方签字且盖章之日起生效。甲方三份，乙方一份。</w:t>
      </w:r>
    </w:p>
    <w:p w14:paraId="38FD7A63">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合同附件</w:t>
      </w:r>
    </w:p>
    <w:p w14:paraId="2A8DE881">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本合同为</w:t>
      </w:r>
      <w:r>
        <w:rPr>
          <w:rFonts w:hint="eastAsia" w:ascii="Times New Roman" w:hAnsi="Times New Roman" w:eastAsia="宋体" w:cs="Times New Roman"/>
          <w:color w:val="000000"/>
          <w:szCs w:val="21"/>
          <w:highlight w:val="none"/>
          <w:u w:val="single" w:color="000000"/>
        </w:rPr>
        <w:t>有</w:t>
      </w:r>
      <w:r>
        <w:rPr>
          <w:rFonts w:hint="default" w:ascii="Times New Roman" w:hAnsi="Times New Roman" w:eastAsia="宋体" w:cs="Times New Roman"/>
          <w:color w:val="000000"/>
          <w:szCs w:val="21"/>
          <w:highlight w:val="none"/>
          <w:u w:color="000000"/>
        </w:rPr>
        <w:t>附件合同</w:t>
      </w:r>
      <w:r>
        <w:rPr>
          <w:rFonts w:hint="eastAsia" w:ascii="Times New Roman" w:hAnsi="Times New Roman" w:eastAsia="宋体" w:cs="Times New Roman"/>
          <w:color w:val="000000"/>
          <w:szCs w:val="21"/>
          <w:highlight w:val="none"/>
          <w:u w:color="000000"/>
        </w:rPr>
        <w:t>，附件如下：</w:t>
      </w:r>
      <w:r>
        <w:rPr>
          <w:rFonts w:hint="default" w:ascii="Times New Roman" w:hAnsi="Times New Roman" w:eastAsia="宋体" w:cs="Times New Roman"/>
          <w:i/>
          <w:iCs/>
          <w:color w:val="000000"/>
          <w:szCs w:val="21"/>
          <w:highlight w:val="none"/>
          <w:u w:color="000000"/>
        </w:rPr>
        <w:t>&lt;根据项目实际情况编制&gt;</w:t>
      </w:r>
    </w:p>
    <w:p w14:paraId="500C2781">
      <w:pPr>
        <w:jc w:val="left"/>
        <w:outlineLvl w:val="9"/>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附件1《</w:t>
      </w:r>
      <w:bookmarkStart w:id="105" w:name="OLE_LINK32"/>
      <w:r>
        <w:rPr>
          <w:rFonts w:hint="eastAsia" w:ascii="Times New Roman" w:hAnsi="Times New Roman" w:eastAsia="宋体" w:cs="Times New Roman"/>
          <w:color w:val="000000"/>
          <w:szCs w:val="21"/>
          <w:highlight w:val="none"/>
          <w:u w:color="000000"/>
        </w:rPr>
        <w:t>结算单价清单</w:t>
      </w:r>
      <w:bookmarkEnd w:id="105"/>
      <w:r>
        <w:rPr>
          <w:rFonts w:hint="eastAsia" w:ascii="Times New Roman" w:hAnsi="Times New Roman" w:eastAsia="宋体" w:cs="Times New Roman"/>
          <w:color w:val="000000"/>
          <w:szCs w:val="21"/>
          <w:highlight w:val="none"/>
          <w:u w:color="000000"/>
        </w:rPr>
        <w:t>》</w:t>
      </w:r>
    </w:p>
    <w:p w14:paraId="6CBDA9F0">
      <w:pPr>
        <w:jc w:val="left"/>
        <w:outlineLvl w:val="9"/>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附件2《考核标准》</w:t>
      </w:r>
    </w:p>
    <w:p w14:paraId="2F24CFF3">
      <w:pPr>
        <w:jc w:val="left"/>
        <w:outlineLvl w:val="9"/>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附件3《服务</w:t>
      </w:r>
      <w:r>
        <w:rPr>
          <w:rFonts w:hint="eastAsia" w:ascii="Times New Roman" w:hAnsi="Times New Roman" w:eastAsia="宋体" w:cs="Times New Roman"/>
          <w:color w:val="000000"/>
          <w:szCs w:val="21"/>
          <w:highlight w:val="none"/>
          <w:u w:color="000000"/>
        </w:rPr>
        <w:t>方案</w:t>
      </w:r>
      <w:r>
        <w:rPr>
          <w:rFonts w:hint="default" w:ascii="Times New Roman" w:hAnsi="Times New Roman" w:eastAsia="宋体" w:cs="Times New Roman"/>
          <w:color w:val="000000"/>
          <w:szCs w:val="21"/>
          <w:highlight w:val="none"/>
          <w:u w:color="000000"/>
        </w:rPr>
        <w:t>》</w:t>
      </w:r>
    </w:p>
    <w:p w14:paraId="4FFAC6C6">
      <w:pPr>
        <w:jc w:val="left"/>
        <w:outlineLvl w:val="9"/>
        <w:rPr>
          <w:rFonts w:hint="default" w:ascii="Times New Roman" w:hAnsi="Times New Roman" w:eastAsia="宋体" w:cs="Times New Roman"/>
          <w:color w:val="000000"/>
          <w:szCs w:val="21"/>
          <w:highlight w:val="none"/>
          <w:u w:color="000000"/>
        </w:rPr>
      </w:pPr>
    </w:p>
    <w:p w14:paraId="02364631">
      <w:pPr>
        <w:jc w:val="cente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w:t>
      </w:r>
      <w:r>
        <w:rPr>
          <w:rFonts w:hint="default" w:ascii="Times New Roman" w:hAnsi="Times New Roman" w:eastAsia="宋体" w:cs="Times New Roman"/>
          <w:color w:val="000000"/>
          <w:sz w:val="18"/>
          <w:szCs w:val="18"/>
          <w:highlight w:val="none"/>
          <w:u w:color="000000"/>
        </w:rPr>
        <w:t>以下无正文</w:t>
      </w:r>
      <w:r>
        <w:rPr>
          <w:rFonts w:hint="default" w:ascii="Times New Roman" w:hAnsi="Times New Roman" w:eastAsia="宋体" w:cs="Times New Roman"/>
          <w:color w:val="000000"/>
          <w:szCs w:val="21"/>
          <w:highlight w:val="none"/>
          <w:u w:color="000000"/>
        </w:rPr>
        <w:t>——</w:t>
      </w:r>
    </w:p>
    <w:tbl>
      <w:tblPr>
        <w:tblStyle w:val="18"/>
        <w:tblW w:w="5000" w:type="pct"/>
        <w:jc w:val="center"/>
        <w:tblLayout w:type="autofit"/>
        <w:tblCellMar>
          <w:top w:w="0" w:type="dxa"/>
          <w:left w:w="0" w:type="dxa"/>
          <w:bottom w:w="0" w:type="dxa"/>
          <w:right w:w="0" w:type="dxa"/>
        </w:tblCellMar>
      </w:tblPr>
      <w:tblGrid>
        <w:gridCol w:w="4688"/>
        <w:gridCol w:w="4950"/>
      </w:tblGrid>
      <w:tr w14:paraId="3D196D97">
        <w:tblPrEx>
          <w:tblCellMar>
            <w:top w:w="0" w:type="dxa"/>
            <w:left w:w="0" w:type="dxa"/>
            <w:bottom w:w="0" w:type="dxa"/>
            <w:right w:w="0" w:type="dxa"/>
          </w:tblCellMar>
        </w:tblPrEx>
        <w:trPr>
          <w:trHeight w:val="519" w:hRule="atLeast"/>
          <w:jc w:val="center"/>
        </w:trPr>
        <w:tc>
          <w:tcPr>
            <w:tcW w:w="10214" w:type="dxa"/>
            <w:gridSpan w:val="2"/>
          </w:tcPr>
          <w:p w14:paraId="0054A832">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签订时间：</w:t>
            </w:r>
            <w:r>
              <w:rPr>
                <w:rFonts w:hint="default" w:ascii="Times New Roman" w:hAnsi="Times New Roman" w:eastAsia="宋体" w:cs="Times New Roman"/>
                <w:color w:val="000000"/>
                <w:szCs w:val="20"/>
                <w:highlight w:val="none"/>
                <w:u w:color="000000"/>
              </w:rPr>
              <w:t>202</w:t>
            </w:r>
            <w:r>
              <w:rPr>
                <w:rFonts w:hint="eastAsia" w:ascii="Times New Roman" w:hAnsi="Times New Roman" w:eastAsia="宋体" w:cs="Times New Roman"/>
                <w:color w:val="000000"/>
                <w:szCs w:val="20"/>
                <w:highlight w:val="none"/>
                <w:u w:color="000000"/>
              </w:rPr>
              <w:t>*</w:t>
            </w:r>
            <w:r>
              <w:rPr>
                <w:rFonts w:hint="default" w:ascii="Times New Roman" w:hAnsi="Times New Roman" w:eastAsia="宋体" w:cs="Times New Roman"/>
                <w:color w:val="000000"/>
                <w:szCs w:val="21"/>
                <w:highlight w:val="none"/>
                <w:u w:color="000000"/>
              </w:rPr>
              <w:t>年***月***日</w:t>
            </w:r>
          </w:p>
        </w:tc>
      </w:tr>
      <w:tr w14:paraId="6C3AEE5C">
        <w:tblPrEx>
          <w:tblCellMar>
            <w:top w:w="0" w:type="dxa"/>
            <w:left w:w="0" w:type="dxa"/>
            <w:bottom w:w="0" w:type="dxa"/>
            <w:right w:w="0" w:type="dxa"/>
          </w:tblCellMar>
        </w:tblPrEx>
        <w:trPr>
          <w:jc w:val="center"/>
        </w:trPr>
        <w:tc>
          <w:tcPr>
            <w:tcW w:w="4967" w:type="dxa"/>
          </w:tcPr>
          <w:p w14:paraId="4CDD247B">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甲方：四川省人民医院（盖章）</w:t>
            </w:r>
          </w:p>
          <w:p w14:paraId="0649165A">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法定代表人（授权代表签字）：</w:t>
            </w:r>
          </w:p>
          <w:p w14:paraId="631B2490">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地    址：四川省成都市一环路西二段32号</w:t>
            </w:r>
          </w:p>
          <w:p w14:paraId="569D1221">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开户银行：建设银行成都青羊支行</w:t>
            </w:r>
          </w:p>
          <w:p w14:paraId="1FF0A088">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账号：5100 1446 4360 5037 4282</w:t>
            </w:r>
          </w:p>
        </w:tc>
        <w:tc>
          <w:tcPr>
            <w:tcW w:w="5247" w:type="dxa"/>
          </w:tcPr>
          <w:p w14:paraId="03C33764">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乙方：</w:t>
            </w:r>
            <w:permStart w:id="3" w:edGrp="everyone"/>
            <w:r>
              <w:rPr>
                <w:rFonts w:hint="default" w:ascii="Times New Roman" w:hAnsi="Times New Roman" w:eastAsia="宋体" w:cs="Times New Roman"/>
                <w:color w:val="000000"/>
                <w:szCs w:val="21"/>
                <w:highlight w:val="none"/>
                <w:u w:color="000000"/>
              </w:rPr>
              <w:t>***</w:t>
            </w:r>
            <w:permEnd w:id="3"/>
            <w:r>
              <w:rPr>
                <w:rFonts w:hint="default" w:ascii="Times New Roman" w:hAnsi="Times New Roman" w:eastAsia="宋体" w:cs="Times New Roman"/>
                <w:color w:val="000000"/>
                <w:szCs w:val="21"/>
                <w:highlight w:val="none"/>
                <w:u w:color="000000"/>
              </w:rPr>
              <w:t>（盖章）</w:t>
            </w:r>
          </w:p>
          <w:p w14:paraId="52B3805D">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法定代表人（授权代表签字）：</w:t>
            </w:r>
          </w:p>
          <w:p w14:paraId="416F6007">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地址：</w:t>
            </w:r>
            <w:permStart w:id="4" w:edGrp="everyone"/>
            <w:r>
              <w:rPr>
                <w:rFonts w:hint="default" w:ascii="Times New Roman" w:hAnsi="Times New Roman" w:eastAsia="宋体" w:cs="Times New Roman"/>
                <w:color w:val="000000"/>
                <w:szCs w:val="21"/>
                <w:highlight w:val="none"/>
                <w:u w:color="000000"/>
              </w:rPr>
              <w:t>***</w:t>
            </w:r>
            <w:permEnd w:id="4"/>
          </w:p>
          <w:p w14:paraId="1F600C6F">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开户银行：</w:t>
            </w:r>
            <w:permStart w:id="5" w:edGrp="everyone"/>
            <w:r>
              <w:rPr>
                <w:rFonts w:hint="default" w:ascii="Times New Roman" w:hAnsi="Times New Roman" w:eastAsia="宋体" w:cs="Times New Roman"/>
                <w:color w:val="000000"/>
                <w:szCs w:val="21"/>
                <w:highlight w:val="none"/>
                <w:u w:color="000000"/>
              </w:rPr>
              <w:t>***</w:t>
            </w:r>
          </w:p>
          <w:permEnd w:id="5"/>
          <w:p w14:paraId="5ECB5735">
            <w:pPr>
              <w:widowControl/>
              <w:jc w:val="left"/>
              <w:rPr>
                <w:rFonts w:hint="default" w:ascii="Times New Roman" w:hAnsi="Times New Roman" w:eastAsia="宋体" w:cs="Times New Roman"/>
                <w:color w:val="000000"/>
                <w:szCs w:val="20"/>
                <w:highlight w:val="none"/>
                <w:u w:color="000000"/>
              </w:rPr>
            </w:pPr>
            <w:r>
              <w:rPr>
                <w:rFonts w:hint="default" w:ascii="Times New Roman" w:hAnsi="Times New Roman" w:eastAsia="宋体" w:cs="Times New Roman"/>
                <w:color w:val="000000"/>
                <w:szCs w:val="21"/>
                <w:highlight w:val="none"/>
                <w:u w:color="000000"/>
              </w:rPr>
              <w:t>账号：</w:t>
            </w:r>
            <w:permStart w:id="6" w:edGrp="everyone"/>
            <w:r>
              <w:rPr>
                <w:rFonts w:hint="default" w:ascii="Times New Roman" w:hAnsi="Times New Roman" w:eastAsia="宋体" w:cs="Times New Roman"/>
                <w:color w:val="000000"/>
                <w:szCs w:val="21"/>
                <w:highlight w:val="none"/>
                <w:u w:color="000000"/>
              </w:rPr>
              <w:t>***</w:t>
            </w:r>
            <w:permEnd w:id="6"/>
          </w:p>
        </w:tc>
      </w:tr>
    </w:tbl>
    <w:p w14:paraId="2FD62C63">
      <w:pPr>
        <w:jc w:val="left"/>
        <w:outlineLvl w:val="0"/>
        <w:rPr>
          <w:b/>
          <w:bCs/>
          <w:szCs w:val="21"/>
          <w:highlight w:val="none"/>
        </w:rPr>
        <w:sectPr>
          <w:footerReference r:id="rId7" w:type="default"/>
          <w:pgSz w:w="11906" w:h="16838"/>
          <w:pgMar w:top="851" w:right="1134" w:bottom="851" w:left="1134" w:header="0" w:footer="567" w:gutter="0"/>
          <w:pgNumType w:fmt="decimal" w:start="1"/>
          <w:cols w:space="425" w:num="1"/>
          <w:docGrid w:linePitch="312" w:charSpace="0"/>
        </w:sectPr>
      </w:pPr>
    </w:p>
    <w:p w14:paraId="4ABDCEFA">
      <w:pPr>
        <w:widowControl/>
        <w:jc w:val="left"/>
        <w:rPr>
          <w:rFonts w:hint="default" w:ascii="Times New Roman" w:hAnsi="Times New Roman" w:eastAsia="宋体" w:cs="Times New Roman"/>
          <w:b/>
          <w:bCs/>
          <w:color w:val="000000"/>
          <w:szCs w:val="21"/>
          <w:highlight w:val="none"/>
          <w:u w:color="000000"/>
        </w:rPr>
      </w:pPr>
      <w:r>
        <w:rPr>
          <w:rFonts w:hint="default" w:ascii="Times New Roman" w:hAnsi="Times New Roman" w:eastAsia="宋体" w:cs="Times New Roman"/>
          <w:b/>
          <w:bCs/>
          <w:color w:val="000000"/>
          <w:szCs w:val="21"/>
          <w:highlight w:val="none"/>
          <w:u w:color="000000"/>
        </w:rPr>
        <w:t>附件</w:t>
      </w:r>
      <w:r>
        <w:rPr>
          <w:rFonts w:hint="eastAsia" w:ascii="Times New Roman" w:hAnsi="Times New Roman" w:eastAsia="宋体" w:cs="Times New Roman"/>
          <w:b/>
          <w:bCs/>
          <w:color w:val="000000"/>
          <w:szCs w:val="21"/>
          <w:highlight w:val="none"/>
          <w:u w:color="000000"/>
        </w:rPr>
        <w:t>1</w:t>
      </w:r>
      <w:r>
        <w:rPr>
          <w:rFonts w:hint="default" w:ascii="Times New Roman" w:hAnsi="Times New Roman" w:eastAsia="宋体" w:cs="Times New Roman"/>
          <w:b/>
          <w:bCs/>
          <w:color w:val="000000"/>
          <w:szCs w:val="21"/>
          <w:highlight w:val="none"/>
          <w:u w:color="000000"/>
        </w:rPr>
        <w:t>：</w:t>
      </w:r>
      <w:r>
        <w:rPr>
          <w:rFonts w:hint="eastAsia" w:ascii="Times New Roman" w:hAnsi="Times New Roman" w:eastAsia="宋体" w:cs="Times New Roman"/>
          <w:b/>
          <w:bCs/>
          <w:color w:val="000000"/>
          <w:szCs w:val="21"/>
          <w:highlight w:val="none"/>
          <w:u w:color="000000"/>
        </w:rPr>
        <w:t>结算单价清单（人民币：元）</w:t>
      </w:r>
      <w:r>
        <w:rPr>
          <w:rFonts w:hint="eastAsia" w:ascii="Times New Roman" w:hAnsi="Times New Roman" w:eastAsia="宋体" w:cs="Times New Roman"/>
          <w:b/>
          <w:bCs/>
          <w:i/>
          <w:iCs/>
          <w:color w:val="000000"/>
          <w:szCs w:val="21"/>
          <w:highlight w:val="none"/>
          <w:u w:color="000000"/>
        </w:rPr>
        <w:t>&lt;根据项目实际情况编制</w:t>
      </w:r>
      <w:r>
        <w:rPr>
          <w:rFonts w:hint="default" w:ascii="Times New Roman" w:hAnsi="Times New Roman" w:eastAsia="宋体" w:cs="Times New Roman"/>
          <w:b/>
          <w:bCs/>
          <w:i/>
          <w:iCs/>
          <w:color w:val="000000"/>
          <w:szCs w:val="21"/>
          <w:highlight w:val="none"/>
          <w:u w:color="000000"/>
        </w:rPr>
        <w:t>&gt;</w:t>
      </w:r>
    </w:p>
    <w:p w14:paraId="2516297C">
      <w:pPr>
        <w:widowControl/>
        <w:jc w:val="left"/>
        <w:rPr>
          <w:rFonts w:hint="default" w:ascii="Times New Roman" w:hAnsi="Times New Roman" w:eastAsia="宋体" w:cs="Times New Roman"/>
          <w:color w:val="000000"/>
          <w:szCs w:val="21"/>
          <w:highlight w:val="none"/>
          <w:u w:color="000000"/>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4BBB9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34628">
            <w:pPr>
              <w:widowControl/>
              <w:jc w:val="center"/>
              <w:rPr>
                <w:rFonts w:hint="default" w:ascii="Times New Roman" w:hAnsi="Times New Roman" w:eastAsia="宋体" w:cs="Times New Roman"/>
                <w:b/>
                <w:bCs/>
                <w:color w:val="000000"/>
                <w:szCs w:val="21"/>
                <w:highlight w:val="none"/>
                <w:u w:color="000000"/>
              </w:rPr>
            </w:pPr>
            <w:r>
              <w:rPr>
                <w:rFonts w:hint="eastAsia" w:ascii="Times New Roman" w:hAnsi="Times New Roman" w:eastAsia="宋体" w:cs="Times New Roman"/>
                <w:b/>
                <w:bCs/>
                <w:color w:val="000000"/>
                <w:szCs w:val="21"/>
                <w:highlight w:val="none"/>
                <w:u w:color="000000"/>
              </w:rPr>
              <w:t>序号</w:t>
            </w:r>
          </w:p>
        </w:tc>
        <w:tc>
          <w:tcPr>
            <w:tcW w:w="3686" w:type="dxa"/>
            <w:vAlign w:val="center"/>
          </w:tcPr>
          <w:p w14:paraId="4EADC17B">
            <w:pPr>
              <w:widowControl/>
              <w:jc w:val="center"/>
              <w:rPr>
                <w:rFonts w:hint="default" w:ascii="Times New Roman" w:hAnsi="Times New Roman" w:eastAsia="宋体" w:cs="Times New Roman"/>
                <w:b/>
                <w:bCs/>
                <w:color w:val="000000"/>
                <w:szCs w:val="21"/>
                <w:highlight w:val="none"/>
                <w:u w:color="000000"/>
              </w:rPr>
            </w:pPr>
            <w:r>
              <w:rPr>
                <w:rFonts w:hint="eastAsia" w:ascii="Times New Roman" w:hAnsi="Times New Roman" w:eastAsia="宋体" w:cs="Times New Roman"/>
                <w:b/>
                <w:bCs/>
                <w:color w:val="000000"/>
                <w:szCs w:val="21"/>
                <w:highlight w:val="none"/>
                <w:u w:color="000000"/>
              </w:rPr>
              <w:t>结算项目名称</w:t>
            </w:r>
          </w:p>
        </w:tc>
        <w:tc>
          <w:tcPr>
            <w:tcW w:w="3402" w:type="dxa"/>
            <w:vAlign w:val="center"/>
          </w:tcPr>
          <w:p w14:paraId="2785D929">
            <w:pPr>
              <w:widowControl/>
              <w:jc w:val="center"/>
              <w:rPr>
                <w:rFonts w:hint="default" w:ascii="Times New Roman" w:hAnsi="Times New Roman" w:eastAsia="宋体" w:cs="Times New Roman"/>
                <w:b/>
                <w:bCs/>
                <w:i/>
                <w:iCs/>
                <w:color w:val="000000"/>
                <w:szCs w:val="21"/>
                <w:highlight w:val="none"/>
                <w:u w:color="000000"/>
              </w:rPr>
            </w:pPr>
            <w:r>
              <w:rPr>
                <w:rFonts w:hint="eastAsia" w:ascii="Times New Roman" w:hAnsi="Times New Roman" w:eastAsia="宋体" w:cs="Times New Roman"/>
                <w:b/>
                <w:bCs/>
                <w:color w:val="000000"/>
                <w:szCs w:val="21"/>
                <w:highlight w:val="none"/>
                <w:u w:color="000000"/>
              </w:rPr>
              <w:t>项目信息</w:t>
            </w:r>
            <w:r>
              <w:rPr>
                <w:rFonts w:hint="eastAsia" w:ascii="Times New Roman" w:hAnsi="Times New Roman" w:eastAsia="宋体" w:cs="Times New Roman"/>
                <w:b/>
                <w:bCs/>
                <w:i/>
                <w:iCs/>
                <w:color w:val="000000"/>
                <w:szCs w:val="21"/>
                <w:highlight w:val="none"/>
                <w:u w:color="000000"/>
              </w:rPr>
              <w:t>&lt;生产厂商、品牌、型号规格等</w:t>
            </w:r>
            <w:r>
              <w:rPr>
                <w:rFonts w:hint="default" w:ascii="Times New Roman" w:hAnsi="Times New Roman" w:eastAsia="宋体" w:cs="Times New Roman"/>
                <w:b/>
                <w:bCs/>
                <w:i/>
                <w:iCs/>
                <w:color w:val="000000"/>
                <w:szCs w:val="21"/>
                <w:highlight w:val="none"/>
                <w:u w:color="000000"/>
              </w:rPr>
              <w:t>&gt;</w:t>
            </w:r>
          </w:p>
        </w:tc>
        <w:tc>
          <w:tcPr>
            <w:tcW w:w="992" w:type="dxa"/>
            <w:vAlign w:val="center"/>
          </w:tcPr>
          <w:p w14:paraId="008ABD30">
            <w:pPr>
              <w:widowControl/>
              <w:jc w:val="center"/>
              <w:rPr>
                <w:rFonts w:hint="default" w:ascii="Times New Roman" w:hAnsi="Times New Roman" w:eastAsia="宋体" w:cs="Times New Roman"/>
                <w:b/>
                <w:bCs/>
                <w:color w:val="000000"/>
                <w:szCs w:val="21"/>
                <w:highlight w:val="none"/>
                <w:u w:color="000000"/>
              </w:rPr>
            </w:pPr>
            <w:r>
              <w:rPr>
                <w:rFonts w:hint="eastAsia" w:ascii="Times New Roman" w:hAnsi="Times New Roman" w:eastAsia="宋体" w:cs="Times New Roman"/>
                <w:b/>
                <w:bCs/>
                <w:color w:val="000000"/>
                <w:szCs w:val="21"/>
                <w:highlight w:val="none"/>
                <w:u w:color="000000"/>
              </w:rPr>
              <w:t>结算单位</w:t>
            </w:r>
            <w:r>
              <w:rPr>
                <w:rFonts w:hint="eastAsia" w:ascii="Times New Roman" w:hAnsi="Times New Roman" w:eastAsia="宋体" w:cs="Times New Roman"/>
                <w:b/>
                <w:bCs/>
                <w:i/>
                <w:iCs/>
                <w:color w:val="000000"/>
                <w:szCs w:val="21"/>
                <w:highlight w:val="none"/>
                <w:u w:color="000000"/>
              </w:rPr>
              <w:t>&lt;指货物的单位</w:t>
            </w:r>
            <w:r>
              <w:rPr>
                <w:rFonts w:hint="default" w:ascii="Times New Roman" w:hAnsi="Times New Roman" w:eastAsia="宋体" w:cs="Times New Roman"/>
                <w:b/>
                <w:bCs/>
                <w:i/>
                <w:iCs/>
                <w:color w:val="000000"/>
                <w:szCs w:val="21"/>
                <w:highlight w:val="none"/>
                <w:u w:color="000000"/>
              </w:rPr>
              <w:t>&gt;</w:t>
            </w:r>
          </w:p>
        </w:tc>
        <w:tc>
          <w:tcPr>
            <w:tcW w:w="986" w:type="dxa"/>
            <w:vAlign w:val="center"/>
          </w:tcPr>
          <w:p w14:paraId="3DF5F278">
            <w:pPr>
              <w:widowControl/>
              <w:jc w:val="center"/>
              <w:rPr>
                <w:rFonts w:hint="default" w:ascii="Times New Roman" w:hAnsi="Times New Roman" w:eastAsia="宋体" w:cs="Times New Roman"/>
                <w:b/>
                <w:bCs/>
                <w:color w:val="000000"/>
                <w:szCs w:val="21"/>
                <w:highlight w:val="none"/>
                <w:u w:color="000000"/>
              </w:rPr>
            </w:pPr>
            <w:r>
              <w:rPr>
                <w:rFonts w:hint="eastAsia" w:ascii="Times New Roman" w:hAnsi="Times New Roman" w:eastAsia="宋体" w:cs="Times New Roman"/>
                <w:b/>
                <w:bCs/>
                <w:color w:val="000000"/>
                <w:szCs w:val="21"/>
                <w:highlight w:val="none"/>
                <w:u w:color="000000"/>
              </w:rPr>
              <w:t>结算单价</w:t>
            </w:r>
          </w:p>
        </w:tc>
      </w:tr>
      <w:tr w14:paraId="0B524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6956CE9">
            <w:pPr>
              <w:widowControl/>
              <w:jc w:val="center"/>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1</w:t>
            </w:r>
          </w:p>
        </w:tc>
        <w:tc>
          <w:tcPr>
            <w:tcW w:w="3686" w:type="dxa"/>
            <w:vAlign w:val="center"/>
          </w:tcPr>
          <w:p w14:paraId="5B684218">
            <w:pPr>
              <w:widowControl/>
              <w:jc w:val="left"/>
              <w:rPr>
                <w:rFonts w:hint="default" w:ascii="Times New Roman" w:hAnsi="Times New Roman" w:eastAsia="宋体" w:cs="Times New Roman"/>
                <w:color w:val="000000"/>
                <w:szCs w:val="21"/>
                <w:highlight w:val="none"/>
                <w:u w:color="000000"/>
              </w:rPr>
            </w:pPr>
          </w:p>
        </w:tc>
        <w:tc>
          <w:tcPr>
            <w:tcW w:w="3402" w:type="dxa"/>
            <w:vAlign w:val="center"/>
          </w:tcPr>
          <w:p w14:paraId="0F2CE5EF">
            <w:pPr>
              <w:widowControl/>
              <w:jc w:val="left"/>
              <w:rPr>
                <w:rFonts w:hint="default" w:ascii="Times New Roman" w:hAnsi="Times New Roman" w:eastAsia="宋体" w:cs="Times New Roman"/>
                <w:color w:val="000000"/>
                <w:szCs w:val="21"/>
                <w:highlight w:val="none"/>
                <w:u w:color="000000"/>
              </w:rPr>
            </w:pPr>
          </w:p>
        </w:tc>
        <w:tc>
          <w:tcPr>
            <w:tcW w:w="992" w:type="dxa"/>
            <w:vAlign w:val="center"/>
          </w:tcPr>
          <w:p w14:paraId="5CA68B98">
            <w:pPr>
              <w:widowControl/>
              <w:jc w:val="center"/>
              <w:rPr>
                <w:rFonts w:hint="default" w:ascii="Times New Roman" w:hAnsi="Times New Roman" w:eastAsia="宋体" w:cs="Times New Roman"/>
                <w:color w:val="000000"/>
                <w:szCs w:val="21"/>
                <w:highlight w:val="none"/>
                <w:u w:color="000000"/>
              </w:rPr>
            </w:pPr>
          </w:p>
        </w:tc>
        <w:tc>
          <w:tcPr>
            <w:tcW w:w="986" w:type="dxa"/>
            <w:vAlign w:val="center"/>
          </w:tcPr>
          <w:p w14:paraId="6B8B1A28">
            <w:pPr>
              <w:widowControl/>
              <w:jc w:val="center"/>
              <w:rPr>
                <w:rFonts w:hint="default" w:ascii="Times New Roman" w:hAnsi="Times New Roman" w:eastAsia="宋体" w:cs="Times New Roman"/>
                <w:color w:val="000000"/>
                <w:szCs w:val="21"/>
                <w:highlight w:val="none"/>
                <w:u w:color="000000"/>
              </w:rPr>
            </w:pPr>
          </w:p>
        </w:tc>
      </w:tr>
      <w:tr w14:paraId="0FAC0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0C321B8">
            <w:pPr>
              <w:widowControl/>
              <w:jc w:val="center"/>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2</w:t>
            </w:r>
          </w:p>
        </w:tc>
        <w:tc>
          <w:tcPr>
            <w:tcW w:w="3686" w:type="dxa"/>
            <w:vAlign w:val="center"/>
          </w:tcPr>
          <w:p w14:paraId="72C22490">
            <w:pPr>
              <w:widowControl/>
              <w:jc w:val="left"/>
              <w:rPr>
                <w:rFonts w:hint="default" w:ascii="Times New Roman" w:hAnsi="Times New Roman" w:eastAsia="宋体" w:cs="Times New Roman"/>
                <w:color w:val="000000"/>
                <w:szCs w:val="21"/>
                <w:highlight w:val="none"/>
                <w:u w:color="000000"/>
              </w:rPr>
            </w:pPr>
          </w:p>
        </w:tc>
        <w:tc>
          <w:tcPr>
            <w:tcW w:w="3402" w:type="dxa"/>
            <w:vAlign w:val="center"/>
          </w:tcPr>
          <w:p w14:paraId="159F23BA">
            <w:pPr>
              <w:widowControl/>
              <w:jc w:val="left"/>
              <w:rPr>
                <w:rFonts w:hint="default" w:ascii="Times New Roman" w:hAnsi="Times New Roman" w:eastAsia="宋体" w:cs="Times New Roman"/>
                <w:color w:val="000000"/>
                <w:szCs w:val="21"/>
                <w:highlight w:val="none"/>
                <w:u w:color="000000"/>
              </w:rPr>
            </w:pPr>
          </w:p>
        </w:tc>
        <w:tc>
          <w:tcPr>
            <w:tcW w:w="992" w:type="dxa"/>
            <w:vAlign w:val="center"/>
          </w:tcPr>
          <w:p w14:paraId="7486D3D9">
            <w:pPr>
              <w:widowControl/>
              <w:jc w:val="center"/>
              <w:rPr>
                <w:rFonts w:hint="default" w:ascii="Times New Roman" w:hAnsi="Times New Roman" w:eastAsia="宋体" w:cs="Times New Roman"/>
                <w:color w:val="000000"/>
                <w:szCs w:val="21"/>
                <w:highlight w:val="none"/>
                <w:u w:color="000000"/>
              </w:rPr>
            </w:pPr>
          </w:p>
        </w:tc>
        <w:tc>
          <w:tcPr>
            <w:tcW w:w="986" w:type="dxa"/>
            <w:vAlign w:val="center"/>
          </w:tcPr>
          <w:p w14:paraId="1AD271C8">
            <w:pPr>
              <w:widowControl/>
              <w:jc w:val="center"/>
              <w:rPr>
                <w:rFonts w:hint="default" w:ascii="Times New Roman" w:hAnsi="Times New Roman" w:eastAsia="宋体" w:cs="Times New Roman"/>
                <w:color w:val="000000"/>
                <w:szCs w:val="21"/>
                <w:highlight w:val="none"/>
                <w:u w:color="000000"/>
              </w:rPr>
            </w:pPr>
          </w:p>
        </w:tc>
      </w:tr>
      <w:tr w14:paraId="3A6C9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61BD4E2">
            <w:pPr>
              <w:widowControl/>
              <w:jc w:val="cente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w:t>
            </w:r>
          </w:p>
        </w:tc>
        <w:tc>
          <w:tcPr>
            <w:tcW w:w="3686" w:type="dxa"/>
            <w:vAlign w:val="center"/>
          </w:tcPr>
          <w:p w14:paraId="7C27265F">
            <w:pPr>
              <w:widowControl/>
              <w:jc w:val="left"/>
              <w:rPr>
                <w:rFonts w:hint="default" w:ascii="Times New Roman" w:hAnsi="Times New Roman" w:eastAsia="宋体" w:cs="Times New Roman"/>
                <w:color w:val="000000"/>
                <w:szCs w:val="21"/>
                <w:highlight w:val="none"/>
                <w:u w:color="000000"/>
              </w:rPr>
            </w:pPr>
          </w:p>
        </w:tc>
        <w:tc>
          <w:tcPr>
            <w:tcW w:w="3402" w:type="dxa"/>
            <w:vAlign w:val="center"/>
          </w:tcPr>
          <w:p w14:paraId="51C3D9A5">
            <w:pPr>
              <w:widowControl/>
              <w:jc w:val="left"/>
              <w:rPr>
                <w:rFonts w:hint="default" w:ascii="Times New Roman" w:hAnsi="Times New Roman" w:eastAsia="宋体" w:cs="Times New Roman"/>
                <w:color w:val="000000"/>
                <w:szCs w:val="21"/>
                <w:highlight w:val="none"/>
                <w:u w:color="000000"/>
              </w:rPr>
            </w:pPr>
          </w:p>
        </w:tc>
        <w:tc>
          <w:tcPr>
            <w:tcW w:w="992" w:type="dxa"/>
            <w:vAlign w:val="center"/>
          </w:tcPr>
          <w:p w14:paraId="6DF21751">
            <w:pPr>
              <w:widowControl/>
              <w:jc w:val="center"/>
              <w:rPr>
                <w:rFonts w:hint="default" w:ascii="Times New Roman" w:hAnsi="Times New Roman" w:eastAsia="宋体" w:cs="Times New Roman"/>
                <w:color w:val="000000"/>
                <w:szCs w:val="21"/>
                <w:highlight w:val="none"/>
                <w:u w:color="000000"/>
              </w:rPr>
            </w:pPr>
          </w:p>
        </w:tc>
        <w:tc>
          <w:tcPr>
            <w:tcW w:w="986" w:type="dxa"/>
            <w:vAlign w:val="center"/>
          </w:tcPr>
          <w:p w14:paraId="366F5929">
            <w:pPr>
              <w:widowControl/>
              <w:jc w:val="center"/>
              <w:rPr>
                <w:rFonts w:hint="default" w:ascii="Times New Roman" w:hAnsi="Times New Roman" w:eastAsia="宋体" w:cs="Times New Roman"/>
                <w:color w:val="000000"/>
                <w:szCs w:val="21"/>
                <w:highlight w:val="none"/>
                <w:u w:color="000000"/>
              </w:rPr>
            </w:pPr>
          </w:p>
        </w:tc>
      </w:tr>
    </w:tbl>
    <w:p w14:paraId="24855E0B">
      <w:pPr>
        <w:widowControl/>
        <w:jc w:val="left"/>
        <w:rPr>
          <w:rFonts w:hint="eastAsia" w:ascii="宋体" w:hAnsi="宋体" w:eastAsia="宋体" w:cs="Times New Roman"/>
          <w:b/>
          <w:bCs/>
          <w:color w:val="000000"/>
          <w:szCs w:val="21"/>
          <w:highlight w:val="none"/>
          <w:u w:color="000000"/>
        </w:rPr>
      </w:pPr>
      <w:r>
        <w:rPr>
          <w:rFonts w:hint="eastAsia" w:ascii="宋体" w:hAnsi="宋体" w:eastAsia="宋体" w:cs="Times New Roman"/>
          <w:b/>
          <w:bCs/>
          <w:color w:val="000000"/>
          <w:szCs w:val="21"/>
          <w:highlight w:val="none"/>
          <w:u w:color="000000"/>
        </w:rPr>
        <w:br w:type="page"/>
      </w:r>
    </w:p>
    <w:p w14:paraId="60D8F65C">
      <w:pPr>
        <w:widowControl/>
        <w:jc w:val="left"/>
        <w:rPr>
          <w:rFonts w:hint="default" w:ascii="宋体" w:hAnsi="宋体" w:eastAsia="宋体" w:cs="Times New Roman"/>
          <w:b/>
          <w:bCs/>
          <w:color w:val="000000"/>
          <w:szCs w:val="21"/>
          <w:highlight w:val="none"/>
          <w:u w:color="000000"/>
        </w:rPr>
      </w:pPr>
      <w:r>
        <w:rPr>
          <w:rFonts w:hint="eastAsia" w:ascii="宋体" w:hAnsi="宋体" w:eastAsia="宋体" w:cs="Times New Roman"/>
          <w:b/>
          <w:bCs/>
          <w:color w:val="000000"/>
          <w:szCs w:val="21"/>
          <w:highlight w:val="none"/>
          <w:u w:color="000000"/>
        </w:rPr>
        <w:t>附件2：考核标准</w:t>
      </w:r>
    </w:p>
    <w:p w14:paraId="5E8C9C00">
      <w:pPr>
        <w:rPr>
          <w:rFonts w:hint="eastAsia" w:ascii="宋体" w:hAnsi="宋体" w:eastAsia="宋体" w:cs="Times New Roman"/>
          <w:b/>
          <w:bCs/>
          <w:color w:val="000000"/>
          <w:szCs w:val="21"/>
          <w:highlight w:val="none"/>
          <w:u w:color="000000"/>
        </w:rPr>
      </w:pPr>
      <w:r>
        <w:rPr>
          <w:rFonts w:hint="eastAsia" w:ascii="宋体" w:hAnsi="宋体" w:eastAsia="宋体" w:cs="Times New Roman"/>
          <w:b/>
          <w:bCs/>
          <w:color w:val="000000"/>
          <w:szCs w:val="21"/>
          <w:highlight w:val="none"/>
          <w:u w:color="000000"/>
        </w:rPr>
        <w:br w:type="page"/>
      </w:r>
    </w:p>
    <w:p w14:paraId="672AE3F0">
      <w:pPr>
        <w:widowControl/>
        <w:jc w:val="left"/>
        <w:rPr>
          <w:rFonts w:hint="default" w:ascii="宋体" w:hAnsi="宋体" w:eastAsia="宋体" w:cs="Times New Roman"/>
          <w:b/>
          <w:bCs/>
          <w:color w:val="000000"/>
          <w:szCs w:val="21"/>
          <w:u w:color="000000"/>
        </w:rPr>
      </w:pPr>
      <w:r>
        <w:rPr>
          <w:rFonts w:hint="eastAsia" w:ascii="宋体" w:hAnsi="宋体" w:eastAsia="宋体" w:cs="Times New Roman"/>
          <w:b/>
          <w:bCs/>
          <w:color w:val="000000"/>
          <w:szCs w:val="21"/>
          <w:u w:color="000000"/>
        </w:rPr>
        <w:t>附件</w:t>
      </w:r>
      <w:r>
        <w:rPr>
          <w:rFonts w:hint="default" w:ascii="宋体" w:hAnsi="宋体" w:eastAsia="宋体" w:cs="Times New Roman"/>
          <w:b/>
          <w:bCs/>
          <w:color w:val="000000"/>
          <w:szCs w:val="21"/>
          <w:u w:color="000000"/>
        </w:rPr>
        <w:t>3</w:t>
      </w:r>
      <w:r>
        <w:rPr>
          <w:rFonts w:hint="eastAsia" w:ascii="宋体" w:hAnsi="宋体" w:eastAsia="宋体" w:cs="Times New Roman"/>
          <w:b/>
          <w:bCs/>
          <w:color w:val="000000"/>
          <w:szCs w:val="21"/>
          <w:u w:color="000000"/>
        </w:rPr>
        <w:t>：</w:t>
      </w:r>
      <w:r>
        <w:rPr>
          <w:rFonts w:hint="default" w:ascii="宋体" w:hAnsi="宋体" w:eastAsia="宋体" w:cs="Times New Roman"/>
          <w:b/>
          <w:bCs/>
          <w:color w:val="000000"/>
          <w:szCs w:val="21"/>
          <w:u w:color="000000"/>
        </w:rPr>
        <w:t>服务</w:t>
      </w:r>
      <w:r>
        <w:rPr>
          <w:rFonts w:hint="eastAsia" w:ascii="宋体" w:hAnsi="宋体" w:eastAsia="宋体" w:cs="Times New Roman"/>
          <w:b/>
          <w:bCs/>
          <w:color w:val="000000"/>
          <w:szCs w:val="21"/>
          <w:u w:color="000000"/>
        </w:rPr>
        <w:t>方案</w:t>
      </w:r>
    </w:p>
    <w:p w14:paraId="2658F6B2">
      <w:pPr>
        <w:rPr>
          <w:rFonts w:hint="default" w:ascii="Times New Roman" w:hAnsi="Times New Roman" w:eastAsia="宋体" w:cs="Times New Roman"/>
          <w:color w:val="000000"/>
          <w:szCs w:val="20"/>
          <w:u w:color="000000"/>
        </w:rPr>
      </w:pPr>
    </w:p>
    <w:p w14:paraId="652F176D">
      <w:pPr>
        <w:rPr>
          <w:rFonts w:hint="default" w:ascii="Times New Roman" w:hAnsi="Times New Roman" w:eastAsia="宋体" w:cs="Times New Roman"/>
          <w:color w:val="000000"/>
          <w:szCs w:val="20"/>
          <w:u w:color="000000"/>
        </w:rPr>
      </w:pPr>
      <w:r>
        <w:rPr>
          <w:rFonts w:hint="eastAsia" w:ascii="Times New Roman" w:hAnsi="Times New Roman" w:eastAsia="宋体" w:cs="Times New Roman"/>
          <w:color w:val="000000"/>
          <w:szCs w:val="20"/>
          <w:u w:color="000000"/>
        </w:rPr>
        <w:t>*</w:t>
      </w:r>
      <w:r>
        <w:rPr>
          <w:rFonts w:hint="default" w:ascii="Times New Roman" w:hAnsi="Times New Roman" w:eastAsia="宋体" w:cs="Times New Roman"/>
          <w:color w:val="000000"/>
          <w:szCs w:val="20"/>
          <w:u w:color="000000"/>
        </w:rPr>
        <w:t>**</w:t>
      </w:r>
    </w:p>
    <w:p w14:paraId="672F4189">
      <w:pPr>
        <w:widowControl/>
        <w:jc w:val="left"/>
        <w:rPr>
          <w:rFonts w:hint="default" w:ascii="Times New Roman" w:hAnsi="Times New Roman" w:eastAsia="宋体" w:cs="Times New Roman"/>
          <w:color w:val="000000"/>
          <w:szCs w:val="21"/>
          <w:u w:color="000000"/>
        </w:rPr>
      </w:pPr>
    </w:p>
    <w:p w14:paraId="24B3B599">
      <w:pPr>
        <w:rPr>
          <w:rFonts w:hint="eastAsia" w:ascii="Times New Roman" w:hAnsi="Times New Roman" w:eastAsia="Calibri" w:cs="Times New Roman"/>
          <w:b/>
          <w:bCs/>
          <w:color w:val="000000"/>
          <w:sz w:val="44"/>
          <w:szCs w:val="52"/>
          <w:u w:color="000000"/>
        </w:rPr>
      </w:pPr>
      <w:r>
        <w:rPr>
          <w:rFonts w:hint="eastAsia" w:ascii="Times New Roman" w:hAnsi="Times New Roman" w:eastAsia="Calibri" w:cs="Times New Roman"/>
          <w:b/>
          <w:bCs/>
          <w:color w:val="000000"/>
          <w:sz w:val="44"/>
          <w:szCs w:val="52"/>
          <w:u w:color="000000"/>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8"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9D1F15B-0C71-4FF8-85E8-5434B7C0478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40EECAC-58BB-4C01-9092-D67F7EE2806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0BC5E761-ECDC-421F-B5F0-69D497B336DC}"/>
  </w:font>
  <w:font w:name="仿宋">
    <w:panose1 w:val="02010609060101010101"/>
    <w:charset w:val="86"/>
    <w:family w:val="modern"/>
    <w:pitch w:val="default"/>
    <w:sig w:usb0="800002BF" w:usb1="38CF7CFA" w:usb2="00000016" w:usb3="00000000" w:csb0="00040001" w:csb1="00000000"/>
    <w:embedRegular r:id="rId4" w:fontKey="{8FAAF42B-35E2-4D95-9CB1-D5598D382B1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embedRegular r:id="rId5" w:fontKey="{77CFA158-DEDC-4D55-A4D1-9AA860DCE581}"/>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6" w:fontKey="{B646E739-D5F7-4CB1-B9B9-F8FA46C99680}"/>
  </w:font>
  <w:font w:name="Wingdings 2">
    <w:altName w:val="Wingdings"/>
    <w:panose1 w:val="05020102010507070707"/>
    <w:charset w:val="4D"/>
    <w:family w:val="decorative"/>
    <w:pitch w:val="default"/>
    <w:sig w:usb0="00000000" w:usb1="00000000" w:usb2="00000000" w:usb3="00000000" w:csb0="80000001" w:csb1="00000000"/>
    <w:embedRegular r:id="rId7" w:fontKey="{3F2459CA-F754-4217-9526-513BBD9F7DC9}"/>
  </w:font>
  <w:font w:name="微软雅黑">
    <w:panose1 w:val="020B0503020204020204"/>
    <w:charset w:val="86"/>
    <w:family w:val="auto"/>
    <w:pitch w:val="default"/>
    <w:sig w:usb0="80000287" w:usb1="2ACF3C50" w:usb2="00000016" w:usb3="00000000" w:csb0="0004001F" w:csb1="00000000"/>
    <w:embedRegular r:id="rId8" w:fontKey="{12632795-687C-4EAA-BFB6-974DAE106E2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A4B47">
    <w:pPr>
      <w:widowControl w:val="0"/>
      <w:tabs>
        <w:tab w:val="center" w:pos="4153"/>
        <w:tab w:val="right" w:pos="8306"/>
      </w:tabs>
      <w:jc w:val="both"/>
      <w:rPr>
        <w:rFonts w:hint="default" w:ascii="Times New Roman" w:hAnsi="Times New Roman" w:eastAsia="Arial Unicode MS" w:cs="Times New Roman"/>
        <w:color w:val="000000"/>
        <w:kern w:val="2"/>
        <w:sz w:val="21"/>
        <w:szCs w:val="21"/>
        <w:u w:color="000000"/>
        <w:lang w:val="en-US" w:eastAsia="zh-CN" w:bidi="ar-S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E269B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6E269B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015C8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A015C8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3">
    <w:nsid w:val="FCA5E3A8"/>
    <w:multiLevelType w:val="singleLevel"/>
    <w:tmpl w:val="FCA5E3A8"/>
    <w:lvl w:ilvl="0" w:tentative="0">
      <w:start w:val="1"/>
      <w:numFmt w:val="decimal"/>
      <w:suff w:val="nothing"/>
      <w:lvlText w:val="（%1）"/>
      <w:lvlJc w:val="left"/>
      <w:pPr>
        <w:ind w:left="-21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6">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F712D09"/>
    <w:multiLevelType w:val="singleLevel"/>
    <w:tmpl w:val="1F712D09"/>
    <w:lvl w:ilvl="0" w:tentative="0">
      <w:start w:val="1"/>
      <w:numFmt w:val="decimal"/>
      <w:lvlText w:val="(%1)"/>
      <w:lvlJc w:val="left"/>
      <w:pPr>
        <w:ind w:left="218" w:hanging="425"/>
      </w:pPr>
      <w:rPr>
        <w:rFonts w:hint="default"/>
      </w:rPr>
    </w:lvl>
  </w:abstractNum>
  <w:abstractNum w:abstractNumId="12">
    <w:nsid w:val="298B6D1C"/>
    <w:multiLevelType w:val="multilevel"/>
    <w:tmpl w:val="298B6D1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5">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6">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9">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0">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3"/>
  </w:num>
  <w:num w:numId="2">
    <w:abstractNumId w:val="2"/>
  </w:num>
  <w:num w:numId="3">
    <w:abstractNumId w:val="14"/>
  </w:num>
  <w:num w:numId="4">
    <w:abstractNumId w:val="22"/>
  </w:num>
  <w:num w:numId="5">
    <w:abstractNumId w:val="11"/>
  </w:num>
  <w:num w:numId="6">
    <w:abstractNumId w:val="1"/>
  </w:num>
  <w:num w:numId="7">
    <w:abstractNumId w:val="0"/>
  </w:num>
  <w:num w:numId="8">
    <w:abstractNumId w:val="3"/>
  </w:num>
  <w:num w:numId="9">
    <w:abstractNumId w:val="10"/>
  </w:num>
  <w:num w:numId="10">
    <w:abstractNumId w:val="18"/>
  </w:num>
  <w:num w:numId="11">
    <w:abstractNumId w:val="21"/>
  </w:num>
  <w:num w:numId="12">
    <w:abstractNumId w:val="16"/>
  </w:num>
  <w:num w:numId="13">
    <w:abstractNumId w:val="7"/>
  </w:num>
  <w:num w:numId="14">
    <w:abstractNumId w:val="5"/>
  </w:num>
  <w:num w:numId="15">
    <w:abstractNumId w:val="19"/>
  </w:num>
  <w:num w:numId="16">
    <w:abstractNumId w:val="15"/>
  </w:num>
  <w:num w:numId="17">
    <w:abstractNumId w:val="6"/>
  </w:num>
  <w:num w:numId="18">
    <w:abstractNumId w:val="9"/>
  </w:num>
  <w:num w:numId="19">
    <w:abstractNumId w:val="20"/>
  </w:num>
  <w:num w:numId="20">
    <w:abstractNumId w:val="4"/>
  </w:num>
  <w:num w:numId="21">
    <w:abstractNumId w:val="17"/>
  </w:num>
  <w:num w:numId="22">
    <w:abstractNumId w:val="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6705F"/>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19677B"/>
    <w:rsid w:val="012B25CB"/>
    <w:rsid w:val="0168325F"/>
    <w:rsid w:val="01A1683A"/>
    <w:rsid w:val="01AC5842"/>
    <w:rsid w:val="01D50A7C"/>
    <w:rsid w:val="01E16E78"/>
    <w:rsid w:val="01EA636A"/>
    <w:rsid w:val="01FF7230"/>
    <w:rsid w:val="023C235A"/>
    <w:rsid w:val="024C0DD3"/>
    <w:rsid w:val="03D1158F"/>
    <w:rsid w:val="041F679F"/>
    <w:rsid w:val="04BC1856"/>
    <w:rsid w:val="05342A67"/>
    <w:rsid w:val="058C78B0"/>
    <w:rsid w:val="05E11832"/>
    <w:rsid w:val="05E13064"/>
    <w:rsid w:val="05E51322"/>
    <w:rsid w:val="05FC5579"/>
    <w:rsid w:val="05FD48BE"/>
    <w:rsid w:val="06897EFF"/>
    <w:rsid w:val="06A74829"/>
    <w:rsid w:val="06AB60C8"/>
    <w:rsid w:val="06FB4D26"/>
    <w:rsid w:val="072E0AA7"/>
    <w:rsid w:val="078A573C"/>
    <w:rsid w:val="07936827"/>
    <w:rsid w:val="082425D6"/>
    <w:rsid w:val="083251D0"/>
    <w:rsid w:val="08326375"/>
    <w:rsid w:val="0837398B"/>
    <w:rsid w:val="083A1BBD"/>
    <w:rsid w:val="08745B19"/>
    <w:rsid w:val="08EE39BE"/>
    <w:rsid w:val="093A3733"/>
    <w:rsid w:val="09BC683E"/>
    <w:rsid w:val="09CC21F4"/>
    <w:rsid w:val="09E66E41"/>
    <w:rsid w:val="09ED514D"/>
    <w:rsid w:val="0A220AAD"/>
    <w:rsid w:val="0A5151D8"/>
    <w:rsid w:val="0A726EFC"/>
    <w:rsid w:val="0B4508AE"/>
    <w:rsid w:val="0BFF2A12"/>
    <w:rsid w:val="0C120997"/>
    <w:rsid w:val="0C774C9E"/>
    <w:rsid w:val="0C965124"/>
    <w:rsid w:val="0CF161C9"/>
    <w:rsid w:val="0D26294C"/>
    <w:rsid w:val="0D5C636E"/>
    <w:rsid w:val="0D7D4536"/>
    <w:rsid w:val="0DF742E8"/>
    <w:rsid w:val="0E0B7FF0"/>
    <w:rsid w:val="0E366E59"/>
    <w:rsid w:val="0E5B6625"/>
    <w:rsid w:val="0EAC189D"/>
    <w:rsid w:val="0EEE15CF"/>
    <w:rsid w:val="0F5D2ECD"/>
    <w:rsid w:val="0FC14BAE"/>
    <w:rsid w:val="101A497B"/>
    <w:rsid w:val="10432B4B"/>
    <w:rsid w:val="10A15B58"/>
    <w:rsid w:val="110E1F50"/>
    <w:rsid w:val="117A5014"/>
    <w:rsid w:val="127F05A0"/>
    <w:rsid w:val="1299771C"/>
    <w:rsid w:val="12BC165D"/>
    <w:rsid w:val="130A5001"/>
    <w:rsid w:val="136D78F8"/>
    <w:rsid w:val="13806B2E"/>
    <w:rsid w:val="13AC16D1"/>
    <w:rsid w:val="14221993"/>
    <w:rsid w:val="144B0EEA"/>
    <w:rsid w:val="14A32AD4"/>
    <w:rsid w:val="14DC75FE"/>
    <w:rsid w:val="150C68CB"/>
    <w:rsid w:val="15567E5A"/>
    <w:rsid w:val="15CC4977"/>
    <w:rsid w:val="16077093"/>
    <w:rsid w:val="162A4F7D"/>
    <w:rsid w:val="16A82A66"/>
    <w:rsid w:val="16DE614F"/>
    <w:rsid w:val="17233056"/>
    <w:rsid w:val="17826121"/>
    <w:rsid w:val="18316649"/>
    <w:rsid w:val="18640C92"/>
    <w:rsid w:val="18E216F1"/>
    <w:rsid w:val="1954595C"/>
    <w:rsid w:val="1994787E"/>
    <w:rsid w:val="1A82318C"/>
    <w:rsid w:val="1B0B27A2"/>
    <w:rsid w:val="1B0F2F7A"/>
    <w:rsid w:val="1B1A33C4"/>
    <w:rsid w:val="1B634D6B"/>
    <w:rsid w:val="1B642891"/>
    <w:rsid w:val="1BBE6D5D"/>
    <w:rsid w:val="1BC9751D"/>
    <w:rsid w:val="1C125103"/>
    <w:rsid w:val="1C625023"/>
    <w:rsid w:val="1C746B04"/>
    <w:rsid w:val="1D2821E4"/>
    <w:rsid w:val="1D8C2C2E"/>
    <w:rsid w:val="1DB4365C"/>
    <w:rsid w:val="1DC35F95"/>
    <w:rsid w:val="1DD000AF"/>
    <w:rsid w:val="1E09745A"/>
    <w:rsid w:val="1E0D2131"/>
    <w:rsid w:val="1E114F52"/>
    <w:rsid w:val="1E176351"/>
    <w:rsid w:val="1EC47C59"/>
    <w:rsid w:val="1ECD615C"/>
    <w:rsid w:val="1FE21EC2"/>
    <w:rsid w:val="1FF95C9E"/>
    <w:rsid w:val="20601879"/>
    <w:rsid w:val="209239FD"/>
    <w:rsid w:val="20CF13CE"/>
    <w:rsid w:val="215D225D"/>
    <w:rsid w:val="21B53E47"/>
    <w:rsid w:val="21D91EEB"/>
    <w:rsid w:val="22935D1D"/>
    <w:rsid w:val="2393373D"/>
    <w:rsid w:val="23B24AE2"/>
    <w:rsid w:val="23D4489F"/>
    <w:rsid w:val="23D83E1C"/>
    <w:rsid w:val="23FC34CB"/>
    <w:rsid w:val="24466FD8"/>
    <w:rsid w:val="24727DCD"/>
    <w:rsid w:val="25186BC6"/>
    <w:rsid w:val="252B6033"/>
    <w:rsid w:val="25537BFE"/>
    <w:rsid w:val="25F95EEC"/>
    <w:rsid w:val="262001B9"/>
    <w:rsid w:val="264F486A"/>
    <w:rsid w:val="26E50D2A"/>
    <w:rsid w:val="271635BC"/>
    <w:rsid w:val="27B87AF9"/>
    <w:rsid w:val="27CE753E"/>
    <w:rsid w:val="27DA0163"/>
    <w:rsid w:val="27E80EA9"/>
    <w:rsid w:val="280414A1"/>
    <w:rsid w:val="281003AD"/>
    <w:rsid w:val="28570368"/>
    <w:rsid w:val="28A27020"/>
    <w:rsid w:val="28E14F1E"/>
    <w:rsid w:val="29C5318E"/>
    <w:rsid w:val="2A142F93"/>
    <w:rsid w:val="2A81391B"/>
    <w:rsid w:val="2B502F98"/>
    <w:rsid w:val="2BE05F64"/>
    <w:rsid w:val="2C570D4D"/>
    <w:rsid w:val="2C9A0A9E"/>
    <w:rsid w:val="2CAE0BE7"/>
    <w:rsid w:val="2D2F2FAF"/>
    <w:rsid w:val="2D541F8F"/>
    <w:rsid w:val="2DA70D65"/>
    <w:rsid w:val="2DBC4548"/>
    <w:rsid w:val="2E3D31FA"/>
    <w:rsid w:val="2E693FEF"/>
    <w:rsid w:val="2E9C2616"/>
    <w:rsid w:val="2F503401"/>
    <w:rsid w:val="2F575E37"/>
    <w:rsid w:val="2FEF6776"/>
    <w:rsid w:val="30136908"/>
    <w:rsid w:val="30E31FB7"/>
    <w:rsid w:val="310A6711"/>
    <w:rsid w:val="31322DBE"/>
    <w:rsid w:val="316B62D0"/>
    <w:rsid w:val="32165D3B"/>
    <w:rsid w:val="325356E2"/>
    <w:rsid w:val="328303DD"/>
    <w:rsid w:val="332B5D17"/>
    <w:rsid w:val="333F7A14"/>
    <w:rsid w:val="33EF7778"/>
    <w:rsid w:val="33FE04A7"/>
    <w:rsid w:val="3427766B"/>
    <w:rsid w:val="343706EB"/>
    <w:rsid w:val="34713BFD"/>
    <w:rsid w:val="34830DA6"/>
    <w:rsid w:val="34AE2E07"/>
    <w:rsid w:val="35154C31"/>
    <w:rsid w:val="351A08D0"/>
    <w:rsid w:val="35805CB0"/>
    <w:rsid w:val="35A26038"/>
    <w:rsid w:val="35A41DB0"/>
    <w:rsid w:val="35BC70FA"/>
    <w:rsid w:val="360A31E9"/>
    <w:rsid w:val="36334CE5"/>
    <w:rsid w:val="369246C4"/>
    <w:rsid w:val="3701395E"/>
    <w:rsid w:val="37895702"/>
    <w:rsid w:val="37920A5A"/>
    <w:rsid w:val="37BE35FD"/>
    <w:rsid w:val="37FF5D6B"/>
    <w:rsid w:val="380A6843"/>
    <w:rsid w:val="382B5F8F"/>
    <w:rsid w:val="391E6AEA"/>
    <w:rsid w:val="393671C3"/>
    <w:rsid w:val="396A496C"/>
    <w:rsid w:val="398A76FF"/>
    <w:rsid w:val="39965EB4"/>
    <w:rsid w:val="3A3F1B1E"/>
    <w:rsid w:val="3A551407"/>
    <w:rsid w:val="3A6340C3"/>
    <w:rsid w:val="3B033C36"/>
    <w:rsid w:val="3B64626A"/>
    <w:rsid w:val="3B7F30A4"/>
    <w:rsid w:val="3B9C7486"/>
    <w:rsid w:val="3C333E8E"/>
    <w:rsid w:val="3C8A61A4"/>
    <w:rsid w:val="3CB90F2D"/>
    <w:rsid w:val="3CE05DC4"/>
    <w:rsid w:val="3CEE6201"/>
    <w:rsid w:val="3D385C00"/>
    <w:rsid w:val="3D997DD2"/>
    <w:rsid w:val="3DBF7BA4"/>
    <w:rsid w:val="3E122F01"/>
    <w:rsid w:val="3E57579A"/>
    <w:rsid w:val="3E5D4E8E"/>
    <w:rsid w:val="3EF618CF"/>
    <w:rsid w:val="3F9F1F66"/>
    <w:rsid w:val="3FE25336"/>
    <w:rsid w:val="40073668"/>
    <w:rsid w:val="40866C82"/>
    <w:rsid w:val="40C31C84"/>
    <w:rsid w:val="40C63523"/>
    <w:rsid w:val="40D05FDE"/>
    <w:rsid w:val="40F2202D"/>
    <w:rsid w:val="41076015"/>
    <w:rsid w:val="42075FF8"/>
    <w:rsid w:val="422C3859"/>
    <w:rsid w:val="42842020"/>
    <w:rsid w:val="42876CE2"/>
    <w:rsid w:val="43B12268"/>
    <w:rsid w:val="44150A49"/>
    <w:rsid w:val="444340B2"/>
    <w:rsid w:val="448B0D0B"/>
    <w:rsid w:val="44E81B7F"/>
    <w:rsid w:val="4504461A"/>
    <w:rsid w:val="4513485D"/>
    <w:rsid w:val="464F1423"/>
    <w:rsid w:val="468567BB"/>
    <w:rsid w:val="4734568A"/>
    <w:rsid w:val="476060E7"/>
    <w:rsid w:val="4782487D"/>
    <w:rsid w:val="47B71E17"/>
    <w:rsid w:val="489F4D85"/>
    <w:rsid w:val="49536522"/>
    <w:rsid w:val="49A10689"/>
    <w:rsid w:val="49D56585"/>
    <w:rsid w:val="49FC25C6"/>
    <w:rsid w:val="4A015D85"/>
    <w:rsid w:val="4A052D2B"/>
    <w:rsid w:val="4A363FCD"/>
    <w:rsid w:val="4A3D2AA8"/>
    <w:rsid w:val="4A475610"/>
    <w:rsid w:val="4ABD5996"/>
    <w:rsid w:val="4B31068E"/>
    <w:rsid w:val="4B410375"/>
    <w:rsid w:val="4BA55220"/>
    <w:rsid w:val="4BAD0151"/>
    <w:rsid w:val="4BCA036B"/>
    <w:rsid w:val="4BF453E8"/>
    <w:rsid w:val="4C184E09"/>
    <w:rsid w:val="4C2757BD"/>
    <w:rsid w:val="4C7E73A7"/>
    <w:rsid w:val="4C8F75A2"/>
    <w:rsid w:val="4DAD4403"/>
    <w:rsid w:val="4E0336C0"/>
    <w:rsid w:val="4E6F0D56"/>
    <w:rsid w:val="4E8C008E"/>
    <w:rsid w:val="4E9B1B4B"/>
    <w:rsid w:val="4EA312FE"/>
    <w:rsid w:val="4EDC5ADC"/>
    <w:rsid w:val="4EE002CE"/>
    <w:rsid w:val="4FE92D8A"/>
    <w:rsid w:val="4FEF758C"/>
    <w:rsid w:val="501A6E72"/>
    <w:rsid w:val="501C4F0D"/>
    <w:rsid w:val="50201D6B"/>
    <w:rsid w:val="503A2AB3"/>
    <w:rsid w:val="50714F1A"/>
    <w:rsid w:val="50771A9C"/>
    <w:rsid w:val="50C21AA1"/>
    <w:rsid w:val="51413CBC"/>
    <w:rsid w:val="5164091A"/>
    <w:rsid w:val="51726A5E"/>
    <w:rsid w:val="51C47F6D"/>
    <w:rsid w:val="52B256B5"/>
    <w:rsid w:val="52FB52AE"/>
    <w:rsid w:val="54063F0A"/>
    <w:rsid w:val="5455382C"/>
    <w:rsid w:val="547F7727"/>
    <w:rsid w:val="55342CF9"/>
    <w:rsid w:val="554674F7"/>
    <w:rsid w:val="560662B2"/>
    <w:rsid w:val="56186177"/>
    <w:rsid w:val="582A24EA"/>
    <w:rsid w:val="589C07F4"/>
    <w:rsid w:val="59357973"/>
    <w:rsid w:val="59965D30"/>
    <w:rsid w:val="5A3727CC"/>
    <w:rsid w:val="5A6307F6"/>
    <w:rsid w:val="5AA47FD9"/>
    <w:rsid w:val="5AEE022E"/>
    <w:rsid w:val="5B890697"/>
    <w:rsid w:val="5BA529F7"/>
    <w:rsid w:val="5C205D85"/>
    <w:rsid w:val="5C6043D4"/>
    <w:rsid w:val="5CAE75C8"/>
    <w:rsid w:val="5D0A3490"/>
    <w:rsid w:val="5D7E0D39"/>
    <w:rsid w:val="5DDF2DD1"/>
    <w:rsid w:val="5DE057CC"/>
    <w:rsid w:val="5E2E5CB0"/>
    <w:rsid w:val="5E490A40"/>
    <w:rsid w:val="5E9D3F29"/>
    <w:rsid w:val="5EDF45D6"/>
    <w:rsid w:val="5F353859"/>
    <w:rsid w:val="5F64242D"/>
    <w:rsid w:val="5FB63195"/>
    <w:rsid w:val="60384CD1"/>
    <w:rsid w:val="60557590"/>
    <w:rsid w:val="60655808"/>
    <w:rsid w:val="606C7EF8"/>
    <w:rsid w:val="608E1541"/>
    <w:rsid w:val="60F86CEE"/>
    <w:rsid w:val="617D1584"/>
    <w:rsid w:val="6220263B"/>
    <w:rsid w:val="632B74E9"/>
    <w:rsid w:val="63A9427A"/>
    <w:rsid w:val="63D462B1"/>
    <w:rsid w:val="63E45BC2"/>
    <w:rsid w:val="63E678B4"/>
    <w:rsid w:val="63FF44D2"/>
    <w:rsid w:val="641A3596"/>
    <w:rsid w:val="64C00105"/>
    <w:rsid w:val="64C36D7E"/>
    <w:rsid w:val="64D96647"/>
    <w:rsid w:val="64F90F01"/>
    <w:rsid w:val="655B51E5"/>
    <w:rsid w:val="65827915"/>
    <w:rsid w:val="65E40ADA"/>
    <w:rsid w:val="66330B86"/>
    <w:rsid w:val="66E22203"/>
    <w:rsid w:val="674520EC"/>
    <w:rsid w:val="677B6565"/>
    <w:rsid w:val="67AB0BF9"/>
    <w:rsid w:val="68B812C9"/>
    <w:rsid w:val="694A4441"/>
    <w:rsid w:val="698536CB"/>
    <w:rsid w:val="69D50CF4"/>
    <w:rsid w:val="69D73D89"/>
    <w:rsid w:val="69FF522C"/>
    <w:rsid w:val="6A535578"/>
    <w:rsid w:val="6A70612A"/>
    <w:rsid w:val="6AE34B4E"/>
    <w:rsid w:val="6B6F2EF9"/>
    <w:rsid w:val="6BBB1173"/>
    <w:rsid w:val="6C487AFD"/>
    <w:rsid w:val="6C8664BC"/>
    <w:rsid w:val="6CB24363"/>
    <w:rsid w:val="6CD17F9C"/>
    <w:rsid w:val="6D0112BB"/>
    <w:rsid w:val="6D3E7C18"/>
    <w:rsid w:val="6DBB3A8B"/>
    <w:rsid w:val="6DE573D0"/>
    <w:rsid w:val="6E1E75AB"/>
    <w:rsid w:val="6E721F63"/>
    <w:rsid w:val="6EA93466"/>
    <w:rsid w:val="6EBE56B6"/>
    <w:rsid w:val="6EFF37D8"/>
    <w:rsid w:val="6F146151"/>
    <w:rsid w:val="6F276F27"/>
    <w:rsid w:val="6F7D4948"/>
    <w:rsid w:val="6F960C48"/>
    <w:rsid w:val="6FCF0795"/>
    <w:rsid w:val="6FE70C3C"/>
    <w:rsid w:val="700560CB"/>
    <w:rsid w:val="70643A4D"/>
    <w:rsid w:val="70C90342"/>
    <w:rsid w:val="70EF6902"/>
    <w:rsid w:val="70F10A19"/>
    <w:rsid w:val="71381023"/>
    <w:rsid w:val="71FD4747"/>
    <w:rsid w:val="72D0594D"/>
    <w:rsid w:val="73010CB3"/>
    <w:rsid w:val="732B6917"/>
    <w:rsid w:val="735465E8"/>
    <w:rsid w:val="73714961"/>
    <w:rsid w:val="74060F7A"/>
    <w:rsid w:val="74D27DA9"/>
    <w:rsid w:val="74D925D0"/>
    <w:rsid w:val="754825D6"/>
    <w:rsid w:val="754D1D92"/>
    <w:rsid w:val="75676A2A"/>
    <w:rsid w:val="758350A9"/>
    <w:rsid w:val="75AB44BA"/>
    <w:rsid w:val="75DE488F"/>
    <w:rsid w:val="76EE55AC"/>
    <w:rsid w:val="773521BD"/>
    <w:rsid w:val="77BE6726"/>
    <w:rsid w:val="77EE068E"/>
    <w:rsid w:val="78412EB3"/>
    <w:rsid w:val="788B412F"/>
    <w:rsid w:val="78AA2807"/>
    <w:rsid w:val="78EF183C"/>
    <w:rsid w:val="79687E1D"/>
    <w:rsid w:val="79F63C5C"/>
    <w:rsid w:val="7A287CF8"/>
    <w:rsid w:val="7B560FD7"/>
    <w:rsid w:val="7B5F74F8"/>
    <w:rsid w:val="7B690630"/>
    <w:rsid w:val="7BC01667"/>
    <w:rsid w:val="7BD0027A"/>
    <w:rsid w:val="7C2E374F"/>
    <w:rsid w:val="7C5123F4"/>
    <w:rsid w:val="7C7E6FA2"/>
    <w:rsid w:val="7CE054E3"/>
    <w:rsid w:val="7D040AB6"/>
    <w:rsid w:val="7D4119E6"/>
    <w:rsid w:val="7D86298E"/>
    <w:rsid w:val="7DAF162B"/>
    <w:rsid w:val="7DB303AF"/>
    <w:rsid w:val="7DC42B41"/>
    <w:rsid w:val="7DE60785"/>
    <w:rsid w:val="7DEB7B49"/>
    <w:rsid w:val="7E5971A9"/>
    <w:rsid w:val="7F4D1F29"/>
    <w:rsid w:val="7F524A36"/>
    <w:rsid w:val="7F77491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character" w:customStyle="1" w:styleId="43">
    <w:name w:val="15"/>
    <w:basedOn w:val="20"/>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1314</Words>
  <Characters>1414</Characters>
  <Lines>72</Lines>
  <Paragraphs>20</Paragraphs>
  <TotalTime>2</TotalTime>
  <ScaleCrop>false</ScaleCrop>
  <LinksUpToDate>false</LinksUpToDate>
  <CharactersWithSpaces>1482</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2026-11-04T03:15:19Z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