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四川省人民医院2026年CT激光定位系统采购项目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bookmarkStart w:id="118" w:name="_GoBack"/>
      <w:bookmarkEnd w:id="118"/>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3240"/>
      <w:bookmarkStart w:id="1" w:name="_Toc21919"/>
      <w:bookmarkStart w:id="2" w:name="_Toc471310326"/>
      <w:bookmarkStart w:id="3" w:name="_Toc62832406"/>
      <w:bookmarkStart w:id="4" w:name="_Toc20358"/>
      <w:bookmarkStart w:id="5" w:name="_Toc1907"/>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四川省人民医院2026年CT激光定位系统采购项目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CGZX-YXZ20261337</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180000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82DA9D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0"/>
        <w:gridCol w:w="22"/>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2"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2"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2"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2"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2"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2"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2"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2"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2" w:type="pct"/>
            <w:vMerge w:val="continue"/>
            <w:vAlign w:val="center"/>
          </w:tcPr>
          <w:p w14:paraId="430DC133">
            <w:pPr>
              <w:rPr>
                <w:rFonts w:ascii="Times New Roman" w:hAnsi="Times New Roman" w:eastAsia="仿宋" w:cs="Times New Roman"/>
                <w:sz w:val="22"/>
              </w:rPr>
            </w:pPr>
          </w:p>
        </w:tc>
      </w:tr>
      <w:tr w14:paraId="31968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368" w:hRule="atLeast"/>
          <w:jc w:val="center"/>
        </w:trPr>
        <w:tc>
          <w:tcPr>
            <w:tcW w:w="514" w:type="pct"/>
            <w:shd w:val="clear" w:color="auto" w:fill="auto"/>
            <w:vAlign w:val="center"/>
          </w:tcPr>
          <w:p w14:paraId="269D4013">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9</w:t>
            </w:r>
          </w:p>
        </w:tc>
        <w:tc>
          <w:tcPr>
            <w:tcW w:w="1633" w:type="pct"/>
            <w:shd w:val="clear" w:color="auto" w:fill="auto"/>
            <w:vAlign w:val="center"/>
          </w:tcPr>
          <w:p w14:paraId="6EA503EA">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2" w:type="pct"/>
            <w:shd w:val="clear" w:color="auto" w:fill="auto"/>
            <w:vAlign w:val="center"/>
          </w:tcPr>
          <w:p w14:paraId="3EFA4880">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9678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919" w:hRule="atLeast"/>
          <w:jc w:val="center"/>
        </w:trPr>
        <w:tc>
          <w:tcPr>
            <w:tcW w:w="514" w:type="pct"/>
            <w:shd w:val="clear" w:color="auto" w:fill="auto"/>
            <w:vAlign w:val="center"/>
          </w:tcPr>
          <w:p w14:paraId="6B4C868A">
            <w:pPr>
              <w:jc w:val="center"/>
              <w:rPr>
                <w:rFonts w:hint="default"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10</w:t>
            </w:r>
          </w:p>
        </w:tc>
        <w:tc>
          <w:tcPr>
            <w:tcW w:w="1633" w:type="pct"/>
            <w:shd w:val="clear" w:color="auto" w:fill="auto"/>
            <w:vAlign w:val="center"/>
          </w:tcPr>
          <w:p w14:paraId="3AD5B35F">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2" w:type="pct"/>
            <w:shd w:val="clear" w:color="auto" w:fill="auto"/>
            <w:vAlign w:val="center"/>
          </w:tcPr>
          <w:p w14:paraId="3ADFF38D">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CT激光定位系统</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6"/>
        <w:gridCol w:w="994"/>
        <w:gridCol w:w="811"/>
        <w:gridCol w:w="1070"/>
        <w:gridCol w:w="1170"/>
        <w:gridCol w:w="1170"/>
        <w:gridCol w:w="172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CT激光定位系统</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18</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18</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14:paraId="381A14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具备≥2个固定式激光定位灯，具备≥3个滑轨式激光定位灯。</w:t>
      </w:r>
    </w:p>
    <w:p w14:paraId="41A90B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固定激光线≥2条，移动激光线≥3条。</w:t>
      </w:r>
    </w:p>
    <w:p w14:paraId="102115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每个激光定位灯均具备独立激光发射器，激光发射器输出功率≤1mW。</w:t>
      </w:r>
    </w:p>
    <w:p w14:paraId="4CEDF0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激光颜色和波长规格具备≥2种规格可选：红色（波长635nm±5nm）、绿色（波长520nm±5nm）。</w:t>
      </w:r>
    </w:p>
    <w:p w14:paraId="440F890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激光灯投射距离≥4mm。</w:t>
      </w:r>
    </w:p>
    <w:p w14:paraId="3F0DDD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滑轨式激光定位灯最大移动行程≥600mm，移动控制精度±0.1mm。</w:t>
      </w:r>
    </w:p>
    <w:p w14:paraId="318BCA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▲滑轨式激光定位灯具备电动移动功能，移动速度≥10档可调。</w:t>
      </w:r>
    </w:p>
    <w:p w14:paraId="6968B5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线型激光光斑，线长≥2m（离光源点3m距离），线宽≤1mm（离光源点3m距离）。</w:t>
      </w:r>
    </w:p>
    <w:p w14:paraId="0B1F85E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具备激光线宽调节功能，可实现不移动激光投射位置下调节激光线宽。</w:t>
      </w:r>
    </w:p>
    <w:p w14:paraId="6B6F95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▲激光线定位精度±0.5mm。</w:t>
      </w:r>
    </w:p>
    <w:p w14:paraId="410006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▲具备自动锁止功能，激光线调节到位后无需手动操作锁紧。</w:t>
      </w:r>
    </w:p>
    <w:p w14:paraId="2165655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 具备激光灯校准模体，可线性校准激光灯移动精度，可设置激光灯零点位置，支持配合专用软件和CT扫描图像对≥3个轴向的激光线进行校准，支持微调。</w:t>
      </w:r>
    </w:p>
    <w:p w14:paraId="4704B91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 激光灯透光窗具备防反射涂层和抛光工艺。</w:t>
      </w:r>
    </w:p>
    <w:p w14:paraId="6A44FB5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14. 适配电源电压：220V±22V。</w:t>
      </w:r>
    </w:p>
    <w:p w14:paraId="7FBF1B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15. 具备专用工作站，配置：内存≥8G，硬盘≥128G（固态硬盘），显示分辨率≥2736×1824像素。</w:t>
      </w:r>
    </w:p>
    <w:p w14:paraId="3CC2A6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16. 具备专用软件，软件支持导入放射治疗计划信息（至少支持DICOM、DAT、OFL格式）；软件至少具备以下功能：激光定位控制、一键复位、一键开关灯（可控制单灯开关、多灯开关）、一键设置零点及恢复零点、数据校准。</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13768"/>
      <w:bookmarkStart w:id="17" w:name="_Toc28789"/>
      <w:bookmarkStart w:id="18" w:name="_Toc2258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22827"/>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5913"/>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24859"/>
      <w:bookmarkStart w:id="36" w:name="_Toc32749"/>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3558"/>
      <w:bookmarkStart w:id="40" w:name="_Toc24123"/>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27526"/>
      <w:bookmarkStart w:id="44" w:name="_Toc27135"/>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2031"/>
      <w:bookmarkStart w:id="47" w:name="_Toc5056"/>
      <w:bookmarkStart w:id="48" w:name="_Toc19987"/>
      <w:bookmarkStart w:id="49" w:name="_Toc7233"/>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3023"/>
      <w:bookmarkStart w:id="51" w:name="_Toc6482"/>
      <w:bookmarkStart w:id="52" w:name="_Toc16029"/>
      <w:bookmarkStart w:id="53" w:name="_Toc11352"/>
      <w:bookmarkStart w:id="54" w:name="_Toc14829"/>
      <w:bookmarkStart w:id="55" w:name="_Toc2151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4305"/>
      <w:bookmarkStart w:id="57" w:name="_Toc22676"/>
      <w:bookmarkStart w:id="58" w:name="_Toc31838"/>
      <w:bookmarkStart w:id="59" w:name="_Toc17857"/>
      <w:bookmarkStart w:id="60" w:name="_Toc30971"/>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2015"/>
      <w:bookmarkStart w:id="70" w:name="_Toc11351"/>
      <w:bookmarkStart w:id="71" w:name="_Toc15526"/>
      <w:bookmarkStart w:id="72" w:name="_Toc25638"/>
      <w:bookmarkStart w:id="73" w:name="_Toc27661"/>
      <w:bookmarkStart w:id="74" w:name="_Toc20589"/>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2967"/>
      <w:bookmarkStart w:id="76" w:name="_Toc23967"/>
      <w:bookmarkStart w:id="77" w:name="_Toc2041"/>
      <w:bookmarkStart w:id="78" w:name="_Toc1074"/>
      <w:bookmarkStart w:id="79" w:name="_Toc16435"/>
      <w:bookmarkStart w:id="80" w:name="_Toc26969"/>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1369"/>
      <w:bookmarkStart w:id="82" w:name="_Toc28634"/>
      <w:bookmarkStart w:id="83" w:name="_Toc31686"/>
      <w:bookmarkStart w:id="84" w:name="_Toc26839"/>
      <w:bookmarkStart w:id="85" w:name="_Toc21082"/>
      <w:bookmarkStart w:id="86" w:name="_Toc24806"/>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24494"/>
      <w:bookmarkStart w:id="89" w:name="_Toc32605"/>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29032"/>
      <w:bookmarkStart w:id="92" w:name="_Toc30002"/>
      <w:bookmarkStart w:id="93" w:name="_Toc14685"/>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w:t>
      </w:r>
      <w:r>
        <w:rPr>
          <w:rFonts w:hint="eastAsia" w:ascii="宋体" w:hAnsi="宋体" w:eastAsia="宋体"/>
          <w:b/>
          <w:bCs/>
          <w:color w:val="auto"/>
          <w:szCs w:val="21"/>
          <w:highlight w:val="none"/>
          <w:lang w:val="zh-TW" w:eastAsia="zh-CN"/>
        </w:rPr>
        <w:t>，</w:t>
      </w:r>
      <w:r>
        <w:rPr>
          <w:rFonts w:hint="eastAsia" w:ascii="宋体" w:hAnsi="宋体" w:eastAsia="宋体"/>
          <w:b/>
          <w:bCs/>
          <w:color w:val="auto"/>
          <w:szCs w:val="21"/>
          <w:highlight w:val="none"/>
          <w:lang w:val="en-US" w:eastAsia="zh-CN"/>
        </w:rPr>
        <w:t>报价保留小数点后两位</w:t>
      </w:r>
      <w:r>
        <w:rPr>
          <w:rFonts w:hint="eastAsia" w:ascii="宋体" w:hAnsi="宋体" w:eastAsia="宋体"/>
          <w:b/>
          <w:bCs/>
          <w:color w:val="auto"/>
          <w:szCs w:val="21"/>
          <w:highlight w:val="none"/>
          <w:lang w:val="zh-TW" w:eastAsia="zh-TW"/>
        </w:rPr>
        <w:t>。运输、安装、调试、检验、培训、调换、税金和保险等费用以及采购文件规定的其他费用均应包含在报价中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w:t>
      </w:r>
      <w:r>
        <w:rPr>
          <w:rFonts w:hint="eastAsia" w:ascii="Times New Roman" w:hAnsi="Times New Roman" w:eastAsia="宋体" w:cs="Times New Roman"/>
          <w:b/>
          <w:bCs/>
          <w:color w:val="auto"/>
          <w:highlight w:val="none"/>
          <w:u w:val="single"/>
        </w:rPr>
        <w:t>套</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29"/>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w:t>
      </w:r>
      <w:r>
        <w:rPr>
          <w:rFonts w:hint="eastAsia" w:ascii="Times New Roman" w:hAnsi="Times New Roman" w:eastAsia="宋体" w:cs="Times New Roman"/>
          <w:b/>
          <w:bCs/>
          <w:color w:val="auto"/>
          <w:highlight w:val="none"/>
          <w:u w:val="single"/>
        </w:rPr>
        <w:t>套</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AB03FA6-C2D0-43CA-8561-EEBEB65F929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13068A0-2D3A-4C42-AA91-584B0548BC0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38BD22F-D150-4F42-98DB-D15CB3B4B73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9CFE207-6969-4288-B4DB-8B0E954C6D20}"/>
  </w:font>
  <w:font w:name="Segoe UI Symbol">
    <w:panose1 w:val="020B0502040204020203"/>
    <w:charset w:val="00"/>
    <w:family w:val="swiss"/>
    <w:pitch w:val="default"/>
    <w:sig w:usb0="800001E3" w:usb1="1200FFEF" w:usb2="00040000" w:usb3="04000000" w:csb0="00000001" w:csb1="40000000"/>
    <w:embedRegular r:id="rId5" w:fontKey="{86B87728-48A1-4716-805E-85D0EC282F88}"/>
  </w:font>
  <w:font w:name="Wingdings 2">
    <w:altName w:val="Wingdings"/>
    <w:panose1 w:val="05020102010507070707"/>
    <w:charset w:val="4D"/>
    <w:family w:val="decorative"/>
    <w:pitch w:val="default"/>
    <w:sig w:usb0="00000000" w:usb1="00000000" w:usb2="00000000" w:usb3="00000000" w:csb0="80000000" w:csb1="00000000"/>
    <w:embedRegular r:id="rId6" w:fontKey="{81624395-0AAB-432A-88C3-2989516DEF5B}"/>
  </w:font>
  <w:font w:name="Songti SC">
    <w:altName w:val="宋体"/>
    <w:panose1 w:val="02010600040101010101"/>
    <w:charset w:val="86"/>
    <w:family w:val="auto"/>
    <w:pitch w:val="default"/>
    <w:sig w:usb0="00000000" w:usb1="00000000" w:usb2="00000010" w:usb3="00000000" w:csb0="0004009F" w:csb1="00000000"/>
    <w:embedRegular r:id="rId7" w:fontKey="{22083309-8127-48A5-A59C-66AAA5D062B5}"/>
  </w:font>
  <w:font w:name="微软雅黑">
    <w:panose1 w:val="020B0503020204020204"/>
    <w:charset w:val="86"/>
    <w:family w:val="auto"/>
    <w:pitch w:val="default"/>
    <w:sig w:usb0="80000287" w:usb1="2ACF3C50" w:usb2="00000016" w:usb3="00000000" w:csb0="0004001F" w:csb1="00000000"/>
    <w:embedRegular r:id="rId8" w:fontKey="{89566558-913B-4820-89B5-72A7DC0CD7D5}"/>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2571115</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45pt;margin-top:-0.75pt;height:144pt;width:144pt;mso-position-horizontal-relative:margin;mso-wrap-style:none;z-index:251669504;mso-width-relative:page;mso-height-relative:page;" filled="f" stroked="f" coordsize="21600,21600" o:gfxdata="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8Z6aL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9F1398"/>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076EE2"/>
    <w:rsid w:val="1F1E1A47"/>
    <w:rsid w:val="22935D1D"/>
    <w:rsid w:val="23D4489F"/>
    <w:rsid w:val="262001B9"/>
    <w:rsid w:val="27B87AF9"/>
    <w:rsid w:val="27E80EA9"/>
    <w:rsid w:val="280414A1"/>
    <w:rsid w:val="282322F9"/>
    <w:rsid w:val="28570368"/>
    <w:rsid w:val="28E72E42"/>
    <w:rsid w:val="29C5318E"/>
    <w:rsid w:val="2B502F98"/>
    <w:rsid w:val="2C9A0A9E"/>
    <w:rsid w:val="2DA70D65"/>
    <w:rsid w:val="2F66770D"/>
    <w:rsid w:val="2F7D5351"/>
    <w:rsid w:val="336042AF"/>
    <w:rsid w:val="3427766B"/>
    <w:rsid w:val="343706EB"/>
    <w:rsid w:val="351A08D0"/>
    <w:rsid w:val="36334CE5"/>
    <w:rsid w:val="397B37E6"/>
    <w:rsid w:val="39BB4DA4"/>
    <w:rsid w:val="3A551407"/>
    <w:rsid w:val="3B033C36"/>
    <w:rsid w:val="3B243AFF"/>
    <w:rsid w:val="3E5D4E8E"/>
    <w:rsid w:val="3FE25336"/>
    <w:rsid w:val="41076015"/>
    <w:rsid w:val="42075FF8"/>
    <w:rsid w:val="42842020"/>
    <w:rsid w:val="468567BB"/>
    <w:rsid w:val="477E7267"/>
    <w:rsid w:val="4782487D"/>
    <w:rsid w:val="4B31068E"/>
    <w:rsid w:val="4B98563F"/>
    <w:rsid w:val="4BA55220"/>
    <w:rsid w:val="4BAD0151"/>
    <w:rsid w:val="4C184E09"/>
    <w:rsid w:val="4C8F75A2"/>
    <w:rsid w:val="4DAD4403"/>
    <w:rsid w:val="4E6D0981"/>
    <w:rsid w:val="4E8C008E"/>
    <w:rsid w:val="4EAF2A75"/>
    <w:rsid w:val="4F2C577C"/>
    <w:rsid w:val="4FEF758C"/>
    <w:rsid w:val="50771A9C"/>
    <w:rsid w:val="51C47F6D"/>
    <w:rsid w:val="53505443"/>
    <w:rsid w:val="53A24A28"/>
    <w:rsid w:val="5455382C"/>
    <w:rsid w:val="5D0A3490"/>
    <w:rsid w:val="5D7E0D39"/>
    <w:rsid w:val="5E9D3F29"/>
    <w:rsid w:val="5F745DF0"/>
    <w:rsid w:val="60384CD1"/>
    <w:rsid w:val="60655808"/>
    <w:rsid w:val="60F86CEE"/>
    <w:rsid w:val="62A8354B"/>
    <w:rsid w:val="63A9427A"/>
    <w:rsid w:val="63D462B1"/>
    <w:rsid w:val="641A3596"/>
    <w:rsid w:val="64D96647"/>
    <w:rsid w:val="655B51E5"/>
    <w:rsid w:val="65E40ADA"/>
    <w:rsid w:val="66330B86"/>
    <w:rsid w:val="66B71194"/>
    <w:rsid w:val="66CF404D"/>
    <w:rsid w:val="66E22203"/>
    <w:rsid w:val="68B812C9"/>
    <w:rsid w:val="69D50CF4"/>
    <w:rsid w:val="6C487AFD"/>
    <w:rsid w:val="6CB24363"/>
    <w:rsid w:val="6D172FAA"/>
    <w:rsid w:val="6D827123"/>
    <w:rsid w:val="6EA93466"/>
    <w:rsid w:val="6FCF0795"/>
    <w:rsid w:val="7011584E"/>
    <w:rsid w:val="71381023"/>
    <w:rsid w:val="73714961"/>
    <w:rsid w:val="7376641C"/>
    <w:rsid w:val="7421016F"/>
    <w:rsid w:val="754D1D92"/>
    <w:rsid w:val="755E72EB"/>
    <w:rsid w:val="758350A9"/>
    <w:rsid w:val="79687E1D"/>
    <w:rsid w:val="7A321D6A"/>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1242</Words>
  <Characters>1336</Characters>
  <Lines>72</Lines>
  <Paragraphs>20</Paragraphs>
  <TotalTime>3</TotalTime>
  <ScaleCrop>false</ScaleCrop>
  <LinksUpToDate>false</LinksUpToDate>
  <CharactersWithSpaces>1408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2026-09-17T00:48:31Z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