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四川省人民医院院区一体化设备项目-预就诊服务系统采购项目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4" w:type="first"/>
          <w:footerReference r:id="rId5" w:type="first"/>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9</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footerReference r:id="rId6"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numPr>
          <w:ilvl w:val="0"/>
          <w:numId w:val="0"/>
        </w:numPr>
        <w:ind w:left="0" w:leftChars="0" w:firstLine="0" w:firstLineChars="0"/>
        <w:rPr>
          <w:rFonts w:ascii="Times New Roman" w:hAnsi="Times New Roman" w:cs="Times New Roman"/>
        </w:rPr>
      </w:pPr>
      <w:bookmarkStart w:id="0" w:name="_Toc21919"/>
      <w:bookmarkStart w:id="1" w:name="_Toc1907"/>
      <w:bookmarkStart w:id="2" w:name="_Toc3240"/>
      <w:bookmarkStart w:id="3" w:name="_Toc471310326"/>
      <w:bookmarkStart w:id="4" w:name="_Toc20358"/>
      <w:bookmarkStart w:id="5" w:name="_Toc62832406"/>
      <w:r>
        <w:rPr>
          <w:rFonts w:hint="eastAsia" w:ascii="Times New Roman" w:hAnsi="Times New Roman" w:eastAsia="黑体" w:cs="Times New Roman"/>
          <w:b/>
          <w:kern w:val="44"/>
          <w:sz w:val="36"/>
          <w:lang w:val="zh-CN" w:eastAsia="zh-CN" w:bidi="ar-SA"/>
        </w:rPr>
        <w:t xml:space="preserve">第一章 </w:t>
      </w:r>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四川省人民医院</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zh-CN" w:eastAsia="zh-CN"/>
              </w:rPr>
              <w:t>中国农业银行股份有限公司成都光华支行</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四川省人民医院院区一体化设备项目-预就诊服务系统采购项目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hint="eastAsia" w:ascii="Times New Roman" w:hAnsi="Times New Roman" w:eastAsia="仿宋" w:cs="Times New Roman"/>
                <w:b w:val="0"/>
                <w:bCs w:val="0"/>
                <w:sz w:val="22"/>
                <w:lang w:eastAsia="zh-CN"/>
              </w:rPr>
            </w:pPr>
            <w:r>
              <w:rPr>
                <w:rFonts w:hint="eastAsia" w:ascii="仿宋" w:hAnsi="仿宋" w:eastAsia="仿宋" w:cs="仿宋"/>
                <w:b w:val="0"/>
                <w:bCs w:val="0"/>
                <w:sz w:val="22"/>
                <w:lang w:val="en-US" w:eastAsia="zh-CN"/>
              </w:rPr>
              <w:t>CGZX-YXX20261204</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b w:val="0"/>
                <w:bCs w:val="0"/>
                <w:sz w:val="22"/>
              </w:rPr>
            </w:pPr>
            <w:r>
              <w:rPr>
                <w:rFonts w:ascii="Times New Roman" w:hAnsi="Times New Roman" w:eastAsia="仿宋" w:cs="Times New Roman"/>
                <w:b w:val="0"/>
                <w:bCs w:val="0"/>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hint="default" w:ascii="仿宋" w:hAnsi="仿宋" w:eastAsia="仿宋" w:cs="仿宋"/>
                <w:sz w:val="22"/>
                <w:u w:val="none"/>
                <w:lang w:val="en-US" w:eastAsia="zh-CN"/>
              </w:rPr>
            </w:pPr>
            <w:r>
              <w:rPr>
                <w:rFonts w:hint="eastAsia" w:ascii="仿宋" w:hAnsi="仿宋" w:eastAsia="仿宋" w:cs="仿宋"/>
                <w:sz w:val="22"/>
                <w:u w:val="none"/>
              </w:rPr>
              <w:t>人</w:t>
            </w:r>
            <w:r>
              <w:rPr>
                <w:rFonts w:hint="eastAsia" w:ascii="仿宋" w:hAnsi="仿宋" w:eastAsia="仿宋" w:cs="仿宋"/>
                <w:sz w:val="22"/>
                <w:highlight w:val="none"/>
                <w:u w:val="none"/>
              </w:rPr>
              <w:t>民币</w:t>
            </w:r>
            <w:r>
              <w:rPr>
                <w:rFonts w:hint="eastAsia" w:ascii="仿宋" w:hAnsi="仿宋" w:eastAsia="仿宋" w:cs="仿宋"/>
                <w:sz w:val="22"/>
                <w:highlight w:val="none"/>
                <w:u w:val="none"/>
                <w:lang w:val="en-US" w:eastAsia="zh-CN"/>
              </w:rPr>
              <w:t>45万</w:t>
            </w:r>
            <w:r>
              <w:rPr>
                <w:rFonts w:hint="eastAsia" w:ascii="仿宋" w:hAnsi="仿宋" w:eastAsia="仿宋" w:cs="仿宋"/>
                <w:sz w:val="22"/>
                <w:highlight w:val="none"/>
                <w:u w:val="none"/>
              </w:rPr>
              <w:t>元</w:t>
            </w:r>
            <w:r>
              <w:rPr>
                <w:rFonts w:hint="eastAsia" w:ascii="仿宋" w:hAnsi="仿宋" w:eastAsia="仿宋" w:cs="仿宋"/>
                <w:sz w:val="22"/>
                <w:highlight w:val="none"/>
                <w:u w:val="none"/>
                <w:lang w:eastAsia="zh-CN"/>
              </w:rPr>
              <w:t>。</w:t>
            </w:r>
            <w:r>
              <w:rPr>
                <w:rFonts w:hint="eastAsia" w:ascii="仿宋" w:hAnsi="仿宋" w:eastAsia="仿宋" w:cs="仿宋"/>
                <w:sz w:val="22"/>
                <w:u w:val="none"/>
                <w:lang w:eastAsia="zh-CN"/>
              </w:rPr>
              <w:t>限高单价</w:t>
            </w:r>
            <w:r>
              <w:rPr>
                <w:rFonts w:hint="eastAsia" w:ascii="仿宋" w:hAnsi="仿宋" w:eastAsia="仿宋" w:cs="仿宋"/>
                <w:sz w:val="22"/>
                <w:u w:val="none"/>
                <w:lang w:val="en-US" w:eastAsia="zh-CN"/>
              </w:rPr>
              <w:t>详见第四章。</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r>
              <w:rPr>
                <w:rFonts w:hint="eastAsia" w:ascii="Times New Roman" w:hAnsi="Times New Roman" w:eastAsia="仿宋" w:cs="Times New Roman"/>
                <w:sz w:val="22"/>
                <w:lang w:eastAsia="zh-CN"/>
              </w:rPr>
              <w:t>。</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收取</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en-US" w:eastAsia="zh-CN"/>
              </w:rPr>
              <w:t>合同总价10%（逾期未缴纳履约保证金，视为自动放弃中标资格。）</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lang w:val="zh-CN"/>
              </w:rPr>
              <w:t>交款方式：履约保证金可以</w:t>
            </w:r>
            <w:r>
              <w:rPr>
                <w:rFonts w:hint="eastAsia" w:ascii="Times New Roman" w:hAnsi="Times New Roman" w:eastAsia="仿宋" w:cs="Times New Roman"/>
                <w:sz w:val="22"/>
                <w:szCs w:val="22"/>
                <w:lang w:val="zh-CN" w:eastAsia="zh-CN"/>
              </w:rPr>
              <w:t>以现金转账的形式提交（包括网银转账，电汇</w:t>
            </w:r>
            <w:r>
              <w:rPr>
                <w:rFonts w:hint="eastAsia" w:ascii="Times New Roman" w:hAnsi="Times New Roman" w:eastAsia="仿宋" w:cs="Times New Roman"/>
                <w:sz w:val="22"/>
                <w:szCs w:val="22"/>
                <w:highlight w:val="none"/>
                <w:lang w:val="zh-CN" w:eastAsia="zh-CN"/>
              </w:rPr>
              <w:t>等方式）</w:t>
            </w:r>
            <w:r>
              <w:rPr>
                <w:rFonts w:ascii="Times New Roman" w:hAnsi="Times New Roman" w:eastAsia="仿宋" w:cs="Times New Roman"/>
                <w:sz w:val="22"/>
                <w:szCs w:val="22"/>
                <w:highlight w:val="none"/>
                <w:lang w:val="zh-CN"/>
              </w:rPr>
              <w:t>；</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收款单位：</w:t>
            </w:r>
            <w:r>
              <w:rPr>
                <w:rFonts w:hint="eastAsia" w:ascii="Times New Roman" w:hAnsi="Times New Roman" w:eastAsia="仿宋" w:cs="Times New Roman"/>
                <w:sz w:val="22"/>
                <w:szCs w:val="22"/>
                <w:highlight w:val="none"/>
                <w:lang w:val="zh-CN" w:eastAsia="zh-CN"/>
              </w:rPr>
              <w:t>中国农业银行股份有限公司成都光华支行</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开户行：</w:t>
            </w:r>
            <w:r>
              <w:rPr>
                <w:rFonts w:hint="eastAsia" w:ascii="Times New Roman" w:hAnsi="Times New Roman" w:eastAsia="仿宋" w:cs="Times New Roman"/>
                <w:sz w:val="22"/>
                <w:szCs w:val="22"/>
                <w:highlight w:val="none"/>
                <w:lang w:val="zh-CN" w:eastAsia="zh-CN"/>
              </w:rPr>
              <w:t>中国农业银行股份有限公司成都光华支行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银行账号</w:t>
            </w:r>
            <w:r>
              <w:rPr>
                <w:rFonts w:hint="eastAsia" w:ascii="Times New Roman" w:hAnsi="Times New Roman" w:eastAsia="仿宋" w:cs="Times New Roman"/>
                <w:sz w:val="22"/>
                <w:szCs w:val="22"/>
                <w:highlight w:val="none"/>
                <w:lang w:val="zh-CN"/>
              </w:rPr>
              <w:t>：</w:t>
            </w:r>
            <w:r>
              <w:rPr>
                <w:rFonts w:hint="eastAsia" w:ascii="Times New Roman" w:hAnsi="Times New Roman" w:eastAsia="仿宋" w:cs="Times New Roman"/>
                <w:sz w:val="22"/>
                <w:szCs w:val="22"/>
                <w:highlight w:val="none"/>
                <w:lang w:val="zh-CN" w:eastAsia="zh-CN"/>
              </w:rPr>
              <w:t>22804101040009833</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hint="eastAsia" w:ascii="Times New Roman" w:hAnsi="Times New Roman" w:eastAsia="仿宋" w:cs="Times New Roman"/>
                <w:sz w:val="22"/>
                <w:szCs w:val="22"/>
                <w:lang w:val="zh-CN" w:eastAsia="zh-CN"/>
              </w:rPr>
              <w:t>合同生效后7个工作日</w:t>
            </w:r>
            <w:r>
              <w:rPr>
                <w:rFonts w:ascii="Times New Roman" w:hAnsi="Times New Roman" w:eastAsia="仿宋" w:cs="Times New Roman"/>
                <w:sz w:val="22"/>
                <w:szCs w:val="22"/>
                <w:lang w:val="zh-CN"/>
              </w:rPr>
              <w:t>；</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项目验收合格且服务期结束后，供应商向采购人提交退款申请及相应票据，采购人在60工作日内将履约保证金扣减考核金额（如涉及考核）后一次性无息退还。</w:t>
            </w:r>
            <w:r>
              <w:rPr>
                <w:rFonts w:ascii="Times New Roman" w:hAnsi="Times New Roman" w:eastAsia="仿宋" w:cs="Times New Roman"/>
                <w:sz w:val="22"/>
                <w:szCs w:val="22"/>
                <w:lang w:val="zh-CN"/>
              </w:rPr>
              <w:t>；</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rPr>
              <w:t>供应商拒绝履行与采购人订立的合同</w:t>
            </w:r>
            <w:r>
              <w:rPr>
                <w:rFonts w:ascii="Times New Roman" w:hAnsi="Times New Roman" w:eastAsia="仿宋" w:cs="Times New Roman"/>
                <w:sz w:val="22"/>
                <w:szCs w:val="22"/>
                <w:lang w:val="zh-CN"/>
              </w:rPr>
              <w:t>；</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eastAsia="zh-CN"/>
              </w:rPr>
              <w:t>因供应商严重违约或其它违法违规行为等情形，导致双方无法继续履约</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7D71E93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FE"/>
            </w:r>
            <w:r>
              <w:rPr>
                <w:rFonts w:ascii="Times New Roman" w:hAnsi="Times New Roman" w:eastAsia="仿宋" w:cs="Times New Roman"/>
                <w:sz w:val="24"/>
                <w:szCs w:val="24"/>
              </w:rPr>
              <w:t>综合评分法</w:t>
            </w:r>
          </w:p>
          <w:p w14:paraId="579FA05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t>通过资格、符合性审查且满足谈判文件全部实质性要求的供应商达到3家以上</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含3家</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，若合格供应商只有2家，</w:t>
            </w:r>
            <w:r>
              <w:rPr>
                <w:rFonts w:hint="eastAsia" w:ascii="Times New Roman" w:hAnsi="Times New Roman" w:eastAsia="仿宋" w:cs="Times New Roman"/>
                <w:sz w:val="24"/>
                <w:szCs w:val="24"/>
              </w:rPr>
              <w:t>且谈判文</w:t>
            </w:r>
            <w:r>
              <w:rPr>
                <w:rFonts w:ascii="Times New Roman" w:hAnsi="Times New Roman" w:eastAsia="仿宋" w:cs="Times New Roman"/>
                <w:sz w:val="24"/>
                <w:szCs w:val="24"/>
              </w:rPr>
              <w:t>件没有不合理条款，</w:t>
            </w:r>
            <w:r>
              <w:rPr>
                <w:rFonts w:hint="eastAsia" w:ascii="Times New Roman" w:hAnsi="Times New Roman" w:eastAsia="仿宋" w:cs="Times New Roman"/>
                <w:sz w:val="24"/>
                <w:szCs w:val="24"/>
              </w:rPr>
              <w:t>同时</w:t>
            </w:r>
            <w:r>
              <w:rPr>
                <w:rFonts w:ascii="Times New Roman" w:hAnsi="Times New Roman" w:eastAsia="仿宋" w:cs="Times New Roman"/>
                <w:sz w:val="24"/>
                <w:szCs w:val="24"/>
              </w:rPr>
              <w:t>采购程序</w:t>
            </w:r>
            <w:r>
              <w:rPr>
                <w:rFonts w:hint="eastAsia" w:ascii="Times New Roman" w:hAnsi="Times New Roman" w:eastAsia="仿宋" w:cs="Times New Roman"/>
                <w:sz w:val="24"/>
                <w:szCs w:val="24"/>
              </w:rPr>
              <w:t>亦</w:t>
            </w:r>
            <w:r>
              <w:rPr>
                <w:rFonts w:ascii="Times New Roman" w:hAnsi="Times New Roman" w:eastAsia="仿宋" w:cs="Times New Roman"/>
                <w:sz w:val="24"/>
                <w:szCs w:val="24"/>
              </w:rPr>
              <w:t>符合规定的，</w:t>
            </w:r>
            <w:r>
              <w:rPr>
                <w:rFonts w:hint="eastAsia" w:ascii="Times New Roman" w:hAnsi="Times New Roman" w:eastAsia="仿宋" w:cs="Times New Roman"/>
                <w:sz w:val="24"/>
                <w:szCs w:val="24"/>
              </w:rPr>
              <w:t>仍</w:t>
            </w:r>
            <w:r>
              <w:rPr>
                <w:rFonts w:ascii="Times New Roman" w:hAnsi="Times New Roman" w:eastAsia="仿宋" w:cs="Times New Roman"/>
                <w:sz w:val="24"/>
                <w:szCs w:val="24"/>
              </w:rPr>
              <w:t>可以继续开展采购活动。谈</w:t>
            </w:r>
            <w:r>
              <w:rPr>
                <w:rFonts w:ascii="Times New Roman" w:hAnsi="Times New Roman" w:eastAsia="仿宋" w:cs="Times New Roman"/>
                <w:sz w:val="24"/>
                <w:szCs w:val="24"/>
                <w:highlight w:val="none"/>
              </w:rPr>
              <w:t>判小组按照评审因素进行评分，得分最高的供应商为成交供应商。</w:t>
            </w:r>
            <w:r>
              <w:rPr>
                <w:rFonts w:hint="eastAsia" w:ascii="Times New Roman" w:hAnsi="Times New Roman" w:eastAsia="仿宋" w:cs="Times New Roman"/>
                <w:sz w:val="24"/>
                <w:szCs w:val="24"/>
                <w:highlight w:val="none"/>
              </w:rPr>
              <w:t>若得分相同则报价最低的为成交供应商。若得分相同且报价亦相同，则采取随机抽取的方式确定成</w:t>
            </w:r>
            <w:r>
              <w:rPr>
                <w:rFonts w:hint="eastAsia" w:ascii="Times New Roman" w:hAnsi="Times New Roman" w:eastAsia="仿宋" w:cs="Times New Roman"/>
                <w:sz w:val="24"/>
                <w:szCs w:val="24"/>
              </w:rPr>
              <w:t>交供应商。</w:t>
            </w:r>
          </w:p>
          <w:p w14:paraId="354363C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4"/>
                <w:szCs w:val="24"/>
              </w:rPr>
              <w:t>最低评审价法</w:t>
            </w:r>
          </w:p>
          <w:p w14:paraId="6DFB5BC6">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含3家</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。若合格供应商只有2家，</w:t>
            </w:r>
            <w:r>
              <w:rPr>
                <w:rFonts w:hint="eastAsia" w:ascii="Times New Roman" w:hAnsi="Times New Roman" w:eastAsia="仿宋" w:cs="Times New Roman"/>
                <w:sz w:val="24"/>
                <w:szCs w:val="24"/>
              </w:rPr>
              <w:t>且谈判</w:t>
            </w:r>
            <w:r>
              <w:rPr>
                <w:rFonts w:ascii="Times New Roman" w:hAnsi="Times New Roman" w:eastAsia="仿宋" w:cs="Times New Roman"/>
                <w:sz w:val="24"/>
                <w:szCs w:val="24"/>
              </w:rPr>
              <w:t>文件没有不合理条款，</w:t>
            </w:r>
            <w:r>
              <w:rPr>
                <w:rFonts w:hint="eastAsia" w:ascii="Times New Roman" w:hAnsi="Times New Roman" w:eastAsia="仿宋" w:cs="Times New Roman"/>
                <w:sz w:val="24"/>
                <w:szCs w:val="24"/>
              </w:rPr>
              <w:t>同时</w:t>
            </w:r>
            <w:r>
              <w:rPr>
                <w:rFonts w:ascii="Times New Roman" w:hAnsi="Times New Roman" w:eastAsia="仿宋" w:cs="Times New Roman"/>
                <w:sz w:val="24"/>
                <w:szCs w:val="24"/>
              </w:rPr>
              <w:t>采购程序</w:t>
            </w:r>
            <w:r>
              <w:rPr>
                <w:rFonts w:hint="eastAsia" w:ascii="Times New Roman" w:hAnsi="Times New Roman" w:eastAsia="仿宋" w:cs="Times New Roman"/>
                <w:sz w:val="24"/>
                <w:szCs w:val="24"/>
              </w:rPr>
              <w:t>亦符</w:t>
            </w:r>
            <w:r>
              <w:rPr>
                <w:rFonts w:ascii="Times New Roman" w:hAnsi="Times New Roman" w:eastAsia="仿宋" w:cs="Times New Roman"/>
                <w:sz w:val="24"/>
                <w:szCs w:val="24"/>
              </w:rPr>
              <w:t>合规定的，</w:t>
            </w:r>
            <w:r>
              <w:rPr>
                <w:rFonts w:hint="eastAsia" w:ascii="Times New Roman" w:hAnsi="Times New Roman" w:eastAsia="仿宋" w:cs="Times New Roman"/>
                <w:sz w:val="24"/>
                <w:szCs w:val="24"/>
              </w:rPr>
              <w:t>仍</w:t>
            </w:r>
            <w:r>
              <w:rPr>
                <w:rFonts w:ascii="Times New Roman" w:hAnsi="Times New Roman" w:eastAsia="仿宋" w:cs="Times New Roman"/>
                <w:sz w:val="24"/>
                <w:szCs w:val="24"/>
              </w:rPr>
              <w:t>可以继续开展采购活动。谈判小组按照有效报价进行评审，有效报价最低的合格供应商为成交供应商。</w:t>
            </w:r>
            <w:r>
              <w:rPr>
                <w:rFonts w:hint="eastAsia" w:ascii="Times New Roman" w:hAnsi="Times New Roman" w:eastAsia="仿宋" w:cs="Times New Roman"/>
                <w:sz w:val="24"/>
                <w:szCs w:val="24"/>
                <w:lang w:val="en-US" w:eastAsia="zh-CN"/>
              </w:rPr>
              <w:t>若</w:t>
            </w:r>
            <w:r>
              <w:rPr>
                <w:rFonts w:ascii="Times New Roman" w:hAnsi="Times New Roman" w:eastAsia="仿宋" w:cs="Times New Roman"/>
                <w:sz w:val="24"/>
                <w:szCs w:val="24"/>
              </w:rPr>
              <w:t>报价相同则采取随机抽取的方式确定成交供应商。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1D4FA264">
            <w:pPr>
              <w:spacing w:line="360" w:lineRule="auto"/>
              <w:ind w:left="210" w:leftChars="100"/>
              <w:rPr>
                <w:rFonts w:hint="eastAsia" w:ascii="仿宋" w:hAnsi="仿宋" w:eastAsia="仿宋" w:cs="仿宋"/>
                <w:sz w:val="22"/>
                <w:szCs w:val="22"/>
              </w:rPr>
            </w:pPr>
            <w:r>
              <w:rPr>
                <w:rFonts w:hint="eastAsia" w:ascii="仿宋" w:hAnsi="仿宋" w:eastAsia="仿宋" w:cs="仿宋"/>
                <w:sz w:val="22"/>
                <w:szCs w:val="22"/>
              </w:rPr>
              <w:t>（1）采购部门：招标采购中心</w:t>
            </w:r>
          </w:p>
          <w:p w14:paraId="59C9C6D4">
            <w:pPr>
              <w:spacing w:line="360" w:lineRule="auto"/>
              <w:ind w:left="210" w:leftChars="100"/>
              <w:rPr>
                <w:rFonts w:hint="eastAsia" w:ascii="仿宋" w:hAnsi="仿宋" w:eastAsia="仿宋" w:cs="仿宋"/>
                <w:sz w:val="22"/>
                <w:szCs w:val="22"/>
                <w:u w:val="none"/>
                <w:lang w:val="en-US" w:eastAsia="zh-CN"/>
              </w:rPr>
            </w:pPr>
            <w:r>
              <w:rPr>
                <w:rFonts w:hint="eastAsia" w:ascii="仿宋" w:hAnsi="仿宋" w:eastAsia="仿宋" w:cs="仿宋"/>
                <w:sz w:val="22"/>
                <w:szCs w:val="22"/>
                <w:u w:val="none"/>
              </w:rPr>
              <w:t>联系方式：</w:t>
            </w:r>
            <w:r>
              <w:rPr>
                <w:rFonts w:hint="eastAsia" w:ascii="仿宋" w:hAnsi="仿宋" w:eastAsia="仿宋" w:cs="仿宋"/>
                <w:sz w:val="22"/>
                <w:szCs w:val="22"/>
                <w:u w:val="none"/>
                <w:lang w:val="en-US" w:eastAsia="zh-CN"/>
              </w:rPr>
              <w:t>丁</w:t>
            </w:r>
            <w:r>
              <w:rPr>
                <w:rFonts w:hint="eastAsia" w:ascii="仿宋" w:hAnsi="仿宋" w:eastAsia="仿宋" w:cs="仿宋"/>
                <w:sz w:val="22"/>
                <w:szCs w:val="22"/>
                <w:u w:val="none"/>
              </w:rPr>
              <w:t>老师</w:t>
            </w:r>
            <w:r>
              <w:rPr>
                <w:rFonts w:hint="eastAsia" w:ascii="仿宋" w:hAnsi="仿宋" w:eastAsia="仿宋" w:cs="仿宋"/>
                <w:sz w:val="22"/>
                <w:szCs w:val="22"/>
                <w:u w:val="none"/>
                <w:lang w:val="en-US" w:eastAsia="zh-CN"/>
              </w:rPr>
              <w:t xml:space="preserve"> </w:t>
            </w:r>
            <w:r>
              <w:rPr>
                <w:rFonts w:hint="eastAsia" w:ascii="仿宋" w:hAnsi="仿宋" w:eastAsia="仿宋" w:cs="仿宋"/>
                <w:sz w:val="22"/>
                <w:szCs w:val="22"/>
                <w:u w:val="none"/>
              </w:rPr>
              <w:t>028-</w:t>
            </w:r>
            <w:r>
              <w:rPr>
                <w:rFonts w:hint="eastAsia" w:ascii="仿宋" w:hAnsi="仿宋" w:eastAsia="仿宋" w:cs="仿宋"/>
                <w:sz w:val="22"/>
                <w:szCs w:val="22"/>
                <w:u w:val="none"/>
                <w:lang w:val="en-US" w:eastAsia="zh-CN"/>
              </w:rPr>
              <w:t>87393463</w:t>
            </w:r>
          </w:p>
          <w:p w14:paraId="1445CED7">
            <w:pPr>
              <w:spacing w:line="360" w:lineRule="auto"/>
              <w:ind w:left="210" w:leftChars="100"/>
              <w:rPr>
                <w:rFonts w:hint="eastAsia" w:ascii="仿宋" w:hAnsi="仿宋" w:eastAsia="仿宋" w:cs="仿宋"/>
                <w:sz w:val="22"/>
                <w:szCs w:val="22"/>
                <w:highlight w:val="none"/>
                <w:u w:val="none"/>
              </w:rPr>
            </w:pPr>
            <w:r>
              <w:rPr>
                <w:rFonts w:hint="eastAsia" w:ascii="仿宋" w:hAnsi="仿宋" w:eastAsia="仿宋" w:cs="仿宋"/>
                <w:sz w:val="22"/>
                <w:szCs w:val="22"/>
                <w:u w:val="none"/>
              </w:rPr>
              <w:t>（2）归口部</w:t>
            </w:r>
            <w:r>
              <w:rPr>
                <w:rFonts w:hint="eastAsia" w:ascii="仿宋" w:hAnsi="仿宋" w:eastAsia="仿宋" w:cs="仿宋"/>
                <w:sz w:val="22"/>
                <w:szCs w:val="22"/>
                <w:highlight w:val="none"/>
                <w:u w:val="none"/>
              </w:rPr>
              <w:t>门：</w:t>
            </w:r>
            <w:r>
              <w:rPr>
                <w:rFonts w:hint="eastAsia" w:ascii="仿宋" w:hAnsi="仿宋" w:eastAsia="仿宋" w:cs="仿宋"/>
                <w:sz w:val="22"/>
                <w:szCs w:val="22"/>
                <w:highlight w:val="none"/>
                <w:u w:val="none"/>
                <w:lang w:val="en-US" w:eastAsia="zh-CN"/>
              </w:rPr>
              <w:t>医学信息中心</w:t>
            </w:r>
          </w:p>
          <w:p w14:paraId="677B508E">
            <w:pPr>
              <w:spacing w:line="360" w:lineRule="auto"/>
              <w:ind w:left="210" w:leftChars="100"/>
              <w:rPr>
                <w:rFonts w:hint="eastAsia" w:ascii="仿宋" w:hAnsi="仿宋" w:eastAsia="仿宋" w:cs="仿宋"/>
                <w:sz w:val="22"/>
                <w:szCs w:val="22"/>
                <w:highlight w:val="none"/>
                <w:u w:val="none"/>
                <w:lang w:val="en-US" w:eastAsia="zh-CN"/>
              </w:rPr>
            </w:pPr>
            <w:r>
              <w:rPr>
                <w:rFonts w:hint="eastAsia" w:ascii="仿宋" w:hAnsi="仿宋" w:eastAsia="仿宋" w:cs="仿宋"/>
                <w:sz w:val="22"/>
                <w:szCs w:val="22"/>
                <w:highlight w:val="none"/>
                <w:u w:val="none"/>
              </w:rPr>
              <w:t>联系方式：</w:t>
            </w:r>
            <w:r>
              <w:rPr>
                <w:rFonts w:hint="eastAsia" w:ascii="仿宋" w:hAnsi="仿宋" w:eastAsia="仿宋" w:cs="仿宋"/>
                <w:sz w:val="22"/>
                <w:szCs w:val="22"/>
                <w:highlight w:val="none"/>
                <w:u w:val="none"/>
                <w:lang w:val="en-US" w:eastAsia="zh-CN"/>
              </w:rPr>
              <w:t>刘</w:t>
            </w:r>
            <w:r>
              <w:rPr>
                <w:rFonts w:hint="eastAsia" w:ascii="仿宋" w:hAnsi="仿宋" w:eastAsia="仿宋" w:cs="仿宋"/>
                <w:sz w:val="22"/>
                <w:szCs w:val="22"/>
                <w:highlight w:val="none"/>
                <w:u w:val="none"/>
              </w:rPr>
              <w:t>老师</w:t>
            </w:r>
            <w:r>
              <w:rPr>
                <w:rFonts w:hint="eastAsia" w:ascii="仿宋" w:hAnsi="仿宋" w:eastAsia="仿宋" w:cs="仿宋"/>
                <w:sz w:val="22"/>
                <w:szCs w:val="22"/>
                <w:highlight w:val="none"/>
                <w:u w:val="none"/>
                <w:lang w:val="en-US" w:eastAsia="zh-CN"/>
              </w:rPr>
              <w:t xml:space="preserve"> </w:t>
            </w:r>
            <w:r>
              <w:rPr>
                <w:rFonts w:hint="eastAsia" w:ascii="仿宋" w:hAnsi="仿宋" w:eastAsia="仿宋" w:cs="仿宋"/>
                <w:sz w:val="22"/>
                <w:szCs w:val="22"/>
                <w:highlight w:val="none"/>
                <w:u w:val="none"/>
              </w:rPr>
              <w:t>028-</w:t>
            </w:r>
            <w:r>
              <w:rPr>
                <w:rFonts w:hint="eastAsia" w:ascii="仿宋" w:hAnsi="仿宋" w:eastAsia="仿宋" w:cs="仿宋"/>
                <w:sz w:val="22"/>
                <w:szCs w:val="22"/>
                <w:highlight w:val="none"/>
                <w:u w:val="none"/>
                <w:lang w:val="en-US" w:eastAsia="zh-CN"/>
              </w:rPr>
              <w:t>87393250</w:t>
            </w:r>
          </w:p>
          <w:p w14:paraId="4C76527E">
            <w:pP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（3）监督部门：审计部</w:t>
            </w:r>
          </w:p>
          <w:p w14:paraId="3C2EDCE7">
            <w:pP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联系方式：028-87394709</w:t>
            </w:r>
          </w:p>
          <w:p w14:paraId="1BAD7122">
            <w:pPr>
              <w:spacing w:line="360" w:lineRule="auto"/>
              <w:ind w:left="210" w:leftChars="100"/>
              <w:rPr>
                <w:rFonts w:ascii="Times New Roman" w:hAnsi="Times New Roman" w:eastAsia="仿宋" w:cs="Times New Roman"/>
                <w:sz w:val="22"/>
              </w:rPr>
            </w:pPr>
            <w:r>
              <w:rPr>
                <w:rFonts w:hint="eastAsia" w:ascii="仿宋" w:hAnsi="仿宋" w:eastAsia="仿宋" w:cs="仿宋"/>
                <w:sz w:val="22"/>
                <w:szCs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numPr>
          <w:ilvl w:val="0"/>
          <w:numId w:val="0"/>
        </w:numPr>
        <w:ind w:left="0" w:leftChars="0" w:firstLine="0" w:firstLineChars="0"/>
        <w:rPr>
          <w:rFonts w:ascii="Times New Roman" w:hAnsi="Times New Roman" w:cs="Times New Roman"/>
        </w:rPr>
      </w:pPr>
      <w:bookmarkStart w:id="6" w:name="_Toc22329"/>
      <w:bookmarkStart w:id="7" w:name="_Toc14460"/>
      <w:bookmarkStart w:id="8" w:name="_Toc24154"/>
      <w:r>
        <w:rPr>
          <w:rFonts w:hint="eastAsia" w:ascii="Times New Roman" w:hAnsi="Times New Roman" w:eastAsia="黑体" w:cs="Times New Roman"/>
          <w:b/>
          <w:kern w:val="44"/>
          <w:sz w:val="36"/>
          <w:lang w:val="zh-CN" w:eastAsia="zh-CN" w:bidi="ar-SA"/>
        </w:rPr>
        <w:t xml:space="preserve">第二章 </w:t>
      </w:r>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zh-CN" w:eastAsia="zh-CN"/>
              </w:rPr>
              <w:t>3463</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eastAsia="zh-CN"/>
              </w:rPr>
              <w:t>sbc3214@vip.163.com</w:t>
            </w:r>
            <w:r>
              <w:rPr>
                <w:rFonts w:hint="eastAsia" w:ascii="Times New Roman" w:hAnsi="Times New Roman" w:eastAsia="仿宋" w:cs="Times New Roman"/>
                <w:sz w:val="22"/>
                <w:szCs w:val="22"/>
                <w:lang w:val="zh-CN"/>
              </w:rPr>
              <w:t>。</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numPr>
          <w:ilvl w:val="0"/>
          <w:numId w:val="0"/>
        </w:numPr>
        <w:ind w:left="0" w:leftChars="0" w:firstLine="0" w:firstLineChars="0"/>
        <w:rPr>
          <w:rFonts w:ascii="Times New Roman" w:hAnsi="Times New Roman" w:cs="Times New Roman"/>
        </w:rPr>
      </w:pPr>
      <w:bookmarkStart w:id="9" w:name="_Toc28050"/>
      <w:bookmarkStart w:id="10" w:name="_Toc19400"/>
      <w:bookmarkStart w:id="11" w:name="_Toc32181"/>
      <w:r>
        <w:rPr>
          <w:rFonts w:hint="eastAsia" w:ascii="Times New Roman" w:hAnsi="Times New Roman" w:eastAsia="黑体" w:cs="Times New Roman"/>
          <w:b/>
          <w:kern w:val="44"/>
          <w:sz w:val="36"/>
          <w:lang w:val="zh-CN" w:eastAsia="zh-CN" w:bidi="ar-SA"/>
        </w:rPr>
        <w:t xml:space="preserve">第三章 </w:t>
      </w:r>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8"/>
        <w:gridCol w:w="10"/>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22915FD">
            <w:pPr>
              <w:widowControl/>
              <w:jc w:val="left"/>
              <w:rPr>
                <w:rFonts w:hint="default"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u w:val="single"/>
                <w:lang w:val="en-US" w:eastAsia="zh-CN"/>
              </w:rPr>
              <w:t xml:space="preserve">  无  </w:t>
            </w:r>
            <w:r>
              <w:rPr>
                <w:rFonts w:hint="eastAsia" w:ascii="仿宋" w:hAnsi="仿宋" w:eastAsia="仿宋" w:cs="仿宋"/>
                <w:b w:val="0"/>
                <w:bCs w:val="0"/>
                <w:sz w:val="22"/>
                <w:lang w:val="en-US" w:eastAsia="zh-CN"/>
              </w:rPr>
              <w:t>。</w:t>
            </w:r>
          </w:p>
        </w:tc>
        <w:tc>
          <w:tcPr>
            <w:tcW w:w="2846" w:type="pct"/>
            <w:vAlign w:val="center"/>
          </w:tcPr>
          <w:p w14:paraId="7D3D2FEC">
            <w:pPr>
              <w:rPr>
                <w:rFonts w:hint="eastAsia" w:ascii="Times New Roman" w:hAnsi="Times New Roman" w:eastAsia="仿宋" w:cs="Times New Roman"/>
                <w:sz w:val="22"/>
                <w:u w:val="single"/>
                <w:lang w:val="en-US" w:eastAsia="zh-CN"/>
              </w:rPr>
            </w:pPr>
            <w:r>
              <w:rPr>
                <w:rFonts w:ascii="Times New Roman" w:hAnsi="Times New Roman" w:eastAsia="仿宋" w:cs="Times New Roman"/>
                <w:sz w:val="22"/>
              </w:rPr>
              <w:t>提供</w:t>
            </w:r>
            <w:r>
              <w:rPr>
                <w:rFonts w:ascii="Times New Roman" w:hAnsi="Times New Roman" w:eastAsia="仿宋" w:cs="Times New Roman"/>
                <w:sz w:val="22"/>
                <w:u w:val="single"/>
              </w:rPr>
              <w:t xml:space="preserve">   </w:t>
            </w:r>
            <w:r>
              <w:rPr>
                <w:rFonts w:hint="eastAsia" w:ascii="Times New Roman" w:hAnsi="Times New Roman" w:eastAsia="仿宋" w:cs="Times New Roman"/>
                <w:sz w:val="22"/>
                <w:u w:val="single"/>
                <w:lang w:val="en-US" w:eastAsia="zh-CN"/>
              </w:rPr>
              <w:t xml:space="preserve">/ </w:t>
            </w:r>
            <w:r>
              <w:rPr>
                <w:rFonts w:ascii="Times New Roman" w:hAnsi="Times New Roman" w:eastAsia="仿宋" w:cs="Times New Roman"/>
                <w:sz w:val="22"/>
                <w:u w:val="single"/>
              </w:rPr>
              <w:t xml:space="preserve">  </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numPr>
          <w:ilvl w:val="0"/>
          <w:numId w:val="0"/>
        </w:numPr>
        <w:ind w:left="0" w:leftChars="0" w:firstLine="0" w:firstLineChars="0"/>
        <w:rPr>
          <w:rFonts w:ascii="Times New Roman" w:hAnsi="Times New Roman" w:cs="Times New Roman"/>
        </w:rPr>
      </w:pPr>
      <w:bookmarkStart w:id="12" w:name="_Toc12668"/>
      <w:bookmarkStart w:id="13" w:name="_Toc3988"/>
      <w:bookmarkStart w:id="14" w:name="_Toc16403"/>
      <w:r>
        <w:rPr>
          <w:rFonts w:hint="eastAsia" w:ascii="Times New Roman" w:hAnsi="Times New Roman" w:eastAsia="黑体" w:cs="Times New Roman"/>
          <w:b/>
          <w:kern w:val="44"/>
          <w:sz w:val="36"/>
          <w:lang w:val="zh-CN" w:eastAsia="zh-CN" w:bidi="ar-SA"/>
        </w:rPr>
        <w:t xml:space="preserve">第四章 </w:t>
      </w:r>
      <w:r>
        <w:rPr>
          <w:rFonts w:ascii="Times New Roman" w:hAnsi="Times New Roman" w:cs="Times New Roman"/>
        </w:rPr>
        <w:t>采购需求</w:t>
      </w:r>
      <w:bookmarkEnd w:id="12"/>
      <w:bookmarkEnd w:id="13"/>
      <w:bookmarkEnd w:id="14"/>
    </w:p>
    <w:p w14:paraId="1D7D9A40">
      <w:pPr>
        <w:pStyle w:val="16"/>
        <w:keepNext w:val="0"/>
        <w:keepLines w:val="0"/>
        <w:pageBreakBefore w:val="0"/>
        <w:numPr>
          <w:ilvl w:val="0"/>
          <w:numId w:val="0"/>
        </w:numPr>
        <w:kinsoku/>
        <w:wordWrap/>
        <w:overflowPunct/>
        <w:topLinePunct w:val="0"/>
        <w:bidi w:val="0"/>
        <w:adjustRightInd w:val="0"/>
        <w:snapToGrid w:val="0"/>
        <w:spacing w:before="0" w:beforeAutospacing="0" w:after="0" w:afterAutospacing="0" w:line="288" w:lineRule="auto"/>
        <w:ind w:left="0" w:firstLine="0" w:firstLineChars="0"/>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一、</w:t>
      </w:r>
      <w:r>
        <w:rPr>
          <w:rFonts w:hint="eastAsia" w:ascii="仿宋" w:hAnsi="仿宋" w:eastAsia="仿宋" w:cs="仿宋"/>
          <w:b/>
          <w:bCs/>
          <w:sz w:val="24"/>
          <w:szCs w:val="24"/>
        </w:rPr>
        <w:t>项目简介</w:t>
      </w:r>
      <w:r>
        <w:rPr>
          <w:rFonts w:hint="eastAsia" w:ascii="仿宋" w:hAnsi="仿宋" w:eastAsia="仿宋" w:cs="仿宋"/>
          <w:sz w:val="24"/>
          <w:szCs w:val="24"/>
        </w:rPr>
        <w:cr/>
      </w:r>
      <w:r>
        <w:rPr>
          <w:rFonts w:hint="eastAsia" w:ascii="仿宋" w:hAnsi="仿宋" w:eastAsia="仿宋" w:cs="仿宋"/>
          <w:sz w:val="24"/>
          <w:szCs w:val="24"/>
          <w:lang w:val="en-US" w:eastAsia="zh-CN"/>
        </w:rPr>
        <w:t>本项目拟确定一名供应商向采购人提供预就诊服务系统</w:t>
      </w:r>
      <w:r>
        <w:rPr>
          <w:rFonts w:hint="eastAsia" w:ascii="仿宋" w:hAnsi="仿宋" w:eastAsia="仿宋" w:cs="仿宋"/>
          <w:sz w:val="24"/>
          <w:szCs w:val="24"/>
          <w:highlight w:val="none"/>
          <w:lang w:val="en-US" w:eastAsia="zh-CN"/>
        </w:rPr>
        <w:t>。</w:t>
      </w:r>
    </w:p>
    <w:p w14:paraId="075D7778">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both"/>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二、</w:t>
      </w:r>
      <w:r>
        <w:rPr>
          <w:rFonts w:hint="eastAsia" w:ascii="仿宋" w:hAnsi="仿宋" w:eastAsia="仿宋" w:cs="仿宋"/>
          <w:b/>
          <w:bCs/>
          <w:sz w:val="24"/>
          <w:szCs w:val="24"/>
        </w:rPr>
        <w:t>采购内容</w:t>
      </w:r>
      <w:r>
        <w:rPr>
          <w:rFonts w:hint="eastAsia" w:ascii="仿宋" w:hAnsi="仿宋" w:eastAsia="仿宋" w:cs="仿宋"/>
          <w:sz w:val="24"/>
          <w:szCs w:val="24"/>
        </w:rPr>
        <w:cr/>
      </w:r>
      <w:r>
        <w:rPr>
          <w:rFonts w:hint="eastAsia" w:ascii="仿宋" w:hAnsi="仿宋" w:eastAsia="仿宋" w:cs="仿宋"/>
          <w:kern w:val="2"/>
          <w:sz w:val="24"/>
          <w:szCs w:val="24"/>
        </w:rPr>
        <w:t>★</w:t>
      </w:r>
      <w:r>
        <w:rPr>
          <w:rFonts w:hint="eastAsia" w:ascii="仿宋" w:hAnsi="仿宋" w:cs="仿宋"/>
          <w:kern w:val="2"/>
          <w:sz w:val="24"/>
          <w:szCs w:val="24"/>
          <w:lang w:val="en-US" w:eastAsia="zh-CN"/>
        </w:rPr>
        <w:t>1.</w:t>
      </w:r>
      <w:r>
        <w:rPr>
          <w:rFonts w:hint="eastAsia" w:ascii="仿宋" w:hAnsi="仿宋" w:eastAsia="仿宋" w:cs="仿宋"/>
          <w:kern w:val="2"/>
          <w:sz w:val="24"/>
          <w:szCs w:val="24"/>
        </w:rPr>
        <w:t>采购清单</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852"/>
        <w:gridCol w:w="2610"/>
        <w:gridCol w:w="2439"/>
        <w:gridCol w:w="1973"/>
        <w:gridCol w:w="1973"/>
      </w:tblGrid>
      <w:tr w14:paraId="07352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52" w:type="dxa"/>
            <w:shd w:val="clear" w:color="auto" w:fill="auto"/>
            <w:tcMar>
              <w:top w:w="0" w:type="dxa"/>
              <w:left w:w="105" w:type="dxa"/>
              <w:bottom w:w="0" w:type="dxa"/>
              <w:right w:w="105" w:type="dxa"/>
            </w:tcMar>
            <w:vAlign w:val="center"/>
          </w:tcPr>
          <w:p w14:paraId="13D821C1">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center"/>
              <w:textAlignment w:val="auto"/>
              <w:rPr>
                <w:rFonts w:hint="eastAsia" w:ascii="仿宋" w:hAnsi="仿宋" w:eastAsia="仿宋" w:cs="仿宋"/>
                <w:sz w:val="24"/>
                <w:szCs w:val="24"/>
              </w:rPr>
            </w:pPr>
            <w:r>
              <w:rPr>
                <w:rFonts w:hint="eastAsia" w:ascii="仿宋" w:hAnsi="仿宋" w:eastAsia="仿宋" w:cs="仿宋"/>
                <w:sz w:val="24"/>
                <w:szCs w:val="24"/>
              </w:rPr>
              <w:t>序号</w:t>
            </w:r>
          </w:p>
        </w:tc>
        <w:tc>
          <w:tcPr>
            <w:tcW w:w="2610" w:type="dxa"/>
            <w:shd w:val="clear" w:color="auto" w:fill="auto"/>
            <w:tcMar>
              <w:top w:w="0" w:type="dxa"/>
              <w:left w:w="105" w:type="dxa"/>
              <w:bottom w:w="0" w:type="dxa"/>
              <w:right w:w="105" w:type="dxa"/>
            </w:tcMar>
            <w:vAlign w:val="center"/>
          </w:tcPr>
          <w:p w14:paraId="2049C48B">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center"/>
              <w:textAlignment w:val="auto"/>
              <w:rPr>
                <w:rFonts w:hint="eastAsia" w:ascii="仿宋" w:hAnsi="仿宋" w:eastAsia="仿宋" w:cs="仿宋"/>
                <w:sz w:val="24"/>
                <w:szCs w:val="24"/>
              </w:rPr>
            </w:pPr>
            <w:r>
              <w:rPr>
                <w:rFonts w:hint="eastAsia" w:ascii="仿宋" w:hAnsi="仿宋" w:eastAsia="仿宋" w:cs="仿宋"/>
                <w:sz w:val="24"/>
                <w:szCs w:val="24"/>
              </w:rPr>
              <w:t>品名</w:t>
            </w:r>
          </w:p>
        </w:tc>
        <w:tc>
          <w:tcPr>
            <w:tcW w:w="2439" w:type="dxa"/>
            <w:shd w:val="clear" w:color="auto" w:fill="auto"/>
            <w:tcMar>
              <w:top w:w="0" w:type="dxa"/>
              <w:left w:w="105" w:type="dxa"/>
              <w:bottom w:w="0" w:type="dxa"/>
              <w:right w:w="105" w:type="dxa"/>
            </w:tcMar>
            <w:vAlign w:val="center"/>
          </w:tcPr>
          <w:p w14:paraId="065F9B7B">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center"/>
              <w:textAlignment w:val="auto"/>
              <w:rPr>
                <w:rFonts w:hint="eastAsia" w:ascii="仿宋" w:hAnsi="仿宋" w:eastAsia="仿宋" w:cs="仿宋"/>
                <w:sz w:val="24"/>
                <w:szCs w:val="24"/>
              </w:rPr>
            </w:pPr>
            <w:r>
              <w:rPr>
                <w:rFonts w:hint="eastAsia" w:ascii="仿宋" w:hAnsi="仿宋" w:eastAsia="仿宋" w:cs="仿宋"/>
                <w:sz w:val="24"/>
                <w:szCs w:val="24"/>
              </w:rPr>
              <w:t>数量</w:t>
            </w:r>
          </w:p>
        </w:tc>
        <w:tc>
          <w:tcPr>
            <w:tcW w:w="1973" w:type="dxa"/>
            <w:shd w:val="clear" w:color="auto" w:fill="auto"/>
            <w:tcMar>
              <w:top w:w="0" w:type="dxa"/>
              <w:left w:w="105" w:type="dxa"/>
              <w:bottom w:w="0" w:type="dxa"/>
              <w:right w:w="105" w:type="dxa"/>
            </w:tcMar>
            <w:vAlign w:val="center"/>
          </w:tcPr>
          <w:p w14:paraId="5470947E">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center"/>
              <w:textAlignment w:val="auto"/>
              <w:rPr>
                <w:rFonts w:hint="eastAsia" w:ascii="仿宋" w:hAnsi="仿宋" w:eastAsia="仿宋" w:cs="仿宋"/>
                <w:sz w:val="24"/>
                <w:szCs w:val="24"/>
              </w:rPr>
            </w:pPr>
            <w:r>
              <w:rPr>
                <w:rFonts w:hint="eastAsia" w:ascii="仿宋" w:hAnsi="仿宋" w:eastAsia="仿宋" w:cs="仿宋"/>
                <w:sz w:val="24"/>
                <w:szCs w:val="24"/>
              </w:rPr>
              <w:t>单位</w:t>
            </w:r>
          </w:p>
        </w:tc>
        <w:tc>
          <w:tcPr>
            <w:tcW w:w="1973" w:type="dxa"/>
            <w:shd w:val="clear" w:color="auto" w:fill="auto"/>
            <w:tcMar>
              <w:top w:w="0" w:type="dxa"/>
              <w:left w:w="105" w:type="dxa"/>
              <w:bottom w:w="0" w:type="dxa"/>
              <w:right w:w="105" w:type="dxa"/>
            </w:tcMar>
            <w:vAlign w:val="center"/>
          </w:tcPr>
          <w:p w14:paraId="5B9C7C9E">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center"/>
              <w:textAlignment w:val="auto"/>
              <w:rPr>
                <w:rFonts w:hint="eastAsia" w:ascii="仿宋" w:hAnsi="仿宋" w:eastAsia="仿宋" w:cs="仿宋"/>
                <w:sz w:val="24"/>
                <w:szCs w:val="24"/>
              </w:rPr>
            </w:pPr>
            <w:r>
              <w:rPr>
                <w:rFonts w:hint="eastAsia" w:ascii="仿宋" w:hAnsi="仿宋" w:eastAsia="仿宋" w:cs="仿宋"/>
                <w:sz w:val="24"/>
                <w:szCs w:val="24"/>
              </w:rPr>
              <w:t>限高单价（元）</w:t>
            </w:r>
          </w:p>
        </w:tc>
      </w:tr>
      <w:tr w14:paraId="6B636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852" w:type="dxa"/>
            <w:shd w:val="clear" w:color="auto" w:fill="auto"/>
            <w:tcMar>
              <w:top w:w="0" w:type="dxa"/>
              <w:left w:w="105" w:type="dxa"/>
              <w:bottom w:w="0" w:type="dxa"/>
              <w:right w:w="105" w:type="dxa"/>
            </w:tcMar>
            <w:vAlign w:val="center"/>
          </w:tcPr>
          <w:p w14:paraId="6566F96F">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center"/>
              <w:textAlignment w:val="auto"/>
              <w:rPr>
                <w:rFonts w:hint="eastAsia" w:ascii="仿宋" w:hAnsi="仿宋" w:eastAsia="仿宋" w:cs="仿宋"/>
                <w:b w:val="0"/>
                <w:bCs/>
                <w:sz w:val="24"/>
                <w:szCs w:val="24"/>
              </w:rPr>
            </w:pPr>
            <w:r>
              <w:rPr>
                <w:rFonts w:hint="eastAsia" w:ascii="仿宋" w:hAnsi="仿宋" w:eastAsia="仿宋" w:cs="仿宋"/>
                <w:b w:val="0"/>
                <w:bCs/>
                <w:sz w:val="24"/>
                <w:szCs w:val="24"/>
              </w:rPr>
              <w:t>1</w:t>
            </w:r>
          </w:p>
        </w:tc>
        <w:tc>
          <w:tcPr>
            <w:tcW w:w="2610" w:type="dxa"/>
            <w:shd w:val="clear" w:color="auto" w:fill="auto"/>
            <w:tcMar>
              <w:top w:w="0" w:type="dxa"/>
              <w:left w:w="105" w:type="dxa"/>
              <w:bottom w:w="0" w:type="dxa"/>
              <w:right w:w="105" w:type="dxa"/>
            </w:tcMar>
            <w:vAlign w:val="center"/>
          </w:tcPr>
          <w:p w14:paraId="05F6C418">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center"/>
              <w:textAlignment w:val="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rPr>
              <w:t>预就诊服务</w:t>
            </w:r>
            <w:r>
              <w:rPr>
                <w:rFonts w:hint="eastAsia" w:ascii="仿宋" w:hAnsi="仿宋" w:cs="仿宋"/>
                <w:b w:val="0"/>
                <w:bCs/>
                <w:sz w:val="24"/>
                <w:szCs w:val="24"/>
                <w:lang w:val="en-US" w:eastAsia="zh-CN"/>
              </w:rPr>
              <w:t>系统</w:t>
            </w:r>
          </w:p>
        </w:tc>
        <w:tc>
          <w:tcPr>
            <w:tcW w:w="2439" w:type="dxa"/>
            <w:shd w:val="clear" w:color="auto" w:fill="auto"/>
            <w:tcMar>
              <w:top w:w="0" w:type="dxa"/>
              <w:left w:w="105" w:type="dxa"/>
              <w:bottom w:w="0" w:type="dxa"/>
              <w:right w:w="105" w:type="dxa"/>
            </w:tcMar>
            <w:vAlign w:val="center"/>
          </w:tcPr>
          <w:p w14:paraId="634CC06A">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center"/>
              <w:textAlignment w:val="auto"/>
              <w:rPr>
                <w:rFonts w:hint="eastAsia" w:ascii="仿宋" w:hAnsi="仿宋" w:eastAsia="仿宋" w:cs="仿宋"/>
                <w:b w:val="0"/>
                <w:bCs/>
                <w:sz w:val="24"/>
                <w:szCs w:val="24"/>
              </w:rPr>
            </w:pPr>
            <w:r>
              <w:rPr>
                <w:rFonts w:hint="eastAsia" w:ascii="仿宋" w:hAnsi="仿宋" w:eastAsia="仿宋" w:cs="仿宋"/>
                <w:b w:val="0"/>
                <w:bCs/>
                <w:sz w:val="24"/>
                <w:szCs w:val="24"/>
              </w:rPr>
              <w:t>1</w:t>
            </w:r>
          </w:p>
        </w:tc>
        <w:tc>
          <w:tcPr>
            <w:tcW w:w="1973" w:type="dxa"/>
            <w:shd w:val="clear" w:color="auto" w:fill="auto"/>
            <w:tcMar>
              <w:top w:w="0" w:type="dxa"/>
              <w:left w:w="105" w:type="dxa"/>
              <w:bottom w:w="0" w:type="dxa"/>
              <w:right w:w="105" w:type="dxa"/>
            </w:tcMar>
            <w:vAlign w:val="center"/>
          </w:tcPr>
          <w:p w14:paraId="669DB929">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center"/>
              <w:textAlignment w:val="auto"/>
              <w:rPr>
                <w:rFonts w:hint="eastAsia" w:ascii="仿宋" w:hAnsi="仿宋" w:eastAsia="仿宋" w:cs="仿宋"/>
                <w:b w:val="0"/>
                <w:bCs/>
                <w:sz w:val="24"/>
                <w:szCs w:val="24"/>
              </w:rPr>
            </w:pPr>
            <w:r>
              <w:rPr>
                <w:rFonts w:hint="eastAsia" w:ascii="仿宋" w:hAnsi="仿宋" w:eastAsia="仿宋" w:cs="仿宋"/>
                <w:b w:val="0"/>
                <w:bCs/>
                <w:sz w:val="24"/>
                <w:szCs w:val="24"/>
                <w:lang w:val="en-US" w:eastAsia="zh-CN"/>
              </w:rPr>
              <w:t>套</w:t>
            </w:r>
          </w:p>
        </w:tc>
        <w:tc>
          <w:tcPr>
            <w:tcW w:w="1973" w:type="dxa"/>
            <w:shd w:val="clear" w:color="auto" w:fill="auto"/>
            <w:tcMar>
              <w:top w:w="0" w:type="dxa"/>
              <w:left w:w="105" w:type="dxa"/>
              <w:bottom w:w="0" w:type="dxa"/>
              <w:right w:w="105" w:type="dxa"/>
            </w:tcMar>
            <w:vAlign w:val="center"/>
          </w:tcPr>
          <w:p w14:paraId="5FE8F8CF">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center"/>
              <w:textAlignment w:val="auto"/>
              <w:rPr>
                <w:rFonts w:hint="eastAsia" w:ascii="仿宋" w:hAnsi="仿宋" w:eastAsia="仿宋" w:cs="仿宋"/>
                <w:b w:val="0"/>
                <w:bCs/>
                <w:sz w:val="24"/>
                <w:szCs w:val="24"/>
              </w:rPr>
            </w:pPr>
            <w:r>
              <w:rPr>
                <w:rFonts w:hint="eastAsia" w:ascii="仿宋" w:hAnsi="仿宋" w:eastAsia="仿宋" w:cs="仿宋"/>
                <w:b w:val="0"/>
                <w:bCs/>
                <w:sz w:val="24"/>
                <w:szCs w:val="24"/>
              </w:rPr>
              <w:t>450000</w:t>
            </w:r>
          </w:p>
        </w:tc>
      </w:tr>
    </w:tbl>
    <w:p w14:paraId="6F659206">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both"/>
        <w:textAlignment w:val="auto"/>
        <w:rPr>
          <w:rFonts w:hint="eastAsia" w:ascii="仿宋" w:hAnsi="仿宋" w:eastAsia="仿宋" w:cs="仿宋"/>
          <w:kern w:val="2"/>
          <w:sz w:val="24"/>
          <w:szCs w:val="24"/>
        </w:rPr>
      </w:pPr>
      <w:r>
        <w:rPr>
          <w:rFonts w:hint="eastAsia" w:ascii="仿宋" w:hAnsi="仿宋" w:eastAsia="仿宋" w:cs="仿宋"/>
          <w:kern w:val="2"/>
          <w:sz w:val="24"/>
          <w:szCs w:val="24"/>
        </w:rPr>
        <w:t>★</w:t>
      </w:r>
      <w:r>
        <w:rPr>
          <w:rFonts w:hint="eastAsia" w:ascii="仿宋" w:hAnsi="仿宋" w:cs="仿宋"/>
          <w:kern w:val="2"/>
          <w:sz w:val="24"/>
          <w:szCs w:val="24"/>
          <w:lang w:val="en-US" w:eastAsia="zh-CN"/>
        </w:rPr>
        <w:t>2.</w:t>
      </w:r>
      <w:r>
        <w:rPr>
          <w:rFonts w:hint="eastAsia" w:ascii="仿宋" w:hAnsi="仿宋" w:eastAsia="仿宋" w:cs="仿宋"/>
          <w:kern w:val="2"/>
          <w:sz w:val="24"/>
          <w:szCs w:val="24"/>
        </w:rPr>
        <w:t>接口清单</w:t>
      </w:r>
    </w:p>
    <w:p w14:paraId="000C4FC6">
      <w:pPr>
        <w:ind w:firstLine="480" w:firstLineChars="200"/>
        <w:rPr>
          <w:rFonts w:hint="eastAsia"/>
        </w:rPr>
      </w:pPr>
      <w:r>
        <w:rPr>
          <w:rFonts w:hint="eastAsia" w:ascii="仿宋" w:hAnsi="仿宋" w:eastAsia="仿宋" w:cs="仿宋"/>
          <w:sz w:val="24"/>
          <w:szCs w:val="24"/>
          <w:highlight w:val="none"/>
          <w:lang w:val="en-US" w:eastAsia="zh-CN"/>
        </w:rPr>
        <w:t>本项目实施期间，凡涉及与东软集团股份有限公司（以下简称“东软”）既有系统对接，所产生的费用由采购人承担；其余非东软系统对接产生的费用，则由成交供应商承担，涵盖设备、包装、运输、安装、调试、税费及可能衍生的各项支出，均包含在本次采购费用中，采购人不再支付成交金额以外的任何款项。对接过程中，成交供应商应与采购人除“东软集团股份有限公司”外现有软件供应商友好协商，并于协商前向采购人提交接口方案清单，对接所产生费用的限高价为本项目合同总价的10%。</w:t>
      </w:r>
    </w:p>
    <w:tbl>
      <w:tblPr>
        <w:tblStyle w:val="18"/>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454"/>
        <w:gridCol w:w="1081"/>
        <w:gridCol w:w="1530"/>
        <w:gridCol w:w="6768"/>
      </w:tblGrid>
      <w:tr w14:paraId="13AB1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454" w:type="dxa"/>
            <w:shd w:val="clear" w:color="auto" w:fill="auto"/>
            <w:tcMar>
              <w:top w:w="0" w:type="dxa"/>
              <w:left w:w="105" w:type="dxa"/>
              <w:bottom w:w="0" w:type="dxa"/>
              <w:right w:w="105" w:type="dxa"/>
            </w:tcMar>
            <w:vAlign w:val="center"/>
          </w:tcPr>
          <w:p w14:paraId="41EEA748">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序号</w:t>
            </w:r>
          </w:p>
        </w:tc>
        <w:tc>
          <w:tcPr>
            <w:tcW w:w="1081" w:type="dxa"/>
            <w:shd w:val="clear" w:color="auto" w:fill="auto"/>
            <w:tcMar>
              <w:top w:w="0" w:type="dxa"/>
              <w:left w:w="105" w:type="dxa"/>
              <w:bottom w:w="0" w:type="dxa"/>
              <w:right w:w="105" w:type="dxa"/>
            </w:tcMar>
            <w:vAlign w:val="center"/>
          </w:tcPr>
          <w:p w14:paraId="33D78542">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软硬件</w:t>
            </w:r>
          </w:p>
        </w:tc>
        <w:tc>
          <w:tcPr>
            <w:tcW w:w="1530" w:type="dxa"/>
            <w:shd w:val="clear" w:color="auto" w:fill="auto"/>
            <w:tcMar>
              <w:top w:w="0" w:type="dxa"/>
              <w:left w:w="105" w:type="dxa"/>
              <w:bottom w:w="0" w:type="dxa"/>
              <w:right w:w="105" w:type="dxa"/>
            </w:tcMar>
            <w:vAlign w:val="center"/>
          </w:tcPr>
          <w:p w14:paraId="28C9B1A4">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生产厂商（全称）</w:t>
            </w:r>
          </w:p>
        </w:tc>
        <w:tc>
          <w:tcPr>
            <w:tcW w:w="6770" w:type="dxa"/>
            <w:shd w:val="clear" w:color="auto" w:fill="auto"/>
            <w:tcMar>
              <w:top w:w="0" w:type="dxa"/>
              <w:left w:w="105" w:type="dxa"/>
              <w:bottom w:w="0" w:type="dxa"/>
              <w:right w:w="105" w:type="dxa"/>
            </w:tcMar>
            <w:vAlign w:val="center"/>
          </w:tcPr>
          <w:p w14:paraId="618A51EC">
            <w:pPr>
              <w:keepNext w:val="0"/>
              <w:keepLines w:val="0"/>
              <w:widowControl/>
              <w:suppressLineNumbers w:val="0"/>
              <w:autoSpaceDE w:val="0"/>
              <w:autoSpaceDN/>
              <w:spacing w:before="0" w:beforeAutospacing="1" w:after="0" w:afterAutospacing="1"/>
              <w:ind w:left="0" w:right="0"/>
              <w:jc w:val="center"/>
              <w:rPr>
                <w:rStyle w:val="21"/>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对接描述</w:t>
            </w:r>
          </w:p>
        </w:tc>
      </w:tr>
      <w:tr w14:paraId="65BD0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454" w:type="dxa"/>
            <w:shd w:val="clear" w:color="auto" w:fill="auto"/>
            <w:tcMar>
              <w:top w:w="0" w:type="dxa"/>
              <w:left w:w="105" w:type="dxa"/>
              <w:bottom w:w="0" w:type="dxa"/>
              <w:right w:w="105" w:type="dxa"/>
            </w:tcMar>
            <w:vAlign w:val="center"/>
          </w:tcPr>
          <w:p w14:paraId="2F40A534">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1</w:t>
            </w:r>
          </w:p>
        </w:tc>
        <w:tc>
          <w:tcPr>
            <w:tcW w:w="1081" w:type="dxa"/>
            <w:shd w:val="clear" w:color="auto" w:fill="auto"/>
            <w:tcMar>
              <w:top w:w="0" w:type="dxa"/>
              <w:left w:w="105" w:type="dxa"/>
              <w:bottom w:w="0" w:type="dxa"/>
              <w:right w:w="105" w:type="dxa"/>
            </w:tcMar>
            <w:vAlign w:val="center"/>
          </w:tcPr>
          <w:p w14:paraId="75316F0D">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微信公众号\APP\小程序</w:t>
            </w:r>
          </w:p>
        </w:tc>
        <w:tc>
          <w:tcPr>
            <w:tcW w:w="1530" w:type="dxa"/>
            <w:shd w:val="clear" w:color="auto" w:fill="auto"/>
            <w:tcMar>
              <w:top w:w="0" w:type="dxa"/>
              <w:left w:w="105" w:type="dxa"/>
              <w:bottom w:w="0" w:type="dxa"/>
              <w:right w:w="105" w:type="dxa"/>
            </w:tcMar>
            <w:vAlign w:val="center"/>
          </w:tcPr>
          <w:p w14:paraId="699A3B4F">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东软集团股份有限公司</w:t>
            </w:r>
          </w:p>
        </w:tc>
        <w:tc>
          <w:tcPr>
            <w:tcW w:w="6770" w:type="dxa"/>
            <w:shd w:val="clear" w:color="auto" w:fill="auto"/>
            <w:tcMar>
              <w:top w:w="0" w:type="dxa"/>
              <w:left w:w="105" w:type="dxa"/>
              <w:bottom w:w="0" w:type="dxa"/>
              <w:right w:w="105" w:type="dxa"/>
            </w:tcMar>
            <w:vAlign w:val="center"/>
          </w:tcPr>
          <w:p w14:paraId="41E6BA82">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1.身份授权与登录对接：对接微信/APP的用户授权接口，获取患者等信息进行患者身份校验。</w:t>
            </w:r>
          </w:p>
          <w:p w14:paraId="1F91D59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2.页面跳转与路由衔接：提供H5跳转协议，预就诊系统生成业务链接，由东软大象在挂号页、专家号满弹窗处挂载入口；诊疗结束后需提供“返回挂号/首页”的回跳地址。</w:t>
            </w:r>
          </w:p>
          <w:p w14:paraId="249E2C7B">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both"/>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lang w:val="en-US" w:eastAsia="zh-CN"/>
              </w:rPr>
              <w:t>3.消息模板下发：调用东软大象的消息推送接口，将预就诊系统生成的“待填写问卷提醒”、“就医流程导引”、“追阳介入通知”通过微信模板消息触达患者。</w:t>
            </w:r>
          </w:p>
        </w:tc>
      </w:tr>
      <w:tr w14:paraId="23973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454" w:type="dxa"/>
            <w:shd w:val="clear" w:color="auto" w:fill="auto"/>
            <w:tcMar>
              <w:top w:w="0" w:type="dxa"/>
              <w:left w:w="105" w:type="dxa"/>
              <w:bottom w:w="0" w:type="dxa"/>
              <w:right w:w="105" w:type="dxa"/>
            </w:tcMar>
            <w:vAlign w:val="center"/>
          </w:tcPr>
          <w:p w14:paraId="330CB55D">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2</w:t>
            </w:r>
          </w:p>
        </w:tc>
        <w:tc>
          <w:tcPr>
            <w:tcW w:w="1081" w:type="dxa"/>
            <w:shd w:val="clear" w:color="auto" w:fill="auto"/>
            <w:tcMar>
              <w:top w:w="0" w:type="dxa"/>
              <w:left w:w="105" w:type="dxa"/>
              <w:bottom w:w="0" w:type="dxa"/>
              <w:right w:w="105" w:type="dxa"/>
            </w:tcMar>
            <w:vAlign w:val="center"/>
          </w:tcPr>
          <w:p w14:paraId="1DF1E8CC">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互联网医院</w:t>
            </w:r>
          </w:p>
        </w:tc>
        <w:tc>
          <w:tcPr>
            <w:tcW w:w="1530" w:type="dxa"/>
            <w:shd w:val="clear" w:color="auto" w:fill="auto"/>
            <w:tcMar>
              <w:top w:w="0" w:type="dxa"/>
              <w:left w:w="105" w:type="dxa"/>
              <w:bottom w:w="0" w:type="dxa"/>
              <w:right w:w="105" w:type="dxa"/>
            </w:tcMar>
            <w:vAlign w:val="center"/>
          </w:tcPr>
          <w:p w14:paraId="6ED6C4E9">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成都信通家医健康科技有限公司</w:t>
            </w:r>
          </w:p>
        </w:tc>
        <w:tc>
          <w:tcPr>
            <w:tcW w:w="6770" w:type="dxa"/>
            <w:shd w:val="clear" w:color="auto" w:fill="auto"/>
            <w:tcMar>
              <w:top w:w="0" w:type="dxa"/>
              <w:left w:w="105" w:type="dxa"/>
              <w:bottom w:w="0" w:type="dxa"/>
              <w:right w:w="105" w:type="dxa"/>
            </w:tcMar>
            <w:vAlign w:val="center"/>
          </w:tcPr>
          <w:p w14:paraId="76BC2FA6">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both"/>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1.历史诊疗数据拉取：调用信通家医接口获取复诊患者的既往病史、历史用药记录及历史检验检查结果，作为预就诊系统智能分诊与检查推荐的依据。</w:t>
            </w:r>
          </w:p>
          <w:p w14:paraId="337A3442">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both"/>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2.医生/排班基础数据同步：同步互联网医院维护的科室架构、医生ID、排班计划及号源库存，用于预就诊系统前端展示推荐医生及放号状态。</w:t>
            </w:r>
          </w:p>
          <w:p w14:paraId="2D12A19B">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both"/>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3.开单与问诊：预就诊系统完成评估后，将“线上检查/检验开单申请”回传至信通家医，由信通家医完成HIS下单和互联网问诊记录归档。</w:t>
            </w:r>
          </w:p>
        </w:tc>
      </w:tr>
      <w:tr w14:paraId="210F9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454" w:type="dxa"/>
            <w:shd w:val="clear" w:color="auto" w:fill="auto"/>
            <w:tcMar>
              <w:top w:w="0" w:type="dxa"/>
              <w:left w:w="105" w:type="dxa"/>
              <w:bottom w:w="0" w:type="dxa"/>
              <w:right w:w="105" w:type="dxa"/>
            </w:tcMar>
            <w:vAlign w:val="center"/>
          </w:tcPr>
          <w:p w14:paraId="1254BBF0">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3</w:t>
            </w:r>
          </w:p>
        </w:tc>
        <w:tc>
          <w:tcPr>
            <w:tcW w:w="1081" w:type="dxa"/>
            <w:shd w:val="clear" w:color="auto" w:fill="auto"/>
            <w:tcMar>
              <w:top w:w="0" w:type="dxa"/>
              <w:left w:w="105" w:type="dxa"/>
              <w:bottom w:w="0" w:type="dxa"/>
              <w:right w:w="105" w:type="dxa"/>
            </w:tcMar>
            <w:vAlign w:val="center"/>
          </w:tcPr>
          <w:p w14:paraId="5C57486D">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HIS</w:t>
            </w:r>
          </w:p>
        </w:tc>
        <w:tc>
          <w:tcPr>
            <w:tcW w:w="1530" w:type="dxa"/>
            <w:shd w:val="clear" w:color="auto" w:fill="auto"/>
            <w:tcMar>
              <w:top w:w="0" w:type="dxa"/>
              <w:left w:w="105" w:type="dxa"/>
              <w:bottom w:w="0" w:type="dxa"/>
              <w:right w:w="105" w:type="dxa"/>
            </w:tcMar>
            <w:vAlign w:val="center"/>
          </w:tcPr>
          <w:p w14:paraId="412454AA">
            <w:pPr>
              <w:keepNext w:val="0"/>
              <w:keepLines w:val="0"/>
              <w:widowControl/>
              <w:suppressLineNumbers w:val="0"/>
              <w:autoSpaceDE w:val="0"/>
              <w:autoSpaceDN/>
              <w:spacing w:before="0" w:beforeAutospacing="1" w:after="0" w:afterAutospacing="1"/>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东软集团股份有限公司</w:t>
            </w:r>
          </w:p>
        </w:tc>
        <w:tc>
          <w:tcPr>
            <w:tcW w:w="6770" w:type="dxa"/>
            <w:shd w:val="clear" w:color="auto" w:fill="auto"/>
            <w:tcMar>
              <w:top w:w="0" w:type="dxa"/>
              <w:left w:w="105" w:type="dxa"/>
              <w:bottom w:w="0" w:type="dxa"/>
              <w:right w:w="105" w:type="dxa"/>
            </w:tcMar>
            <w:vAlign w:val="center"/>
          </w:tcPr>
          <w:p w14:paraId="56937658">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both"/>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1.加号接口：调用HIS提供的号源锁定及加号接口，将预就诊系统判定为“符合加号条件”的患者信息（就诊卡号、科室、医生ID）推送至HIS，完成号源占用。</w:t>
            </w:r>
          </w:p>
          <w:p w14:paraId="71296901">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both"/>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2.检验/检查报告主动推送（追阳）：HIS通过HL7/FHIR标准接口，主动将新出的报告数据（患者ID、项目编码、结果值、异常标志）推送至预就诊系统，供我方进行“重阳/普阳”规则引擎判断。</w:t>
            </w:r>
          </w:p>
          <w:p w14:paraId="1925ADD6">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both"/>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3.电子病历写入：调用HIS的病历结构化写入接口，将预就诊系统生成的现病史、主诉等内容一键填充至院内电子病历系统。</w:t>
            </w:r>
          </w:p>
          <w:p w14:paraId="7399FAE9">
            <w:pPr>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0" w:afterAutospacing="0" w:line="240" w:lineRule="auto"/>
              <w:ind w:left="0" w:right="0"/>
              <w:jc w:val="both"/>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4.患者档案查询：调用HIS基础档案接口，输入身份证号返回院内唯一患者ID（PID），用于报告匹配和后续业务闭环。</w:t>
            </w:r>
          </w:p>
        </w:tc>
      </w:tr>
    </w:tbl>
    <w:p w14:paraId="62524C31">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eastAsia" w:ascii="仿宋" w:hAnsi="仿宋" w:eastAsia="仿宋" w:cs="仿宋"/>
          <w:sz w:val="24"/>
          <w:szCs w:val="24"/>
        </w:rPr>
      </w:pPr>
      <w:r>
        <w:rPr>
          <w:rFonts w:hint="eastAsia" w:ascii="仿宋" w:hAnsi="仿宋" w:eastAsia="仿宋" w:cs="仿宋"/>
          <w:b/>
          <w:bCs/>
          <w:kern w:val="0"/>
          <w:sz w:val="24"/>
          <w:szCs w:val="24"/>
          <w:lang w:val="en-US" w:eastAsia="zh-CN" w:bidi="ar"/>
        </w:rPr>
        <w:t>三、</w:t>
      </w:r>
      <w:r>
        <w:rPr>
          <w:rFonts w:hint="eastAsia" w:ascii="仿宋" w:hAnsi="仿宋" w:eastAsia="仿宋" w:cs="仿宋"/>
          <w:b/>
          <w:bCs/>
          <w:sz w:val="24"/>
          <w:szCs w:val="24"/>
        </w:rPr>
        <w:t>技术、服务要求</w:t>
      </w:r>
      <w:r>
        <w:rPr>
          <w:rFonts w:hint="eastAsia" w:ascii="仿宋" w:hAnsi="仿宋" w:eastAsia="仿宋" w:cs="仿宋"/>
          <w:b/>
          <w:bCs/>
          <w:sz w:val="24"/>
          <w:szCs w:val="24"/>
          <w:lang w:eastAsia="zh-CN"/>
        </w:rPr>
        <w:t>：</w:t>
      </w:r>
      <w:r>
        <w:rPr>
          <w:rFonts w:hint="eastAsia" w:ascii="仿宋" w:hAnsi="仿宋" w:eastAsia="仿宋" w:cs="仿宋"/>
          <w:sz w:val="24"/>
          <w:szCs w:val="24"/>
        </w:rPr>
        <w:cr/>
      </w:r>
      <w:r>
        <w:rPr>
          <w:rFonts w:hint="eastAsia" w:ascii="仿宋" w:hAnsi="仿宋" w:eastAsia="仿宋" w:cs="仿宋"/>
          <w:sz w:val="24"/>
          <w:szCs w:val="24"/>
          <w:lang w:val="en-US" w:eastAsia="zh-CN"/>
        </w:rPr>
        <w:t>1.技术要求</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828"/>
        <w:gridCol w:w="958"/>
        <w:gridCol w:w="1348"/>
        <w:gridCol w:w="6713"/>
      </w:tblGrid>
      <w:tr w14:paraId="3B2BC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28" w:type="dxa"/>
            <w:shd w:val="clear" w:color="auto" w:fill="auto"/>
            <w:tcMar>
              <w:top w:w="0" w:type="dxa"/>
              <w:left w:w="105" w:type="dxa"/>
              <w:bottom w:w="0" w:type="dxa"/>
              <w:right w:w="105" w:type="dxa"/>
            </w:tcMar>
            <w:vAlign w:val="top"/>
          </w:tcPr>
          <w:p w14:paraId="45D3BA70">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序号</w:t>
            </w:r>
          </w:p>
        </w:tc>
        <w:tc>
          <w:tcPr>
            <w:tcW w:w="958" w:type="dxa"/>
            <w:shd w:val="clear" w:color="auto" w:fill="auto"/>
            <w:tcMar>
              <w:top w:w="0" w:type="dxa"/>
              <w:left w:w="105" w:type="dxa"/>
              <w:bottom w:w="0" w:type="dxa"/>
              <w:right w:w="105" w:type="dxa"/>
            </w:tcMar>
            <w:vAlign w:val="top"/>
          </w:tcPr>
          <w:p w14:paraId="10A57F46">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软件</w:t>
            </w:r>
          </w:p>
        </w:tc>
        <w:tc>
          <w:tcPr>
            <w:tcW w:w="1348" w:type="dxa"/>
            <w:shd w:val="clear" w:color="auto" w:fill="auto"/>
            <w:tcMar>
              <w:top w:w="0" w:type="dxa"/>
              <w:left w:w="105" w:type="dxa"/>
              <w:bottom w:w="0" w:type="dxa"/>
              <w:right w:w="105" w:type="dxa"/>
            </w:tcMar>
            <w:vAlign w:val="top"/>
          </w:tcPr>
          <w:p w14:paraId="74C2F0B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生产厂商（全称）</w:t>
            </w:r>
          </w:p>
        </w:tc>
        <w:tc>
          <w:tcPr>
            <w:tcW w:w="6713" w:type="dxa"/>
            <w:shd w:val="clear" w:color="auto" w:fill="auto"/>
            <w:tcMar>
              <w:top w:w="0" w:type="dxa"/>
              <w:left w:w="105" w:type="dxa"/>
              <w:bottom w:w="0" w:type="dxa"/>
              <w:right w:w="105" w:type="dxa"/>
            </w:tcMar>
            <w:vAlign w:val="top"/>
          </w:tcPr>
          <w:p w14:paraId="0AD391A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对接描述</w:t>
            </w:r>
          </w:p>
        </w:tc>
      </w:tr>
      <w:tr w14:paraId="317AE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28" w:type="dxa"/>
            <w:shd w:val="clear" w:color="auto" w:fill="auto"/>
            <w:tcMar>
              <w:top w:w="0" w:type="dxa"/>
              <w:left w:w="105" w:type="dxa"/>
              <w:bottom w:w="0" w:type="dxa"/>
              <w:right w:w="105" w:type="dxa"/>
            </w:tcMar>
            <w:vAlign w:val="center"/>
          </w:tcPr>
          <w:p w14:paraId="7BAA101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958" w:type="dxa"/>
            <w:shd w:val="clear" w:color="auto" w:fill="auto"/>
            <w:tcMar>
              <w:top w:w="0" w:type="dxa"/>
              <w:left w:w="105" w:type="dxa"/>
              <w:bottom w:w="0" w:type="dxa"/>
              <w:right w:w="105" w:type="dxa"/>
            </w:tcMar>
            <w:vAlign w:val="center"/>
          </w:tcPr>
          <w:p w14:paraId="3A97C55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微信公众号/APP/小程序</w:t>
            </w:r>
          </w:p>
        </w:tc>
        <w:tc>
          <w:tcPr>
            <w:tcW w:w="1348" w:type="dxa"/>
            <w:shd w:val="clear" w:color="auto" w:fill="auto"/>
            <w:tcMar>
              <w:top w:w="0" w:type="dxa"/>
              <w:left w:w="105" w:type="dxa"/>
              <w:bottom w:w="0" w:type="dxa"/>
              <w:right w:w="105" w:type="dxa"/>
            </w:tcMar>
            <w:vAlign w:val="center"/>
          </w:tcPr>
          <w:p w14:paraId="059AEF31">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东软大象</w:t>
            </w:r>
          </w:p>
        </w:tc>
        <w:tc>
          <w:tcPr>
            <w:tcW w:w="6713" w:type="dxa"/>
            <w:shd w:val="clear" w:color="auto" w:fill="auto"/>
            <w:tcMar>
              <w:top w:w="0" w:type="dxa"/>
              <w:left w:w="105" w:type="dxa"/>
              <w:bottom w:w="0" w:type="dxa"/>
              <w:right w:w="105" w:type="dxa"/>
            </w:tcMar>
            <w:vAlign w:val="top"/>
          </w:tcPr>
          <w:p w14:paraId="34631DE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1.身份授权与登录对接：对接微信/APP的用户授权接口，获取患者等信息进行患者身份校验。</w:t>
            </w:r>
          </w:p>
          <w:p w14:paraId="6C91830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2.页面跳转与路由衔接：提供H5跳转协议，预就诊系统生成业务链接，由东软大象在挂号页、专家号满弹窗处挂载入口；诊疗结束后需提供“返回挂号/首页”的回跳地址。</w:t>
            </w:r>
          </w:p>
          <w:p w14:paraId="14CFE53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3.消息模板下发：调用东软大象的消息推送接口，将预就诊系统生成的“待填写问卷提醒”、“就医流程导引”、“追阳介入通知”通过微信模板消息触达患者。</w:t>
            </w:r>
          </w:p>
        </w:tc>
      </w:tr>
      <w:tr w14:paraId="517BF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28" w:type="dxa"/>
            <w:shd w:val="clear" w:color="auto" w:fill="auto"/>
            <w:tcMar>
              <w:top w:w="0" w:type="dxa"/>
              <w:left w:w="105" w:type="dxa"/>
              <w:bottom w:w="0" w:type="dxa"/>
              <w:right w:w="105" w:type="dxa"/>
            </w:tcMar>
            <w:vAlign w:val="center"/>
          </w:tcPr>
          <w:p w14:paraId="287AB943">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w:t>
            </w:r>
          </w:p>
        </w:tc>
        <w:tc>
          <w:tcPr>
            <w:tcW w:w="958" w:type="dxa"/>
            <w:shd w:val="clear" w:color="auto" w:fill="auto"/>
            <w:tcMar>
              <w:top w:w="0" w:type="dxa"/>
              <w:left w:w="105" w:type="dxa"/>
              <w:bottom w:w="0" w:type="dxa"/>
              <w:right w:w="105" w:type="dxa"/>
            </w:tcMar>
            <w:vAlign w:val="center"/>
          </w:tcPr>
          <w:p w14:paraId="5FE47D1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互联网医院</w:t>
            </w:r>
          </w:p>
        </w:tc>
        <w:tc>
          <w:tcPr>
            <w:tcW w:w="1348" w:type="dxa"/>
            <w:shd w:val="clear" w:color="auto" w:fill="auto"/>
            <w:tcMar>
              <w:top w:w="0" w:type="dxa"/>
              <w:left w:w="105" w:type="dxa"/>
              <w:bottom w:w="0" w:type="dxa"/>
              <w:right w:w="105" w:type="dxa"/>
            </w:tcMar>
            <w:vAlign w:val="center"/>
          </w:tcPr>
          <w:p w14:paraId="7B022E2A">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信通家医</w:t>
            </w:r>
          </w:p>
        </w:tc>
        <w:tc>
          <w:tcPr>
            <w:tcW w:w="6713" w:type="dxa"/>
            <w:shd w:val="clear" w:color="auto" w:fill="auto"/>
            <w:tcMar>
              <w:top w:w="0" w:type="dxa"/>
              <w:left w:w="105" w:type="dxa"/>
              <w:bottom w:w="0" w:type="dxa"/>
              <w:right w:w="105" w:type="dxa"/>
            </w:tcMar>
            <w:vAlign w:val="top"/>
          </w:tcPr>
          <w:p w14:paraId="3FB58B0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1.历史诊疗数据拉取：调用信通家医接口获取复诊患者的既往病史、历史用药记录及历史检验检查结果，作为预就诊系统智能分诊与检查推荐的依据。</w:t>
            </w:r>
          </w:p>
          <w:p w14:paraId="7C02709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2.医生/排班基础数据同步：同步互联网医院维护的科室架构、医生ID、排班计划及号源库存，用于预就诊系统前端展示推荐医生及放号状态。</w:t>
            </w:r>
          </w:p>
          <w:p w14:paraId="3929C77F">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3.开单与问诊：预就诊系统完成评估后，将“线上检查/检验开单申请”回传至信通家医，由信通家医完成HIS下单和互联网问诊记录归档。</w:t>
            </w:r>
          </w:p>
        </w:tc>
      </w:tr>
      <w:tr w14:paraId="6462F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28" w:type="dxa"/>
            <w:shd w:val="clear" w:color="auto" w:fill="auto"/>
            <w:tcMar>
              <w:top w:w="0" w:type="dxa"/>
              <w:left w:w="105" w:type="dxa"/>
              <w:bottom w:w="0" w:type="dxa"/>
              <w:right w:w="105" w:type="dxa"/>
            </w:tcMar>
            <w:vAlign w:val="center"/>
          </w:tcPr>
          <w:p w14:paraId="67B07013">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w:t>
            </w:r>
          </w:p>
        </w:tc>
        <w:tc>
          <w:tcPr>
            <w:tcW w:w="958" w:type="dxa"/>
            <w:shd w:val="clear" w:color="auto" w:fill="auto"/>
            <w:tcMar>
              <w:top w:w="0" w:type="dxa"/>
              <w:left w:w="105" w:type="dxa"/>
              <w:bottom w:w="0" w:type="dxa"/>
              <w:right w:w="105" w:type="dxa"/>
            </w:tcMar>
            <w:vAlign w:val="center"/>
          </w:tcPr>
          <w:p w14:paraId="71FF5D4E">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HIS厂商</w:t>
            </w:r>
          </w:p>
        </w:tc>
        <w:tc>
          <w:tcPr>
            <w:tcW w:w="1348" w:type="dxa"/>
            <w:shd w:val="clear" w:color="auto" w:fill="auto"/>
            <w:tcMar>
              <w:top w:w="0" w:type="dxa"/>
              <w:left w:w="105" w:type="dxa"/>
              <w:bottom w:w="0" w:type="dxa"/>
              <w:right w:w="105" w:type="dxa"/>
            </w:tcMar>
            <w:vAlign w:val="center"/>
          </w:tcPr>
          <w:p w14:paraId="3CA2E0E7">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东软</w:t>
            </w:r>
          </w:p>
        </w:tc>
        <w:tc>
          <w:tcPr>
            <w:tcW w:w="6713" w:type="dxa"/>
            <w:shd w:val="clear" w:color="auto" w:fill="auto"/>
            <w:tcMar>
              <w:top w:w="0" w:type="dxa"/>
              <w:left w:w="105" w:type="dxa"/>
              <w:bottom w:w="0" w:type="dxa"/>
              <w:right w:w="105" w:type="dxa"/>
            </w:tcMar>
            <w:vAlign w:val="top"/>
          </w:tcPr>
          <w:p w14:paraId="5E662D02">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1.加号接口：调用HIS提供的号源锁定及加号接口，将预就诊系统判定为“符合加号条件”的患者信息（就诊卡号、科室、医生ID）推送至HIS，完成号源占用。</w:t>
            </w:r>
          </w:p>
          <w:p w14:paraId="18412B28">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2.检验/检查报告主动推送（追阳）：HIS通过HL7/FHIR标准接口，主动将新出的报告数据（患者ID、项目编码、结果值、异常标志）推送至预就诊系统，供我方进行“重阳/普阳”规则引擎判断。</w:t>
            </w:r>
          </w:p>
          <w:p w14:paraId="61906BF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3.电子病历写入：调用HIS的病历结构化写入接口，将预就诊系统生成的现病史、主诉等内容一键填充至院内电子病历系统。</w:t>
            </w:r>
          </w:p>
          <w:p w14:paraId="1169A475">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4.患者档案查询：调用HIS基础档案接口，输入身份证号返回院内唯一患者ID（PID），用于报告匹配和后续业务闭环。</w:t>
            </w:r>
          </w:p>
        </w:tc>
      </w:tr>
      <w:tr w14:paraId="1D71B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28" w:type="dxa"/>
            <w:shd w:val="clear" w:color="auto" w:fill="auto"/>
            <w:tcMar>
              <w:top w:w="0" w:type="dxa"/>
              <w:left w:w="105" w:type="dxa"/>
              <w:bottom w:w="0" w:type="dxa"/>
              <w:right w:w="105" w:type="dxa"/>
            </w:tcMar>
            <w:vAlign w:val="center"/>
          </w:tcPr>
          <w:p w14:paraId="12E8E4B0">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序号</w:t>
            </w:r>
          </w:p>
        </w:tc>
        <w:tc>
          <w:tcPr>
            <w:tcW w:w="958" w:type="dxa"/>
            <w:shd w:val="clear" w:color="auto" w:fill="auto"/>
            <w:tcMar>
              <w:top w:w="0" w:type="dxa"/>
              <w:left w:w="105" w:type="dxa"/>
              <w:bottom w:w="0" w:type="dxa"/>
              <w:right w:w="105" w:type="dxa"/>
            </w:tcMar>
            <w:vAlign w:val="center"/>
          </w:tcPr>
          <w:p w14:paraId="1C4D556E">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系统</w:t>
            </w:r>
          </w:p>
        </w:tc>
        <w:tc>
          <w:tcPr>
            <w:tcW w:w="1348" w:type="dxa"/>
            <w:shd w:val="clear" w:color="auto" w:fill="auto"/>
            <w:tcMar>
              <w:top w:w="0" w:type="dxa"/>
              <w:left w:w="105" w:type="dxa"/>
              <w:bottom w:w="0" w:type="dxa"/>
              <w:right w:w="105" w:type="dxa"/>
            </w:tcMar>
            <w:vAlign w:val="center"/>
          </w:tcPr>
          <w:p w14:paraId="5E878EE2">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模块</w:t>
            </w:r>
          </w:p>
        </w:tc>
        <w:tc>
          <w:tcPr>
            <w:tcW w:w="6713" w:type="dxa"/>
            <w:shd w:val="clear" w:color="auto" w:fill="auto"/>
            <w:tcMar>
              <w:top w:w="0" w:type="dxa"/>
              <w:left w:w="105" w:type="dxa"/>
              <w:bottom w:w="0" w:type="dxa"/>
              <w:right w:w="105" w:type="dxa"/>
            </w:tcMar>
            <w:vAlign w:val="top"/>
          </w:tcPr>
          <w:p w14:paraId="5A933886">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参数</w:t>
            </w:r>
          </w:p>
        </w:tc>
      </w:tr>
      <w:tr w14:paraId="174DF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28" w:type="dxa"/>
            <w:vMerge w:val="restart"/>
            <w:shd w:val="clear" w:color="auto" w:fill="auto"/>
            <w:tcMar>
              <w:top w:w="0" w:type="dxa"/>
              <w:left w:w="105" w:type="dxa"/>
              <w:bottom w:w="0" w:type="dxa"/>
              <w:right w:w="105" w:type="dxa"/>
            </w:tcMar>
            <w:vAlign w:val="center"/>
          </w:tcPr>
          <w:p w14:paraId="11896380">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958" w:type="dxa"/>
            <w:vMerge w:val="restart"/>
            <w:shd w:val="clear" w:color="auto" w:fill="auto"/>
            <w:tcMar>
              <w:top w:w="0" w:type="dxa"/>
              <w:left w:w="105" w:type="dxa"/>
              <w:bottom w:w="0" w:type="dxa"/>
              <w:right w:w="105" w:type="dxa"/>
            </w:tcMar>
            <w:vAlign w:val="center"/>
          </w:tcPr>
          <w:p w14:paraId="56138E23">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预就诊入口与分流体系</w:t>
            </w:r>
          </w:p>
        </w:tc>
        <w:tc>
          <w:tcPr>
            <w:tcW w:w="1348" w:type="dxa"/>
            <w:shd w:val="clear" w:color="auto" w:fill="auto"/>
            <w:tcMar>
              <w:top w:w="0" w:type="dxa"/>
              <w:left w:w="105" w:type="dxa"/>
              <w:bottom w:w="0" w:type="dxa"/>
              <w:right w:w="105" w:type="dxa"/>
            </w:tcMar>
            <w:vAlign w:val="center"/>
          </w:tcPr>
          <w:p w14:paraId="58E0AE66">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多入口接入</w:t>
            </w:r>
          </w:p>
        </w:tc>
        <w:tc>
          <w:tcPr>
            <w:tcW w:w="6713" w:type="dxa"/>
            <w:shd w:val="clear" w:color="auto" w:fill="auto"/>
            <w:tcMar>
              <w:top w:w="0" w:type="dxa"/>
              <w:left w:w="105" w:type="dxa"/>
              <w:bottom w:w="0" w:type="dxa"/>
              <w:right w:w="105" w:type="dxa"/>
            </w:tcMar>
            <w:vAlign w:val="top"/>
          </w:tcPr>
          <w:p w14:paraId="2FC997F7">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1、支持微信公众号挂号页嵌入“预就诊”入口；</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2、支持专家号满时弹窗提醒跳转至“预就诊”入口；</w:t>
            </w:r>
          </w:p>
        </w:tc>
      </w:tr>
      <w:tr w14:paraId="00744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28" w:type="dxa"/>
            <w:vMerge w:val="continue"/>
            <w:shd w:val="clear" w:color="auto" w:fill="auto"/>
            <w:tcMar>
              <w:top w:w="0" w:type="dxa"/>
              <w:left w:w="105" w:type="dxa"/>
              <w:bottom w:w="0" w:type="dxa"/>
              <w:right w:w="105" w:type="dxa"/>
            </w:tcMar>
            <w:vAlign w:val="center"/>
          </w:tcPr>
          <w:p w14:paraId="61C8134E">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lang w:val="en-US" w:eastAsia="zh-CN"/>
              </w:rPr>
            </w:pPr>
          </w:p>
        </w:tc>
        <w:tc>
          <w:tcPr>
            <w:tcW w:w="958" w:type="dxa"/>
            <w:vMerge w:val="continue"/>
            <w:shd w:val="clear" w:color="auto" w:fill="auto"/>
            <w:tcMar>
              <w:top w:w="0" w:type="dxa"/>
              <w:left w:w="105" w:type="dxa"/>
              <w:bottom w:w="0" w:type="dxa"/>
              <w:right w:w="105" w:type="dxa"/>
            </w:tcMar>
            <w:vAlign w:val="center"/>
          </w:tcPr>
          <w:p w14:paraId="65F2E53C">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lang w:val="en-US" w:eastAsia="zh-CN"/>
              </w:rPr>
            </w:pPr>
          </w:p>
        </w:tc>
        <w:tc>
          <w:tcPr>
            <w:tcW w:w="1348" w:type="dxa"/>
            <w:shd w:val="clear" w:color="auto" w:fill="auto"/>
            <w:tcMar>
              <w:top w:w="0" w:type="dxa"/>
              <w:left w:w="105" w:type="dxa"/>
              <w:bottom w:w="0" w:type="dxa"/>
              <w:right w:w="105" w:type="dxa"/>
            </w:tcMar>
            <w:vAlign w:val="center"/>
          </w:tcPr>
          <w:p w14:paraId="285B064C">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服务内容集成</w:t>
            </w:r>
          </w:p>
        </w:tc>
        <w:tc>
          <w:tcPr>
            <w:tcW w:w="6713" w:type="dxa"/>
            <w:shd w:val="clear" w:color="auto" w:fill="auto"/>
            <w:tcMar>
              <w:top w:w="0" w:type="dxa"/>
              <w:left w:w="105" w:type="dxa"/>
              <w:bottom w:w="0" w:type="dxa"/>
              <w:right w:w="105" w:type="dxa"/>
            </w:tcMar>
            <w:vAlign w:val="top"/>
          </w:tcPr>
          <w:p w14:paraId="49DE642E">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入口阶段须提供：</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1、智能分诊引导；</w:t>
            </w:r>
          </w:p>
          <w:p w14:paraId="0547DA2F">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2、历史检验检查结果分析；</w:t>
            </w:r>
          </w:p>
          <w:p w14:paraId="48858A08">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3、人工上传检验检查报告（支持PDF/JPG/PNG，≤50MB/份）结果分析摘要；</w:t>
            </w:r>
          </w:p>
          <w:p w14:paraId="6E5332D7">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4、精准就医建议；</w:t>
            </w:r>
          </w:p>
          <w:p w14:paraId="00B9C50E">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5、线上检查/检验开单指引。</w:t>
            </w:r>
          </w:p>
        </w:tc>
      </w:tr>
      <w:tr w14:paraId="47EF9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28" w:type="dxa"/>
            <w:vMerge w:val="continue"/>
            <w:shd w:val="clear" w:color="auto" w:fill="auto"/>
            <w:tcMar>
              <w:top w:w="0" w:type="dxa"/>
              <w:left w:w="105" w:type="dxa"/>
              <w:bottom w:w="0" w:type="dxa"/>
              <w:right w:w="105" w:type="dxa"/>
            </w:tcMar>
            <w:vAlign w:val="center"/>
          </w:tcPr>
          <w:p w14:paraId="1DFABC00">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lang w:val="en-US" w:eastAsia="zh-CN"/>
              </w:rPr>
            </w:pPr>
          </w:p>
        </w:tc>
        <w:tc>
          <w:tcPr>
            <w:tcW w:w="958" w:type="dxa"/>
            <w:vMerge w:val="continue"/>
            <w:shd w:val="clear" w:color="auto" w:fill="auto"/>
            <w:tcMar>
              <w:top w:w="0" w:type="dxa"/>
              <w:left w:w="105" w:type="dxa"/>
              <w:bottom w:w="0" w:type="dxa"/>
              <w:right w:w="105" w:type="dxa"/>
            </w:tcMar>
            <w:vAlign w:val="center"/>
          </w:tcPr>
          <w:p w14:paraId="13A4AD35">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lang w:val="en-US" w:eastAsia="zh-CN"/>
              </w:rPr>
            </w:pPr>
          </w:p>
        </w:tc>
        <w:tc>
          <w:tcPr>
            <w:tcW w:w="1348" w:type="dxa"/>
            <w:shd w:val="clear" w:color="auto" w:fill="auto"/>
            <w:tcMar>
              <w:top w:w="0" w:type="dxa"/>
              <w:left w:w="105" w:type="dxa"/>
              <w:bottom w:w="0" w:type="dxa"/>
              <w:right w:w="105" w:type="dxa"/>
            </w:tcMar>
            <w:vAlign w:val="center"/>
          </w:tcPr>
          <w:p w14:paraId="0459F7D2">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加号</w:t>
            </w:r>
          </w:p>
        </w:tc>
        <w:tc>
          <w:tcPr>
            <w:tcW w:w="6713" w:type="dxa"/>
            <w:shd w:val="clear" w:color="auto" w:fill="auto"/>
            <w:tcMar>
              <w:top w:w="0" w:type="dxa"/>
              <w:left w:w="105" w:type="dxa"/>
              <w:bottom w:w="0" w:type="dxa"/>
              <w:right w:w="105" w:type="dxa"/>
            </w:tcMar>
            <w:vAlign w:val="top"/>
          </w:tcPr>
          <w:p w14:paraId="6E82F55F">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系统与人工根据医疗专家给出的患者画像，组合判断加号条件</w:t>
            </w:r>
          </w:p>
          <w:p w14:paraId="7FEBC182">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是 → 自动生成“加专家号”指引，跳转至线下就诊；</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否 → 进入智能分诊流程；</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所有判断过程需生成操作人、时间、依据（系统规则ID/人工备注）报表，供后期分析。</w:t>
            </w:r>
          </w:p>
        </w:tc>
      </w:tr>
      <w:tr w14:paraId="46950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28" w:type="dxa"/>
            <w:vMerge w:val="restart"/>
            <w:shd w:val="clear" w:color="auto" w:fill="auto"/>
            <w:tcMar>
              <w:top w:w="0" w:type="dxa"/>
              <w:left w:w="105" w:type="dxa"/>
              <w:bottom w:w="0" w:type="dxa"/>
              <w:right w:w="105" w:type="dxa"/>
            </w:tcMar>
            <w:vAlign w:val="center"/>
          </w:tcPr>
          <w:p w14:paraId="300932DE">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w:t>
            </w:r>
          </w:p>
        </w:tc>
        <w:tc>
          <w:tcPr>
            <w:tcW w:w="958" w:type="dxa"/>
            <w:vMerge w:val="restart"/>
            <w:shd w:val="clear" w:color="auto" w:fill="auto"/>
            <w:tcMar>
              <w:top w:w="0" w:type="dxa"/>
              <w:left w:w="105" w:type="dxa"/>
              <w:bottom w:w="0" w:type="dxa"/>
              <w:right w:w="105" w:type="dxa"/>
            </w:tcMar>
            <w:vAlign w:val="center"/>
          </w:tcPr>
          <w:p w14:paraId="207A032E">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预问诊</w:t>
            </w:r>
          </w:p>
        </w:tc>
        <w:tc>
          <w:tcPr>
            <w:tcW w:w="1348" w:type="dxa"/>
            <w:shd w:val="clear" w:color="auto" w:fill="auto"/>
            <w:tcMar>
              <w:top w:w="0" w:type="dxa"/>
              <w:left w:w="105" w:type="dxa"/>
              <w:bottom w:w="0" w:type="dxa"/>
              <w:right w:w="105" w:type="dxa"/>
            </w:tcMar>
            <w:vAlign w:val="center"/>
          </w:tcPr>
          <w:p w14:paraId="24FF3291">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窗口定制化问题引擎</w:t>
            </w:r>
          </w:p>
        </w:tc>
        <w:tc>
          <w:tcPr>
            <w:tcW w:w="6713" w:type="dxa"/>
            <w:shd w:val="clear" w:color="auto" w:fill="auto"/>
            <w:tcMar>
              <w:top w:w="0" w:type="dxa"/>
              <w:left w:w="105" w:type="dxa"/>
              <w:bottom w:w="0" w:type="dxa"/>
              <w:right w:w="105" w:type="dxa"/>
            </w:tcMar>
            <w:vAlign w:val="top"/>
          </w:tcPr>
          <w:p w14:paraId="34A146F2">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1、支持按科室/专病/医生三级维度配置预问诊问题模板，每个模板包含必填项、选填项、逻辑跳转规则；</w:t>
            </w:r>
          </w:p>
          <w:p w14:paraId="193ED1AF">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2、问题类型支持单选、多选、文本输入、量表评分、图片上传，且可绑定校验规则（如数值范围、关键词过滤）；</w:t>
            </w:r>
          </w:p>
          <w:p w14:paraId="175B221F">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3、提供可视化配置后台，非技术人员可通过拖拽方式调整问题顺序与关联逻辑，修改后实时生效无需重启。</w:t>
            </w:r>
          </w:p>
        </w:tc>
      </w:tr>
      <w:tr w14:paraId="109AB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28" w:type="dxa"/>
            <w:vMerge w:val="continue"/>
            <w:shd w:val="clear" w:color="auto" w:fill="auto"/>
            <w:tcMar>
              <w:top w:w="0" w:type="dxa"/>
              <w:left w:w="105" w:type="dxa"/>
              <w:bottom w:w="0" w:type="dxa"/>
              <w:right w:w="105" w:type="dxa"/>
            </w:tcMar>
            <w:vAlign w:val="center"/>
          </w:tcPr>
          <w:p w14:paraId="6C1A6843">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lang w:val="en-US" w:eastAsia="zh-CN"/>
              </w:rPr>
            </w:pPr>
          </w:p>
        </w:tc>
        <w:tc>
          <w:tcPr>
            <w:tcW w:w="958" w:type="dxa"/>
            <w:vMerge w:val="continue"/>
            <w:shd w:val="clear" w:color="auto" w:fill="auto"/>
            <w:tcMar>
              <w:top w:w="0" w:type="dxa"/>
              <w:left w:w="105" w:type="dxa"/>
              <w:bottom w:w="0" w:type="dxa"/>
              <w:right w:w="105" w:type="dxa"/>
            </w:tcMar>
            <w:vAlign w:val="center"/>
          </w:tcPr>
          <w:p w14:paraId="4AC28551">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lang w:val="en-US" w:eastAsia="zh-CN"/>
              </w:rPr>
            </w:pPr>
          </w:p>
        </w:tc>
        <w:tc>
          <w:tcPr>
            <w:tcW w:w="1348" w:type="dxa"/>
            <w:shd w:val="clear" w:color="auto" w:fill="auto"/>
            <w:tcMar>
              <w:top w:w="0" w:type="dxa"/>
              <w:left w:w="105" w:type="dxa"/>
              <w:bottom w:w="0" w:type="dxa"/>
              <w:right w:w="105" w:type="dxa"/>
            </w:tcMar>
            <w:vAlign w:val="center"/>
          </w:tcPr>
          <w:p w14:paraId="52E1AFC4">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报告分析与病历生成</w:t>
            </w:r>
          </w:p>
        </w:tc>
        <w:tc>
          <w:tcPr>
            <w:tcW w:w="6713" w:type="dxa"/>
            <w:shd w:val="clear" w:color="auto" w:fill="auto"/>
            <w:tcMar>
              <w:top w:w="0" w:type="dxa"/>
              <w:left w:w="105" w:type="dxa"/>
              <w:bottom w:w="0" w:type="dxa"/>
              <w:right w:w="105" w:type="dxa"/>
            </w:tcMar>
            <w:vAlign w:val="top"/>
          </w:tcPr>
          <w:p w14:paraId="6EFD8B9A">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1、调用Multi-Agent调度系统，结合OCR识别结果与患者填写的预问诊答案，自动生成结构化病历文字；</w:t>
            </w:r>
          </w:p>
          <w:p w14:paraId="60B34236">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2、病历内容须包含主诉、现病史、既往史、辅助检查结果摘要、初步诊疗建议，符合《病历书写基本规范》；</w:t>
            </w:r>
          </w:p>
          <w:p w14:paraId="5F6252F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3、支持医生端一键引用生成的病历文字至电子病历系统，同时保留原始问答记录与报告分析依据供追溯。</w:t>
            </w:r>
          </w:p>
        </w:tc>
      </w:tr>
      <w:tr w14:paraId="33A6C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28" w:type="dxa"/>
            <w:vMerge w:val="continue"/>
            <w:shd w:val="clear" w:color="auto" w:fill="auto"/>
            <w:tcMar>
              <w:top w:w="0" w:type="dxa"/>
              <w:left w:w="105" w:type="dxa"/>
              <w:bottom w:w="0" w:type="dxa"/>
              <w:right w:w="105" w:type="dxa"/>
            </w:tcMar>
            <w:vAlign w:val="center"/>
          </w:tcPr>
          <w:p w14:paraId="3D3DEC0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lang w:val="en-US" w:eastAsia="zh-CN"/>
              </w:rPr>
            </w:pPr>
          </w:p>
        </w:tc>
        <w:tc>
          <w:tcPr>
            <w:tcW w:w="958" w:type="dxa"/>
            <w:vMerge w:val="continue"/>
            <w:shd w:val="clear" w:color="auto" w:fill="auto"/>
            <w:tcMar>
              <w:top w:w="0" w:type="dxa"/>
              <w:left w:w="105" w:type="dxa"/>
              <w:bottom w:w="0" w:type="dxa"/>
              <w:right w:w="105" w:type="dxa"/>
            </w:tcMar>
            <w:vAlign w:val="center"/>
          </w:tcPr>
          <w:p w14:paraId="33B68091">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lang w:val="en-US" w:eastAsia="zh-CN"/>
              </w:rPr>
            </w:pPr>
          </w:p>
        </w:tc>
        <w:tc>
          <w:tcPr>
            <w:tcW w:w="1348" w:type="dxa"/>
            <w:shd w:val="clear" w:color="auto" w:fill="auto"/>
            <w:tcMar>
              <w:top w:w="0" w:type="dxa"/>
              <w:left w:w="105" w:type="dxa"/>
              <w:bottom w:w="0" w:type="dxa"/>
              <w:right w:w="105" w:type="dxa"/>
            </w:tcMar>
            <w:vAlign w:val="center"/>
          </w:tcPr>
          <w:p w14:paraId="6468CFC2">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动态追问与质控</w:t>
            </w:r>
          </w:p>
        </w:tc>
        <w:tc>
          <w:tcPr>
            <w:tcW w:w="6713" w:type="dxa"/>
            <w:shd w:val="clear" w:color="auto" w:fill="auto"/>
            <w:tcMar>
              <w:top w:w="0" w:type="dxa"/>
              <w:left w:w="105" w:type="dxa"/>
              <w:bottom w:w="0" w:type="dxa"/>
              <w:right w:w="105" w:type="dxa"/>
            </w:tcMar>
            <w:vAlign w:val="top"/>
          </w:tcPr>
          <w:p w14:paraId="5D8069F1">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1、当患者回答存在矛盾、缺失关键信息或报告异常值未解释时，系统自动触发追问逻辑，追问次数≤3次；</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2、内置病历质控规则，对生成的病历文字进行完整性、规范性校验，不达标时提示患者补充信息或转人工审核；</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3、所有追问与质控操作留痕，纳入后续数据智能分析模板优化范围。</w:t>
            </w:r>
          </w:p>
        </w:tc>
      </w:tr>
      <w:tr w14:paraId="766F5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28" w:type="dxa"/>
            <w:vMerge w:val="restart"/>
            <w:shd w:val="clear" w:color="auto" w:fill="auto"/>
            <w:tcMar>
              <w:top w:w="0" w:type="dxa"/>
              <w:left w:w="105" w:type="dxa"/>
              <w:bottom w:w="0" w:type="dxa"/>
              <w:right w:w="105" w:type="dxa"/>
            </w:tcMar>
            <w:vAlign w:val="center"/>
          </w:tcPr>
          <w:p w14:paraId="340FF851">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w:t>
            </w:r>
          </w:p>
        </w:tc>
        <w:tc>
          <w:tcPr>
            <w:tcW w:w="958" w:type="dxa"/>
            <w:vMerge w:val="restart"/>
            <w:shd w:val="clear" w:color="auto" w:fill="auto"/>
            <w:tcMar>
              <w:top w:w="0" w:type="dxa"/>
              <w:left w:w="105" w:type="dxa"/>
              <w:bottom w:w="0" w:type="dxa"/>
              <w:right w:w="105" w:type="dxa"/>
            </w:tcMar>
            <w:vAlign w:val="center"/>
          </w:tcPr>
          <w:p w14:paraId="68BB320C">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智能分诊与线上诊疗子系统</w:t>
            </w:r>
          </w:p>
        </w:tc>
        <w:tc>
          <w:tcPr>
            <w:tcW w:w="1348" w:type="dxa"/>
            <w:shd w:val="clear" w:color="auto" w:fill="auto"/>
            <w:tcMar>
              <w:top w:w="0" w:type="dxa"/>
              <w:left w:w="105" w:type="dxa"/>
              <w:bottom w:w="0" w:type="dxa"/>
              <w:right w:w="105" w:type="dxa"/>
            </w:tcMar>
            <w:vAlign w:val="center"/>
          </w:tcPr>
          <w:p w14:paraId="7D52E8F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智能分诊引擎</w:t>
            </w:r>
          </w:p>
        </w:tc>
        <w:tc>
          <w:tcPr>
            <w:tcW w:w="6713" w:type="dxa"/>
            <w:shd w:val="clear" w:color="auto" w:fill="auto"/>
            <w:tcMar>
              <w:top w:w="0" w:type="dxa"/>
              <w:left w:w="105" w:type="dxa"/>
              <w:bottom w:w="0" w:type="dxa"/>
              <w:right w:w="105" w:type="dxa"/>
            </w:tcMar>
            <w:vAlign w:val="top"/>
          </w:tcPr>
          <w:p w14:paraId="7B60D251">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基于患者上传资料，调用Multi-Agent调度系统进行意图识别与科室/医生推荐；</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1、推荐结果需包含：专科团队、推荐医生（≥3位）、匹配理由（关键词关联度≥70%）；</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2、★支持医生画像：根据科室介绍、医生擅长领域领域介绍，疾病规则等构建全院医生画像数据库，标签维度包括不限于：职称、科室、专病方向。</w:t>
            </w:r>
          </w:p>
        </w:tc>
      </w:tr>
      <w:tr w14:paraId="2851D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28" w:type="dxa"/>
            <w:vMerge w:val="continue"/>
            <w:shd w:val="clear" w:color="auto" w:fill="auto"/>
            <w:tcMar>
              <w:top w:w="0" w:type="dxa"/>
              <w:left w:w="105" w:type="dxa"/>
              <w:bottom w:w="0" w:type="dxa"/>
              <w:right w:w="105" w:type="dxa"/>
            </w:tcMar>
            <w:vAlign w:val="center"/>
          </w:tcPr>
          <w:p w14:paraId="148642D0">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lang w:val="en-US" w:eastAsia="zh-CN"/>
              </w:rPr>
            </w:pPr>
          </w:p>
        </w:tc>
        <w:tc>
          <w:tcPr>
            <w:tcW w:w="958" w:type="dxa"/>
            <w:vMerge w:val="continue"/>
            <w:shd w:val="clear" w:color="auto" w:fill="auto"/>
            <w:tcMar>
              <w:top w:w="0" w:type="dxa"/>
              <w:left w:w="105" w:type="dxa"/>
              <w:bottom w:w="0" w:type="dxa"/>
              <w:right w:w="105" w:type="dxa"/>
            </w:tcMar>
            <w:vAlign w:val="center"/>
          </w:tcPr>
          <w:p w14:paraId="1ADEE035">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lang w:val="en-US" w:eastAsia="zh-CN"/>
              </w:rPr>
            </w:pPr>
          </w:p>
        </w:tc>
        <w:tc>
          <w:tcPr>
            <w:tcW w:w="1348" w:type="dxa"/>
            <w:shd w:val="clear" w:color="auto" w:fill="auto"/>
            <w:tcMar>
              <w:top w:w="0" w:type="dxa"/>
              <w:left w:w="105" w:type="dxa"/>
              <w:bottom w:w="0" w:type="dxa"/>
              <w:right w:w="105" w:type="dxa"/>
            </w:tcMar>
            <w:vAlign w:val="center"/>
          </w:tcPr>
          <w:p w14:paraId="75CD5ABF">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线上问诊模块</w:t>
            </w:r>
          </w:p>
        </w:tc>
        <w:tc>
          <w:tcPr>
            <w:tcW w:w="6713" w:type="dxa"/>
            <w:shd w:val="clear" w:color="auto" w:fill="auto"/>
            <w:tcMar>
              <w:top w:w="0" w:type="dxa"/>
              <w:left w:w="105" w:type="dxa"/>
              <w:bottom w:w="0" w:type="dxa"/>
              <w:right w:w="105" w:type="dxa"/>
            </w:tcMar>
            <w:vAlign w:val="top"/>
          </w:tcPr>
          <w:p w14:paraId="4548B3EE">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1、复诊患者，可获取患者历史数据，推荐检验检查；2、检查线上开单，根据患者需求，模型可智能推送互联网医院或者自助开单卡片，点击跳转互联网医院，数据通过接口传送至互联网医院。</w:t>
            </w:r>
          </w:p>
          <w:p w14:paraId="21C3ED83">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3、预就诊数据可同步至医生端。</w:t>
            </w:r>
          </w:p>
        </w:tc>
      </w:tr>
      <w:tr w14:paraId="26D98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28" w:type="dxa"/>
            <w:vMerge w:val="continue"/>
            <w:shd w:val="clear" w:color="auto" w:fill="auto"/>
            <w:tcMar>
              <w:top w:w="0" w:type="dxa"/>
              <w:left w:w="105" w:type="dxa"/>
              <w:bottom w:w="0" w:type="dxa"/>
              <w:right w:w="105" w:type="dxa"/>
            </w:tcMar>
            <w:vAlign w:val="center"/>
          </w:tcPr>
          <w:p w14:paraId="2D2C207C">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lang w:val="en-US" w:eastAsia="zh-CN"/>
              </w:rPr>
            </w:pPr>
          </w:p>
        </w:tc>
        <w:tc>
          <w:tcPr>
            <w:tcW w:w="958" w:type="dxa"/>
            <w:vMerge w:val="continue"/>
            <w:shd w:val="clear" w:color="auto" w:fill="auto"/>
            <w:tcMar>
              <w:top w:w="0" w:type="dxa"/>
              <w:left w:w="105" w:type="dxa"/>
              <w:bottom w:w="0" w:type="dxa"/>
              <w:right w:w="105" w:type="dxa"/>
            </w:tcMar>
            <w:vAlign w:val="center"/>
          </w:tcPr>
          <w:p w14:paraId="35C60413">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lang w:val="en-US" w:eastAsia="zh-CN"/>
              </w:rPr>
            </w:pPr>
          </w:p>
        </w:tc>
        <w:tc>
          <w:tcPr>
            <w:tcW w:w="1348" w:type="dxa"/>
            <w:shd w:val="clear" w:color="auto" w:fill="auto"/>
            <w:tcMar>
              <w:top w:w="0" w:type="dxa"/>
              <w:left w:w="105" w:type="dxa"/>
              <w:bottom w:w="0" w:type="dxa"/>
              <w:right w:w="105" w:type="dxa"/>
            </w:tcMar>
            <w:vAlign w:val="center"/>
          </w:tcPr>
          <w:p w14:paraId="5C7B85AF">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数据留痕与分析</w:t>
            </w:r>
          </w:p>
        </w:tc>
        <w:tc>
          <w:tcPr>
            <w:tcW w:w="6713" w:type="dxa"/>
            <w:shd w:val="clear" w:color="auto" w:fill="auto"/>
            <w:tcMar>
              <w:top w:w="0" w:type="dxa"/>
              <w:left w:w="105" w:type="dxa"/>
              <w:bottom w:w="0" w:type="dxa"/>
              <w:right w:w="105" w:type="dxa"/>
            </w:tcMar>
            <w:vAlign w:val="top"/>
          </w:tcPr>
          <w:p w14:paraId="2FECAD37">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提供后台分析看板：分诊准确率、加号转化率、推荐线上开单率等核心指标（按日/周/月统计）。</w:t>
            </w:r>
          </w:p>
        </w:tc>
      </w:tr>
      <w:tr w14:paraId="33BB2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28" w:type="dxa"/>
            <w:vMerge w:val="restart"/>
            <w:shd w:val="clear" w:color="auto" w:fill="auto"/>
            <w:tcMar>
              <w:top w:w="0" w:type="dxa"/>
              <w:left w:w="105" w:type="dxa"/>
              <w:bottom w:w="0" w:type="dxa"/>
              <w:right w:w="105" w:type="dxa"/>
            </w:tcMar>
            <w:vAlign w:val="center"/>
          </w:tcPr>
          <w:p w14:paraId="53E6B622">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w:t>
            </w:r>
          </w:p>
        </w:tc>
        <w:tc>
          <w:tcPr>
            <w:tcW w:w="958" w:type="dxa"/>
            <w:vMerge w:val="restart"/>
            <w:shd w:val="clear" w:color="auto" w:fill="auto"/>
            <w:tcMar>
              <w:top w:w="0" w:type="dxa"/>
              <w:left w:w="105" w:type="dxa"/>
              <w:bottom w:w="0" w:type="dxa"/>
              <w:right w:w="105" w:type="dxa"/>
            </w:tcMar>
            <w:vAlign w:val="center"/>
          </w:tcPr>
          <w:p w14:paraId="4E653761">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精准预约模块</w:t>
            </w:r>
          </w:p>
        </w:tc>
        <w:tc>
          <w:tcPr>
            <w:tcW w:w="1348" w:type="dxa"/>
            <w:shd w:val="clear" w:color="auto" w:fill="auto"/>
            <w:tcMar>
              <w:top w:w="0" w:type="dxa"/>
              <w:left w:w="105" w:type="dxa"/>
              <w:bottom w:w="0" w:type="dxa"/>
              <w:right w:w="105" w:type="dxa"/>
            </w:tcMar>
            <w:vAlign w:val="center"/>
          </w:tcPr>
          <w:p w14:paraId="1669E18C">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窗口定制化问题引擎</w:t>
            </w:r>
          </w:p>
        </w:tc>
        <w:tc>
          <w:tcPr>
            <w:tcW w:w="6713" w:type="dxa"/>
            <w:shd w:val="clear" w:color="auto" w:fill="auto"/>
            <w:tcMar>
              <w:top w:w="0" w:type="dxa"/>
              <w:left w:w="105" w:type="dxa"/>
              <w:bottom w:w="0" w:type="dxa"/>
              <w:right w:w="105" w:type="dxa"/>
            </w:tcMar>
            <w:vAlign w:val="top"/>
          </w:tcPr>
          <w:p w14:paraId="1D6C117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患者挂不到专家号时，通过患者信息与专家需要的患者画像匹配，分配绿通号源进行精准预约。</w:t>
            </w:r>
          </w:p>
          <w:p w14:paraId="510872DF">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1、支持按科室/专病/医生三级维度配置精准预约问题模板，每个模板包含必填项、选填项、逻辑跳转规则；</w:t>
            </w:r>
          </w:p>
          <w:p w14:paraId="334DEB9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2、问题类型支持单选、多选、文本输入、量表评分、图片上传，且可绑定校验规则（如数值范围、关键词过滤）；</w:t>
            </w:r>
          </w:p>
          <w:p w14:paraId="2CB4F465">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3、提供可视化配置后台，非技术人员可通过拖拽方式调整问题顺序与关联逻辑，修改后实时生效无需重启。</w:t>
            </w:r>
          </w:p>
        </w:tc>
      </w:tr>
      <w:tr w14:paraId="40689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28" w:type="dxa"/>
            <w:vMerge w:val="continue"/>
            <w:shd w:val="clear" w:color="auto" w:fill="auto"/>
            <w:tcMar>
              <w:top w:w="0" w:type="dxa"/>
              <w:left w:w="105" w:type="dxa"/>
              <w:bottom w:w="0" w:type="dxa"/>
              <w:right w:w="105" w:type="dxa"/>
            </w:tcMar>
            <w:vAlign w:val="center"/>
          </w:tcPr>
          <w:p w14:paraId="4EE7D73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lang w:val="en-US" w:eastAsia="zh-CN"/>
              </w:rPr>
            </w:pPr>
          </w:p>
        </w:tc>
        <w:tc>
          <w:tcPr>
            <w:tcW w:w="958" w:type="dxa"/>
            <w:vMerge w:val="continue"/>
            <w:shd w:val="clear" w:color="auto" w:fill="auto"/>
            <w:tcMar>
              <w:top w:w="0" w:type="dxa"/>
              <w:left w:w="105" w:type="dxa"/>
              <w:bottom w:w="0" w:type="dxa"/>
              <w:right w:w="105" w:type="dxa"/>
            </w:tcMar>
            <w:vAlign w:val="center"/>
          </w:tcPr>
          <w:p w14:paraId="4BCEA992">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lang w:val="en-US" w:eastAsia="zh-CN"/>
              </w:rPr>
            </w:pPr>
          </w:p>
        </w:tc>
        <w:tc>
          <w:tcPr>
            <w:tcW w:w="1348" w:type="dxa"/>
            <w:shd w:val="clear" w:color="auto" w:fill="auto"/>
            <w:tcMar>
              <w:top w:w="0" w:type="dxa"/>
              <w:left w:w="105" w:type="dxa"/>
              <w:bottom w:w="0" w:type="dxa"/>
              <w:right w:w="105" w:type="dxa"/>
            </w:tcMar>
            <w:vAlign w:val="center"/>
          </w:tcPr>
          <w:p w14:paraId="4F26BB83">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后台管理</w:t>
            </w:r>
          </w:p>
        </w:tc>
        <w:tc>
          <w:tcPr>
            <w:tcW w:w="6713" w:type="dxa"/>
            <w:shd w:val="clear" w:color="auto" w:fill="auto"/>
            <w:tcMar>
              <w:top w:w="0" w:type="dxa"/>
              <w:left w:w="105" w:type="dxa"/>
              <w:bottom w:w="0" w:type="dxa"/>
              <w:right w:w="105" w:type="dxa"/>
            </w:tcMar>
            <w:vAlign w:val="top"/>
          </w:tcPr>
          <w:p w14:paraId="64D39F34">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1、支持配置机器人头像、名称、网页标题、主题色；2、支持自定义欢迎语引导患者填写问卷</w:t>
            </w:r>
          </w:p>
          <w:p w14:paraId="51DE276A">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3、支持配置全院通用采集规则，优先级低于个性化规则</w:t>
            </w:r>
          </w:p>
          <w:p w14:paraId="769CC52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4、支持为特定医生配置个性化采集规则，至少满足30位医生个性化采集配置放号上限设置：</w:t>
            </w:r>
          </w:p>
          <w:p w14:paraId="352026C6">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5、支持设置为特定医生医生加号数量上限（号源取HIS）</w:t>
            </w:r>
          </w:p>
          <w:p w14:paraId="6D5EA881">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6、注意事项编辑：支持富文本编辑注意事项</w:t>
            </w:r>
          </w:p>
          <w:p w14:paraId="366F4FB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7、支持配置预约流程节点、提示文案、间隔时间；</w:t>
            </w:r>
          </w:p>
          <w:p w14:paraId="62F63C1C">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8、支持全流程模拟调试；</w:t>
            </w:r>
          </w:p>
          <w:p w14:paraId="23CC058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9、支持启用/禁用精准预约机器人</w:t>
            </w:r>
          </w:p>
          <w:p w14:paraId="44929BD1">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10、患者申请记录：</w:t>
            </w:r>
          </w:p>
          <w:p w14:paraId="4A64C7CC">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1）、支持查看预约对话记录及初筛结果；</w:t>
            </w:r>
          </w:p>
          <w:p w14:paraId="2A7347B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2）、可计算患者与医生预设画像的匹配程度；</w:t>
            </w:r>
          </w:p>
          <w:p w14:paraId="72F4F20F">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3）、支持将患者加入/解除HIS黑名单，限制加号申请；</w:t>
            </w:r>
          </w:p>
          <w:p w14:paraId="74EE5D1C">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4）、可展示AI初筛、人工审核、加号状态进展</w:t>
            </w:r>
          </w:p>
        </w:tc>
      </w:tr>
      <w:tr w14:paraId="7D5B2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28" w:type="dxa"/>
            <w:vMerge w:val="continue"/>
            <w:shd w:val="clear" w:color="auto" w:fill="auto"/>
            <w:tcMar>
              <w:top w:w="0" w:type="dxa"/>
              <w:left w:w="105" w:type="dxa"/>
              <w:bottom w:w="0" w:type="dxa"/>
              <w:right w:w="105" w:type="dxa"/>
            </w:tcMar>
            <w:vAlign w:val="center"/>
          </w:tcPr>
          <w:p w14:paraId="5C6AA965">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lang w:val="en-US" w:eastAsia="zh-CN"/>
              </w:rPr>
            </w:pPr>
          </w:p>
        </w:tc>
        <w:tc>
          <w:tcPr>
            <w:tcW w:w="958" w:type="dxa"/>
            <w:vMerge w:val="continue"/>
            <w:shd w:val="clear" w:color="auto" w:fill="auto"/>
            <w:tcMar>
              <w:top w:w="0" w:type="dxa"/>
              <w:left w:w="105" w:type="dxa"/>
              <w:bottom w:w="0" w:type="dxa"/>
              <w:right w:w="105" w:type="dxa"/>
            </w:tcMar>
            <w:vAlign w:val="center"/>
          </w:tcPr>
          <w:p w14:paraId="00012FA2">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lang w:val="en-US" w:eastAsia="zh-CN"/>
              </w:rPr>
            </w:pPr>
          </w:p>
        </w:tc>
        <w:tc>
          <w:tcPr>
            <w:tcW w:w="1348" w:type="dxa"/>
            <w:shd w:val="clear" w:color="auto" w:fill="auto"/>
            <w:tcMar>
              <w:top w:w="0" w:type="dxa"/>
              <w:left w:w="105" w:type="dxa"/>
              <w:bottom w:w="0" w:type="dxa"/>
              <w:right w:w="105" w:type="dxa"/>
            </w:tcMar>
            <w:vAlign w:val="center"/>
          </w:tcPr>
          <w:p w14:paraId="06C74156">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加号</w:t>
            </w:r>
          </w:p>
        </w:tc>
        <w:tc>
          <w:tcPr>
            <w:tcW w:w="6713" w:type="dxa"/>
            <w:shd w:val="clear" w:color="auto" w:fill="auto"/>
            <w:tcMar>
              <w:top w:w="0" w:type="dxa"/>
              <w:left w:w="105" w:type="dxa"/>
              <w:bottom w:w="0" w:type="dxa"/>
              <w:right w:w="105" w:type="dxa"/>
            </w:tcMar>
            <w:vAlign w:val="top"/>
          </w:tcPr>
          <w:p w14:paraId="32B91D9C">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和院内挂号系统打通</w:t>
            </w:r>
          </w:p>
        </w:tc>
      </w:tr>
      <w:tr w14:paraId="2EB3D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28" w:type="dxa"/>
            <w:vMerge w:val="restart"/>
            <w:shd w:val="clear" w:color="auto" w:fill="auto"/>
            <w:tcMar>
              <w:top w:w="0" w:type="dxa"/>
              <w:left w:w="105" w:type="dxa"/>
              <w:bottom w:w="0" w:type="dxa"/>
              <w:right w:w="105" w:type="dxa"/>
            </w:tcMar>
            <w:vAlign w:val="center"/>
          </w:tcPr>
          <w:p w14:paraId="4442F623">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w:t>
            </w:r>
          </w:p>
        </w:tc>
        <w:tc>
          <w:tcPr>
            <w:tcW w:w="958" w:type="dxa"/>
            <w:vMerge w:val="restart"/>
            <w:shd w:val="clear" w:color="auto" w:fill="auto"/>
            <w:tcMar>
              <w:top w:w="0" w:type="dxa"/>
              <w:left w:w="105" w:type="dxa"/>
              <w:bottom w:w="0" w:type="dxa"/>
              <w:right w:w="105" w:type="dxa"/>
            </w:tcMar>
            <w:vAlign w:val="center"/>
          </w:tcPr>
          <w:p w14:paraId="6E05F44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系统分析追阳场景（HIS联动专项）</w:t>
            </w:r>
          </w:p>
        </w:tc>
        <w:tc>
          <w:tcPr>
            <w:tcW w:w="1348" w:type="dxa"/>
            <w:shd w:val="clear" w:color="auto" w:fill="auto"/>
            <w:tcMar>
              <w:top w:w="0" w:type="dxa"/>
              <w:left w:w="105" w:type="dxa"/>
              <w:bottom w:w="0" w:type="dxa"/>
              <w:right w:w="105" w:type="dxa"/>
            </w:tcMar>
            <w:vAlign w:val="center"/>
          </w:tcPr>
          <w:p w14:paraId="62BFF8C3">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HIS报告实时抓取</w:t>
            </w:r>
          </w:p>
        </w:tc>
        <w:tc>
          <w:tcPr>
            <w:tcW w:w="6713" w:type="dxa"/>
            <w:shd w:val="clear" w:color="auto" w:fill="auto"/>
            <w:tcMar>
              <w:top w:w="0" w:type="dxa"/>
              <w:left w:w="105" w:type="dxa"/>
              <w:bottom w:w="0" w:type="dxa"/>
              <w:right w:w="105" w:type="dxa"/>
            </w:tcMar>
            <w:vAlign w:val="top"/>
          </w:tcPr>
          <w:p w14:paraId="4CE206B5">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1、与东软HIS系统深度对接，HIS对检查/检验报告通过接口方式推送给追阳系统，系统进行指标判断；</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2、支持HL7/FHIR标准接口，确保报告字段完整（含患者ID、项目编码、结果值、单位、异常标志）。</w:t>
            </w:r>
          </w:p>
        </w:tc>
      </w:tr>
      <w:tr w14:paraId="51820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28" w:type="dxa"/>
            <w:vMerge w:val="continue"/>
            <w:shd w:val="clear" w:color="auto" w:fill="auto"/>
            <w:tcMar>
              <w:top w:w="0" w:type="dxa"/>
              <w:left w:w="105" w:type="dxa"/>
              <w:bottom w:w="0" w:type="dxa"/>
              <w:right w:w="105" w:type="dxa"/>
            </w:tcMar>
            <w:vAlign w:val="center"/>
          </w:tcPr>
          <w:p w14:paraId="5AA90046">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lang w:val="en-US" w:eastAsia="zh-CN"/>
              </w:rPr>
            </w:pPr>
          </w:p>
        </w:tc>
        <w:tc>
          <w:tcPr>
            <w:tcW w:w="958" w:type="dxa"/>
            <w:vMerge w:val="continue"/>
            <w:shd w:val="clear" w:color="auto" w:fill="auto"/>
            <w:tcMar>
              <w:top w:w="0" w:type="dxa"/>
              <w:left w:w="105" w:type="dxa"/>
              <w:bottom w:w="0" w:type="dxa"/>
              <w:right w:w="105" w:type="dxa"/>
            </w:tcMar>
            <w:vAlign w:val="center"/>
          </w:tcPr>
          <w:p w14:paraId="1063A94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lang w:val="en-US" w:eastAsia="zh-CN"/>
              </w:rPr>
            </w:pPr>
          </w:p>
        </w:tc>
        <w:tc>
          <w:tcPr>
            <w:tcW w:w="1348" w:type="dxa"/>
            <w:shd w:val="clear" w:color="auto" w:fill="auto"/>
            <w:tcMar>
              <w:top w:w="0" w:type="dxa"/>
              <w:left w:w="105" w:type="dxa"/>
              <w:bottom w:w="0" w:type="dxa"/>
              <w:right w:w="105" w:type="dxa"/>
            </w:tcMar>
            <w:vAlign w:val="center"/>
          </w:tcPr>
          <w:p w14:paraId="4B77EDBC">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“重阳”标准智能判断</w:t>
            </w:r>
          </w:p>
        </w:tc>
        <w:tc>
          <w:tcPr>
            <w:tcW w:w="6713" w:type="dxa"/>
            <w:shd w:val="clear" w:color="auto" w:fill="auto"/>
            <w:tcMar>
              <w:top w:w="0" w:type="dxa"/>
              <w:left w:w="105" w:type="dxa"/>
              <w:bottom w:w="0" w:type="dxa"/>
              <w:right w:w="105" w:type="dxa"/>
            </w:tcMar>
            <w:vAlign w:val="top"/>
          </w:tcPr>
          <w:p w14:paraId="5360F453">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系统内置可根据医院或者科室提供规则配置引擎，支持按科室/病种自定义“重阳标准”（如：肿瘤标志物↑3倍、心肌酶谱异常组合等）；</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判断结果分为两类：</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重阳：触发专科秘书介入流程；</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普阳：仅推送报告提醒+引导智能分诊。</w:t>
            </w:r>
          </w:p>
        </w:tc>
      </w:tr>
      <w:tr w14:paraId="73AA2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28" w:type="dxa"/>
            <w:vMerge w:val="continue"/>
            <w:shd w:val="clear" w:color="auto" w:fill="auto"/>
            <w:tcMar>
              <w:top w:w="0" w:type="dxa"/>
              <w:left w:w="105" w:type="dxa"/>
              <w:bottom w:w="0" w:type="dxa"/>
              <w:right w:w="105" w:type="dxa"/>
            </w:tcMar>
            <w:vAlign w:val="center"/>
          </w:tcPr>
          <w:p w14:paraId="74DE440A">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lang w:val="en-US" w:eastAsia="zh-CN"/>
              </w:rPr>
            </w:pPr>
          </w:p>
        </w:tc>
        <w:tc>
          <w:tcPr>
            <w:tcW w:w="958" w:type="dxa"/>
            <w:vMerge w:val="continue"/>
            <w:shd w:val="clear" w:color="auto" w:fill="auto"/>
            <w:tcMar>
              <w:top w:w="0" w:type="dxa"/>
              <w:left w:w="105" w:type="dxa"/>
              <w:bottom w:w="0" w:type="dxa"/>
              <w:right w:w="105" w:type="dxa"/>
            </w:tcMar>
            <w:vAlign w:val="center"/>
          </w:tcPr>
          <w:p w14:paraId="2488AE6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lang w:val="en-US" w:eastAsia="zh-CN"/>
              </w:rPr>
            </w:pPr>
          </w:p>
        </w:tc>
        <w:tc>
          <w:tcPr>
            <w:tcW w:w="1348" w:type="dxa"/>
            <w:shd w:val="clear" w:color="auto" w:fill="auto"/>
            <w:tcMar>
              <w:top w:w="0" w:type="dxa"/>
              <w:left w:w="105" w:type="dxa"/>
              <w:bottom w:w="0" w:type="dxa"/>
              <w:right w:w="105" w:type="dxa"/>
            </w:tcMar>
            <w:vAlign w:val="center"/>
          </w:tcPr>
          <w:p w14:paraId="0E209D01">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秘书协同工作流</w:t>
            </w:r>
          </w:p>
        </w:tc>
        <w:tc>
          <w:tcPr>
            <w:tcW w:w="6713" w:type="dxa"/>
            <w:shd w:val="clear" w:color="auto" w:fill="auto"/>
            <w:tcMar>
              <w:top w:w="0" w:type="dxa"/>
              <w:left w:w="105" w:type="dxa"/>
              <w:bottom w:w="0" w:type="dxa"/>
              <w:right w:w="105" w:type="dxa"/>
            </w:tcMar>
            <w:vAlign w:val="top"/>
          </w:tcPr>
          <w:p w14:paraId="4D6CCA1E">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系统自动通知对应专科秘书；</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秘书端支持：查看患者报告摘要、联系患者；</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全流程操作留痕，支持审计追溯。</w:t>
            </w:r>
          </w:p>
        </w:tc>
      </w:tr>
      <w:tr w14:paraId="642F9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28" w:type="dxa"/>
            <w:vMerge w:val="restart"/>
            <w:shd w:val="clear" w:color="auto" w:fill="auto"/>
            <w:tcMar>
              <w:top w:w="0" w:type="dxa"/>
              <w:left w:w="105" w:type="dxa"/>
              <w:bottom w:w="0" w:type="dxa"/>
              <w:right w:w="105" w:type="dxa"/>
            </w:tcMar>
            <w:vAlign w:val="center"/>
          </w:tcPr>
          <w:p w14:paraId="5CF25312">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w:t>
            </w:r>
          </w:p>
        </w:tc>
        <w:tc>
          <w:tcPr>
            <w:tcW w:w="958" w:type="dxa"/>
            <w:vMerge w:val="restart"/>
            <w:shd w:val="clear" w:color="auto" w:fill="auto"/>
            <w:tcMar>
              <w:top w:w="0" w:type="dxa"/>
              <w:left w:w="105" w:type="dxa"/>
              <w:bottom w:w="0" w:type="dxa"/>
              <w:right w:w="105" w:type="dxa"/>
            </w:tcMar>
            <w:vAlign w:val="center"/>
          </w:tcPr>
          <w:p w14:paraId="51B8819A">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系统集成与非功能性要求</w:t>
            </w:r>
          </w:p>
        </w:tc>
        <w:tc>
          <w:tcPr>
            <w:tcW w:w="1348" w:type="dxa"/>
            <w:shd w:val="clear" w:color="auto" w:fill="auto"/>
            <w:tcMar>
              <w:top w:w="0" w:type="dxa"/>
              <w:left w:w="105" w:type="dxa"/>
              <w:bottom w:w="0" w:type="dxa"/>
              <w:right w:w="105" w:type="dxa"/>
            </w:tcMar>
            <w:vAlign w:val="center"/>
          </w:tcPr>
          <w:p w14:paraId="7FACFFD5">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安全要求</w:t>
            </w:r>
          </w:p>
        </w:tc>
        <w:tc>
          <w:tcPr>
            <w:tcW w:w="6713" w:type="dxa"/>
            <w:shd w:val="clear" w:color="auto" w:fill="auto"/>
            <w:tcMar>
              <w:top w:w="0" w:type="dxa"/>
              <w:left w:w="105" w:type="dxa"/>
              <w:bottom w:w="0" w:type="dxa"/>
              <w:right w:w="105" w:type="dxa"/>
            </w:tcMar>
            <w:vAlign w:val="top"/>
          </w:tcPr>
          <w:p w14:paraId="283D0250">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1、符合《医疗卫生机构网络安全管理办法》；</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2、患者数据加密存储（AES-256）；</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3、操作日志留存 ≥ 180天；</w:t>
            </w:r>
            <w:r>
              <w:rPr>
                <w:rFonts w:hint="eastAsia" w:ascii="仿宋" w:hAnsi="仿宋" w:eastAsia="仿宋" w:cs="仿宋"/>
                <w:sz w:val="24"/>
                <w:szCs w:val="24"/>
                <w:lang w:val="en-US" w:eastAsia="zh-CN"/>
              </w:rPr>
              <w:br w:type="textWrapping"/>
            </w:r>
            <w:r>
              <w:rPr>
                <w:rFonts w:hint="eastAsia" w:ascii="仿宋" w:hAnsi="仿宋" w:eastAsia="仿宋" w:cs="仿宋"/>
                <w:sz w:val="24"/>
                <w:szCs w:val="24"/>
                <w:lang w:val="en-US" w:eastAsia="zh-CN"/>
              </w:rPr>
              <w:t>4、通过等保三级认证（投标时提供承诺函）。</w:t>
            </w:r>
          </w:p>
        </w:tc>
      </w:tr>
      <w:tr w14:paraId="3228B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345" w:hRule="atLeast"/>
        </w:trPr>
        <w:tc>
          <w:tcPr>
            <w:tcW w:w="828" w:type="dxa"/>
            <w:vMerge w:val="continue"/>
            <w:shd w:val="clear" w:color="auto" w:fill="auto"/>
            <w:tcMar>
              <w:top w:w="0" w:type="dxa"/>
              <w:left w:w="105" w:type="dxa"/>
              <w:bottom w:w="0" w:type="dxa"/>
              <w:right w:w="105" w:type="dxa"/>
            </w:tcMar>
            <w:vAlign w:val="center"/>
          </w:tcPr>
          <w:p w14:paraId="10D4A097">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lang w:val="en-US" w:eastAsia="zh-CN"/>
              </w:rPr>
            </w:pPr>
          </w:p>
        </w:tc>
        <w:tc>
          <w:tcPr>
            <w:tcW w:w="958" w:type="dxa"/>
            <w:vMerge w:val="continue"/>
            <w:shd w:val="clear" w:color="auto" w:fill="auto"/>
            <w:tcMar>
              <w:top w:w="0" w:type="dxa"/>
              <w:left w:w="105" w:type="dxa"/>
              <w:bottom w:w="0" w:type="dxa"/>
              <w:right w:w="105" w:type="dxa"/>
            </w:tcMar>
            <w:vAlign w:val="center"/>
          </w:tcPr>
          <w:p w14:paraId="581B059C">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lang w:val="en-US" w:eastAsia="zh-CN"/>
              </w:rPr>
            </w:pPr>
          </w:p>
        </w:tc>
        <w:tc>
          <w:tcPr>
            <w:tcW w:w="1348" w:type="dxa"/>
            <w:shd w:val="clear" w:color="auto" w:fill="auto"/>
            <w:tcMar>
              <w:top w:w="0" w:type="dxa"/>
              <w:left w:w="105" w:type="dxa"/>
              <w:bottom w:w="0" w:type="dxa"/>
              <w:right w:w="105" w:type="dxa"/>
            </w:tcMar>
            <w:vAlign w:val="center"/>
          </w:tcPr>
          <w:p w14:paraId="2DAF3131">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部署要求</w:t>
            </w:r>
          </w:p>
        </w:tc>
        <w:tc>
          <w:tcPr>
            <w:tcW w:w="6713" w:type="dxa"/>
            <w:shd w:val="clear" w:color="auto" w:fill="auto"/>
            <w:tcMar>
              <w:top w:w="0" w:type="dxa"/>
              <w:left w:w="105" w:type="dxa"/>
              <w:bottom w:w="0" w:type="dxa"/>
              <w:right w:w="105" w:type="dxa"/>
            </w:tcMar>
            <w:vAlign w:val="top"/>
          </w:tcPr>
          <w:p w14:paraId="6EA334E9">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私有化部署</w:t>
            </w:r>
          </w:p>
        </w:tc>
      </w:tr>
    </w:tbl>
    <w:p w14:paraId="0EC0C21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kern w:val="2"/>
          <w:sz w:val="24"/>
          <w:szCs w:val="24"/>
        </w:rPr>
        <w:t>★服务要求</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829"/>
        <w:gridCol w:w="1473"/>
        <w:gridCol w:w="6109"/>
        <w:gridCol w:w="1436"/>
      </w:tblGrid>
      <w:tr w14:paraId="20349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29" w:type="dxa"/>
            <w:shd w:val="clear" w:color="auto" w:fill="auto"/>
            <w:tcMar>
              <w:top w:w="0" w:type="dxa"/>
              <w:left w:w="105" w:type="dxa"/>
              <w:bottom w:w="0" w:type="dxa"/>
              <w:right w:w="105" w:type="dxa"/>
            </w:tcMar>
            <w:vAlign w:val="top"/>
          </w:tcPr>
          <w:p w14:paraId="4AA88A7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b/>
                <w:bCs/>
                <w:kern w:val="2"/>
                <w:sz w:val="24"/>
                <w:szCs w:val="24"/>
                <w:lang w:val="en-US" w:eastAsia="zh-CN"/>
              </w:rPr>
            </w:pPr>
            <w:r>
              <w:rPr>
                <w:rFonts w:hint="eastAsia" w:ascii="仿宋" w:hAnsi="仿宋" w:eastAsia="仿宋" w:cs="仿宋"/>
                <w:b/>
                <w:bCs/>
                <w:kern w:val="2"/>
                <w:sz w:val="24"/>
                <w:szCs w:val="24"/>
                <w:lang w:val="en-US" w:eastAsia="zh-CN"/>
              </w:rPr>
              <w:t>序号</w:t>
            </w:r>
          </w:p>
        </w:tc>
        <w:tc>
          <w:tcPr>
            <w:tcW w:w="1473" w:type="dxa"/>
            <w:shd w:val="clear" w:color="auto" w:fill="auto"/>
            <w:tcMar>
              <w:top w:w="0" w:type="dxa"/>
              <w:left w:w="105" w:type="dxa"/>
              <w:bottom w:w="0" w:type="dxa"/>
              <w:right w:w="105" w:type="dxa"/>
            </w:tcMar>
            <w:vAlign w:val="top"/>
          </w:tcPr>
          <w:p w14:paraId="671D991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b/>
                <w:bCs/>
                <w:kern w:val="2"/>
                <w:sz w:val="24"/>
                <w:szCs w:val="24"/>
              </w:rPr>
            </w:pPr>
            <w:r>
              <w:rPr>
                <w:rFonts w:hint="eastAsia" w:ascii="仿宋" w:hAnsi="仿宋" w:eastAsia="仿宋" w:cs="仿宋"/>
                <w:b/>
                <w:bCs/>
                <w:kern w:val="2"/>
                <w:sz w:val="24"/>
                <w:szCs w:val="24"/>
              </w:rPr>
              <w:t>服务类型</w:t>
            </w:r>
          </w:p>
        </w:tc>
        <w:tc>
          <w:tcPr>
            <w:tcW w:w="6109" w:type="dxa"/>
            <w:shd w:val="clear" w:color="auto" w:fill="auto"/>
            <w:tcMar>
              <w:top w:w="0" w:type="dxa"/>
              <w:left w:w="105" w:type="dxa"/>
              <w:bottom w:w="0" w:type="dxa"/>
              <w:right w:w="105" w:type="dxa"/>
            </w:tcMar>
            <w:vAlign w:val="top"/>
          </w:tcPr>
          <w:p w14:paraId="3556344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b/>
                <w:bCs/>
                <w:kern w:val="2"/>
                <w:sz w:val="24"/>
                <w:szCs w:val="24"/>
              </w:rPr>
            </w:pPr>
            <w:r>
              <w:rPr>
                <w:rFonts w:hint="eastAsia" w:ascii="仿宋" w:hAnsi="仿宋" w:eastAsia="仿宋" w:cs="仿宋"/>
                <w:b/>
                <w:bCs/>
                <w:kern w:val="2"/>
                <w:sz w:val="24"/>
                <w:szCs w:val="24"/>
              </w:rPr>
              <w:t>服务内容</w:t>
            </w:r>
          </w:p>
        </w:tc>
        <w:tc>
          <w:tcPr>
            <w:tcW w:w="1436" w:type="dxa"/>
            <w:shd w:val="clear" w:color="auto" w:fill="auto"/>
            <w:tcMar>
              <w:top w:w="0" w:type="dxa"/>
              <w:left w:w="105" w:type="dxa"/>
              <w:bottom w:w="0" w:type="dxa"/>
              <w:right w:w="105" w:type="dxa"/>
            </w:tcMar>
            <w:vAlign w:val="top"/>
          </w:tcPr>
          <w:p w14:paraId="46E4ED6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b/>
                <w:bCs/>
                <w:kern w:val="2"/>
                <w:sz w:val="24"/>
                <w:szCs w:val="24"/>
              </w:rPr>
            </w:pPr>
            <w:r>
              <w:rPr>
                <w:rFonts w:hint="eastAsia" w:ascii="仿宋" w:hAnsi="仿宋" w:eastAsia="仿宋" w:cs="仿宋"/>
                <w:b/>
                <w:bCs/>
                <w:kern w:val="2"/>
                <w:sz w:val="24"/>
                <w:szCs w:val="24"/>
              </w:rPr>
              <w:t>服务期</w:t>
            </w:r>
          </w:p>
        </w:tc>
      </w:tr>
      <w:tr w14:paraId="77E63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29" w:type="dxa"/>
            <w:shd w:val="clear" w:color="auto" w:fill="auto"/>
            <w:tcMar>
              <w:top w:w="0" w:type="dxa"/>
              <w:left w:w="105" w:type="dxa"/>
              <w:bottom w:w="0" w:type="dxa"/>
              <w:right w:w="105" w:type="dxa"/>
            </w:tcMar>
            <w:vAlign w:val="center"/>
          </w:tcPr>
          <w:p w14:paraId="52C718D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kern w:val="2"/>
                <w:sz w:val="24"/>
                <w:szCs w:val="24"/>
              </w:rPr>
              <w:t>1</w:t>
            </w:r>
          </w:p>
        </w:tc>
        <w:tc>
          <w:tcPr>
            <w:tcW w:w="1473" w:type="dxa"/>
            <w:shd w:val="clear" w:color="auto" w:fill="auto"/>
            <w:tcMar>
              <w:top w:w="0" w:type="dxa"/>
              <w:left w:w="105" w:type="dxa"/>
              <w:bottom w:w="0" w:type="dxa"/>
              <w:right w:w="105" w:type="dxa"/>
            </w:tcMar>
            <w:vAlign w:val="center"/>
          </w:tcPr>
          <w:p w14:paraId="3342C8D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kern w:val="2"/>
                <w:sz w:val="24"/>
                <w:szCs w:val="24"/>
              </w:rPr>
              <w:t>基本服务</w:t>
            </w:r>
          </w:p>
        </w:tc>
        <w:tc>
          <w:tcPr>
            <w:tcW w:w="6109" w:type="dxa"/>
            <w:shd w:val="clear" w:color="auto" w:fill="auto"/>
            <w:tcMar>
              <w:top w:w="0" w:type="dxa"/>
              <w:left w:w="105" w:type="dxa"/>
              <w:bottom w:w="0" w:type="dxa"/>
              <w:right w:w="105" w:type="dxa"/>
            </w:tcMar>
            <w:vAlign w:val="top"/>
          </w:tcPr>
          <w:p w14:paraId="58B0A3D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kern w:val="2"/>
                <w:sz w:val="24"/>
                <w:szCs w:val="24"/>
              </w:rPr>
              <w:t>基本服务至少满足以下内容：</w:t>
            </w:r>
          </w:p>
          <w:p w14:paraId="73FCCAE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b/>
                <w:bCs/>
                <w:kern w:val="2"/>
                <w:sz w:val="24"/>
                <w:szCs w:val="24"/>
              </w:rPr>
              <w:t>1、稳定性：</w:t>
            </w:r>
            <w:r>
              <w:rPr>
                <w:rFonts w:hint="eastAsia" w:ascii="仿宋" w:hAnsi="仿宋" w:eastAsia="仿宋" w:cs="仿宋"/>
                <w:kern w:val="2"/>
                <w:sz w:val="24"/>
                <w:szCs w:val="24"/>
              </w:rPr>
              <w:t>服务期内需保障业务稳定，不无故出现崩溃或宕机现象；</w:t>
            </w:r>
          </w:p>
          <w:p w14:paraId="45801DD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b/>
                <w:bCs/>
                <w:kern w:val="2"/>
                <w:sz w:val="24"/>
                <w:szCs w:val="24"/>
              </w:rPr>
              <w:t>2、安全性：</w:t>
            </w:r>
            <w:r>
              <w:rPr>
                <w:rFonts w:hint="eastAsia" w:ascii="仿宋" w:hAnsi="仿宋" w:eastAsia="仿宋" w:cs="仿宋"/>
                <w:kern w:val="2"/>
                <w:sz w:val="24"/>
                <w:szCs w:val="24"/>
              </w:rPr>
              <w:t>具备完善的安全防护机制，做好数据备份，在合同签订后15个工作日内提交《安全事件应急响应手册》，重大安全事件（数据泄露、勒索病毒等）30 分钟内电话通报、2小时内到场、4小时内出具初步处置报告；</w:t>
            </w:r>
          </w:p>
          <w:p w14:paraId="57E4DCA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b/>
                <w:bCs/>
                <w:kern w:val="2"/>
                <w:sz w:val="24"/>
                <w:szCs w:val="24"/>
              </w:rPr>
              <w:t>3、数据质量：</w:t>
            </w:r>
            <w:r>
              <w:rPr>
                <w:rFonts w:hint="eastAsia" w:ascii="仿宋" w:hAnsi="仿宋" w:eastAsia="仿宋" w:cs="仿宋"/>
                <w:kern w:val="2"/>
                <w:sz w:val="24"/>
                <w:szCs w:val="24"/>
              </w:rPr>
              <w:t>供应商收到异议后，</w:t>
            </w:r>
            <w:r>
              <w:rPr>
                <w:rFonts w:hint="eastAsia" w:ascii="仿宋" w:hAnsi="仿宋" w:eastAsia="仿宋" w:cs="仿宋"/>
                <w:kern w:val="2"/>
                <w:sz w:val="24"/>
                <w:szCs w:val="24"/>
                <w:lang w:eastAsia="zh-CN"/>
              </w:rPr>
              <w:t>成交</w:t>
            </w:r>
            <w:r>
              <w:rPr>
                <w:rFonts w:hint="eastAsia" w:ascii="仿宋" w:hAnsi="仿宋" w:eastAsia="仿宋" w:cs="仿宋"/>
                <w:kern w:val="2"/>
                <w:sz w:val="24"/>
                <w:szCs w:val="24"/>
              </w:rPr>
              <w:t>供应商应在5个工作日内对数据质量问题进行原因查找和反馈，30个工作日内对数据质量问题进行数据清洗；</w:t>
            </w:r>
          </w:p>
          <w:p w14:paraId="787DCE82">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b/>
                <w:bCs/>
                <w:kern w:val="2"/>
                <w:sz w:val="24"/>
                <w:szCs w:val="24"/>
              </w:rPr>
              <w:t>4、响应速度：</w:t>
            </w:r>
            <w:r>
              <w:rPr>
                <w:rFonts w:hint="eastAsia" w:ascii="仿宋" w:hAnsi="仿宋" w:eastAsia="仿宋" w:cs="仿宋"/>
                <w:kern w:val="2"/>
                <w:sz w:val="24"/>
                <w:szCs w:val="24"/>
              </w:rPr>
              <w:t>服务期内，采购人通过电话、微信、现场提出的支持需求，供应商须在需求提出的当日完成响应；</w:t>
            </w:r>
          </w:p>
          <w:p w14:paraId="4E97252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b/>
                <w:bCs/>
                <w:kern w:val="2"/>
                <w:sz w:val="24"/>
                <w:szCs w:val="24"/>
              </w:rPr>
              <w:t>5、备件供应</w:t>
            </w:r>
            <w:r>
              <w:rPr>
                <w:rFonts w:hint="eastAsia" w:ascii="仿宋" w:hAnsi="仿宋" w:eastAsia="仿宋" w:cs="仿宋"/>
                <w:kern w:val="2"/>
                <w:sz w:val="24"/>
                <w:szCs w:val="24"/>
              </w:rPr>
              <w:t>：服务期内设备故障并经排查，明确2小时内无法恢复，应当在4小时内提供相同类型和性能的可用机器恢复业务工作，直至故障排除；</w:t>
            </w:r>
          </w:p>
          <w:p w14:paraId="39EF813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b/>
                <w:bCs/>
                <w:kern w:val="2"/>
                <w:sz w:val="24"/>
                <w:szCs w:val="24"/>
              </w:rPr>
              <w:t>6、定期巡检：</w:t>
            </w:r>
            <w:r>
              <w:rPr>
                <w:rFonts w:hint="eastAsia" w:ascii="仿宋" w:hAnsi="仿宋" w:eastAsia="仿宋" w:cs="仿宋"/>
                <w:kern w:val="2"/>
                <w:sz w:val="24"/>
                <w:szCs w:val="24"/>
              </w:rPr>
              <w:t>服务期内每月提供至少1次软硬件服务期巡检报告；</w:t>
            </w:r>
          </w:p>
          <w:p w14:paraId="0922FB9B">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b/>
                <w:bCs/>
                <w:kern w:val="2"/>
                <w:sz w:val="24"/>
                <w:szCs w:val="24"/>
              </w:rPr>
              <w:t>7、培训服务：</w:t>
            </w:r>
            <w:r>
              <w:rPr>
                <w:rFonts w:hint="eastAsia" w:ascii="仿宋" w:hAnsi="仿宋" w:eastAsia="仿宋" w:cs="仿宋"/>
                <w:kern w:val="2"/>
                <w:sz w:val="24"/>
                <w:szCs w:val="24"/>
              </w:rPr>
              <w:t>每年提供≥2次培训服务，并提交培训方案和签到表；</w:t>
            </w:r>
          </w:p>
          <w:p w14:paraId="0771619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b/>
                <w:bCs/>
                <w:kern w:val="2"/>
                <w:sz w:val="24"/>
                <w:szCs w:val="24"/>
              </w:rPr>
              <w:t>8、文档服务：</w:t>
            </w:r>
            <w:r>
              <w:rPr>
                <w:rFonts w:hint="eastAsia" w:ascii="仿宋" w:hAnsi="仿宋" w:eastAsia="仿宋" w:cs="仿宋"/>
                <w:kern w:val="2"/>
                <w:sz w:val="24"/>
                <w:szCs w:val="24"/>
              </w:rPr>
              <w:t>上线运行之日提交本次采购内容的《四川省人民医院应用系统档案》。服务期满后需提交本次采购内容的运维记录签字扫描版本。</w:t>
            </w:r>
          </w:p>
          <w:p w14:paraId="0AB08F7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b/>
                <w:bCs/>
                <w:kern w:val="2"/>
                <w:sz w:val="24"/>
                <w:szCs w:val="24"/>
              </w:rPr>
            </w:pPr>
            <w:r>
              <w:rPr>
                <w:rFonts w:hint="eastAsia" w:ascii="仿宋" w:hAnsi="仿宋" w:eastAsia="仿宋" w:cs="仿宋"/>
                <w:b/>
                <w:bCs/>
                <w:kern w:val="2"/>
                <w:sz w:val="24"/>
                <w:szCs w:val="24"/>
              </w:rPr>
              <w:t>9、其他：</w:t>
            </w:r>
          </w:p>
          <w:p w14:paraId="68D21A93">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kern w:val="2"/>
                <w:sz w:val="24"/>
                <w:szCs w:val="24"/>
              </w:rPr>
              <w:t>1）</w:t>
            </w:r>
            <w:r>
              <w:rPr>
                <w:rFonts w:hint="eastAsia" w:ascii="仿宋" w:hAnsi="仿宋" w:eastAsia="仿宋" w:cs="仿宋"/>
                <w:kern w:val="2"/>
                <w:sz w:val="24"/>
                <w:szCs w:val="24"/>
                <w:lang w:val="en-US" w:eastAsia="zh-CN"/>
              </w:rPr>
              <w:t>服务期内，采购人每月按照四川省人民医院供应商考核指标对供应商行为进行评价考核，考核结果关联最终付款金额和履约保证金（如有履约保证金）</w:t>
            </w:r>
            <w:r>
              <w:rPr>
                <w:rFonts w:hint="eastAsia" w:ascii="仿宋" w:hAnsi="仿宋" w:eastAsia="仿宋" w:cs="仿宋"/>
                <w:kern w:val="2"/>
                <w:sz w:val="24"/>
                <w:szCs w:val="24"/>
              </w:rPr>
              <w:t>。</w:t>
            </w:r>
          </w:p>
          <w:p w14:paraId="27C203D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kern w:val="2"/>
                <w:sz w:val="24"/>
                <w:szCs w:val="24"/>
              </w:rPr>
              <w:t>2）</w:t>
            </w:r>
            <w:r>
              <w:rPr>
                <w:rFonts w:hint="eastAsia" w:ascii="仿宋" w:hAnsi="仿宋" w:eastAsia="仿宋" w:cs="仿宋"/>
                <w:kern w:val="2"/>
                <w:sz w:val="24"/>
                <w:szCs w:val="24"/>
                <w:lang w:eastAsia="zh-CN"/>
              </w:rPr>
              <w:t>成交</w:t>
            </w:r>
            <w:r>
              <w:rPr>
                <w:rFonts w:hint="eastAsia" w:ascii="仿宋" w:hAnsi="仿宋" w:eastAsia="仿宋" w:cs="仿宋"/>
                <w:kern w:val="2"/>
                <w:sz w:val="24"/>
                <w:szCs w:val="24"/>
              </w:rPr>
              <w:t>供应商应当与本项目相关的第三方保持有痕的沟通，明确项目的具体要求和功能等方面的细节。采购人负责组织、监督和验收，以确保项目的顺利完成。</w:t>
            </w:r>
          </w:p>
          <w:p w14:paraId="458BA93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kern w:val="2"/>
                <w:sz w:val="24"/>
                <w:szCs w:val="24"/>
              </w:rPr>
              <w:t>3）如涉及因本项目开发的系统原因造成采购人的经济损失，由</w:t>
            </w:r>
            <w:r>
              <w:rPr>
                <w:rFonts w:hint="eastAsia" w:ascii="仿宋" w:hAnsi="仿宋" w:eastAsia="仿宋" w:cs="仿宋"/>
                <w:kern w:val="2"/>
                <w:sz w:val="24"/>
                <w:szCs w:val="24"/>
                <w:lang w:eastAsia="zh-CN"/>
              </w:rPr>
              <w:t>成交</w:t>
            </w:r>
            <w:r>
              <w:rPr>
                <w:rFonts w:hint="eastAsia" w:ascii="仿宋" w:hAnsi="仿宋" w:eastAsia="仿宋" w:cs="仿宋"/>
                <w:kern w:val="2"/>
                <w:sz w:val="24"/>
                <w:szCs w:val="24"/>
              </w:rPr>
              <w:t>供应商负责向采购人进行赔偿。</w:t>
            </w:r>
          </w:p>
        </w:tc>
        <w:tc>
          <w:tcPr>
            <w:tcW w:w="1436" w:type="dxa"/>
            <w:shd w:val="clear" w:color="auto" w:fill="auto"/>
            <w:tcMar>
              <w:top w:w="0" w:type="dxa"/>
              <w:left w:w="105" w:type="dxa"/>
              <w:bottom w:w="0" w:type="dxa"/>
              <w:right w:w="105" w:type="dxa"/>
            </w:tcMar>
            <w:vAlign w:val="center"/>
          </w:tcPr>
          <w:p w14:paraId="392CDB8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kern w:val="2"/>
                <w:sz w:val="24"/>
                <w:szCs w:val="24"/>
              </w:rPr>
              <w:t>验收合格之日起，提供不低于3年</w:t>
            </w:r>
          </w:p>
        </w:tc>
      </w:tr>
      <w:tr w14:paraId="7EB66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29" w:type="dxa"/>
            <w:shd w:val="clear" w:color="auto" w:fill="auto"/>
            <w:tcMar>
              <w:top w:w="0" w:type="dxa"/>
              <w:left w:w="105" w:type="dxa"/>
              <w:bottom w:w="0" w:type="dxa"/>
              <w:right w:w="105" w:type="dxa"/>
            </w:tcMar>
            <w:vAlign w:val="center"/>
          </w:tcPr>
          <w:p w14:paraId="431AE0F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kern w:val="2"/>
                <w:sz w:val="24"/>
                <w:szCs w:val="24"/>
              </w:rPr>
              <w:t>2</w:t>
            </w:r>
          </w:p>
        </w:tc>
        <w:tc>
          <w:tcPr>
            <w:tcW w:w="1473" w:type="dxa"/>
            <w:shd w:val="clear" w:color="auto" w:fill="auto"/>
            <w:tcMar>
              <w:top w:w="0" w:type="dxa"/>
              <w:left w:w="105" w:type="dxa"/>
              <w:bottom w:w="0" w:type="dxa"/>
              <w:right w:w="105" w:type="dxa"/>
            </w:tcMar>
            <w:vAlign w:val="center"/>
          </w:tcPr>
          <w:p w14:paraId="5D57821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kern w:val="2"/>
                <w:sz w:val="24"/>
                <w:szCs w:val="24"/>
              </w:rPr>
              <w:t>质保服务</w:t>
            </w:r>
          </w:p>
        </w:tc>
        <w:tc>
          <w:tcPr>
            <w:tcW w:w="6109" w:type="dxa"/>
            <w:shd w:val="clear" w:color="auto" w:fill="auto"/>
            <w:tcMar>
              <w:top w:w="0" w:type="dxa"/>
              <w:left w:w="105" w:type="dxa"/>
              <w:bottom w:w="0" w:type="dxa"/>
              <w:right w:w="105" w:type="dxa"/>
            </w:tcMar>
            <w:vAlign w:val="center"/>
          </w:tcPr>
          <w:p w14:paraId="4CB26BE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kern w:val="2"/>
                <w:sz w:val="24"/>
                <w:szCs w:val="24"/>
              </w:rPr>
              <w:t>保证软件功能正常运行，提供7*24小时原厂质保服务。</w:t>
            </w:r>
          </w:p>
        </w:tc>
        <w:tc>
          <w:tcPr>
            <w:tcW w:w="1436" w:type="dxa"/>
            <w:shd w:val="clear" w:color="auto" w:fill="auto"/>
            <w:tcMar>
              <w:top w:w="0" w:type="dxa"/>
              <w:left w:w="105" w:type="dxa"/>
              <w:bottom w:w="0" w:type="dxa"/>
              <w:right w:w="105" w:type="dxa"/>
            </w:tcMar>
            <w:vAlign w:val="top"/>
          </w:tcPr>
          <w:p w14:paraId="7DFBFB5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kern w:val="2"/>
                <w:sz w:val="24"/>
                <w:szCs w:val="24"/>
              </w:rPr>
              <w:t>验收合格之日起，提供不低于3年</w:t>
            </w:r>
          </w:p>
        </w:tc>
      </w:tr>
    </w:tbl>
    <w:p w14:paraId="17DE4CE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480" w:leftChars="0" w:hanging="480" w:hangingChars="200"/>
        <w:textAlignment w:val="auto"/>
        <w:rPr>
          <w:rFonts w:hint="eastAsia" w:ascii="仿宋" w:hAnsi="仿宋" w:eastAsia="仿宋" w:cs="仿宋"/>
          <w:b/>
          <w:bCs/>
          <w:sz w:val="24"/>
          <w:szCs w:val="24"/>
        </w:rPr>
      </w:pPr>
      <w:r>
        <w:rPr>
          <w:rFonts w:hint="eastAsia" w:ascii="仿宋" w:hAnsi="仿宋" w:eastAsia="仿宋" w:cs="仿宋"/>
          <w:kern w:val="2"/>
          <w:sz w:val="24"/>
          <w:szCs w:val="24"/>
        </w:rPr>
        <w:t>★</w:t>
      </w:r>
      <w:r>
        <w:rPr>
          <w:rFonts w:hint="eastAsia" w:ascii="仿宋" w:hAnsi="仿宋" w:eastAsia="仿宋" w:cs="仿宋"/>
          <w:b/>
          <w:bCs/>
          <w:kern w:val="2"/>
          <w:sz w:val="24"/>
          <w:szCs w:val="24"/>
          <w:lang w:val="en-US" w:eastAsia="zh-CN" w:bidi="ar-SA"/>
        </w:rPr>
        <w:t>四、</w:t>
      </w:r>
      <w:r>
        <w:rPr>
          <w:rFonts w:hint="eastAsia" w:ascii="仿宋" w:hAnsi="仿宋" w:eastAsia="仿宋" w:cs="仿宋"/>
          <w:b/>
          <w:bCs/>
          <w:sz w:val="24"/>
          <w:szCs w:val="24"/>
        </w:rPr>
        <w:t>商务要求</w:t>
      </w:r>
    </w:p>
    <w:p w14:paraId="6E1528B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1.实施时间：合同生效后，需在5个工作日内开始实施。</w:t>
      </w:r>
    </w:p>
    <w:p w14:paraId="2B07641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实施周期：本项目开始实施之日起120日内，完成本项目包含的所有软件功能的上线运行。未在实施周期内完成，视为供应商违约并自动放弃该项目，采购人有权终止合同，合同所有款项将不予支付（如有履约保证金，将不予退还），已支付款项，供应商应于7个工作日内退还采购人。</w:t>
      </w:r>
    </w:p>
    <w:p w14:paraId="1C6C61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lang w:val="en-US" w:eastAsia="zh-CN"/>
        </w:rPr>
        <w:t>3</w:t>
      </w:r>
      <w:r>
        <w:rPr>
          <w:rFonts w:hint="eastAsia" w:ascii="仿宋" w:hAnsi="仿宋" w:eastAsia="仿宋" w:cs="仿宋"/>
          <w:sz w:val="24"/>
          <w:szCs w:val="24"/>
          <w:highlight w:val="none"/>
          <w:lang w:val="en-US" w:eastAsia="zh-CN"/>
        </w:rPr>
        <w:t>.服务</w:t>
      </w:r>
      <w:r>
        <w:rPr>
          <w:rFonts w:hint="eastAsia" w:ascii="仿宋" w:hAnsi="仿宋" w:eastAsia="仿宋" w:cs="仿宋"/>
          <w:sz w:val="24"/>
          <w:szCs w:val="24"/>
          <w:highlight w:val="none"/>
        </w:rPr>
        <w:t>地点：</w:t>
      </w:r>
      <w:r>
        <w:rPr>
          <w:rFonts w:hint="eastAsia" w:ascii="仿宋" w:hAnsi="仿宋" w:eastAsia="仿宋" w:cs="仿宋"/>
          <w:sz w:val="24"/>
          <w:szCs w:val="24"/>
          <w:highlight w:val="none"/>
          <w:lang w:val="en-US" w:eastAsia="zh-CN"/>
        </w:rPr>
        <w:t>本项目涉及的四川省人民医院所有院区。</w:t>
      </w:r>
    </w:p>
    <w:p w14:paraId="024B48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rPr>
        <w:t>付款</w:t>
      </w:r>
      <w:r>
        <w:rPr>
          <w:rFonts w:hint="eastAsia" w:ascii="仿宋" w:hAnsi="仿宋" w:eastAsia="仿宋" w:cs="仿宋"/>
          <w:sz w:val="24"/>
          <w:szCs w:val="24"/>
          <w:lang w:val="en-US" w:eastAsia="zh-CN"/>
        </w:rPr>
        <w:t>条件</w:t>
      </w:r>
    </w:p>
    <w:p w14:paraId="54A2462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rPr>
      </w:pPr>
      <w:bookmarkStart w:id="15" w:name="_Toc18622"/>
      <w:bookmarkEnd w:id="15"/>
      <w:bookmarkStart w:id="16" w:name="_Toc153964904"/>
      <w:bookmarkEnd w:id="16"/>
      <w:r>
        <w:rPr>
          <w:rFonts w:hint="eastAsia" w:ascii="仿宋" w:hAnsi="仿宋" w:eastAsia="仿宋" w:cs="仿宋"/>
          <w:sz w:val="24"/>
          <w:szCs w:val="24"/>
          <w:lang w:val="en-US" w:eastAsia="zh-CN"/>
        </w:rPr>
        <w:t>总价包干，第一次付款：合同签订生效且项目验收通过后，供应商于5日内向四川省人民医院提供合法有效票据及其他相关请款资料，四川省人民医院于接到上述票据及资料后的10日内向中国农业银行股份有限公司成都光华支行出具《付款确认书》，中国农业银行股份有限公司成都光华支行收到《付款确认书》后80日内向供应商支付本次合同总价的80%。第二次付款：服务期满后，供应商于5日内向四川省人民医院提供合法有效票据及其他相关请款资料，四川省人民医院于接到上述票据及资料后的10日内向中国农业银行股份有限公司成都光华支行出具《付款确认书》，中国农业银行股份有限公司成都光华支行收到《付款确认书》后80日内向供应商支付合同总价的20%（如有因考核等原因产生的扣款，应在支付前予以扣除）</w:t>
      </w:r>
      <w:bookmarkStart w:id="97" w:name="_GoBack"/>
      <w:bookmarkEnd w:id="97"/>
      <w:r>
        <w:rPr>
          <w:rFonts w:hint="eastAsia" w:ascii="仿宋" w:hAnsi="仿宋" w:eastAsia="仿宋" w:cs="仿宋"/>
          <w:sz w:val="24"/>
          <w:szCs w:val="24"/>
          <w:lang w:val="en-US" w:eastAsia="zh-CN"/>
        </w:rPr>
        <w:t>。</w:t>
      </w:r>
    </w:p>
    <w:p w14:paraId="4741AFE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5.履约验收方案</w:t>
      </w:r>
    </w:p>
    <w:p w14:paraId="38B6A9C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（1）验收主体：采购人</w:t>
      </w:r>
    </w:p>
    <w:p w14:paraId="57A51DC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（2）验收组织方式：自行验收</w:t>
      </w:r>
    </w:p>
    <w:p w14:paraId="6F002EC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（3）验收程序：一次性验收</w:t>
      </w:r>
    </w:p>
    <w:p w14:paraId="241065C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（4）验收方式：现场整体验收</w:t>
      </w:r>
    </w:p>
    <w:p w14:paraId="277E01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（5）履约验收内容：按照基于本项目采购需求编制的采购文件要求及成交供应商投标文件响应情况，由成交供应商向采购人交付的全部内容。</w:t>
      </w:r>
    </w:p>
    <w:p w14:paraId="5778B2C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（6）履约验收时间：供应商实现本项目软件功能上线并完成试运行，满足验收条件后，采购人在10个工作日内组织验收。</w:t>
      </w:r>
    </w:p>
    <w:p w14:paraId="63BC65D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（7）是否邀请本项目的其他供应商:否</w:t>
      </w:r>
    </w:p>
    <w:p w14:paraId="7E9B965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（8）是否邀请专家：否</w:t>
      </w:r>
    </w:p>
    <w:p w14:paraId="73A3D5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（9）是否邀请服务对象：否</w:t>
      </w:r>
    </w:p>
    <w:p w14:paraId="4E709A7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（10）是否邀请第三方检测机构：否</w:t>
      </w:r>
    </w:p>
    <w:p w14:paraId="3B98E2E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（11）验收标准：</w:t>
      </w:r>
    </w:p>
    <w:p w14:paraId="7FD60C8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1）国家相关法律法规、行业标准、技术规范。</w:t>
      </w:r>
    </w:p>
    <w:p w14:paraId="223244A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2）基于本项目采购需求编制的采购文件相关技术、服务要求、供应商响应文件相关响应内容。</w:t>
      </w:r>
    </w:p>
    <w:p w14:paraId="510B4B6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3）产品生产厂家出具的产品说明书、技术白皮书等官方技术资料（如涉及）</w:t>
      </w:r>
    </w:p>
    <w:p w14:paraId="3FBFD51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4）如验收时，采购人与供应商认为本项目验收标准中的技术指标、质量要求等内容存在相互抵触或对其理解存在异议，应按照其中更严格的要求、标准等进行验收。</w:t>
      </w:r>
    </w:p>
    <w:p w14:paraId="408B22C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5）按照《财政部关于进一步加强政府采购需求和履约验收管理的指导意见》（财库〔2016〕205号）的要求进行验收。（如本项目不涉及政府采购，将参照此条款）</w:t>
      </w:r>
    </w:p>
    <w:p w14:paraId="53A596E0">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6）如本项目验收方式为考核验收，则考核结果须为合格。</w:t>
      </w:r>
    </w:p>
    <w:p w14:paraId="0CDEE98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7）其它标准：无。</w:t>
      </w:r>
    </w:p>
    <w:p w14:paraId="05B2C7A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（12）履约验收其它事项：无。</w:t>
      </w:r>
    </w:p>
    <w:p w14:paraId="057F0D4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6.知识产权归属：由采购人、供应商双方共同开发的项目：采购人、供应商双方共同研发的该系统软件产品，知识产权归采购人、供应商双方共同拥有，软件所有数据归采购人所有。</w:t>
      </w:r>
    </w:p>
    <w:p w14:paraId="5B5A77DE">
      <w:pPr>
        <w:keepNext w:val="0"/>
        <w:keepLines w:val="0"/>
        <w:pageBreakBefore w:val="0"/>
        <w:widowControl w:val="0"/>
        <w:kinsoku/>
        <w:wordWrap/>
        <w:overflowPunct/>
        <w:topLinePunct w:val="0"/>
        <w:autoSpaceDE/>
        <w:autoSpaceDN/>
        <w:bidi w:val="0"/>
        <w:adjustRightInd w:val="0"/>
        <w:snapToGrid w:val="0"/>
        <w:spacing w:line="360" w:lineRule="auto"/>
        <w:ind w:left="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五、履约要求</w:t>
      </w:r>
    </w:p>
    <w:p w14:paraId="78EC7AB7">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1.项目实施方案</w:t>
      </w:r>
    </w:p>
    <w:p w14:paraId="5B67590B">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供应商需提供针对本项目编制的项目实施方案，包括①项目实施计划、②系统对接方案、③质量保障措施、④应急响应措施、⑤售后服务方案。</w:t>
      </w:r>
    </w:p>
    <w:p w14:paraId="3BB97F4D">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2.业绩</w:t>
      </w:r>
    </w:p>
    <w:p w14:paraId="00A48AE2">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供应商提供2023年1月1日（含）以来预就诊服务系统类似项目的业绩证明。</w:t>
      </w:r>
    </w:p>
    <w:p w14:paraId="1A549D17">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注：提供采购合同关键页（合同首页、建设内容、金额、签字盖章页）材料复印件，并加盖供应商公章。</w:t>
      </w:r>
    </w:p>
    <w:p w14:paraId="2576330B">
      <w:pPr>
        <w:rPr>
          <w:rFonts w:hint="eastAsia" w:ascii="仿宋" w:hAnsi="仿宋" w:eastAsia="仿宋" w:cs="仿宋"/>
          <w:sz w:val="24"/>
          <w:szCs w:val="24"/>
        </w:rPr>
      </w:pPr>
    </w:p>
    <w:p w14:paraId="3FDACE5C">
      <w:pPr>
        <w:rPr>
          <w:rFonts w:hint="eastAsia" w:ascii="仿宋" w:hAnsi="仿宋" w:eastAsia="仿宋" w:cs="仿宋"/>
          <w:sz w:val="24"/>
          <w:szCs w:val="24"/>
        </w:rPr>
      </w:pPr>
      <w:r>
        <w:rPr>
          <w:rFonts w:hint="eastAsia" w:ascii="仿宋" w:hAnsi="仿宋" w:eastAsia="仿宋" w:cs="仿宋"/>
          <w:sz w:val="24"/>
          <w:szCs w:val="24"/>
        </w:rPr>
        <w:br w:type="page"/>
      </w:r>
    </w:p>
    <w:p w14:paraId="1EBBBA03">
      <w:pPr>
        <w:pStyle w:val="2"/>
        <w:keepNext w:val="0"/>
        <w:keepLines w:val="0"/>
        <w:widowControl/>
        <w:numPr>
          <w:ilvl w:val="0"/>
          <w:numId w:val="0"/>
        </w:numPr>
        <w:suppressLineNumbers w:val="0"/>
        <w:spacing w:line="240" w:lineRule="auto"/>
        <w:ind w:leftChars="0"/>
        <w:jc w:val="both"/>
        <w:rPr>
          <w:rFonts w:hint="eastAsia" w:ascii="仿宋" w:hAnsi="仿宋" w:eastAsia="仿宋" w:cs="仿宋"/>
          <w:sz w:val="24"/>
          <w:szCs w:val="24"/>
        </w:rPr>
      </w:pPr>
      <w:r>
        <w:rPr>
          <w:rFonts w:hint="eastAsia" w:ascii="仿宋" w:hAnsi="仿宋" w:eastAsia="仿宋" w:cs="仿宋"/>
          <w:kern w:val="2"/>
          <w:sz w:val="24"/>
          <w:szCs w:val="24"/>
        </w:rPr>
        <w:t>★供应商考核</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262"/>
        <w:gridCol w:w="1558"/>
        <w:gridCol w:w="1731"/>
        <w:gridCol w:w="1367"/>
        <w:gridCol w:w="3150"/>
        <w:gridCol w:w="779"/>
      </w:tblGrid>
      <w:tr w14:paraId="470D5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520" w:type="dxa"/>
            <w:gridSpan w:val="6"/>
            <w:shd w:val="clear" w:color="auto" w:fill="auto"/>
            <w:tcMar>
              <w:top w:w="0" w:type="dxa"/>
              <w:left w:w="105" w:type="dxa"/>
              <w:bottom w:w="0" w:type="dxa"/>
              <w:right w:w="105" w:type="dxa"/>
            </w:tcMar>
            <w:vAlign w:val="top"/>
          </w:tcPr>
          <w:p w14:paraId="09EF1858">
            <w:pPr>
              <w:keepNext w:val="0"/>
              <w:keepLines w:val="0"/>
              <w:widowControl/>
              <w:suppressLineNumbers w:val="0"/>
              <w:spacing w:before="0" w:beforeAutospacing="1" w:after="0" w:afterAutospacing="1"/>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32"/>
                <w:szCs w:val="32"/>
                <w:lang w:val="en-US" w:eastAsia="zh-CN" w:bidi="ar"/>
              </w:rPr>
              <w:t>四川省人民医院供应商考核</w:t>
            </w:r>
          </w:p>
        </w:tc>
      </w:tr>
      <w:tr w14:paraId="615B8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2E451AB1">
            <w:pPr>
              <w:keepNext w:val="0"/>
              <w:keepLines w:val="0"/>
              <w:widowControl/>
              <w:suppressLineNumbers w:val="0"/>
              <w:spacing w:before="0" w:beforeAutospacing="1" w:after="0" w:afterAutospacing="1" w:line="36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供应商</w:t>
            </w:r>
          </w:p>
        </w:tc>
        <w:tc>
          <w:tcPr>
            <w:tcW w:w="2850" w:type="dxa"/>
            <w:gridSpan w:val="2"/>
            <w:shd w:val="clear" w:color="auto" w:fill="auto"/>
            <w:tcMar>
              <w:top w:w="0" w:type="dxa"/>
              <w:left w:w="105" w:type="dxa"/>
              <w:bottom w:w="0" w:type="dxa"/>
              <w:right w:w="105" w:type="dxa"/>
            </w:tcMar>
            <w:vAlign w:val="center"/>
          </w:tcPr>
          <w:p w14:paraId="70031DB3">
            <w:pPr>
              <w:keepNext w:val="0"/>
              <w:keepLines w:val="0"/>
              <w:widowControl/>
              <w:suppressLineNumbers w:val="0"/>
              <w:jc w:val="left"/>
              <w:rPr>
                <w:rFonts w:hint="eastAsia" w:ascii="仿宋" w:hAnsi="仿宋" w:eastAsia="仿宋" w:cs="仿宋"/>
                <w:kern w:val="0"/>
                <w:sz w:val="24"/>
                <w:szCs w:val="24"/>
                <w:lang w:bidi="ar"/>
              </w:rPr>
            </w:pPr>
          </w:p>
        </w:tc>
        <w:tc>
          <w:tcPr>
            <w:tcW w:w="1185" w:type="dxa"/>
            <w:shd w:val="clear" w:color="auto" w:fill="auto"/>
            <w:tcMar>
              <w:top w:w="0" w:type="dxa"/>
              <w:left w:w="105" w:type="dxa"/>
              <w:bottom w:w="0" w:type="dxa"/>
              <w:right w:w="105" w:type="dxa"/>
            </w:tcMar>
            <w:vAlign w:val="center"/>
          </w:tcPr>
          <w:p w14:paraId="25545797">
            <w:pPr>
              <w:keepNext w:val="0"/>
              <w:keepLines w:val="0"/>
              <w:widowControl/>
              <w:suppressLineNumbers w:val="0"/>
              <w:spacing w:before="0" w:beforeAutospacing="1" w:after="0" w:afterAutospacing="1" w:line="36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合同名</w:t>
            </w:r>
          </w:p>
        </w:tc>
        <w:tc>
          <w:tcPr>
            <w:tcW w:w="3390" w:type="dxa"/>
            <w:gridSpan w:val="2"/>
            <w:shd w:val="clear" w:color="auto" w:fill="auto"/>
            <w:tcMar>
              <w:top w:w="0" w:type="dxa"/>
              <w:left w:w="105" w:type="dxa"/>
              <w:bottom w:w="0" w:type="dxa"/>
              <w:right w:w="105" w:type="dxa"/>
            </w:tcMar>
            <w:vAlign w:val="top"/>
          </w:tcPr>
          <w:p w14:paraId="1192B5C8">
            <w:pPr>
              <w:keepNext w:val="0"/>
              <w:keepLines w:val="0"/>
              <w:widowControl/>
              <w:suppressLineNumbers w:val="0"/>
              <w:jc w:val="left"/>
              <w:rPr>
                <w:rFonts w:hint="eastAsia" w:ascii="仿宋" w:hAnsi="仿宋" w:eastAsia="仿宋" w:cs="仿宋"/>
                <w:kern w:val="0"/>
                <w:sz w:val="24"/>
                <w:szCs w:val="24"/>
                <w:lang w:bidi="ar"/>
              </w:rPr>
            </w:pPr>
          </w:p>
        </w:tc>
      </w:tr>
      <w:tr w14:paraId="017F2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6857769C">
            <w:pPr>
              <w:keepNext w:val="0"/>
              <w:keepLines w:val="0"/>
              <w:widowControl/>
              <w:suppressLineNumbers w:val="0"/>
              <w:spacing w:before="0" w:beforeAutospacing="1" w:after="0" w:afterAutospacing="1" w:line="36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指标类别</w:t>
            </w:r>
          </w:p>
        </w:tc>
        <w:tc>
          <w:tcPr>
            <w:tcW w:w="1350" w:type="dxa"/>
            <w:shd w:val="clear" w:color="auto" w:fill="auto"/>
            <w:tcMar>
              <w:top w:w="0" w:type="dxa"/>
              <w:left w:w="105" w:type="dxa"/>
              <w:bottom w:w="0" w:type="dxa"/>
              <w:right w:w="105" w:type="dxa"/>
            </w:tcMar>
            <w:vAlign w:val="center"/>
          </w:tcPr>
          <w:p w14:paraId="0392F6A6">
            <w:pPr>
              <w:keepNext w:val="0"/>
              <w:keepLines w:val="0"/>
              <w:widowControl/>
              <w:suppressLineNumbers w:val="0"/>
              <w:spacing w:before="0" w:beforeAutospacing="1" w:after="0" w:afterAutospacing="1" w:line="36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指标</w:t>
            </w:r>
          </w:p>
        </w:tc>
        <w:tc>
          <w:tcPr>
            <w:tcW w:w="5415" w:type="dxa"/>
            <w:gridSpan w:val="3"/>
            <w:shd w:val="clear" w:color="auto" w:fill="auto"/>
            <w:tcMar>
              <w:top w:w="0" w:type="dxa"/>
              <w:left w:w="105" w:type="dxa"/>
              <w:bottom w:w="0" w:type="dxa"/>
              <w:right w:w="105" w:type="dxa"/>
            </w:tcMar>
            <w:vAlign w:val="center"/>
          </w:tcPr>
          <w:p w14:paraId="697AACB8">
            <w:pPr>
              <w:keepNext w:val="0"/>
              <w:keepLines w:val="0"/>
              <w:widowControl/>
              <w:suppressLineNumbers w:val="0"/>
              <w:spacing w:before="0" w:beforeAutospacing="1" w:after="0" w:afterAutospacing="1" w:line="36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考核内容</w:t>
            </w:r>
          </w:p>
        </w:tc>
        <w:tc>
          <w:tcPr>
            <w:tcW w:w="675" w:type="dxa"/>
            <w:shd w:val="clear" w:color="auto" w:fill="auto"/>
            <w:tcMar>
              <w:top w:w="0" w:type="dxa"/>
              <w:left w:w="105" w:type="dxa"/>
              <w:bottom w:w="0" w:type="dxa"/>
              <w:right w:w="105" w:type="dxa"/>
            </w:tcMar>
            <w:vAlign w:val="center"/>
          </w:tcPr>
          <w:p w14:paraId="4EC988F4">
            <w:pPr>
              <w:keepNext w:val="0"/>
              <w:keepLines w:val="0"/>
              <w:widowControl/>
              <w:suppressLineNumbers w:val="0"/>
              <w:spacing w:before="0" w:beforeAutospacing="1" w:after="0" w:afterAutospacing="1" w:line="36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扣分</w:t>
            </w:r>
          </w:p>
        </w:tc>
      </w:tr>
      <w:tr w14:paraId="11007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restart"/>
            <w:shd w:val="clear" w:color="auto" w:fill="auto"/>
            <w:tcMar>
              <w:top w:w="0" w:type="dxa"/>
              <w:left w:w="105" w:type="dxa"/>
              <w:bottom w:w="0" w:type="dxa"/>
              <w:right w:w="105" w:type="dxa"/>
            </w:tcMar>
            <w:vAlign w:val="center"/>
          </w:tcPr>
          <w:p w14:paraId="795F7428">
            <w:pPr>
              <w:keepNext w:val="0"/>
              <w:keepLines w:val="0"/>
              <w:widowControl/>
              <w:suppressLineNumbers w:val="0"/>
              <w:autoSpaceDE w:val="0"/>
              <w:autoSpaceDN/>
              <w:spacing w:before="0" w:beforeAutospacing="1" w:after="195" w:afterAutospacing="0"/>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性能质</w:t>
            </w:r>
          </w:p>
          <w:p w14:paraId="7F83DF60">
            <w:pPr>
              <w:keepNext w:val="0"/>
              <w:keepLines w:val="0"/>
              <w:widowControl/>
              <w:suppressLineNumbers w:val="0"/>
              <w:autoSpaceDE w:val="0"/>
              <w:spacing w:before="0" w:beforeAutospacing="1" w:after="195" w:afterAutospacing="0" w:line="24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量评价</w:t>
            </w:r>
          </w:p>
        </w:tc>
        <w:tc>
          <w:tcPr>
            <w:tcW w:w="1350" w:type="dxa"/>
            <w:shd w:val="clear" w:color="auto" w:fill="auto"/>
            <w:tcMar>
              <w:top w:w="0" w:type="dxa"/>
              <w:left w:w="105" w:type="dxa"/>
              <w:bottom w:w="0" w:type="dxa"/>
              <w:right w:w="105" w:type="dxa"/>
            </w:tcMar>
            <w:vAlign w:val="center"/>
          </w:tcPr>
          <w:p w14:paraId="2A6921EE">
            <w:pPr>
              <w:keepNext w:val="0"/>
              <w:keepLines w:val="0"/>
              <w:widowControl/>
              <w:suppressLineNumbers w:val="0"/>
              <w:autoSpaceDE w:val="0"/>
              <w:autoSpaceDN/>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稳定性</w:t>
            </w:r>
          </w:p>
        </w:tc>
        <w:tc>
          <w:tcPr>
            <w:tcW w:w="5415" w:type="dxa"/>
            <w:gridSpan w:val="3"/>
            <w:shd w:val="clear" w:color="auto" w:fill="auto"/>
            <w:tcMar>
              <w:top w:w="0" w:type="dxa"/>
              <w:left w:w="105" w:type="dxa"/>
              <w:bottom w:w="0" w:type="dxa"/>
              <w:right w:w="105" w:type="dxa"/>
            </w:tcMar>
            <w:vAlign w:val="center"/>
          </w:tcPr>
          <w:p w14:paraId="1959363A">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出现故障，导致系统不稳定，影响医院业务：出现故障时间≤30分钟扣1分，30＜分钟且≤60分钟扣2分，&gt;60分钟扣5分；</w:t>
            </w:r>
          </w:p>
        </w:tc>
        <w:tc>
          <w:tcPr>
            <w:tcW w:w="675" w:type="dxa"/>
            <w:shd w:val="clear" w:color="auto" w:fill="auto"/>
            <w:tcMar>
              <w:top w:w="0" w:type="dxa"/>
              <w:left w:w="105" w:type="dxa"/>
              <w:bottom w:w="0" w:type="dxa"/>
              <w:right w:w="105" w:type="dxa"/>
            </w:tcMar>
            <w:vAlign w:val="top"/>
          </w:tcPr>
          <w:p w14:paraId="784CBA15">
            <w:pPr>
              <w:keepNext w:val="0"/>
              <w:keepLines w:val="0"/>
              <w:widowControl/>
              <w:suppressLineNumbers w:val="0"/>
              <w:jc w:val="left"/>
              <w:rPr>
                <w:rFonts w:hint="eastAsia" w:ascii="仿宋" w:hAnsi="仿宋" w:eastAsia="仿宋" w:cs="仿宋"/>
                <w:kern w:val="0"/>
                <w:sz w:val="24"/>
                <w:szCs w:val="24"/>
                <w:lang w:bidi="ar"/>
              </w:rPr>
            </w:pPr>
          </w:p>
        </w:tc>
      </w:tr>
      <w:tr w14:paraId="084D9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2A9F9C28">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0C0B7DB8">
            <w:pPr>
              <w:keepNext w:val="0"/>
              <w:keepLines w:val="0"/>
              <w:widowControl/>
              <w:suppressLineNumbers w:val="0"/>
              <w:autoSpaceDE w:val="0"/>
              <w:autoSpaceDN/>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安全性</w:t>
            </w:r>
          </w:p>
        </w:tc>
        <w:tc>
          <w:tcPr>
            <w:tcW w:w="5415" w:type="dxa"/>
            <w:gridSpan w:val="3"/>
            <w:shd w:val="clear" w:color="auto" w:fill="auto"/>
            <w:tcMar>
              <w:top w:w="0" w:type="dxa"/>
              <w:left w:w="105" w:type="dxa"/>
              <w:bottom w:w="0" w:type="dxa"/>
              <w:right w:w="105" w:type="dxa"/>
            </w:tcMar>
            <w:vAlign w:val="center"/>
          </w:tcPr>
          <w:p w14:paraId="51EC85FC">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未具备完善的安全防护机制，存在数据丢失或泄漏的风险，发现一次扣2分；采购方有权对现有程序和数据保留备份，供应商违规操作导致采购方机器硬盘中的任何数据和程序损坏或丢失一次扣5分；备份维护不合理，备份数据损坏导致在需要时无法恢复，每次扣5分；</w:t>
            </w:r>
          </w:p>
        </w:tc>
        <w:tc>
          <w:tcPr>
            <w:tcW w:w="675" w:type="dxa"/>
            <w:shd w:val="clear" w:color="auto" w:fill="auto"/>
            <w:tcMar>
              <w:top w:w="0" w:type="dxa"/>
              <w:left w:w="105" w:type="dxa"/>
              <w:bottom w:w="0" w:type="dxa"/>
              <w:right w:w="105" w:type="dxa"/>
            </w:tcMar>
            <w:vAlign w:val="top"/>
          </w:tcPr>
          <w:p w14:paraId="67432995">
            <w:pPr>
              <w:keepNext w:val="0"/>
              <w:keepLines w:val="0"/>
              <w:widowControl/>
              <w:suppressLineNumbers w:val="0"/>
              <w:jc w:val="left"/>
              <w:rPr>
                <w:rFonts w:hint="eastAsia" w:ascii="仿宋" w:hAnsi="仿宋" w:eastAsia="仿宋" w:cs="仿宋"/>
                <w:kern w:val="0"/>
                <w:sz w:val="24"/>
                <w:szCs w:val="24"/>
                <w:lang w:bidi="ar"/>
              </w:rPr>
            </w:pPr>
          </w:p>
        </w:tc>
      </w:tr>
      <w:tr w14:paraId="3D2F8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19F41093">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50FF94E4">
            <w:pPr>
              <w:keepNext w:val="0"/>
              <w:keepLines w:val="0"/>
              <w:widowControl/>
              <w:suppressLineNumbers w:val="0"/>
              <w:autoSpaceDE w:val="0"/>
              <w:autoSpaceDN/>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用户满意度</w:t>
            </w:r>
          </w:p>
        </w:tc>
        <w:tc>
          <w:tcPr>
            <w:tcW w:w="5415" w:type="dxa"/>
            <w:gridSpan w:val="3"/>
            <w:shd w:val="clear" w:color="auto" w:fill="auto"/>
            <w:tcMar>
              <w:top w:w="0" w:type="dxa"/>
              <w:left w:w="105" w:type="dxa"/>
              <w:bottom w:w="0" w:type="dxa"/>
              <w:right w:w="105" w:type="dxa"/>
            </w:tcMar>
            <w:vAlign w:val="center"/>
          </w:tcPr>
          <w:p w14:paraId="4AE68A35">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接到投诉时，一次扣1分；出现整改和处理后仍然不满足要求的情况，每5日为一个周期追扣2分，不满一个周期的算一个周期；</w:t>
            </w:r>
          </w:p>
        </w:tc>
        <w:tc>
          <w:tcPr>
            <w:tcW w:w="675" w:type="dxa"/>
            <w:shd w:val="clear" w:color="auto" w:fill="auto"/>
            <w:tcMar>
              <w:top w:w="0" w:type="dxa"/>
              <w:left w:w="105" w:type="dxa"/>
              <w:bottom w:w="0" w:type="dxa"/>
              <w:right w:w="105" w:type="dxa"/>
            </w:tcMar>
            <w:vAlign w:val="top"/>
          </w:tcPr>
          <w:p w14:paraId="3BE1925B">
            <w:pPr>
              <w:keepNext w:val="0"/>
              <w:keepLines w:val="0"/>
              <w:widowControl/>
              <w:suppressLineNumbers w:val="0"/>
              <w:jc w:val="left"/>
              <w:rPr>
                <w:rFonts w:hint="eastAsia" w:ascii="仿宋" w:hAnsi="仿宋" w:eastAsia="仿宋" w:cs="仿宋"/>
                <w:kern w:val="0"/>
                <w:sz w:val="24"/>
                <w:szCs w:val="24"/>
                <w:lang w:bidi="ar"/>
              </w:rPr>
            </w:pPr>
          </w:p>
        </w:tc>
      </w:tr>
      <w:tr w14:paraId="1B48C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75" w:hRule="atLeast"/>
        </w:trPr>
        <w:tc>
          <w:tcPr>
            <w:tcW w:w="1095" w:type="dxa"/>
            <w:vMerge w:val="restart"/>
            <w:shd w:val="clear" w:color="auto" w:fill="auto"/>
            <w:tcMar>
              <w:top w:w="0" w:type="dxa"/>
              <w:left w:w="105" w:type="dxa"/>
              <w:bottom w:w="0" w:type="dxa"/>
              <w:right w:w="105" w:type="dxa"/>
            </w:tcMar>
            <w:vAlign w:val="center"/>
          </w:tcPr>
          <w:p w14:paraId="078EC4A0">
            <w:pPr>
              <w:keepNext w:val="0"/>
              <w:keepLines w:val="0"/>
              <w:widowControl/>
              <w:suppressLineNumbers w:val="0"/>
              <w:autoSpaceDE w:val="0"/>
              <w:autoSpaceDN/>
              <w:spacing w:before="0" w:beforeAutospacing="1" w:after="195" w:afterAutospacing="0"/>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使用支</w:t>
            </w:r>
          </w:p>
          <w:p w14:paraId="77A9B1BF">
            <w:pPr>
              <w:keepNext w:val="0"/>
              <w:keepLines w:val="0"/>
              <w:widowControl/>
              <w:suppressLineNumbers w:val="0"/>
              <w:autoSpaceDE w:val="0"/>
              <w:autoSpaceDN/>
              <w:spacing w:before="0" w:beforeAutospacing="1" w:after="195" w:afterAutospacing="0"/>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持评价</w:t>
            </w:r>
          </w:p>
        </w:tc>
        <w:tc>
          <w:tcPr>
            <w:tcW w:w="1350" w:type="dxa"/>
            <w:shd w:val="clear" w:color="auto" w:fill="auto"/>
            <w:tcMar>
              <w:top w:w="0" w:type="dxa"/>
              <w:left w:w="105" w:type="dxa"/>
              <w:bottom w:w="0" w:type="dxa"/>
              <w:right w:w="105" w:type="dxa"/>
            </w:tcMar>
            <w:vAlign w:val="center"/>
          </w:tcPr>
          <w:p w14:paraId="1ED3D19C">
            <w:pPr>
              <w:keepNext w:val="0"/>
              <w:keepLines w:val="0"/>
              <w:widowControl/>
              <w:suppressLineNumbers w:val="0"/>
              <w:autoSpaceDE w:val="0"/>
              <w:autoSpaceDN/>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考勤</w:t>
            </w:r>
          </w:p>
        </w:tc>
        <w:tc>
          <w:tcPr>
            <w:tcW w:w="5415" w:type="dxa"/>
            <w:gridSpan w:val="3"/>
            <w:shd w:val="clear" w:color="auto" w:fill="auto"/>
            <w:tcMar>
              <w:top w:w="0" w:type="dxa"/>
              <w:left w:w="105" w:type="dxa"/>
              <w:bottom w:w="0" w:type="dxa"/>
              <w:right w:w="105" w:type="dxa"/>
            </w:tcMar>
            <w:vAlign w:val="center"/>
          </w:tcPr>
          <w:p w14:paraId="7635F90D">
            <w:pPr>
              <w:keepNext w:val="0"/>
              <w:keepLines w:val="0"/>
              <w:widowControl/>
              <w:suppressLineNumbers w:val="0"/>
              <w:spacing w:before="0" w:beforeAutospacing="1" w:after="0" w:afterAutospacing="1"/>
              <w:ind w:left="0" w:right="0"/>
              <w:jc w:val="both"/>
              <w:rPr>
                <w:rFonts w:hint="eastAsia" w:ascii="仿宋" w:hAnsi="仿宋" w:eastAsia="仿宋" w:cs="仿宋"/>
                <w:kern w:val="0"/>
                <w:sz w:val="24"/>
                <w:szCs w:val="24"/>
                <w:lang w:val="en-US" w:eastAsia="zh-CN" w:bidi="ar"/>
              </w:rPr>
            </w:pPr>
            <w:r>
              <w:rPr>
                <w:rFonts w:hint="eastAsia" w:ascii="仿宋" w:hAnsi="仿宋" w:eastAsia="仿宋" w:cs="仿宋"/>
                <w:b/>
                <w:bCs/>
                <w:kern w:val="0"/>
                <w:sz w:val="24"/>
                <w:szCs w:val="24"/>
                <w:lang w:val="en-US" w:eastAsia="zh-CN" w:bidi="ar"/>
              </w:rPr>
              <w:t>提供1人驻场，</w:t>
            </w:r>
            <w:r>
              <w:rPr>
                <w:rFonts w:hint="eastAsia" w:ascii="仿宋" w:hAnsi="仿宋" w:eastAsia="仿宋" w:cs="仿宋"/>
                <w:kern w:val="0"/>
                <w:sz w:val="24"/>
                <w:szCs w:val="24"/>
                <w:lang w:val="en-US" w:eastAsia="zh-CN" w:bidi="ar"/>
              </w:rPr>
              <w:t>驻场期间纳入医院统一管理。工作时间：工作日8:00-17:30,法定节假日按照医院统一放假时间，节假日期间安排人员远程值班,人员轮转、变动须提前通知采购人。驻场工程师每日签到，每次迟到一次扣0.5分；旷工或漏签一次扣1分；</w:t>
            </w:r>
          </w:p>
        </w:tc>
        <w:tc>
          <w:tcPr>
            <w:tcW w:w="675" w:type="dxa"/>
            <w:shd w:val="clear" w:color="auto" w:fill="auto"/>
            <w:tcMar>
              <w:top w:w="0" w:type="dxa"/>
              <w:left w:w="105" w:type="dxa"/>
              <w:bottom w:w="0" w:type="dxa"/>
              <w:right w:w="105" w:type="dxa"/>
            </w:tcMar>
            <w:vAlign w:val="top"/>
          </w:tcPr>
          <w:p w14:paraId="4E2E508E">
            <w:pPr>
              <w:keepNext w:val="0"/>
              <w:keepLines w:val="0"/>
              <w:widowControl/>
              <w:suppressLineNumbers w:val="0"/>
              <w:jc w:val="left"/>
              <w:rPr>
                <w:rFonts w:hint="eastAsia" w:ascii="仿宋" w:hAnsi="仿宋" w:eastAsia="仿宋" w:cs="仿宋"/>
                <w:kern w:val="0"/>
                <w:sz w:val="24"/>
                <w:szCs w:val="24"/>
                <w:lang w:bidi="ar"/>
              </w:rPr>
            </w:pPr>
          </w:p>
        </w:tc>
      </w:tr>
      <w:tr w14:paraId="1B2FF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56ABE7B7">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0AF7D4E5">
            <w:pPr>
              <w:keepNext w:val="0"/>
              <w:keepLines w:val="0"/>
              <w:widowControl/>
              <w:suppressLineNumbers w:val="0"/>
              <w:autoSpaceDE w:val="0"/>
              <w:autoSpaceDN/>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响应速度</w:t>
            </w:r>
          </w:p>
        </w:tc>
        <w:tc>
          <w:tcPr>
            <w:tcW w:w="5415" w:type="dxa"/>
            <w:gridSpan w:val="3"/>
            <w:shd w:val="clear" w:color="auto" w:fill="auto"/>
            <w:tcMar>
              <w:top w:w="0" w:type="dxa"/>
              <w:left w:w="105" w:type="dxa"/>
              <w:bottom w:w="0" w:type="dxa"/>
              <w:right w:w="105" w:type="dxa"/>
            </w:tcMar>
            <w:vAlign w:val="center"/>
          </w:tcPr>
          <w:p w14:paraId="7461D5E2">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若需要现场支持时，须及时响应，不响应扣1分；发现异常不处理或未向采购人及时汇报，扣0.5分；服务期内不接听电话，每次扣0.5分；微信群响应不及时或不按规定响应，每次扣0.1分；</w:t>
            </w:r>
          </w:p>
        </w:tc>
        <w:tc>
          <w:tcPr>
            <w:tcW w:w="675" w:type="dxa"/>
            <w:shd w:val="clear" w:color="auto" w:fill="auto"/>
            <w:tcMar>
              <w:top w:w="0" w:type="dxa"/>
              <w:left w:w="105" w:type="dxa"/>
              <w:bottom w:w="0" w:type="dxa"/>
              <w:right w:w="105" w:type="dxa"/>
            </w:tcMar>
            <w:vAlign w:val="top"/>
          </w:tcPr>
          <w:p w14:paraId="6545FC28">
            <w:pPr>
              <w:keepNext w:val="0"/>
              <w:keepLines w:val="0"/>
              <w:widowControl/>
              <w:suppressLineNumbers w:val="0"/>
              <w:jc w:val="left"/>
              <w:rPr>
                <w:rFonts w:hint="eastAsia" w:ascii="仿宋" w:hAnsi="仿宋" w:eastAsia="仿宋" w:cs="仿宋"/>
                <w:kern w:val="0"/>
                <w:sz w:val="24"/>
                <w:szCs w:val="24"/>
                <w:lang w:bidi="ar"/>
              </w:rPr>
            </w:pPr>
          </w:p>
        </w:tc>
      </w:tr>
      <w:tr w14:paraId="1804C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0717C641">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7429200E">
            <w:pPr>
              <w:keepNext w:val="0"/>
              <w:keepLines w:val="0"/>
              <w:widowControl/>
              <w:suppressLineNumbers w:val="0"/>
              <w:autoSpaceDE w:val="0"/>
              <w:autoSpaceDN/>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备件供应</w:t>
            </w:r>
          </w:p>
          <w:p w14:paraId="09833AA7">
            <w:pPr>
              <w:keepNext w:val="0"/>
              <w:keepLines w:val="0"/>
              <w:widowControl/>
              <w:suppressLineNumbers w:val="0"/>
              <w:autoSpaceDE w:val="0"/>
              <w:autoSpaceDN/>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(本项仅涉及提供硬件的供应商)</w:t>
            </w:r>
          </w:p>
        </w:tc>
        <w:tc>
          <w:tcPr>
            <w:tcW w:w="5415" w:type="dxa"/>
            <w:gridSpan w:val="3"/>
            <w:shd w:val="clear" w:color="auto" w:fill="auto"/>
            <w:tcMar>
              <w:top w:w="0" w:type="dxa"/>
              <w:left w:w="105" w:type="dxa"/>
              <w:bottom w:w="0" w:type="dxa"/>
              <w:right w:w="105" w:type="dxa"/>
            </w:tcMar>
            <w:vAlign w:val="center"/>
          </w:tcPr>
          <w:p w14:paraId="2E9C31E9">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不能及时按要求提供所需备件（服务期内设备故障并经排查，明确2小时内无法恢复，应当在4小时内提供相同类型和性能的可用机器恢复业务工作，直至故障排除，超过规定时间无法提供备件一次扣5分；未按规定进行机房基础维护每次扣0.5分；</w:t>
            </w:r>
          </w:p>
        </w:tc>
        <w:tc>
          <w:tcPr>
            <w:tcW w:w="675" w:type="dxa"/>
            <w:shd w:val="clear" w:color="auto" w:fill="auto"/>
            <w:tcMar>
              <w:top w:w="0" w:type="dxa"/>
              <w:left w:w="105" w:type="dxa"/>
              <w:bottom w:w="0" w:type="dxa"/>
              <w:right w:w="105" w:type="dxa"/>
            </w:tcMar>
            <w:vAlign w:val="top"/>
          </w:tcPr>
          <w:p w14:paraId="008C38AD">
            <w:pPr>
              <w:keepNext w:val="0"/>
              <w:keepLines w:val="0"/>
              <w:widowControl/>
              <w:suppressLineNumbers w:val="0"/>
              <w:jc w:val="left"/>
              <w:rPr>
                <w:rFonts w:hint="eastAsia" w:ascii="仿宋" w:hAnsi="仿宋" w:eastAsia="仿宋" w:cs="仿宋"/>
                <w:kern w:val="0"/>
                <w:sz w:val="24"/>
                <w:szCs w:val="24"/>
                <w:lang w:bidi="ar"/>
              </w:rPr>
            </w:pPr>
          </w:p>
        </w:tc>
      </w:tr>
      <w:tr w14:paraId="2342E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48697ACB">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597A55AA">
            <w:pPr>
              <w:keepNext w:val="0"/>
              <w:keepLines w:val="0"/>
              <w:widowControl/>
              <w:suppressLineNumbers w:val="0"/>
              <w:autoSpaceDE w:val="0"/>
              <w:autoSpaceDN/>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定期巡检</w:t>
            </w:r>
          </w:p>
        </w:tc>
        <w:tc>
          <w:tcPr>
            <w:tcW w:w="5415" w:type="dxa"/>
            <w:gridSpan w:val="3"/>
            <w:shd w:val="clear" w:color="auto" w:fill="auto"/>
            <w:tcMar>
              <w:top w:w="0" w:type="dxa"/>
              <w:left w:w="105" w:type="dxa"/>
              <w:bottom w:w="0" w:type="dxa"/>
              <w:right w:w="105" w:type="dxa"/>
            </w:tcMar>
            <w:vAlign w:val="center"/>
          </w:tcPr>
          <w:p w14:paraId="3C132964">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每月定期巡检服务，缺少一次扣1分；没有按要求提供巡检报告的，缺少一次扣1分；</w:t>
            </w:r>
          </w:p>
        </w:tc>
        <w:tc>
          <w:tcPr>
            <w:tcW w:w="675" w:type="dxa"/>
            <w:shd w:val="clear" w:color="auto" w:fill="auto"/>
            <w:tcMar>
              <w:top w:w="0" w:type="dxa"/>
              <w:left w:w="105" w:type="dxa"/>
              <w:bottom w:w="0" w:type="dxa"/>
              <w:right w:w="105" w:type="dxa"/>
            </w:tcMar>
            <w:vAlign w:val="top"/>
          </w:tcPr>
          <w:p w14:paraId="3D923C77">
            <w:pPr>
              <w:keepNext w:val="0"/>
              <w:keepLines w:val="0"/>
              <w:widowControl/>
              <w:suppressLineNumbers w:val="0"/>
              <w:jc w:val="left"/>
              <w:rPr>
                <w:rFonts w:hint="eastAsia" w:ascii="仿宋" w:hAnsi="仿宋" w:eastAsia="仿宋" w:cs="仿宋"/>
                <w:kern w:val="0"/>
                <w:sz w:val="24"/>
                <w:szCs w:val="24"/>
                <w:lang w:bidi="ar"/>
              </w:rPr>
            </w:pPr>
          </w:p>
        </w:tc>
      </w:tr>
      <w:tr w14:paraId="3B8BC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56704554">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00321C84">
            <w:pPr>
              <w:keepNext w:val="0"/>
              <w:keepLines w:val="0"/>
              <w:widowControl/>
              <w:suppressLineNumbers w:val="0"/>
              <w:autoSpaceDE w:val="0"/>
              <w:autoSpaceDN/>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培训服务</w:t>
            </w:r>
          </w:p>
        </w:tc>
        <w:tc>
          <w:tcPr>
            <w:tcW w:w="5415" w:type="dxa"/>
            <w:gridSpan w:val="3"/>
            <w:shd w:val="clear" w:color="auto" w:fill="auto"/>
            <w:tcMar>
              <w:top w:w="0" w:type="dxa"/>
              <w:left w:w="105" w:type="dxa"/>
              <w:bottom w:w="0" w:type="dxa"/>
              <w:right w:w="105" w:type="dxa"/>
            </w:tcMar>
            <w:vAlign w:val="center"/>
          </w:tcPr>
          <w:p w14:paraId="006882C5">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没有按要求派专业技术人员对医院相关人员进行使用操作、设备维修、保养等技术的培训（不少于2次/年，并提供培训方案和培训签到表），缺少一次扣1分；</w:t>
            </w:r>
          </w:p>
        </w:tc>
        <w:tc>
          <w:tcPr>
            <w:tcW w:w="675" w:type="dxa"/>
            <w:shd w:val="clear" w:color="auto" w:fill="auto"/>
            <w:tcMar>
              <w:top w:w="0" w:type="dxa"/>
              <w:left w:w="105" w:type="dxa"/>
              <w:bottom w:w="0" w:type="dxa"/>
              <w:right w:w="105" w:type="dxa"/>
            </w:tcMar>
            <w:vAlign w:val="top"/>
          </w:tcPr>
          <w:p w14:paraId="748CBF1D">
            <w:pPr>
              <w:keepNext w:val="0"/>
              <w:keepLines w:val="0"/>
              <w:widowControl/>
              <w:suppressLineNumbers w:val="0"/>
              <w:jc w:val="left"/>
              <w:rPr>
                <w:rFonts w:hint="eastAsia" w:ascii="仿宋" w:hAnsi="仿宋" w:eastAsia="仿宋" w:cs="仿宋"/>
                <w:kern w:val="0"/>
                <w:sz w:val="24"/>
                <w:szCs w:val="24"/>
                <w:lang w:bidi="ar"/>
              </w:rPr>
            </w:pPr>
          </w:p>
        </w:tc>
      </w:tr>
      <w:tr w14:paraId="0B40B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233BFC8A">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26A6ED54">
            <w:pPr>
              <w:keepNext w:val="0"/>
              <w:keepLines w:val="0"/>
              <w:widowControl/>
              <w:suppressLineNumbers w:val="0"/>
              <w:autoSpaceDE w:val="0"/>
              <w:autoSpaceDN/>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技术文档</w:t>
            </w:r>
          </w:p>
        </w:tc>
        <w:tc>
          <w:tcPr>
            <w:tcW w:w="5415" w:type="dxa"/>
            <w:gridSpan w:val="3"/>
            <w:shd w:val="clear" w:color="auto" w:fill="auto"/>
            <w:tcMar>
              <w:top w:w="0" w:type="dxa"/>
              <w:left w:w="105" w:type="dxa"/>
              <w:bottom w:w="0" w:type="dxa"/>
              <w:right w:w="105" w:type="dxa"/>
            </w:tcMar>
            <w:vAlign w:val="center"/>
          </w:tcPr>
          <w:p w14:paraId="0262C80F">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未能在规定时间内按要求提交文档，包括但不限于操作手册、业务数据结构表、运维记录、巡检记录等，缺少一项扣1分；</w:t>
            </w:r>
          </w:p>
        </w:tc>
        <w:tc>
          <w:tcPr>
            <w:tcW w:w="675" w:type="dxa"/>
            <w:shd w:val="clear" w:color="auto" w:fill="auto"/>
            <w:tcMar>
              <w:top w:w="0" w:type="dxa"/>
              <w:left w:w="105" w:type="dxa"/>
              <w:bottom w:w="0" w:type="dxa"/>
              <w:right w:w="105" w:type="dxa"/>
            </w:tcMar>
            <w:vAlign w:val="top"/>
          </w:tcPr>
          <w:p w14:paraId="30F184F5">
            <w:pPr>
              <w:keepNext w:val="0"/>
              <w:keepLines w:val="0"/>
              <w:widowControl/>
              <w:suppressLineNumbers w:val="0"/>
              <w:jc w:val="left"/>
              <w:rPr>
                <w:rFonts w:hint="eastAsia" w:ascii="仿宋" w:hAnsi="仿宋" w:eastAsia="仿宋" w:cs="仿宋"/>
                <w:kern w:val="0"/>
                <w:sz w:val="24"/>
                <w:szCs w:val="24"/>
                <w:lang w:bidi="ar"/>
              </w:rPr>
            </w:pPr>
          </w:p>
        </w:tc>
      </w:tr>
      <w:tr w14:paraId="653D6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870" w:hRule="atLeast"/>
        </w:trPr>
        <w:tc>
          <w:tcPr>
            <w:tcW w:w="1095" w:type="dxa"/>
            <w:vMerge w:val="restart"/>
            <w:shd w:val="clear" w:color="auto" w:fill="auto"/>
            <w:tcMar>
              <w:top w:w="0" w:type="dxa"/>
              <w:left w:w="105" w:type="dxa"/>
              <w:bottom w:w="0" w:type="dxa"/>
              <w:right w:w="105" w:type="dxa"/>
            </w:tcMar>
            <w:vAlign w:val="center"/>
          </w:tcPr>
          <w:p w14:paraId="0ADE8205">
            <w:pPr>
              <w:keepNext w:val="0"/>
              <w:keepLines w:val="0"/>
              <w:widowControl/>
              <w:suppressLineNumbers w:val="0"/>
              <w:autoSpaceDE w:val="0"/>
              <w:autoSpaceDN/>
              <w:spacing w:before="0" w:beforeAutospacing="1" w:after="195" w:afterAutospacing="0"/>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违规违</w:t>
            </w:r>
          </w:p>
          <w:p w14:paraId="6D9C9AC0">
            <w:pPr>
              <w:keepNext w:val="0"/>
              <w:keepLines w:val="0"/>
              <w:widowControl/>
              <w:suppressLineNumbers w:val="0"/>
              <w:autoSpaceDE w:val="0"/>
              <w:autoSpaceDN/>
              <w:spacing w:before="0" w:beforeAutospacing="1" w:after="195" w:afterAutospacing="0"/>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纪评价</w:t>
            </w:r>
          </w:p>
        </w:tc>
        <w:tc>
          <w:tcPr>
            <w:tcW w:w="1350" w:type="dxa"/>
            <w:shd w:val="clear" w:color="auto" w:fill="auto"/>
            <w:tcMar>
              <w:top w:w="0" w:type="dxa"/>
              <w:left w:w="105" w:type="dxa"/>
              <w:bottom w:w="0" w:type="dxa"/>
              <w:right w:w="105" w:type="dxa"/>
            </w:tcMar>
            <w:vAlign w:val="center"/>
          </w:tcPr>
          <w:p w14:paraId="3A7B3F5A">
            <w:pPr>
              <w:keepNext w:val="0"/>
              <w:keepLines w:val="0"/>
              <w:widowControl/>
              <w:suppressLineNumbers w:val="0"/>
              <w:autoSpaceDE w:val="0"/>
              <w:autoSpaceDN/>
              <w:spacing w:before="0" w:beforeAutospacing="1" w:after="195" w:afterAutospacing="0"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廉洁从业</w:t>
            </w:r>
          </w:p>
        </w:tc>
        <w:tc>
          <w:tcPr>
            <w:tcW w:w="5415" w:type="dxa"/>
            <w:gridSpan w:val="3"/>
            <w:shd w:val="clear" w:color="auto" w:fill="auto"/>
            <w:tcMar>
              <w:top w:w="0" w:type="dxa"/>
              <w:left w:w="105" w:type="dxa"/>
              <w:bottom w:w="0" w:type="dxa"/>
              <w:right w:w="105" w:type="dxa"/>
            </w:tcMar>
            <w:vAlign w:val="center"/>
          </w:tcPr>
          <w:p w14:paraId="67A05F9C">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违反行业廉洁要求或违法违纪行为，一旦查实，一票否决</w:t>
            </w:r>
          </w:p>
        </w:tc>
        <w:tc>
          <w:tcPr>
            <w:tcW w:w="675" w:type="dxa"/>
            <w:shd w:val="clear" w:color="auto" w:fill="auto"/>
            <w:tcMar>
              <w:top w:w="0" w:type="dxa"/>
              <w:left w:w="105" w:type="dxa"/>
              <w:bottom w:w="0" w:type="dxa"/>
              <w:right w:w="105" w:type="dxa"/>
            </w:tcMar>
            <w:vAlign w:val="center"/>
          </w:tcPr>
          <w:p w14:paraId="6A0508F1">
            <w:pPr>
              <w:keepNext w:val="0"/>
              <w:keepLines w:val="0"/>
              <w:widowControl/>
              <w:suppressLineNumbers w:val="0"/>
              <w:autoSpaceDE w:val="0"/>
              <w:autoSpaceDN/>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一票否决</w:t>
            </w:r>
          </w:p>
        </w:tc>
      </w:tr>
      <w:tr w14:paraId="4D4D0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373EA956">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2ED43520">
            <w:pPr>
              <w:keepNext w:val="0"/>
              <w:keepLines w:val="0"/>
              <w:widowControl/>
              <w:suppressLineNumbers w:val="0"/>
              <w:autoSpaceDE w:val="0"/>
              <w:autoSpaceDN/>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安全规范</w:t>
            </w:r>
          </w:p>
        </w:tc>
        <w:tc>
          <w:tcPr>
            <w:tcW w:w="5415" w:type="dxa"/>
            <w:gridSpan w:val="3"/>
            <w:shd w:val="clear" w:color="auto" w:fill="auto"/>
            <w:tcMar>
              <w:top w:w="0" w:type="dxa"/>
              <w:left w:w="105" w:type="dxa"/>
              <w:bottom w:w="0" w:type="dxa"/>
              <w:right w:w="105" w:type="dxa"/>
            </w:tcMar>
            <w:vAlign w:val="center"/>
          </w:tcPr>
          <w:p w14:paraId="27D26DB5">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不遵守安全生产规范，每次扣2分；</w:t>
            </w:r>
          </w:p>
        </w:tc>
        <w:tc>
          <w:tcPr>
            <w:tcW w:w="675" w:type="dxa"/>
            <w:shd w:val="clear" w:color="auto" w:fill="auto"/>
            <w:tcMar>
              <w:top w:w="0" w:type="dxa"/>
              <w:left w:w="105" w:type="dxa"/>
              <w:bottom w:w="0" w:type="dxa"/>
              <w:right w:w="105" w:type="dxa"/>
            </w:tcMar>
            <w:vAlign w:val="center"/>
          </w:tcPr>
          <w:p w14:paraId="5BEF67CA">
            <w:pPr>
              <w:keepNext w:val="0"/>
              <w:keepLines w:val="0"/>
              <w:widowControl/>
              <w:suppressLineNumbers w:val="0"/>
              <w:jc w:val="left"/>
              <w:rPr>
                <w:rFonts w:hint="eastAsia" w:ascii="仿宋" w:hAnsi="仿宋" w:eastAsia="仿宋" w:cs="仿宋"/>
                <w:kern w:val="0"/>
                <w:sz w:val="24"/>
                <w:szCs w:val="24"/>
                <w:lang w:bidi="ar"/>
              </w:rPr>
            </w:pPr>
          </w:p>
        </w:tc>
      </w:tr>
      <w:tr w14:paraId="0EE18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04D5FB8D">
            <w:pPr>
              <w:widowControl/>
              <w:jc w:val="left"/>
              <w:rPr>
                <w:rFonts w:hint="eastAsia" w:ascii="仿宋" w:hAnsi="仿宋" w:eastAsia="仿宋" w:cs="仿宋"/>
                <w:kern w:val="0"/>
                <w:sz w:val="24"/>
                <w:szCs w:val="24"/>
                <w:lang w:bidi="ar"/>
              </w:rPr>
            </w:pPr>
          </w:p>
        </w:tc>
        <w:tc>
          <w:tcPr>
            <w:tcW w:w="1350" w:type="dxa"/>
            <w:shd w:val="clear" w:color="auto" w:fill="auto"/>
            <w:tcMar>
              <w:top w:w="0" w:type="dxa"/>
              <w:left w:w="105" w:type="dxa"/>
              <w:bottom w:w="0" w:type="dxa"/>
              <w:right w:w="105" w:type="dxa"/>
            </w:tcMar>
            <w:vAlign w:val="center"/>
          </w:tcPr>
          <w:p w14:paraId="65E25E41">
            <w:pPr>
              <w:keepNext w:val="0"/>
              <w:keepLines w:val="0"/>
              <w:widowControl/>
              <w:suppressLineNumbers w:val="0"/>
              <w:autoSpaceDE w:val="0"/>
              <w:autoSpaceDN/>
              <w:spacing w:before="0" w:beforeAutospacing="1" w:after="0" w:afterAutospacing="1" w:line="405" w:lineRule="atLeast"/>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其他违纪违规</w:t>
            </w:r>
          </w:p>
        </w:tc>
        <w:tc>
          <w:tcPr>
            <w:tcW w:w="5415" w:type="dxa"/>
            <w:gridSpan w:val="3"/>
            <w:shd w:val="clear" w:color="auto" w:fill="auto"/>
            <w:tcMar>
              <w:top w:w="0" w:type="dxa"/>
              <w:left w:w="105" w:type="dxa"/>
              <w:bottom w:w="0" w:type="dxa"/>
              <w:right w:w="105" w:type="dxa"/>
            </w:tcMar>
            <w:vAlign w:val="center"/>
          </w:tcPr>
          <w:p w14:paraId="2954517D">
            <w:pPr>
              <w:keepNext w:val="0"/>
              <w:keepLines w:val="0"/>
              <w:widowControl/>
              <w:suppressLineNumbers w:val="0"/>
              <w:spacing w:before="0" w:beforeAutospacing="1" w:after="0" w:afterAutospacing="1"/>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其它不利于医院信息化建设相关行为，视情节严重程度，经采购人讨论酌情扣分</w:t>
            </w:r>
          </w:p>
        </w:tc>
        <w:tc>
          <w:tcPr>
            <w:tcW w:w="675" w:type="dxa"/>
            <w:shd w:val="clear" w:color="auto" w:fill="auto"/>
            <w:tcMar>
              <w:top w:w="0" w:type="dxa"/>
              <w:left w:w="105" w:type="dxa"/>
              <w:bottom w:w="0" w:type="dxa"/>
              <w:right w:w="105" w:type="dxa"/>
            </w:tcMar>
            <w:vAlign w:val="center"/>
          </w:tcPr>
          <w:p w14:paraId="7D205DB5">
            <w:pPr>
              <w:keepNext w:val="0"/>
              <w:keepLines w:val="0"/>
              <w:widowControl/>
              <w:suppressLineNumbers w:val="0"/>
              <w:jc w:val="left"/>
              <w:rPr>
                <w:rFonts w:hint="eastAsia" w:ascii="仿宋" w:hAnsi="仿宋" w:eastAsia="仿宋" w:cs="仿宋"/>
                <w:kern w:val="0"/>
                <w:sz w:val="24"/>
                <w:szCs w:val="24"/>
                <w:lang w:bidi="ar"/>
              </w:rPr>
            </w:pPr>
          </w:p>
        </w:tc>
      </w:tr>
      <w:tr w14:paraId="731FA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37A103A8">
            <w:pPr>
              <w:keepNext w:val="0"/>
              <w:keepLines w:val="0"/>
              <w:widowControl/>
              <w:suppressLineNumbers w:val="0"/>
              <w:spacing w:before="0" w:beforeAutospacing="1" w:after="0" w:afterAutospacing="1" w:line="36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扣分合计</w:t>
            </w:r>
          </w:p>
        </w:tc>
        <w:tc>
          <w:tcPr>
            <w:tcW w:w="7425" w:type="dxa"/>
            <w:gridSpan w:val="5"/>
            <w:shd w:val="clear" w:color="auto" w:fill="auto"/>
            <w:tcMar>
              <w:top w:w="0" w:type="dxa"/>
              <w:left w:w="105" w:type="dxa"/>
              <w:bottom w:w="0" w:type="dxa"/>
              <w:right w:w="105" w:type="dxa"/>
            </w:tcMar>
            <w:vAlign w:val="center"/>
          </w:tcPr>
          <w:p w14:paraId="34A2C6C5">
            <w:pPr>
              <w:keepNext w:val="0"/>
              <w:keepLines w:val="0"/>
              <w:widowControl/>
              <w:suppressLineNumbers w:val="0"/>
              <w:jc w:val="left"/>
              <w:rPr>
                <w:rFonts w:hint="eastAsia" w:ascii="仿宋" w:hAnsi="仿宋" w:eastAsia="仿宋" w:cs="仿宋"/>
                <w:kern w:val="0"/>
                <w:sz w:val="24"/>
                <w:szCs w:val="24"/>
                <w:lang w:bidi="ar"/>
              </w:rPr>
            </w:pPr>
          </w:p>
        </w:tc>
      </w:tr>
      <w:tr w14:paraId="40775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6F3FD5A8">
            <w:pPr>
              <w:keepNext w:val="0"/>
              <w:keepLines w:val="0"/>
              <w:widowControl/>
              <w:suppressLineNumbers w:val="0"/>
              <w:spacing w:before="0" w:beforeAutospacing="1" w:after="0" w:afterAutospacing="1" w:line="36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考核人</w:t>
            </w:r>
          </w:p>
        </w:tc>
        <w:tc>
          <w:tcPr>
            <w:tcW w:w="7425" w:type="dxa"/>
            <w:gridSpan w:val="5"/>
            <w:shd w:val="clear" w:color="auto" w:fill="auto"/>
            <w:tcMar>
              <w:top w:w="0" w:type="dxa"/>
              <w:left w:w="105" w:type="dxa"/>
              <w:bottom w:w="0" w:type="dxa"/>
              <w:right w:w="105" w:type="dxa"/>
            </w:tcMar>
            <w:vAlign w:val="center"/>
          </w:tcPr>
          <w:p w14:paraId="7D7BF5AC">
            <w:pPr>
              <w:keepNext w:val="0"/>
              <w:keepLines w:val="0"/>
              <w:widowControl/>
              <w:suppressLineNumbers w:val="0"/>
              <w:spacing w:before="0" w:beforeAutospacing="1" w:after="0" w:afterAutospacing="1" w:line="36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w:t>
            </w:r>
          </w:p>
          <w:p w14:paraId="4DCE4B9C">
            <w:pPr>
              <w:keepNext w:val="0"/>
              <w:keepLines w:val="0"/>
              <w:widowControl/>
              <w:suppressLineNumbers w:val="0"/>
              <w:spacing w:before="0" w:beforeAutospacing="1" w:after="0" w:afterAutospacing="1" w:line="36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年    月    日</w:t>
            </w:r>
          </w:p>
        </w:tc>
      </w:tr>
    </w:tbl>
    <w:p w14:paraId="0F16FE3B">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备注：</w:t>
      </w:r>
    </w:p>
    <w:p w14:paraId="3F7F1797">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1.服务期内，采购人可按照本项目采购需求内容对应的考核指标对供应商进行考核，具体指标以采购人要求为准；</w:t>
      </w:r>
    </w:p>
    <w:p w14:paraId="65CDBC3C">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2.考核关联最终付款金额，具体计算规则如下：</w:t>
      </w:r>
    </w:p>
    <w:p w14:paraId="7D2477A1">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1）</w:t>
      </w:r>
      <w:r>
        <w:rPr>
          <w:rFonts w:hint="eastAsia" w:ascii="仿宋" w:hAnsi="仿宋" w:eastAsia="仿宋" w:cs="仿宋"/>
          <w:sz w:val="24"/>
          <w:szCs w:val="24"/>
        </w:rPr>
        <w:t>平均扣分=服务期汇总考核扣分之和÷服务期内考核次数</w:t>
      </w:r>
      <w:r>
        <w:rPr>
          <w:rFonts w:hint="eastAsia" w:ascii="仿宋" w:hAnsi="仿宋" w:eastAsia="仿宋" w:cs="仿宋"/>
          <w:sz w:val="24"/>
          <w:szCs w:val="24"/>
          <w:lang w:eastAsia="zh-CN"/>
        </w:rPr>
        <w:t>；</w:t>
      </w:r>
    </w:p>
    <w:p w14:paraId="61D9BCA8">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2）0分&lt;平均扣分≤3分，将对供应商进行诫勉谈话；</w:t>
      </w:r>
    </w:p>
    <w:p w14:paraId="532517CB">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3）3分&lt;平均扣分≤5分，对供应商提出警告，从合同待支付金额中或履约保证金中扣除合同</w:t>
      </w:r>
      <w:r>
        <w:rPr>
          <w:rFonts w:hint="eastAsia" w:ascii="仿宋" w:hAnsi="仿宋" w:eastAsia="仿宋" w:cs="仿宋"/>
          <w:sz w:val="24"/>
          <w:szCs w:val="24"/>
          <w:lang w:val="en-US" w:eastAsia="zh-CN"/>
        </w:rPr>
        <w:t>总</w:t>
      </w:r>
      <w:r>
        <w:rPr>
          <w:rFonts w:hint="eastAsia" w:ascii="仿宋" w:hAnsi="仿宋" w:eastAsia="仿宋" w:cs="仿宋"/>
          <w:sz w:val="24"/>
          <w:szCs w:val="24"/>
        </w:rPr>
        <w:t>金额5%费用，扣完为止；</w:t>
      </w:r>
    </w:p>
    <w:p w14:paraId="61A93A8B">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4）5分&lt;平均扣分≤10分，对供应商提出严重警告，从合同待支付金额中或履约保证金中扣除合同</w:t>
      </w:r>
      <w:r>
        <w:rPr>
          <w:rFonts w:hint="eastAsia" w:ascii="仿宋" w:hAnsi="仿宋" w:eastAsia="仿宋" w:cs="仿宋"/>
          <w:sz w:val="24"/>
          <w:szCs w:val="24"/>
          <w:lang w:val="en-US" w:eastAsia="zh-CN"/>
        </w:rPr>
        <w:t>总</w:t>
      </w:r>
      <w:r>
        <w:rPr>
          <w:rFonts w:hint="eastAsia" w:ascii="仿宋" w:hAnsi="仿宋" w:eastAsia="仿宋" w:cs="仿宋"/>
          <w:sz w:val="24"/>
          <w:szCs w:val="24"/>
        </w:rPr>
        <w:t>金额10%费用，扣完为止；</w:t>
      </w:r>
    </w:p>
    <w:p w14:paraId="6ED4B5EC">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5</w:t>
      </w:r>
      <w:r>
        <w:rPr>
          <w:rFonts w:hint="eastAsia" w:ascii="仿宋" w:hAnsi="仿宋" w:eastAsia="仿宋" w:cs="仿宋"/>
          <w:sz w:val="24"/>
          <w:szCs w:val="24"/>
        </w:rPr>
        <w:t>）10分&lt;平均扣分，视为不合格，终止合同，合同待支付金额</w:t>
      </w:r>
      <w:r>
        <w:rPr>
          <w:rFonts w:hint="eastAsia" w:ascii="仿宋" w:hAnsi="仿宋" w:eastAsia="仿宋" w:cs="仿宋"/>
          <w:sz w:val="24"/>
          <w:szCs w:val="24"/>
          <w:lang w:val="en-US" w:eastAsia="zh-CN"/>
        </w:rPr>
        <w:t>不予支付，</w:t>
      </w:r>
      <w:r>
        <w:rPr>
          <w:rFonts w:hint="eastAsia" w:ascii="仿宋" w:hAnsi="仿宋" w:eastAsia="仿宋" w:cs="仿宋"/>
          <w:sz w:val="24"/>
          <w:szCs w:val="24"/>
        </w:rPr>
        <w:t>履约保证金（如有履约保证金）不予退还；</w:t>
      </w:r>
    </w:p>
    <w:p w14:paraId="7E9571EC">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3.供应商出现一票否决时，将对其违法违纪的相关情况汇报院纪委，同时按供应商违约情况取消本次合作，扣除所有剩余款项和履约保证金（如有履约保证金），并保留后续追究供应商责任的权利。</w:t>
      </w:r>
    </w:p>
    <w:p w14:paraId="697578CC">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4.本考核指标最终解释权归四川省医学科学院·四川省人民医院。</w:t>
      </w:r>
    </w:p>
    <w:p w14:paraId="0B8E3053">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3A4517FA">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44FFBB3F">
      <w:pPr>
        <w:pStyle w:val="16"/>
        <w:keepNext w:val="0"/>
        <w:keepLines w:val="0"/>
        <w:pageBreakBefore w:val="0"/>
        <w:numPr>
          <w:ilvl w:val="0"/>
          <w:numId w:val="0"/>
        </w:numPr>
        <w:kinsoku/>
        <w:wordWrap/>
        <w:overflowPunct/>
        <w:topLinePunct w:val="0"/>
        <w:bidi w:val="0"/>
        <w:adjustRightInd w:val="0"/>
        <w:snapToGrid w:val="0"/>
        <w:spacing w:before="0" w:beforeAutospacing="0" w:after="0" w:afterAutospacing="0" w:line="288" w:lineRule="auto"/>
        <w:ind w:left="0" w:leftChars="0"/>
        <w:textAlignment w:val="auto"/>
        <w:rPr>
          <w:rFonts w:hint="eastAsia" w:ascii="仿宋" w:hAnsi="仿宋" w:eastAsia="仿宋" w:cs="仿宋"/>
          <w:sz w:val="24"/>
          <w:szCs w:val="24"/>
        </w:rPr>
      </w:pPr>
      <w:r>
        <w:rPr>
          <w:rFonts w:hint="eastAsia" w:ascii="仿宋" w:hAnsi="仿宋" w:eastAsia="仿宋" w:cs="仿宋"/>
          <w:sz w:val="24"/>
          <w:szCs w:val="24"/>
        </w:rPr>
        <w:t>注：本章中带“</w:t>
      </w:r>
      <w:r>
        <w:rPr>
          <w:rFonts w:hint="eastAsia" w:ascii="仿宋" w:hAnsi="仿宋" w:eastAsia="仿宋" w:cs="仿宋"/>
          <w:b/>
          <w:bCs/>
          <w:sz w:val="24"/>
          <w:szCs w:val="24"/>
        </w:rPr>
        <w:t>★</w:t>
      </w:r>
      <w:r>
        <w:rPr>
          <w:rFonts w:hint="eastAsia" w:ascii="仿宋" w:hAnsi="仿宋" w:eastAsia="仿宋" w:cs="仿宋"/>
          <w:sz w:val="24"/>
          <w:szCs w:val="24"/>
        </w:rPr>
        <w:t>”的条款为实质性要求，不满足将被作为无效响应处理。</w:t>
      </w:r>
    </w:p>
    <w:p w14:paraId="7C85EA0A">
      <w:pPr>
        <w:pStyle w:val="16"/>
        <w:keepNext w:val="0"/>
        <w:keepLines w:val="0"/>
        <w:pageBreakBefore w:val="0"/>
        <w:kinsoku/>
        <w:wordWrap/>
        <w:overflowPunct/>
        <w:topLinePunct w:val="0"/>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39CDDE8F">
      <w:pPr>
        <w:rPr>
          <w:rFonts w:ascii="Times New Roman" w:hAnsi="Times New Roman" w:cs="Times New Roman"/>
        </w:rPr>
      </w:pPr>
      <w:r>
        <w:rPr>
          <w:rFonts w:ascii="Times New Roman" w:hAnsi="Times New Roman" w:cs="Times New Roman"/>
        </w:rPr>
        <w:br w:type="page"/>
      </w:r>
    </w:p>
    <w:p w14:paraId="29DFF5BB">
      <w:pPr>
        <w:pStyle w:val="2"/>
        <w:numPr>
          <w:ilvl w:val="0"/>
          <w:numId w:val="0"/>
        </w:numPr>
        <w:ind w:left="0" w:leftChars="0" w:firstLine="0" w:firstLineChars="0"/>
        <w:rPr>
          <w:rFonts w:ascii="Times New Roman" w:hAnsi="Times New Roman" w:cs="Times New Roman"/>
        </w:rPr>
      </w:pPr>
      <w:bookmarkStart w:id="17" w:name="_Toc28789"/>
      <w:bookmarkStart w:id="18" w:name="_Toc22588"/>
      <w:bookmarkStart w:id="19" w:name="_Toc13768"/>
      <w:r>
        <w:rPr>
          <w:rFonts w:hint="eastAsia" w:ascii="Times New Roman" w:hAnsi="Times New Roman" w:eastAsia="黑体" w:cs="Times New Roman"/>
          <w:b/>
          <w:kern w:val="44"/>
          <w:sz w:val="36"/>
          <w:lang w:val="zh-CN" w:eastAsia="zh-CN" w:bidi="ar-SA"/>
        </w:rPr>
        <w:t xml:space="preserve">第五章 </w:t>
      </w:r>
      <w:r>
        <w:rPr>
          <w:rFonts w:ascii="Times New Roman" w:hAnsi="Times New Roman" w:cs="Times New Roman"/>
        </w:rPr>
        <w:t>评分标准</w:t>
      </w:r>
      <w:bookmarkEnd w:id="17"/>
      <w:bookmarkEnd w:id="18"/>
      <w:bookmarkEnd w:id="19"/>
    </w:p>
    <w:tbl>
      <w:tblPr>
        <w:tblStyle w:val="1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9"/>
        <w:gridCol w:w="1505"/>
        <w:gridCol w:w="1383"/>
        <w:gridCol w:w="4899"/>
        <w:gridCol w:w="1086"/>
      </w:tblGrid>
      <w:tr w14:paraId="1A150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979" w:type="dxa"/>
            <w:tcBorders>
              <w:top w:val="single" w:color="auto" w:sz="4" w:space="0"/>
              <w:left w:val="single" w:color="auto" w:sz="4" w:space="0"/>
              <w:bottom w:val="single" w:color="auto" w:sz="4" w:space="0"/>
              <w:right w:val="single" w:color="auto" w:sz="4" w:space="0"/>
            </w:tcBorders>
            <w:vAlign w:val="center"/>
          </w:tcPr>
          <w:p w14:paraId="74CB590F">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序号</w:t>
            </w:r>
          </w:p>
        </w:tc>
        <w:tc>
          <w:tcPr>
            <w:tcW w:w="1505" w:type="dxa"/>
            <w:tcBorders>
              <w:top w:val="single" w:color="auto" w:sz="4" w:space="0"/>
              <w:left w:val="single" w:color="auto" w:sz="4" w:space="0"/>
              <w:bottom w:val="single" w:color="auto" w:sz="4" w:space="0"/>
              <w:right w:val="single" w:color="auto" w:sz="4" w:space="0"/>
            </w:tcBorders>
            <w:vAlign w:val="center"/>
          </w:tcPr>
          <w:p w14:paraId="2B1E3535">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评审因素</w:t>
            </w:r>
          </w:p>
        </w:tc>
        <w:tc>
          <w:tcPr>
            <w:tcW w:w="1383" w:type="dxa"/>
            <w:tcBorders>
              <w:top w:val="single" w:color="auto" w:sz="4" w:space="0"/>
              <w:left w:val="single" w:color="auto" w:sz="4" w:space="0"/>
              <w:bottom w:val="single" w:color="auto" w:sz="4" w:space="0"/>
              <w:right w:val="single" w:color="auto" w:sz="4" w:space="0"/>
            </w:tcBorders>
            <w:vAlign w:val="center"/>
          </w:tcPr>
          <w:p w14:paraId="118738C8">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分值</w:t>
            </w:r>
          </w:p>
        </w:tc>
        <w:tc>
          <w:tcPr>
            <w:tcW w:w="4899" w:type="dxa"/>
            <w:tcBorders>
              <w:top w:val="single" w:color="auto" w:sz="4" w:space="0"/>
              <w:left w:val="single" w:color="auto" w:sz="4" w:space="0"/>
              <w:bottom w:val="single" w:color="auto" w:sz="4" w:space="0"/>
              <w:right w:val="single" w:color="auto" w:sz="4" w:space="0"/>
            </w:tcBorders>
            <w:vAlign w:val="center"/>
          </w:tcPr>
          <w:p w14:paraId="02F30676">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评分标准</w:t>
            </w:r>
          </w:p>
        </w:tc>
        <w:tc>
          <w:tcPr>
            <w:tcW w:w="1086" w:type="dxa"/>
            <w:tcBorders>
              <w:top w:val="single" w:color="auto" w:sz="4" w:space="0"/>
              <w:left w:val="single" w:color="auto" w:sz="4" w:space="0"/>
              <w:bottom w:val="single" w:color="auto" w:sz="4" w:space="0"/>
              <w:right w:val="single" w:color="auto" w:sz="4" w:space="0"/>
            </w:tcBorders>
            <w:vAlign w:val="center"/>
          </w:tcPr>
          <w:p w14:paraId="358E40E0">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说明</w:t>
            </w:r>
          </w:p>
        </w:tc>
      </w:tr>
      <w:tr w14:paraId="608C3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top w:val="single" w:color="auto" w:sz="4" w:space="0"/>
              <w:left w:val="single" w:color="auto" w:sz="4" w:space="0"/>
              <w:bottom w:val="single" w:color="auto" w:sz="4" w:space="0"/>
              <w:right w:val="single" w:color="auto" w:sz="4" w:space="0"/>
            </w:tcBorders>
            <w:vAlign w:val="center"/>
          </w:tcPr>
          <w:p w14:paraId="70856944">
            <w:pPr>
              <w:keepNext w:val="0"/>
              <w:keepLines w:val="0"/>
              <w:pageBreakBefore w:val="0"/>
              <w:kinsoku/>
              <w:wordWrap/>
              <w:overflowPunct/>
              <w:topLinePunct w:val="0"/>
              <w:autoSpaceDE/>
              <w:autoSpaceDN/>
              <w:bidi w:val="0"/>
              <w:adjustRightInd w:val="0"/>
              <w:snapToGrid w:val="0"/>
              <w:spacing w:line="240" w:lineRule="auto"/>
              <w:ind w:firstLine="28"/>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w:t>
            </w:r>
          </w:p>
        </w:tc>
        <w:tc>
          <w:tcPr>
            <w:tcW w:w="1505" w:type="dxa"/>
            <w:tcBorders>
              <w:top w:val="single" w:color="auto" w:sz="4" w:space="0"/>
              <w:left w:val="single" w:color="auto" w:sz="4" w:space="0"/>
              <w:bottom w:val="single" w:color="auto" w:sz="4" w:space="0"/>
              <w:right w:val="single" w:color="auto" w:sz="4" w:space="0"/>
            </w:tcBorders>
            <w:vAlign w:val="center"/>
          </w:tcPr>
          <w:p w14:paraId="5C8BAA7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报价30%</w:t>
            </w:r>
          </w:p>
        </w:tc>
        <w:tc>
          <w:tcPr>
            <w:tcW w:w="1383" w:type="dxa"/>
            <w:tcBorders>
              <w:top w:val="single" w:color="auto" w:sz="4" w:space="0"/>
              <w:left w:val="single" w:color="auto" w:sz="4" w:space="0"/>
              <w:bottom w:val="single" w:color="auto" w:sz="4" w:space="0"/>
              <w:right w:val="single" w:color="auto" w:sz="4" w:space="0"/>
            </w:tcBorders>
            <w:vAlign w:val="center"/>
          </w:tcPr>
          <w:p w14:paraId="38972793">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30分</w:t>
            </w:r>
          </w:p>
        </w:tc>
        <w:tc>
          <w:tcPr>
            <w:tcW w:w="4899" w:type="dxa"/>
            <w:tcBorders>
              <w:top w:val="single" w:color="auto" w:sz="4" w:space="0"/>
              <w:left w:val="single" w:color="auto" w:sz="4" w:space="0"/>
              <w:bottom w:val="single" w:color="auto" w:sz="4" w:space="0"/>
              <w:right w:val="single" w:color="auto" w:sz="4" w:space="0"/>
            </w:tcBorders>
            <w:vAlign w:val="center"/>
          </w:tcPr>
          <w:p w14:paraId="3E29634A">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以本次最低有效</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报价为基准价，其价格分为满分，</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报价得分=(基准价／</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 *30</w:t>
            </w:r>
          </w:p>
        </w:tc>
        <w:tc>
          <w:tcPr>
            <w:tcW w:w="1086" w:type="dxa"/>
            <w:tcBorders>
              <w:top w:val="single" w:color="auto" w:sz="4" w:space="0"/>
              <w:left w:val="single" w:color="auto" w:sz="4" w:space="0"/>
              <w:bottom w:val="single" w:color="auto" w:sz="4" w:space="0"/>
              <w:right w:val="single" w:color="auto" w:sz="4" w:space="0"/>
            </w:tcBorders>
            <w:vAlign w:val="center"/>
          </w:tcPr>
          <w:p w14:paraId="152C21FE">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39F1D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top w:val="single" w:color="auto" w:sz="4" w:space="0"/>
              <w:left w:val="single" w:color="auto" w:sz="4" w:space="0"/>
              <w:right w:val="single" w:color="auto" w:sz="4" w:space="0"/>
            </w:tcBorders>
            <w:vAlign w:val="center"/>
          </w:tcPr>
          <w:p w14:paraId="3BEE9DCF">
            <w:pPr>
              <w:keepNext w:val="0"/>
              <w:keepLines w:val="0"/>
              <w:pageBreakBefore w:val="0"/>
              <w:kinsoku/>
              <w:wordWrap/>
              <w:overflowPunct/>
              <w:topLinePunct w:val="0"/>
              <w:autoSpaceDE/>
              <w:autoSpaceDN/>
              <w:bidi w:val="0"/>
              <w:adjustRightInd w:val="0"/>
              <w:snapToGrid w:val="0"/>
              <w:spacing w:line="240" w:lineRule="auto"/>
              <w:ind w:firstLine="28" w:firstLine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w:t>
            </w:r>
          </w:p>
        </w:tc>
        <w:tc>
          <w:tcPr>
            <w:tcW w:w="1505" w:type="dxa"/>
            <w:tcBorders>
              <w:top w:val="single" w:color="auto" w:sz="4" w:space="0"/>
              <w:left w:val="single" w:color="auto" w:sz="4" w:space="0"/>
              <w:right w:val="single" w:color="auto" w:sz="4" w:space="0"/>
            </w:tcBorders>
            <w:vAlign w:val="center"/>
          </w:tcPr>
          <w:p w14:paraId="5FA06A6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技术参数44</w:t>
            </w:r>
            <w:r>
              <w:rPr>
                <w:rFonts w:hint="eastAsia" w:ascii="仿宋" w:hAnsi="仿宋" w:eastAsia="仿宋" w:cs="仿宋"/>
                <w:color w:val="000000" w:themeColor="text1"/>
                <w:sz w:val="24"/>
                <w:szCs w:val="24"/>
                <w:highlight w:val="none"/>
                <w14:textFill>
                  <w14:solidFill>
                    <w14:schemeClr w14:val="tx1"/>
                  </w14:solidFill>
                </w14:textFill>
              </w:rPr>
              <w:t>%</w:t>
            </w:r>
          </w:p>
        </w:tc>
        <w:tc>
          <w:tcPr>
            <w:tcW w:w="1383" w:type="dxa"/>
            <w:tcBorders>
              <w:top w:val="single" w:color="auto" w:sz="4" w:space="0"/>
              <w:left w:val="single" w:color="auto" w:sz="4" w:space="0"/>
              <w:bottom w:val="single" w:color="auto" w:sz="4" w:space="0"/>
              <w:right w:val="single" w:color="auto" w:sz="4" w:space="0"/>
            </w:tcBorders>
            <w:vAlign w:val="center"/>
          </w:tcPr>
          <w:p w14:paraId="1EDEBBF5">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bCs/>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44分</w:t>
            </w:r>
          </w:p>
        </w:tc>
        <w:tc>
          <w:tcPr>
            <w:tcW w:w="4899" w:type="dxa"/>
            <w:tcBorders>
              <w:top w:val="single" w:color="auto" w:sz="4" w:space="0"/>
              <w:left w:val="single" w:color="auto" w:sz="4" w:space="0"/>
              <w:bottom w:val="single" w:color="auto" w:sz="4" w:space="0"/>
              <w:right w:val="single" w:color="auto" w:sz="4" w:space="0"/>
            </w:tcBorders>
            <w:vAlign w:val="center"/>
          </w:tcPr>
          <w:p w14:paraId="5452810B">
            <w:pPr>
              <w:keepNext w:val="0"/>
              <w:keepLines w:val="0"/>
              <w:pageBreakBefore w:val="0"/>
              <w:widowControl/>
              <w:kinsoku/>
              <w:overflowPunct/>
              <w:topLinePunct w:val="0"/>
              <w:autoSpaceDE/>
              <w:autoSpaceDN/>
              <w:bidi w:val="0"/>
              <w:adjustRightInd/>
              <w:snapToGrid/>
              <w:spacing w:line="240" w:lineRule="auto"/>
              <w:jc w:val="left"/>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带“★”的为实质性要求，不允许有负偏离</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不作为评审要求</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非</w:t>
            </w:r>
            <w:r>
              <w:rPr>
                <w:rFonts w:hint="eastAsia" w:ascii="仿宋" w:hAnsi="仿宋" w:eastAsia="仿宋" w:cs="仿宋"/>
                <w:sz w:val="24"/>
                <w:szCs w:val="24"/>
                <w:highlight w:val="none"/>
              </w:rPr>
              <w:t>“★”的为</w:t>
            </w:r>
            <w:r>
              <w:rPr>
                <w:rFonts w:hint="eastAsia" w:ascii="仿宋" w:hAnsi="仿宋" w:eastAsia="仿宋" w:cs="仿宋"/>
                <w:sz w:val="24"/>
                <w:szCs w:val="24"/>
                <w:highlight w:val="none"/>
                <w:lang w:val="en-US" w:eastAsia="zh-CN"/>
              </w:rPr>
              <w:t>一般技术参数</w:t>
            </w:r>
            <w:r>
              <w:rPr>
                <w:rFonts w:hint="eastAsia" w:ascii="仿宋" w:hAnsi="仿宋" w:eastAsia="仿宋" w:cs="仿宋"/>
                <w:sz w:val="24"/>
                <w:szCs w:val="24"/>
                <w:highlight w:val="none"/>
              </w:rPr>
              <w:t>条款</w:t>
            </w:r>
            <w:r>
              <w:rPr>
                <w:rFonts w:hint="eastAsia" w:ascii="仿宋" w:hAnsi="仿宋" w:eastAsia="仿宋" w:cs="仿宋"/>
                <w:sz w:val="24"/>
                <w:szCs w:val="24"/>
                <w:highlight w:val="none"/>
                <w:lang w:eastAsia="zh-CN"/>
              </w:rPr>
              <w:t>。</w:t>
            </w:r>
          </w:p>
          <w:p w14:paraId="3B9D1FD6">
            <w:pPr>
              <w:keepNext w:val="0"/>
              <w:keepLines w:val="0"/>
              <w:pageBreakBefore w:val="0"/>
              <w:widowControl/>
              <w:kinsoku/>
              <w:overflowPunct/>
              <w:topLinePunct w:val="0"/>
              <w:autoSpaceDE/>
              <w:autoSpaceDN/>
              <w:bidi w:val="0"/>
              <w:adjustRightInd/>
              <w:snapToGrid/>
              <w:spacing w:line="240" w:lineRule="auto"/>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供应商响应文件</w:t>
            </w:r>
            <w:r>
              <w:rPr>
                <w:rFonts w:hint="eastAsia" w:ascii="仿宋" w:hAnsi="仿宋" w:eastAsia="仿宋" w:cs="仿宋"/>
                <w:sz w:val="24"/>
                <w:szCs w:val="24"/>
                <w:highlight w:val="none"/>
              </w:rPr>
              <w:t>完全符合</w:t>
            </w:r>
            <w:r>
              <w:rPr>
                <w:rFonts w:hint="eastAsia" w:ascii="仿宋" w:hAnsi="仿宋" w:eastAsia="仿宋" w:cs="仿宋"/>
                <w:sz w:val="24"/>
                <w:szCs w:val="24"/>
                <w:highlight w:val="none"/>
                <w:lang w:val="en-US" w:eastAsia="zh-CN"/>
              </w:rPr>
              <w:t>谈判</w:t>
            </w:r>
            <w:r>
              <w:rPr>
                <w:rFonts w:hint="eastAsia" w:ascii="仿宋" w:hAnsi="仿宋" w:eastAsia="仿宋" w:cs="仿宋"/>
                <w:sz w:val="24"/>
                <w:szCs w:val="24"/>
                <w:highlight w:val="none"/>
              </w:rPr>
              <w:t>文件</w:t>
            </w:r>
            <w:r>
              <w:rPr>
                <w:rFonts w:hint="eastAsia" w:ascii="仿宋" w:hAnsi="仿宋" w:eastAsia="仿宋" w:cs="仿宋"/>
                <w:sz w:val="24"/>
                <w:szCs w:val="24"/>
                <w:highlight w:val="none"/>
                <w:lang w:val="zh-CN" w:eastAsia="zh-CN"/>
              </w:rPr>
              <w:t xml:space="preserve">第四章 </w:t>
            </w:r>
            <w:r>
              <w:rPr>
                <w:rFonts w:hint="eastAsia" w:ascii="仿宋" w:hAnsi="仿宋" w:eastAsia="仿宋" w:cs="仿宋"/>
                <w:sz w:val="24"/>
                <w:szCs w:val="24"/>
                <w:highlight w:val="none"/>
              </w:rPr>
              <w:t>采购需求“</w:t>
            </w:r>
            <w:r>
              <w:rPr>
                <w:rFonts w:hint="eastAsia" w:ascii="仿宋" w:hAnsi="仿宋" w:eastAsia="仿宋" w:cs="仿宋"/>
                <w:sz w:val="24"/>
                <w:szCs w:val="24"/>
                <w:highlight w:val="none"/>
                <w:lang w:val="en-US" w:eastAsia="zh-CN"/>
              </w:rPr>
              <w:t>1.技术要求</w:t>
            </w:r>
            <w:r>
              <w:rPr>
                <w:rFonts w:hint="eastAsia" w:ascii="仿宋" w:hAnsi="仿宋" w:eastAsia="仿宋" w:cs="仿宋"/>
                <w:sz w:val="24"/>
                <w:szCs w:val="24"/>
                <w:highlight w:val="none"/>
              </w:rPr>
              <w:t>”的得</w:t>
            </w:r>
            <w:r>
              <w:rPr>
                <w:rFonts w:hint="eastAsia" w:ascii="仿宋" w:hAnsi="仿宋" w:eastAsia="仿宋" w:cs="仿宋"/>
                <w:sz w:val="24"/>
                <w:szCs w:val="24"/>
                <w:highlight w:val="none"/>
                <w:lang w:val="en-US" w:eastAsia="zh-CN"/>
              </w:rPr>
              <w:t>44</w:t>
            </w:r>
            <w:r>
              <w:rPr>
                <w:rFonts w:hint="eastAsia" w:ascii="仿宋" w:hAnsi="仿宋" w:eastAsia="仿宋" w:cs="仿宋"/>
                <w:sz w:val="24"/>
                <w:szCs w:val="24"/>
                <w:highlight w:val="none"/>
              </w:rPr>
              <w:t>分。</w:t>
            </w:r>
          </w:p>
          <w:p w14:paraId="3FC494ED">
            <w:pPr>
              <w:spacing w:line="24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一般技术参数</w:t>
            </w:r>
            <w:r>
              <w:rPr>
                <w:rFonts w:hint="eastAsia" w:ascii="仿宋" w:hAnsi="仿宋" w:eastAsia="仿宋" w:cs="仿宋"/>
                <w:sz w:val="24"/>
                <w:szCs w:val="24"/>
                <w:highlight w:val="none"/>
              </w:rPr>
              <w:t>条款</w:t>
            </w:r>
            <w:r>
              <w:rPr>
                <w:rFonts w:hint="eastAsia" w:ascii="仿宋" w:hAnsi="仿宋" w:eastAsia="仿宋" w:cs="仿宋"/>
                <w:sz w:val="24"/>
                <w:szCs w:val="24"/>
                <w:highlight w:val="none"/>
                <w:lang w:eastAsia="zh-CN"/>
              </w:rPr>
              <w:t>的响应得分规则如下：</w:t>
            </w:r>
          </w:p>
          <w:p w14:paraId="336E21A2">
            <w:pPr>
              <w:spacing w:line="24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一般技术参数</w:t>
            </w:r>
            <w:r>
              <w:rPr>
                <w:rFonts w:hint="eastAsia" w:ascii="仿宋" w:hAnsi="仿宋" w:eastAsia="仿宋" w:cs="仿宋"/>
                <w:sz w:val="24"/>
                <w:szCs w:val="24"/>
                <w:highlight w:val="none"/>
              </w:rPr>
              <w:t>条款</w:t>
            </w:r>
            <w:r>
              <w:rPr>
                <w:rFonts w:hint="eastAsia" w:ascii="仿宋" w:hAnsi="仿宋" w:eastAsia="仿宋" w:cs="仿宋"/>
                <w:sz w:val="24"/>
                <w:szCs w:val="24"/>
                <w:highlight w:val="none"/>
                <w:lang w:eastAsia="zh-CN"/>
              </w:rPr>
              <w:t>响应得分=（供应商满足</w:t>
            </w:r>
            <w:r>
              <w:rPr>
                <w:rFonts w:hint="eastAsia" w:ascii="仿宋" w:hAnsi="仿宋" w:eastAsia="仿宋" w:cs="仿宋"/>
                <w:sz w:val="24"/>
                <w:szCs w:val="24"/>
                <w:highlight w:val="none"/>
                <w:lang w:val="en-US" w:eastAsia="zh-CN"/>
              </w:rPr>
              <w:t>一般技术参数</w:t>
            </w:r>
            <w:r>
              <w:rPr>
                <w:rFonts w:hint="eastAsia" w:ascii="仿宋" w:hAnsi="仿宋" w:eastAsia="仿宋" w:cs="仿宋"/>
                <w:sz w:val="24"/>
                <w:szCs w:val="24"/>
                <w:highlight w:val="none"/>
              </w:rPr>
              <w:t>条款</w:t>
            </w:r>
            <w:r>
              <w:rPr>
                <w:rFonts w:hint="eastAsia" w:ascii="仿宋" w:hAnsi="仿宋" w:eastAsia="仿宋" w:cs="仿宋"/>
                <w:sz w:val="24"/>
                <w:szCs w:val="24"/>
                <w:highlight w:val="none"/>
                <w:lang w:eastAsia="zh-CN"/>
              </w:rPr>
              <w:t>的数量÷</w:t>
            </w:r>
            <w:r>
              <w:rPr>
                <w:rFonts w:hint="eastAsia" w:ascii="仿宋" w:hAnsi="仿宋" w:eastAsia="仿宋" w:cs="仿宋"/>
                <w:sz w:val="24"/>
                <w:szCs w:val="24"/>
                <w:highlight w:val="none"/>
                <w:lang w:val="en-US" w:eastAsia="zh-CN"/>
              </w:rPr>
              <w:t>一般技术参数</w:t>
            </w:r>
            <w:r>
              <w:rPr>
                <w:rFonts w:hint="eastAsia" w:ascii="仿宋" w:hAnsi="仿宋" w:eastAsia="仿宋" w:cs="仿宋"/>
                <w:sz w:val="24"/>
                <w:szCs w:val="24"/>
                <w:highlight w:val="none"/>
              </w:rPr>
              <w:t>条款</w:t>
            </w:r>
            <w:r>
              <w:rPr>
                <w:rFonts w:hint="eastAsia" w:ascii="仿宋" w:hAnsi="仿宋" w:eastAsia="仿宋" w:cs="仿宋"/>
                <w:sz w:val="24"/>
                <w:szCs w:val="24"/>
                <w:highlight w:val="none"/>
                <w:lang w:val="en-US" w:eastAsia="zh-CN"/>
              </w:rPr>
              <w:t>的</w:t>
            </w:r>
            <w:r>
              <w:rPr>
                <w:rFonts w:hint="eastAsia" w:ascii="仿宋" w:hAnsi="仿宋" w:eastAsia="仿宋" w:cs="仿宋"/>
                <w:sz w:val="24"/>
                <w:szCs w:val="24"/>
                <w:highlight w:val="none"/>
                <w:lang w:eastAsia="zh-CN"/>
              </w:rPr>
              <w:t>总数量）×</w:t>
            </w:r>
            <w:r>
              <w:rPr>
                <w:rFonts w:hint="eastAsia" w:ascii="仿宋" w:hAnsi="仿宋" w:eastAsia="仿宋" w:cs="仿宋"/>
                <w:sz w:val="24"/>
                <w:szCs w:val="24"/>
                <w:highlight w:val="none"/>
                <w:lang w:val="en-US" w:eastAsia="zh-CN"/>
              </w:rPr>
              <w:t>44</w:t>
            </w:r>
            <w:r>
              <w:rPr>
                <w:rFonts w:hint="eastAsia" w:ascii="仿宋" w:hAnsi="仿宋" w:eastAsia="仿宋" w:cs="仿宋"/>
                <w:sz w:val="24"/>
                <w:szCs w:val="24"/>
                <w:highlight w:val="none"/>
                <w:lang w:eastAsia="zh-CN"/>
              </w:rPr>
              <w:t>分。</w:t>
            </w:r>
          </w:p>
          <w:p w14:paraId="02CBCC63">
            <w:pPr>
              <w:spacing w:line="24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注：①得分保留小数点后两位小数，四舍五入。</w:t>
            </w:r>
          </w:p>
          <w:p w14:paraId="1E64977E">
            <w:pPr>
              <w:spacing w:line="24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②以“1</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lang w:eastAsia="zh-CN"/>
              </w:rPr>
              <w:t>2</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lang w:eastAsia="zh-CN"/>
              </w:rPr>
              <w:t>3......”标识为一项。</w:t>
            </w:r>
          </w:p>
          <w:p w14:paraId="0802F21F">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sz w:val="24"/>
                <w:szCs w:val="24"/>
                <w:highlight w:val="none"/>
                <w:lang w:eastAsia="zh-CN"/>
              </w:rPr>
              <w:t>若每一项技术指标项均有负偏离，此处分值应扣完，得0分。</w:t>
            </w:r>
          </w:p>
        </w:tc>
        <w:tc>
          <w:tcPr>
            <w:tcW w:w="1086" w:type="dxa"/>
            <w:tcBorders>
              <w:top w:val="single" w:color="auto" w:sz="4" w:space="0"/>
              <w:left w:val="single" w:color="auto" w:sz="4" w:space="0"/>
              <w:bottom w:val="single" w:color="auto" w:sz="4" w:space="0"/>
              <w:right w:val="single" w:color="auto" w:sz="4" w:space="0"/>
            </w:tcBorders>
            <w:vAlign w:val="center"/>
          </w:tcPr>
          <w:p w14:paraId="7A53F850">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0A88C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left w:val="single" w:color="auto" w:sz="4" w:space="0"/>
              <w:bottom w:val="single" w:color="auto" w:sz="4" w:space="0"/>
              <w:right w:val="single" w:color="auto" w:sz="4" w:space="0"/>
            </w:tcBorders>
            <w:vAlign w:val="center"/>
          </w:tcPr>
          <w:p w14:paraId="58A7F2F2">
            <w:pPr>
              <w:keepNext w:val="0"/>
              <w:keepLines w:val="0"/>
              <w:pageBreakBefore w:val="0"/>
              <w:kinsoku/>
              <w:wordWrap/>
              <w:overflowPunct/>
              <w:topLinePunct w:val="0"/>
              <w:autoSpaceDE/>
              <w:autoSpaceDN/>
              <w:bidi w:val="0"/>
              <w:adjustRightInd w:val="0"/>
              <w:snapToGrid w:val="0"/>
              <w:spacing w:line="240" w:lineRule="auto"/>
              <w:ind w:firstLine="28" w:firstLine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w:t>
            </w:r>
          </w:p>
        </w:tc>
        <w:tc>
          <w:tcPr>
            <w:tcW w:w="1505" w:type="dxa"/>
            <w:tcBorders>
              <w:left w:val="single" w:color="auto" w:sz="4" w:space="0"/>
              <w:bottom w:val="single" w:color="auto" w:sz="4" w:space="0"/>
              <w:right w:val="single" w:color="auto" w:sz="4" w:space="0"/>
            </w:tcBorders>
            <w:vAlign w:val="center"/>
          </w:tcPr>
          <w:p w14:paraId="59CDD5B4">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项目实施方案10%</w:t>
            </w:r>
          </w:p>
        </w:tc>
        <w:tc>
          <w:tcPr>
            <w:tcW w:w="1383" w:type="dxa"/>
            <w:tcBorders>
              <w:top w:val="single" w:color="auto" w:sz="4" w:space="0"/>
              <w:left w:val="single" w:color="auto" w:sz="4" w:space="0"/>
              <w:bottom w:val="single" w:color="auto" w:sz="4" w:space="0"/>
              <w:right w:val="single" w:color="auto" w:sz="4" w:space="0"/>
            </w:tcBorders>
            <w:vAlign w:val="center"/>
          </w:tcPr>
          <w:p w14:paraId="49C88B8D">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bCs/>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10分</w:t>
            </w:r>
          </w:p>
        </w:tc>
        <w:tc>
          <w:tcPr>
            <w:tcW w:w="4899" w:type="dxa"/>
            <w:tcBorders>
              <w:top w:val="single" w:color="auto" w:sz="4" w:space="0"/>
              <w:left w:val="single" w:color="auto" w:sz="4" w:space="0"/>
              <w:bottom w:val="single" w:color="auto" w:sz="4" w:space="0"/>
              <w:right w:val="single" w:color="auto" w:sz="4" w:space="0"/>
            </w:tcBorders>
            <w:vAlign w:val="center"/>
          </w:tcPr>
          <w:p w14:paraId="7F64D926">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需提供针对本项目编制的</w:t>
            </w:r>
            <w:r>
              <w:rPr>
                <w:rFonts w:hint="eastAsia" w:ascii="仿宋" w:hAnsi="仿宋" w:eastAsia="仿宋" w:cs="仿宋"/>
                <w:color w:val="000000" w:themeColor="text1"/>
                <w:sz w:val="24"/>
                <w:szCs w:val="24"/>
                <w:highlight w:val="none"/>
                <w:lang w:val="en-US" w:eastAsia="zh-CN"/>
                <w14:textFill>
                  <w14:solidFill>
                    <w14:schemeClr w14:val="tx1"/>
                  </w14:solidFill>
                </w14:textFill>
              </w:rPr>
              <w:t>项目实施方案</w:t>
            </w:r>
            <w:r>
              <w:rPr>
                <w:rFonts w:hint="eastAsia" w:ascii="仿宋" w:hAnsi="仿宋" w:eastAsia="仿宋" w:cs="仿宋"/>
                <w:color w:val="000000" w:themeColor="text1"/>
                <w:sz w:val="24"/>
                <w:szCs w:val="24"/>
                <w:highlight w:val="none"/>
                <w14:textFill>
                  <w14:solidFill>
                    <w14:schemeClr w14:val="tx1"/>
                  </w14:solidFill>
                </w14:textFill>
              </w:rPr>
              <w:t>，包括①项目实施计划、②</w:t>
            </w:r>
            <w:r>
              <w:rPr>
                <w:rFonts w:hint="eastAsia" w:ascii="仿宋" w:hAnsi="仿宋" w:eastAsia="仿宋" w:cs="仿宋"/>
                <w:color w:val="000000" w:themeColor="text1"/>
                <w:sz w:val="24"/>
                <w:szCs w:val="24"/>
                <w:highlight w:val="none"/>
                <w:lang w:val="en-US" w:eastAsia="zh-CN"/>
                <w14:textFill>
                  <w14:solidFill>
                    <w14:schemeClr w14:val="tx1"/>
                  </w14:solidFill>
                </w14:textFill>
              </w:rPr>
              <w:t>系统对接方案、</w:t>
            </w:r>
            <w:r>
              <w:rPr>
                <w:rFonts w:hint="eastAsia" w:ascii="仿宋" w:hAnsi="仿宋" w:eastAsia="仿宋" w:cs="仿宋"/>
                <w:color w:val="000000" w:themeColor="text1"/>
                <w:sz w:val="24"/>
                <w:szCs w:val="24"/>
                <w:highlight w:val="none"/>
                <w14:textFill>
                  <w14:solidFill>
                    <w14:schemeClr w14:val="tx1"/>
                  </w14:solidFill>
                </w14:textFill>
              </w:rPr>
              <w:t>③</w:t>
            </w:r>
            <w:r>
              <w:rPr>
                <w:rFonts w:hint="eastAsia" w:ascii="仿宋" w:hAnsi="仿宋" w:eastAsia="仿宋" w:cs="仿宋"/>
                <w:color w:val="000000" w:themeColor="text1"/>
                <w:sz w:val="24"/>
                <w:szCs w:val="24"/>
                <w:highlight w:val="none"/>
                <w:lang w:val="en-US" w:eastAsia="zh-CN"/>
                <w14:textFill>
                  <w14:solidFill>
                    <w14:schemeClr w14:val="tx1"/>
                  </w14:solidFill>
                </w14:textFill>
              </w:rPr>
              <w:t>质量保障措施、</w:t>
            </w:r>
            <w:r>
              <w:rPr>
                <w:rFonts w:hint="eastAsia" w:ascii="仿宋" w:hAnsi="仿宋" w:eastAsia="仿宋" w:cs="仿宋"/>
                <w:color w:val="000000" w:themeColor="text1"/>
                <w:sz w:val="24"/>
                <w:szCs w:val="24"/>
                <w:highlight w:val="none"/>
                <w14:textFill>
                  <w14:solidFill>
                    <w14:schemeClr w14:val="tx1"/>
                  </w14:solidFill>
                </w14:textFill>
              </w:rPr>
              <w:t>④</w:t>
            </w:r>
            <w:r>
              <w:rPr>
                <w:rFonts w:hint="eastAsia" w:ascii="仿宋" w:hAnsi="仿宋" w:eastAsia="仿宋" w:cs="仿宋"/>
                <w:color w:val="000000" w:themeColor="text1"/>
                <w:sz w:val="24"/>
                <w:szCs w:val="24"/>
                <w:highlight w:val="none"/>
                <w:lang w:val="en-US" w:eastAsia="zh-CN"/>
                <w14:textFill>
                  <w14:solidFill>
                    <w14:schemeClr w14:val="tx1"/>
                  </w14:solidFill>
                </w14:textFill>
              </w:rPr>
              <w:t>应急响应措施</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⑤</w:t>
            </w:r>
            <w:r>
              <w:rPr>
                <w:rFonts w:hint="eastAsia" w:ascii="仿宋" w:hAnsi="仿宋" w:eastAsia="仿宋" w:cs="仿宋"/>
                <w:color w:val="000000" w:themeColor="text1"/>
                <w:sz w:val="24"/>
                <w:szCs w:val="24"/>
                <w:highlight w:val="none"/>
                <w:lang w:val="en-US" w:eastAsia="zh-CN"/>
                <w14:textFill>
                  <w14:solidFill>
                    <w14:schemeClr w14:val="tx1"/>
                  </w14:solidFill>
                </w14:textFill>
              </w:rPr>
              <w:t>售后服务方案</w:t>
            </w:r>
            <w:r>
              <w:rPr>
                <w:rFonts w:hint="eastAsia" w:ascii="仿宋" w:hAnsi="仿宋" w:eastAsia="仿宋" w:cs="仿宋"/>
                <w:color w:val="000000" w:themeColor="text1"/>
                <w:sz w:val="24"/>
                <w:szCs w:val="24"/>
                <w:highlight w:val="none"/>
                <w14:textFill>
                  <w14:solidFill>
                    <w14:schemeClr w14:val="tx1"/>
                  </w14:solidFill>
                </w14:textFill>
              </w:rPr>
              <w:t>。符合采购人需求的得</w:t>
            </w:r>
            <w:r>
              <w:rPr>
                <w:rFonts w:hint="eastAsia" w:ascii="仿宋" w:hAnsi="仿宋" w:eastAsia="仿宋" w:cs="仿宋"/>
                <w:color w:val="000000" w:themeColor="text1"/>
                <w:sz w:val="24"/>
                <w:szCs w:val="24"/>
                <w:highlight w:val="none"/>
                <w:lang w:val="en-US" w:eastAsia="zh-CN"/>
                <w14:textFill>
                  <w14:solidFill>
                    <w14:schemeClr w14:val="tx1"/>
                  </w14:solidFill>
                </w14:textFill>
              </w:rPr>
              <w:t>10</w:t>
            </w:r>
            <w:r>
              <w:rPr>
                <w:rFonts w:hint="eastAsia" w:ascii="仿宋" w:hAnsi="仿宋" w:eastAsia="仿宋" w:cs="仿宋"/>
                <w:color w:val="000000" w:themeColor="text1"/>
                <w:sz w:val="24"/>
                <w:szCs w:val="24"/>
                <w:highlight w:val="none"/>
                <w14:textFill>
                  <w14:solidFill>
                    <w14:schemeClr w14:val="tx1"/>
                  </w14:solidFill>
                </w14:textFill>
              </w:rPr>
              <w:t>分；每缺少一项内容扣</w:t>
            </w: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分，每有一处内容存在缺陷扣</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分，扣完为止。</w:t>
            </w:r>
          </w:p>
          <w:p w14:paraId="04B5703C">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注：缺陷是指：内容不一致、地点名称错误、内容与本项目实际需求不符、不符合相关规范及标准。</w:t>
            </w:r>
          </w:p>
        </w:tc>
        <w:tc>
          <w:tcPr>
            <w:tcW w:w="1086" w:type="dxa"/>
            <w:tcBorders>
              <w:top w:val="single" w:color="auto" w:sz="4" w:space="0"/>
              <w:left w:val="single" w:color="auto" w:sz="4" w:space="0"/>
              <w:bottom w:val="single" w:color="auto" w:sz="4" w:space="0"/>
              <w:right w:val="single" w:color="auto" w:sz="4" w:space="0"/>
            </w:tcBorders>
            <w:vAlign w:val="center"/>
          </w:tcPr>
          <w:p w14:paraId="243C9824">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0BBCF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979" w:type="dxa"/>
            <w:tcBorders>
              <w:left w:val="single" w:color="auto" w:sz="4" w:space="0"/>
              <w:bottom w:val="single" w:color="auto" w:sz="4" w:space="0"/>
              <w:right w:val="single" w:color="auto" w:sz="4" w:space="0"/>
            </w:tcBorders>
            <w:vAlign w:val="center"/>
          </w:tcPr>
          <w:p w14:paraId="2445FE33">
            <w:pPr>
              <w:keepNext w:val="0"/>
              <w:keepLines w:val="0"/>
              <w:pageBreakBefore w:val="0"/>
              <w:kinsoku/>
              <w:wordWrap/>
              <w:overflowPunct/>
              <w:topLinePunct w:val="0"/>
              <w:autoSpaceDE/>
              <w:autoSpaceDN/>
              <w:bidi w:val="0"/>
              <w:adjustRightInd w:val="0"/>
              <w:snapToGrid w:val="0"/>
              <w:spacing w:line="240" w:lineRule="auto"/>
              <w:ind w:firstLine="28" w:firstLineChars="0"/>
              <w:jc w:val="center"/>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p>
        </w:tc>
        <w:tc>
          <w:tcPr>
            <w:tcW w:w="1505" w:type="dxa"/>
            <w:tcBorders>
              <w:left w:val="single" w:color="auto" w:sz="4" w:space="0"/>
              <w:bottom w:val="single" w:color="auto" w:sz="4" w:space="0"/>
              <w:right w:val="single" w:color="auto" w:sz="4" w:space="0"/>
            </w:tcBorders>
            <w:vAlign w:val="center"/>
          </w:tcPr>
          <w:p w14:paraId="79495A5F">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业绩</w:t>
            </w:r>
            <w:r>
              <w:rPr>
                <w:rFonts w:hint="eastAsia" w:ascii="仿宋" w:hAnsi="仿宋" w:eastAsia="仿宋" w:cs="仿宋"/>
                <w:color w:val="000000" w:themeColor="text1"/>
                <w:sz w:val="24"/>
                <w:szCs w:val="24"/>
                <w:highlight w:val="none"/>
                <w:lang w:val="en-US" w:eastAsia="zh-CN"/>
                <w14:textFill>
                  <w14:solidFill>
                    <w14:schemeClr w14:val="tx1"/>
                  </w14:solidFill>
                </w14:textFill>
              </w:rPr>
              <w:t>16%</w:t>
            </w:r>
          </w:p>
        </w:tc>
        <w:tc>
          <w:tcPr>
            <w:tcW w:w="1383" w:type="dxa"/>
            <w:tcBorders>
              <w:top w:val="single" w:color="auto" w:sz="4" w:space="0"/>
              <w:left w:val="single" w:color="auto" w:sz="4" w:space="0"/>
              <w:bottom w:val="single" w:color="auto" w:sz="4" w:space="0"/>
              <w:right w:val="single" w:color="auto" w:sz="4" w:space="0"/>
            </w:tcBorders>
            <w:vAlign w:val="center"/>
          </w:tcPr>
          <w:p w14:paraId="35228BF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16分</w:t>
            </w:r>
          </w:p>
        </w:tc>
        <w:tc>
          <w:tcPr>
            <w:tcW w:w="4899" w:type="dxa"/>
            <w:tcBorders>
              <w:top w:val="single" w:color="auto" w:sz="4" w:space="0"/>
              <w:left w:val="single" w:color="auto" w:sz="4" w:space="0"/>
              <w:bottom w:val="single" w:color="auto" w:sz="4" w:space="0"/>
              <w:right w:val="single" w:color="auto" w:sz="4" w:space="0"/>
            </w:tcBorders>
            <w:vAlign w:val="center"/>
          </w:tcPr>
          <w:p w14:paraId="480FC882">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供应商提供</w:t>
            </w:r>
            <w:r>
              <w:rPr>
                <w:rFonts w:hint="eastAsia" w:ascii="仿宋" w:hAnsi="仿宋" w:eastAsia="仿宋" w:cs="仿宋"/>
                <w:color w:val="000000" w:themeColor="text1"/>
                <w:sz w:val="24"/>
                <w:szCs w:val="24"/>
                <w:highlight w:val="none"/>
                <w:lang w:val="en-US" w:eastAsia="zh-CN"/>
                <w14:textFill>
                  <w14:solidFill>
                    <w14:schemeClr w14:val="tx1"/>
                  </w14:solidFill>
                </w14:textFill>
              </w:rPr>
              <w:t>2023年1月1日（含）以来预就诊服务系统类似</w:t>
            </w:r>
            <w:r>
              <w:rPr>
                <w:rFonts w:hint="eastAsia" w:ascii="仿宋" w:hAnsi="仿宋" w:eastAsia="仿宋" w:cs="仿宋"/>
                <w:color w:val="000000" w:themeColor="text1"/>
                <w:sz w:val="24"/>
                <w:szCs w:val="24"/>
                <w:highlight w:val="none"/>
                <w14:textFill>
                  <w14:solidFill>
                    <w14:schemeClr w14:val="tx1"/>
                  </w14:solidFill>
                </w14:textFill>
              </w:rPr>
              <w:t>项目的业绩证明，</w:t>
            </w:r>
            <w:r>
              <w:rPr>
                <w:rFonts w:hint="eastAsia" w:ascii="仿宋" w:hAnsi="仿宋" w:eastAsia="仿宋" w:cs="仿宋"/>
                <w:color w:val="000000" w:themeColor="text1"/>
                <w:sz w:val="24"/>
                <w:szCs w:val="24"/>
                <w:highlight w:val="none"/>
                <w:lang w:val="en-US" w:eastAsia="zh-CN"/>
                <w14:textFill>
                  <w14:solidFill>
                    <w14:schemeClr w14:val="tx1"/>
                  </w14:solidFill>
                </w14:textFill>
              </w:rPr>
              <w:t>每</w:t>
            </w:r>
            <w:r>
              <w:rPr>
                <w:rFonts w:hint="eastAsia" w:ascii="仿宋" w:hAnsi="仿宋" w:eastAsia="仿宋" w:cs="仿宋"/>
                <w:color w:val="000000" w:themeColor="text1"/>
                <w:sz w:val="24"/>
                <w:szCs w:val="24"/>
                <w:highlight w:val="none"/>
                <w14:textFill>
                  <w14:solidFill>
                    <w14:schemeClr w14:val="tx1"/>
                  </w14:solidFill>
                </w14:textFill>
              </w:rPr>
              <w:t>提供1个</w:t>
            </w:r>
            <w:r>
              <w:rPr>
                <w:rFonts w:hint="eastAsia" w:ascii="仿宋" w:hAnsi="仿宋" w:eastAsia="仿宋" w:cs="仿宋"/>
                <w:color w:val="000000" w:themeColor="text1"/>
                <w:sz w:val="24"/>
                <w:szCs w:val="24"/>
                <w:highlight w:val="none"/>
                <w:lang w:val="en-US" w:eastAsia="zh-CN"/>
                <w14:textFill>
                  <w14:solidFill>
                    <w14:schemeClr w14:val="tx1"/>
                  </w14:solidFill>
                </w14:textFill>
              </w:rPr>
              <w:t>类似业绩</w:t>
            </w:r>
            <w:r>
              <w:rPr>
                <w:rFonts w:hint="eastAsia" w:ascii="仿宋" w:hAnsi="仿宋" w:eastAsia="仿宋" w:cs="仿宋"/>
                <w:color w:val="000000" w:themeColor="text1"/>
                <w:sz w:val="24"/>
                <w:szCs w:val="24"/>
                <w:highlight w:val="none"/>
                <w14:textFill>
                  <w14:solidFill>
                    <w14:schemeClr w14:val="tx1"/>
                  </w14:solidFill>
                </w14:textFill>
              </w:rPr>
              <w:t>得</w:t>
            </w: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r>
              <w:rPr>
                <w:rFonts w:hint="eastAsia" w:ascii="仿宋" w:hAnsi="仿宋" w:eastAsia="仿宋" w:cs="仿宋"/>
                <w:color w:val="000000" w:themeColor="text1"/>
                <w:sz w:val="24"/>
                <w:szCs w:val="24"/>
                <w:highlight w:val="none"/>
                <w14:textFill>
                  <w14:solidFill>
                    <w14:schemeClr w14:val="tx1"/>
                  </w14:solidFill>
                </w14:textFill>
              </w:rPr>
              <w:t>分，最高得</w:t>
            </w:r>
            <w:r>
              <w:rPr>
                <w:rFonts w:hint="eastAsia" w:ascii="仿宋" w:hAnsi="仿宋" w:eastAsia="仿宋" w:cs="仿宋"/>
                <w:color w:val="000000" w:themeColor="text1"/>
                <w:sz w:val="24"/>
                <w:szCs w:val="24"/>
                <w:highlight w:val="none"/>
                <w:lang w:val="en-US" w:eastAsia="zh-CN"/>
                <w14:textFill>
                  <w14:solidFill>
                    <w14:schemeClr w14:val="tx1"/>
                  </w14:solidFill>
                </w14:textFill>
              </w:rPr>
              <w:t>16</w:t>
            </w:r>
            <w:r>
              <w:rPr>
                <w:rFonts w:hint="eastAsia" w:ascii="仿宋" w:hAnsi="仿宋" w:eastAsia="仿宋" w:cs="仿宋"/>
                <w:color w:val="000000" w:themeColor="text1"/>
                <w:sz w:val="24"/>
                <w:szCs w:val="24"/>
                <w:highlight w:val="none"/>
                <w14:textFill>
                  <w14:solidFill>
                    <w14:schemeClr w14:val="tx1"/>
                  </w14:solidFill>
                </w14:textFill>
              </w:rPr>
              <w:t>分</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6638E086">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bidi="ar"/>
                <w14:textFill>
                  <w14:solidFill>
                    <w14:schemeClr w14:val="tx1"/>
                  </w14:solidFill>
                </w14:textFill>
              </w:rPr>
              <w:t>注：提供采购合同关键页（合同首页、建设内容、金额、签字盖章页）材料复印件，并加盖</w:t>
            </w:r>
            <w:r>
              <w:rPr>
                <w:rFonts w:hint="eastAsia" w:ascii="仿宋" w:hAnsi="仿宋" w:eastAsia="仿宋" w:cs="仿宋"/>
                <w:color w:val="000000" w:themeColor="text1"/>
                <w:kern w:val="0"/>
                <w:sz w:val="24"/>
                <w:szCs w:val="24"/>
                <w:highlight w:val="none"/>
                <w:lang w:eastAsia="zh-CN" w:bidi="ar"/>
                <w14:textFill>
                  <w14:solidFill>
                    <w14:schemeClr w14:val="tx1"/>
                  </w14:solidFill>
                </w14:textFill>
              </w:rPr>
              <w:t>供应商公章</w:t>
            </w:r>
            <w:r>
              <w:rPr>
                <w:rFonts w:hint="eastAsia" w:ascii="仿宋" w:hAnsi="仿宋" w:eastAsia="仿宋" w:cs="仿宋"/>
                <w:color w:val="000000" w:themeColor="text1"/>
                <w:kern w:val="0"/>
                <w:sz w:val="24"/>
                <w:szCs w:val="24"/>
                <w:highlight w:val="none"/>
                <w:lang w:bidi="ar"/>
                <w14:textFill>
                  <w14:solidFill>
                    <w14:schemeClr w14:val="tx1"/>
                  </w14:solidFill>
                </w14:textFill>
              </w:rPr>
              <w:t>，缺项或不提供的不得分。</w:t>
            </w:r>
          </w:p>
        </w:tc>
        <w:tc>
          <w:tcPr>
            <w:tcW w:w="1086" w:type="dxa"/>
            <w:tcBorders>
              <w:top w:val="single" w:color="auto" w:sz="4" w:space="0"/>
              <w:left w:val="single" w:color="auto" w:sz="4" w:space="0"/>
              <w:bottom w:val="single" w:color="auto" w:sz="4" w:space="0"/>
              <w:right w:val="single" w:color="auto" w:sz="4" w:space="0"/>
            </w:tcBorders>
            <w:vAlign w:val="center"/>
          </w:tcPr>
          <w:p w14:paraId="4530A003">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bl>
    <w:p w14:paraId="561B5970">
      <w:pPr>
        <w:rPr>
          <w:lang w:val="zh-CN"/>
        </w:rPr>
      </w:pPr>
    </w:p>
    <w:p w14:paraId="1E53B04C">
      <w:pPr>
        <w:rPr>
          <w:rFonts w:ascii="Times New Roman" w:hAnsi="Times New Roman" w:cs="Times New Roman"/>
        </w:rPr>
      </w:pPr>
      <w:r>
        <w:rPr>
          <w:rFonts w:ascii="Times New Roman" w:hAnsi="Times New Roman" w:cs="Times New Roman"/>
        </w:rPr>
        <w:br w:type="page"/>
      </w:r>
    </w:p>
    <w:p w14:paraId="0B9F1C4B">
      <w:pPr>
        <w:pStyle w:val="2"/>
        <w:numPr>
          <w:ilvl w:val="0"/>
          <w:numId w:val="0"/>
        </w:numPr>
        <w:ind w:left="0" w:leftChars="0" w:firstLine="0" w:firstLineChars="0"/>
        <w:rPr>
          <w:rFonts w:ascii="Times New Roman" w:hAnsi="Times New Roman" w:cs="Times New Roman"/>
        </w:rPr>
      </w:pPr>
      <w:bookmarkStart w:id="20" w:name="_Toc22827"/>
      <w:bookmarkStart w:id="21" w:name="_Toc3094"/>
      <w:bookmarkStart w:id="22" w:name="_Toc28171"/>
      <w:r>
        <w:rPr>
          <w:rFonts w:hint="eastAsia" w:ascii="Times New Roman" w:hAnsi="Times New Roman" w:eastAsia="黑体" w:cs="Times New Roman"/>
          <w:b/>
          <w:kern w:val="44"/>
          <w:sz w:val="36"/>
          <w:lang w:val="zh-CN" w:eastAsia="zh-CN" w:bidi="ar-SA"/>
        </w:rPr>
        <w:t xml:space="preserve">第六章 </w:t>
      </w:r>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4960"/>
      <w:bookmarkStart w:id="24" w:name="_Toc5913"/>
      <w:bookmarkStart w:id="25" w:name="_Toc29819"/>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9428"/>
      <w:bookmarkStart w:id="27" w:name="_Toc30609"/>
      <w:bookmarkStart w:id="28" w:name="_Toc19851"/>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32352"/>
      <w:bookmarkStart w:id="30" w:name="_Toc9041"/>
      <w:bookmarkStart w:id="31" w:name="_Toc1544"/>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4097"/>
      <w:bookmarkStart w:id="33" w:name="_Toc21472"/>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17163"/>
      <w:bookmarkStart w:id="35" w:name="_Toc24859"/>
      <w:bookmarkStart w:id="36" w:name="_Toc1690"/>
      <w:bookmarkStart w:id="37" w:name="_Toc32749"/>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24123"/>
      <w:bookmarkStart w:id="39" w:name="_Toc17905"/>
      <w:bookmarkStart w:id="40" w:name="_Toc6803"/>
      <w:bookmarkStart w:id="41" w:name="_Toc3558"/>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27135"/>
      <w:bookmarkStart w:id="43" w:name="_Toc5996"/>
      <w:bookmarkStart w:id="44" w:name="_Toc2989"/>
      <w:bookmarkStart w:id="45" w:name="_Toc27526"/>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7233"/>
      <w:bookmarkStart w:id="47" w:name="_Toc19987"/>
      <w:bookmarkStart w:id="48" w:name="_Toc5056"/>
      <w:bookmarkStart w:id="49" w:name="_Toc2031"/>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11352"/>
      <w:bookmarkStart w:id="51" w:name="_Toc3023"/>
      <w:bookmarkStart w:id="52" w:name="_Toc14829"/>
      <w:bookmarkStart w:id="53" w:name="_Toc21519"/>
      <w:bookmarkStart w:id="54" w:name="_Toc6482"/>
      <w:bookmarkStart w:id="55" w:name="_Toc16029"/>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17857"/>
      <w:bookmarkStart w:id="57" w:name="_Toc22676"/>
      <w:bookmarkStart w:id="58" w:name="_Toc31838"/>
      <w:bookmarkStart w:id="59" w:name="_Toc30971"/>
      <w:bookmarkStart w:id="60" w:name="_Toc4305"/>
      <w:r>
        <w:rPr>
          <w:rFonts w:ascii="Times New Roman" w:hAnsi="Times New Roman" w:cs="Times New Roman"/>
        </w:rPr>
        <w:br w:type="page"/>
      </w:r>
    </w:p>
    <w:p w14:paraId="72845348">
      <w:pPr>
        <w:pStyle w:val="3"/>
        <w:ind w:firstLine="0"/>
      </w:pP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61" w:name="_Toc27186"/>
      <w:bookmarkStart w:id="62" w:name="_Toc15613"/>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25357"/>
      <w:bookmarkStart w:id="65" w:name="_Toc13904"/>
      <w:bookmarkStart w:id="66" w:name="_Toc13706"/>
    </w:p>
    <w:p w14:paraId="76B8A196">
      <w:pPr>
        <w:pStyle w:val="3"/>
        <w:ind w:firstLine="0"/>
        <w:rPr>
          <w:szCs w:val="32"/>
        </w:rPr>
      </w:pPr>
      <w:bookmarkStart w:id="67" w:name="_Toc23146"/>
      <w:bookmarkStart w:id="68" w:name="_Toc15508"/>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9" w:name="_Toc27661"/>
      <w:bookmarkStart w:id="70" w:name="_Toc25638"/>
      <w:bookmarkStart w:id="71" w:name="_Toc12015"/>
      <w:bookmarkStart w:id="72" w:name="_Toc20589"/>
      <w:bookmarkStart w:id="73" w:name="_Toc11351"/>
      <w:bookmarkStart w:id="74" w:name="_Toc15526"/>
      <w:r>
        <w:rPr>
          <w:rStyle w:val="40"/>
          <w:b/>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5" w:name="_Toc23967"/>
      <w:bookmarkStart w:id="76" w:name="_Toc16435"/>
      <w:bookmarkStart w:id="77" w:name="_Toc2041"/>
      <w:bookmarkStart w:id="78" w:name="_Toc26969"/>
      <w:bookmarkStart w:id="79" w:name="_Toc1074"/>
      <w:bookmarkStart w:id="80" w:name="_Toc12967"/>
      <w:r>
        <w:rPr>
          <w:rStyle w:val="40"/>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1" w:name="_Toc28634"/>
      <w:bookmarkStart w:id="82" w:name="_Toc1369"/>
      <w:bookmarkStart w:id="83" w:name="_Toc24806"/>
      <w:bookmarkStart w:id="84" w:name="_Toc21082"/>
      <w:bookmarkStart w:id="85" w:name="_Toc26839"/>
      <w:bookmarkStart w:id="86" w:name="_Toc31686"/>
      <w:r>
        <w:rPr>
          <w:rStyle w:val="40"/>
          <w:b/>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32605"/>
      <w:bookmarkStart w:id="88" w:name="_Toc3871"/>
      <w:bookmarkStart w:id="89" w:name="_Toc24494"/>
    </w:p>
    <w:p w14:paraId="1483D64D">
      <w:pPr>
        <w:pStyle w:val="3"/>
        <w:ind w:firstLine="0"/>
        <w:rPr>
          <w:highlight w:val="none"/>
        </w:rPr>
      </w:pPr>
      <w:bookmarkStart w:id="90" w:name="_Toc15065"/>
      <w:r>
        <w:rPr>
          <w:highlight w:val="none"/>
        </w:rPr>
        <w:t>报价单</w:t>
      </w:r>
      <w:bookmarkEnd w:id="90"/>
    </w:p>
    <w:p w14:paraId="20C0FE73">
      <w:pPr>
        <w:ind w:firstLine="660"/>
        <w:rPr>
          <w:rFonts w:ascii="Times New Roman" w:hAnsi="Times New Roman" w:eastAsia="仿宋" w:cs="Times New Roman"/>
          <w:sz w:val="24"/>
          <w:szCs w:val="24"/>
          <w:highlight w:val="none"/>
          <w:lang w:val="zh-TW" w:eastAsia="zh-TW"/>
        </w:rPr>
      </w:pPr>
      <w:r>
        <w:rPr>
          <w:rFonts w:ascii="Times New Roman" w:hAnsi="Times New Roman" w:eastAsia="仿宋" w:cs="Times New Roman"/>
          <w:sz w:val="24"/>
          <w:szCs w:val="24"/>
          <w:highlight w:val="none"/>
          <w:lang w:val="zh-TW" w:eastAsia="zh-TW"/>
        </w:rPr>
        <w:t>我单位作为</w:t>
      </w:r>
      <w:r>
        <w:rPr>
          <w:rFonts w:ascii="Times New Roman" w:hAnsi="Times New Roman" w:eastAsia="仿宋" w:cs="Times New Roman"/>
          <w:sz w:val="24"/>
          <w:szCs w:val="24"/>
          <w:highlight w:val="none"/>
          <w:lang w:val="zh-TW"/>
        </w:rPr>
        <w:t>供应商</w:t>
      </w:r>
      <w:r>
        <w:rPr>
          <w:rFonts w:hint="eastAsia" w:ascii="Times New Roman" w:hAnsi="Times New Roman" w:eastAsia="仿宋" w:cs="Times New Roman"/>
          <w:sz w:val="24"/>
          <w:szCs w:val="24"/>
          <w:highlight w:val="none"/>
          <w:lang w:val="zh-TW" w:eastAsia="zh-CN"/>
        </w:rPr>
        <w:t>，</w:t>
      </w:r>
      <w:r>
        <w:rPr>
          <w:rFonts w:ascii="Times New Roman" w:hAnsi="Times New Roman" w:eastAsia="仿宋" w:cs="Times New Roman"/>
          <w:sz w:val="24"/>
          <w:szCs w:val="24"/>
          <w:highlight w:val="none"/>
          <w:lang w:val="zh-TW" w:eastAsia="zh-TW"/>
        </w:rPr>
        <w:t>对</w:t>
      </w:r>
      <w:r>
        <w:rPr>
          <w:rFonts w:hint="eastAsia" w:ascii="Times New Roman" w:hAnsi="Times New Roman" w:eastAsia="仿宋" w:cs="Times New Roman"/>
          <w:sz w:val="24"/>
          <w:szCs w:val="24"/>
          <w:highlight w:val="none"/>
          <w:lang w:val="zh-TW" w:eastAsia="zh-TW"/>
        </w:rPr>
        <w:t>本次谈判</w:t>
      </w:r>
      <w:r>
        <w:rPr>
          <w:rFonts w:ascii="Times New Roman" w:hAnsi="Times New Roman" w:eastAsia="仿宋" w:cs="Times New Roman"/>
          <w:sz w:val="24"/>
          <w:szCs w:val="24"/>
          <w:highlight w:val="none"/>
          <w:lang w:val="zh-TW" w:eastAsia="zh-TW"/>
        </w:rPr>
        <w:t>中我方所承诺的条款已经完全明确</w:t>
      </w:r>
      <w:r>
        <w:rPr>
          <w:rFonts w:hint="eastAsia" w:ascii="Times New Roman" w:hAnsi="Times New Roman" w:eastAsia="仿宋" w:cs="Times New Roman"/>
          <w:sz w:val="24"/>
          <w:szCs w:val="24"/>
          <w:highlight w:val="none"/>
          <w:lang w:val="zh-TW" w:eastAsia="zh-CN"/>
        </w:rPr>
        <w:t>，</w:t>
      </w:r>
      <w:r>
        <w:rPr>
          <w:rFonts w:ascii="Times New Roman" w:hAnsi="Times New Roman" w:eastAsia="仿宋" w:cs="Times New Roman"/>
          <w:sz w:val="24"/>
          <w:szCs w:val="24"/>
          <w:highlight w:val="none"/>
          <w:lang w:val="zh-TW" w:eastAsia="zh-TW"/>
        </w:rPr>
        <w:t>也</w:t>
      </w:r>
      <w:r>
        <w:rPr>
          <w:rFonts w:hint="eastAsia" w:ascii="Times New Roman" w:hAnsi="Times New Roman" w:eastAsia="仿宋" w:cs="Times New Roman"/>
          <w:sz w:val="24"/>
          <w:szCs w:val="24"/>
          <w:highlight w:val="none"/>
          <w:lang w:val="zh-TW" w:eastAsia="zh-TW"/>
        </w:rPr>
        <w:t>知晓</w:t>
      </w:r>
      <w:r>
        <w:rPr>
          <w:rFonts w:ascii="Times New Roman" w:hAnsi="Times New Roman" w:eastAsia="仿宋" w:cs="Times New Roman"/>
          <w:sz w:val="24"/>
          <w:szCs w:val="24"/>
          <w:highlight w:val="none"/>
          <w:lang w:val="zh-TW" w:eastAsia="zh-TW"/>
        </w:rPr>
        <w:t>所承诺的事项和作出的报价可能给我方带来的风险和后果。如果我方在</w:t>
      </w:r>
      <w:r>
        <w:rPr>
          <w:rFonts w:hint="eastAsia" w:ascii="Times New Roman" w:hAnsi="Times New Roman" w:eastAsia="仿宋" w:cs="Times New Roman"/>
          <w:sz w:val="24"/>
          <w:szCs w:val="24"/>
          <w:highlight w:val="none"/>
          <w:lang w:val="zh-TW" w:eastAsia="zh-TW"/>
        </w:rPr>
        <w:t>谈判</w:t>
      </w:r>
      <w:r>
        <w:rPr>
          <w:rFonts w:ascii="Times New Roman" w:hAnsi="Times New Roman" w:eastAsia="仿宋" w:cs="Times New Roman"/>
          <w:sz w:val="24"/>
          <w:szCs w:val="24"/>
          <w:highlight w:val="none"/>
          <w:lang w:val="zh-TW" w:eastAsia="zh-TW"/>
        </w:rPr>
        <w:t>中有弄虚作假等违法违规行为，以及</w:t>
      </w:r>
      <w:r>
        <w:rPr>
          <w:rFonts w:hint="eastAsia" w:ascii="Times New Roman" w:hAnsi="Times New Roman" w:eastAsia="仿宋" w:cs="Times New Roman"/>
          <w:sz w:val="24"/>
          <w:szCs w:val="24"/>
          <w:highlight w:val="none"/>
          <w:lang w:val="zh-TW"/>
        </w:rPr>
        <w:t>成交</w:t>
      </w:r>
      <w:r>
        <w:rPr>
          <w:rFonts w:ascii="Times New Roman" w:hAnsi="Times New Roman" w:eastAsia="仿宋" w:cs="Times New Roman"/>
          <w:sz w:val="24"/>
          <w:szCs w:val="24"/>
          <w:highlight w:val="none"/>
          <w:lang w:val="zh-TW" w:eastAsia="zh-TW"/>
        </w:rPr>
        <w:t>后因报价低或不执行承诺条款而不履约</w:t>
      </w:r>
      <w:r>
        <w:rPr>
          <w:rFonts w:hint="eastAsia" w:ascii="Times New Roman" w:hAnsi="Times New Roman" w:eastAsia="仿宋" w:cs="Times New Roman"/>
          <w:sz w:val="24"/>
          <w:szCs w:val="24"/>
          <w:highlight w:val="none"/>
          <w:lang w:val="zh-TW" w:eastAsia="zh-CN"/>
        </w:rPr>
        <w:t>，</w:t>
      </w:r>
      <w:r>
        <w:rPr>
          <w:rFonts w:hint="eastAsia" w:ascii="Times New Roman" w:hAnsi="Times New Roman" w:eastAsia="仿宋" w:cs="Times New Roman"/>
          <w:sz w:val="24"/>
          <w:szCs w:val="24"/>
          <w:highlight w:val="none"/>
        </w:rPr>
        <w:t>我方</w:t>
      </w:r>
      <w:r>
        <w:rPr>
          <w:rFonts w:ascii="Times New Roman" w:hAnsi="Times New Roman" w:eastAsia="仿宋" w:cs="Times New Roman"/>
          <w:sz w:val="24"/>
          <w:szCs w:val="24"/>
          <w:highlight w:val="none"/>
          <w:lang w:val="zh-TW" w:eastAsia="zh-TW"/>
        </w:rPr>
        <w:t>愿承担一切责任（包括赔偿损失、取消</w:t>
      </w:r>
      <w:r>
        <w:rPr>
          <w:rFonts w:hint="eastAsia" w:ascii="Times New Roman" w:hAnsi="Times New Roman" w:eastAsia="仿宋" w:cs="Times New Roman"/>
          <w:sz w:val="24"/>
          <w:szCs w:val="24"/>
          <w:highlight w:val="none"/>
          <w:lang w:val="zh-TW" w:eastAsia="zh-TW"/>
        </w:rPr>
        <w:t>谈判</w:t>
      </w:r>
      <w:r>
        <w:rPr>
          <w:rFonts w:ascii="Times New Roman" w:hAnsi="Times New Roman" w:eastAsia="仿宋" w:cs="Times New Roman"/>
          <w:sz w:val="24"/>
          <w:szCs w:val="24"/>
          <w:highlight w:val="none"/>
          <w:lang w:val="zh-TW" w:eastAsia="zh-TW"/>
        </w:rPr>
        <w:t>及</w:t>
      </w:r>
      <w:r>
        <w:rPr>
          <w:rFonts w:hint="eastAsia" w:ascii="Times New Roman" w:hAnsi="Times New Roman" w:eastAsia="仿宋" w:cs="Times New Roman"/>
          <w:sz w:val="24"/>
          <w:szCs w:val="24"/>
          <w:highlight w:val="none"/>
          <w:lang w:val="zh-TW"/>
        </w:rPr>
        <w:t>成交</w:t>
      </w:r>
      <w:r>
        <w:rPr>
          <w:rFonts w:ascii="Times New Roman" w:hAnsi="Times New Roman" w:eastAsia="仿宋" w:cs="Times New Roman"/>
          <w:sz w:val="24"/>
          <w:szCs w:val="24"/>
          <w:highlight w:val="none"/>
          <w:lang w:val="zh-TW" w:eastAsia="zh-TW"/>
        </w:rPr>
        <w:t>资格等），我</w:t>
      </w:r>
      <w:r>
        <w:rPr>
          <w:rFonts w:hint="eastAsia" w:ascii="Times New Roman" w:hAnsi="Times New Roman" w:eastAsia="仿宋" w:cs="Times New Roman"/>
          <w:sz w:val="24"/>
          <w:szCs w:val="24"/>
          <w:highlight w:val="none"/>
          <w:lang w:val="zh-TW" w:eastAsia="zh-TW"/>
        </w:rPr>
        <w:t>方</w:t>
      </w:r>
      <w:r>
        <w:rPr>
          <w:rFonts w:ascii="Times New Roman" w:hAnsi="Times New Roman" w:eastAsia="仿宋" w:cs="Times New Roman"/>
          <w:sz w:val="24"/>
          <w:szCs w:val="24"/>
          <w:highlight w:val="none"/>
          <w:lang w:val="zh-TW" w:eastAsia="zh-TW"/>
        </w:rPr>
        <w:t>本次报价为：</w:t>
      </w:r>
    </w:p>
    <w:p w14:paraId="26EE3747">
      <w:pPr>
        <w:pStyle w:val="7"/>
        <w:rPr>
          <w:rFonts w:ascii="宋体" w:hAnsi="宋体" w:eastAsia="宋体" w:cs="Times New Roman"/>
          <w:b/>
          <w:bCs/>
          <w:szCs w:val="21"/>
          <w:highlight w:val="none"/>
          <w:lang w:val="zh-TW"/>
        </w:rPr>
      </w:pPr>
      <w:r>
        <w:rPr>
          <w:rFonts w:ascii="宋体" w:hAnsi="宋体" w:eastAsia="宋体" w:cs="Times New Roman"/>
          <w:b/>
          <w:bCs/>
          <w:szCs w:val="21"/>
          <w:highlight w:val="none"/>
          <w:lang w:val="zh-TW" w:eastAsia="zh-TW"/>
        </w:rPr>
        <w:t>注意事项</w:t>
      </w:r>
      <w:r>
        <w:rPr>
          <w:rFonts w:ascii="宋体" w:hAnsi="宋体" w:eastAsia="宋体" w:cs="Times New Roman"/>
          <w:b/>
          <w:bCs/>
          <w:szCs w:val="21"/>
          <w:highlight w:val="none"/>
          <w:lang w:val="zh-TW"/>
        </w:rPr>
        <w:t>：</w:t>
      </w:r>
    </w:p>
    <w:p w14:paraId="1BCB6CCC">
      <w:pPr>
        <w:pStyle w:val="7"/>
        <w:rPr>
          <w:rFonts w:ascii="宋体" w:hAnsi="宋体" w:eastAsia="宋体" w:cs="Times New Roman"/>
          <w:b/>
          <w:bCs/>
          <w:szCs w:val="21"/>
          <w:highlight w:val="none"/>
          <w:lang w:val="zh-TW"/>
        </w:rPr>
      </w:pPr>
      <w:r>
        <w:rPr>
          <w:rFonts w:ascii="宋体" w:hAnsi="宋体" w:eastAsia="宋体" w:cs="Times New Roman"/>
          <w:b/>
          <w:bCs/>
          <w:szCs w:val="21"/>
          <w:highlight w:val="none"/>
          <w:lang w:val="zh-TW"/>
        </w:rPr>
        <w:t>1</w:t>
      </w:r>
      <w:r>
        <w:rPr>
          <w:rFonts w:ascii="宋体" w:hAnsi="宋体" w:eastAsia="宋体" w:cs="Times New Roman"/>
          <w:b/>
          <w:bCs/>
          <w:szCs w:val="21"/>
          <w:highlight w:val="none"/>
          <w:lang w:val="zh-TW" w:eastAsia="zh-TW"/>
        </w:rPr>
        <w:t>.</w:t>
      </w:r>
      <w:r>
        <w:rPr>
          <w:rFonts w:hint="eastAsia" w:ascii="宋体" w:hAnsi="宋体" w:eastAsia="宋体" w:cs="Times New Roman"/>
          <w:b/>
          <w:bCs/>
          <w:szCs w:val="21"/>
          <w:highlight w:val="none"/>
          <w:lang w:val="zh-TW" w:eastAsia="zh-TW"/>
        </w:rPr>
        <w:t>如本次采购标的为货物</w:t>
      </w:r>
      <w:r>
        <w:rPr>
          <w:rFonts w:hint="eastAsia" w:ascii="宋体" w:hAnsi="宋体" w:eastAsia="宋体" w:cs="Times New Roman"/>
          <w:b/>
          <w:bCs/>
          <w:szCs w:val="21"/>
          <w:highlight w:val="none"/>
          <w:lang w:val="zh-TW"/>
        </w:rPr>
        <w:t>，</w:t>
      </w:r>
      <w:r>
        <w:rPr>
          <w:rFonts w:ascii="宋体" w:hAnsi="宋体" w:eastAsia="宋体" w:cs="Times New Roman"/>
          <w:b/>
          <w:bCs/>
          <w:szCs w:val="21"/>
          <w:highlight w:val="none"/>
          <w:lang w:val="zh-TW"/>
        </w:rPr>
        <w:t>下表中</w:t>
      </w:r>
      <w:r>
        <w:rPr>
          <w:rFonts w:hint="eastAsia" w:ascii="宋体" w:hAnsi="宋体" w:eastAsia="宋体" w:cs="Times New Roman"/>
          <w:b/>
          <w:bCs/>
          <w:szCs w:val="21"/>
          <w:highlight w:val="none"/>
          <w:lang w:val="zh-TW"/>
        </w:rPr>
        <w:t>响应的</w:t>
      </w:r>
      <w:r>
        <w:rPr>
          <w:rFonts w:ascii="宋体" w:hAnsi="宋体" w:eastAsia="宋体" w:cs="Times New Roman"/>
          <w:b/>
          <w:bCs/>
          <w:szCs w:val="21"/>
          <w:highlight w:val="none"/>
          <w:lang w:val="zh-TW"/>
        </w:rPr>
        <w:t>产品名称、生产厂家、规格型号等信息</w:t>
      </w:r>
      <w:r>
        <w:rPr>
          <w:rFonts w:hint="eastAsia" w:ascii="宋体" w:hAnsi="宋体" w:eastAsia="宋体" w:cs="Times New Roman"/>
          <w:b/>
          <w:bCs/>
          <w:szCs w:val="21"/>
          <w:highlight w:val="none"/>
          <w:lang w:val="zh-TW"/>
        </w:rPr>
        <w:t>应</w:t>
      </w:r>
      <w:r>
        <w:rPr>
          <w:rFonts w:ascii="宋体" w:hAnsi="宋体" w:eastAsia="宋体" w:cs="Times New Roman"/>
          <w:b/>
          <w:bCs/>
          <w:szCs w:val="21"/>
          <w:highlight w:val="none"/>
          <w:lang w:val="zh-TW"/>
        </w:rPr>
        <w:t>与产品医疗器械注册证或备案凭证对应信息保持一致</w:t>
      </w:r>
      <w:r>
        <w:rPr>
          <w:rFonts w:hint="eastAsia" w:ascii="宋体" w:hAnsi="宋体" w:eastAsia="宋体" w:cs="Times New Roman"/>
          <w:b/>
          <w:bCs/>
          <w:szCs w:val="21"/>
          <w:highlight w:val="none"/>
          <w:lang w:val="zh-TW"/>
        </w:rPr>
        <w:t>，不作为医疗器械管理的，应与货物的说明书等官方技术文档对应信息保持一致</w:t>
      </w:r>
      <w:r>
        <w:rPr>
          <w:rFonts w:ascii="宋体" w:hAnsi="宋体" w:eastAsia="宋体" w:cs="Times New Roman"/>
          <w:b/>
          <w:bCs/>
          <w:szCs w:val="21"/>
          <w:highlight w:val="none"/>
          <w:lang w:val="zh-TW"/>
        </w:rPr>
        <w:t>。</w:t>
      </w:r>
    </w:p>
    <w:p w14:paraId="661984F4">
      <w:pPr>
        <w:pStyle w:val="7"/>
        <w:rPr>
          <w:rFonts w:ascii="宋体" w:hAnsi="宋体" w:eastAsia="宋体" w:cs="Times New Roman"/>
          <w:b/>
          <w:bCs/>
          <w:szCs w:val="21"/>
          <w:highlight w:val="none"/>
          <w:lang w:val="zh-TW"/>
        </w:rPr>
      </w:pPr>
      <w:r>
        <w:rPr>
          <w:rFonts w:hint="eastAsia" w:ascii="宋体" w:hAnsi="宋体" w:eastAsia="宋体" w:cs="Times New Roman"/>
          <w:b/>
          <w:bCs/>
          <w:szCs w:val="21"/>
          <w:highlight w:val="none"/>
          <w:lang w:val="zh-TW"/>
        </w:rPr>
        <w:t>2</w:t>
      </w:r>
      <w:r>
        <w:rPr>
          <w:rFonts w:ascii="宋体" w:hAnsi="宋体" w:eastAsia="宋体" w:cs="Times New Roman"/>
          <w:b/>
          <w:bCs/>
          <w:szCs w:val="21"/>
          <w:highlight w:val="none"/>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852"/>
        <w:gridCol w:w="2364"/>
        <w:gridCol w:w="2018"/>
        <w:gridCol w:w="1909"/>
        <w:gridCol w:w="2704"/>
      </w:tblGrid>
      <w:tr w14:paraId="3AEE4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52" w:type="dxa"/>
            <w:shd w:val="clear" w:color="auto" w:fill="auto"/>
            <w:tcMar>
              <w:top w:w="0" w:type="dxa"/>
              <w:left w:w="105" w:type="dxa"/>
              <w:bottom w:w="0" w:type="dxa"/>
              <w:right w:w="105" w:type="dxa"/>
            </w:tcMar>
            <w:vAlign w:val="center"/>
          </w:tcPr>
          <w:p w14:paraId="0F39B6EC">
            <w:pPr>
              <w:pStyle w:val="7"/>
              <w:spacing w:line="240" w:lineRule="auto"/>
              <w:jc w:val="center"/>
              <w:rPr>
                <w:rFonts w:hint="eastAsia" w:ascii="仿宋" w:hAnsi="仿宋" w:eastAsia="仿宋" w:cs="仿宋"/>
                <w:b/>
                <w:bCs/>
                <w:sz w:val="24"/>
                <w:szCs w:val="24"/>
              </w:rPr>
            </w:pPr>
            <w:r>
              <w:rPr>
                <w:rFonts w:hint="eastAsia" w:ascii="仿宋" w:hAnsi="仿宋" w:eastAsia="仿宋" w:cs="仿宋"/>
                <w:b/>
                <w:bCs/>
                <w:sz w:val="24"/>
                <w:szCs w:val="24"/>
              </w:rPr>
              <w:t>序号</w:t>
            </w:r>
          </w:p>
        </w:tc>
        <w:tc>
          <w:tcPr>
            <w:tcW w:w="2364" w:type="dxa"/>
            <w:shd w:val="clear" w:color="auto" w:fill="auto"/>
            <w:tcMar>
              <w:top w:w="0" w:type="dxa"/>
              <w:left w:w="105" w:type="dxa"/>
              <w:bottom w:w="0" w:type="dxa"/>
              <w:right w:w="105" w:type="dxa"/>
            </w:tcMar>
            <w:vAlign w:val="center"/>
          </w:tcPr>
          <w:p w14:paraId="07688D1E">
            <w:pPr>
              <w:pStyle w:val="7"/>
              <w:spacing w:line="240" w:lineRule="auto"/>
              <w:jc w:val="center"/>
              <w:rPr>
                <w:rFonts w:hint="eastAsia" w:ascii="仿宋" w:hAnsi="仿宋" w:eastAsia="仿宋" w:cs="仿宋"/>
                <w:b/>
                <w:bCs/>
                <w:sz w:val="24"/>
                <w:szCs w:val="24"/>
              </w:rPr>
            </w:pPr>
            <w:r>
              <w:rPr>
                <w:rFonts w:hint="eastAsia" w:ascii="仿宋" w:hAnsi="仿宋" w:eastAsia="仿宋" w:cs="仿宋"/>
                <w:b/>
                <w:bCs/>
                <w:sz w:val="24"/>
                <w:szCs w:val="24"/>
              </w:rPr>
              <w:t>品名</w:t>
            </w:r>
          </w:p>
        </w:tc>
        <w:tc>
          <w:tcPr>
            <w:tcW w:w="2018" w:type="dxa"/>
            <w:shd w:val="clear" w:color="auto" w:fill="auto"/>
            <w:tcMar>
              <w:top w:w="0" w:type="dxa"/>
              <w:left w:w="105" w:type="dxa"/>
              <w:bottom w:w="0" w:type="dxa"/>
              <w:right w:w="105" w:type="dxa"/>
            </w:tcMar>
            <w:vAlign w:val="center"/>
          </w:tcPr>
          <w:p w14:paraId="607C3DFC">
            <w:pPr>
              <w:pStyle w:val="7"/>
              <w:spacing w:line="240" w:lineRule="auto"/>
              <w:jc w:val="center"/>
              <w:rPr>
                <w:rFonts w:hint="eastAsia" w:ascii="仿宋" w:hAnsi="仿宋" w:eastAsia="仿宋" w:cs="仿宋"/>
                <w:b/>
                <w:bCs/>
                <w:sz w:val="24"/>
                <w:szCs w:val="24"/>
              </w:rPr>
            </w:pPr>
            <w:r>
              <w:rPr>
                <w:rFonts w:hint="eastAsia" w:ascii="仿宋" w:hAnsi="仿宋" w:eastAsia="仿宋" w:cs="仿宋"/>
                <w:b/>
                <w:bCs/>
                <w:sz w:val="24"/>
                <w:szCs w:val="24"/>
              </w:rPr>
              <w:t>数量</w:t>
            </w:r>
          </w:p>
        </w:tc>
        <w:tc>
          <w:tcPr>
            <w:tcW w:w="1909" w:type="dxa"/>
            <w:shd w:val="clear" w:color="auto" w:fill="auto"/>
            <w:tcMar>
              <w:top w:w="0" w:type="dxa"/>
              <w:left w:w="105" w:type="dxa"/>
              <w:bottom w:w="0" w:type="dxa"/>
              <w:right w:w="105" w:type="dxa"/>
            </w:tcMar>
            <w:vAlign w:val="center"/>
          </w:tcPr>
          <w:p w14:paraId="54C852C9">
            <w:pPr>
              <w:pStyle w:val="7"/>
              <w:spacing w:line="240" w:lineRule="auto"/>
              <w:jc w:val="center"/>
              <w:rPr>
                <w:rFonts w:hint="eastAsia" w:ascii="仿宋" w:hAnsi="仿宋" w:eastAsia="仿宋" w:cs="仿宋"/>
                <w:b/>
                <w:bCs/>
                <w:sz w:val="24"/>
                <w:szCs w:val="24"/>
              </w:rPr>
            </w:pPr>
            <w:r>
              <w:rPr>
                <w:rFonts w:hint="eastAsia" w:ascii="仿宋" w:hAnsi="仿宋" w:eastAsia="仿宋" w:cs="仿宋"/>
                <w:b/>
                <w:bCs/>
                <w:sz w:val="24"/>
                <w:szCs w:val="24"/>
              </w:rPr>
              <w:t>单位</w:t>
            </w:r>
          </w:p>
        </w:tc>
        <w:tc>
          <w:tcPr>
            <w:tcW w:w="2704" w:type="dxa"/>
            <w:shd w:val="clear" w:color="auto" w:fill="auto"/>
            <w:tcMar>
              <w:top w:w="0" w:type="dxa"/>
              <w:left w:w="105" w:type="dxa"/>
              <w:bottom w:w="0" w:type="dxa"/>
              <w:right w:w="105" w:type="dxa"/>
            </w:tcMar>
            <w:vAlign w:val="center"/>
          </w:tcPr>
          <w:p w14:paraId="468372BA">
            <w:pPr>
              <w:pStyle w:val="7"/>
              <w:spacing w:line="240" w:lineRule="auto"/>
              <w:jc w:val="center"/>
              <w:rPr>
                <w:rFonts w:hint="eastAsia" w:ascii="仿宋" w:hAnsi="仿宋" w:eastAsia="仿宋" w:cs="仿宋"/>
                <w:b/>
                <w:bCs/>
                <w:sz w:val="24"/>
                <w:szCs w:val="24"/>
              </w:rPr>
            </w:pPr>
            <w:r>
              <w:rPr>
                <w:rFonts w:hint="eastAsia" w:ascii="仿宋" w:hAnsi="仿宋" w:eastAsia="仿宋" w:cs="仿宋"/>
                <w:b/>
                <w:bCs/>
                <w:sz w:val="24"/>
                <w:szCs w:val="24"/>
                <w:lang w:val="en-US" w:eastAsia="zh-CN"/>
              </w:rPr>
              <w:t>报价</w:t>
            </w:r>
            <w:r>
              <w:rPr>
                <w:rFonts w:hint="eastAsia" w:ascii="仿宋" w:hAnsi="仿宋" w:eastAsia="仿宋" w:cs="仿宋"/>
                <w:b/>
                <w:bCs/>
                <w:sz w:val="24"/>
                <w:szCs w:val="24"/>
              </w:rPr>
              <w:t>（元）</w:t>
            </w:r>
          </w:p>
        </w:tc>
      </w:tr>
      <w:tr w14:paraId="1CD13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52" w:type="dxa"/>
            <w:shd w:val="clear" w:color="auto" w:fill="auto"/>
            <w:tcMar>
              <w:top w:w="0" w:type="dxa"/>
              <w:left w:w="105" w:type="dxa"/>
              <w:bottom w:w="0" w:type="dxa"/>
              <w:right w:w="105" w:type="dxa"/>
            </w:tcMar>
            <w:vAlign w:val="center"/>
          </w:tcPr>
          <w:p w14:paraId="563FBB86">
            <w:pPr>
              <w:pStyle w:val="7"/>
              <w:spacing w:line="24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2364" w:type="dxa"/>
            <w:shd w:val="clear" w:color="auto" w:fill="auto"/>
            <w:tcMar>
              <w:top w:w="0" w:type="dxa"/>
              <w:left w:w="105" w:type="dxa"/>
              <w:bottom w:w="0" w:type="dxa"/>
              <w:right w:w="105" w:type="dxa"/>
            </w:tcMar>
            <w:vAlign w:val="center"/>
          </w:tcPr>
          <w:p w14:paraId="780A578A">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firstLine="0" w:firstLineChars="0"/>
              <w:jc w:val="center"/>
              <w:textAlignment w:val="auto"/>
              <w:rPr>
                <w:rFonts w:hint="eastAsia" w:ascii="仿宋" w:hAnsi="仿宋" w:eastAsia="仿宋" w:cs="仿宋"/>
                <w:sz w:val="24"/>
                <w:szCs w:val="24"/>
              </w:rPr>
            </w:pPr>
            <w:r>
              <w:rPr>
                <w:rFonts w:hint="eastAsia" w:ascii="仿宋" w:hAnsi="仿宋" w:eastAsia="仿宋" w:cs="仿宋"/>
                <w:b w:val="0"/>
                <w:bCs/>
                <w:sz w:val="24"/>
                <w:szCs w:val="24"/>
              </w:rPr>
              <w:t>预就诊服务</w:t>
            </w:r>
            <w:r>
              <w:rPr>
                <w:rFonts w:hint="eastAsia" w:ascii="仿宋" w:hAnsi="仿宋" w:cs="仿宋"/>
                <w:b w:val="0"/>
                <w:bCs/>
                <w:sz w:val="24"/>
                <w:szCs w:val="24"/>
                <w:lang w:val="en-US" w:eastAsia="zh-CN"/>
              </w:rPr>
              <w:t>系统</w:t>
            </w:r>
          </w:p>
        </w:tc>
        <w:tc>
          <w:tcPr>
            <w:tcW w:w="2018" w:type="dxa"/>
            <w:shd w:val="clear" w:color="auto" w:fill="auto"/>
            <w:tcMar>
              <w:top w:w="0" w:type="dxa"/>
              <w:left w:w="105" w:type="dxa"/>
              <w:bottom w:w="0" w:type="dxa"/>
              <w:right w:w="105" w:type="dxa"/>
            </w:tcMar>
            <w:vAlign w:val="center"/>
          </w:tcPr>
          <w:p w14:paraId="37505C94">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firstLine="0" w:firstLineChars="0"/>
              <w:jc w:val="center"/>
              <w:textAlignment w:val="auto"/>
              <w:rPr>
                <w:rFonts w:hint="eastAsia" w:ascii="仿宋" w:hAnsi="仿宋" w:eastAsia="仿宋" w:cs="仿宋"/>
                <w:sz w:val="24"/>
                <w:szCs w:val="24"/>
              </w:rPr>
            </w:pPr>
            <w:r>
              <w:rPr>
                <w:rFonts w:hint="eastAsia" w:ascii="仿宋" w:hAnsi="仿宋" w:eastAsia="仿宋" w:cs="仿宋"/>
                <w:b w:val="0"/>
                <w:bCs/>
                <w:sz w:val="24"/>
                <w:szCs w:val="24"/>
              </w:rPr>
              <w:t>1</w:t>
            </w:r>
          </w:p>
        </w:tc>
        <w:tc>
          <w:tcPr>
            <w:tcW w:w="1909" w:type="dxa"/>
            <w:shd w:val="clear" w:color="auto" w:fill="auto"/>
            <w:tcMar>
              <w:top w:w="0" w:type="dxa"/>
              <w:left w:w="105" w:type="dxa"/>
              <w:bottom w:w="0" w:type="dxa"/>
              <w:right w:w="105" w:type="dxa"/>
            </w:tcMar>
            <w:vAlign w:val="center"/>
          </w:tcPr>
          <w:p w14:paraId="525F28B3">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firstLine="0" w:firstLineChars="0"/>
              <w:jc w:val="center"/>
              <w:textAlignment w:val="auto"/>
              <w:rPr>
                <w:rFonts w:hint="eastAsia" w:ascii="仿宋" w:hAnsi="仿宋" w:eastAsia="仿宋" w:cs="仿宋"/>
                <w:sz w:val="24"/>
                <w:szCs w:val="24"/>
              </w:rPr>
            </w:pPr>
            <w:r>
              <w:rPr>
                <w:rFonts w:hint="eastAsia" w:ascii="仿宋" w:hAnsi="仿宋" w:eastAsia="仿宋" w:cs="仿宋"/>
                <w:b w:val="0"/>
                <w:bCs/>
                <w:sz w:val="24"/>
                <w:szCs w:val="24"/>
                <w:lang w:val="en-US" w:eastAsia="zh-CN"/>
              </w:rPr>
              <w:t>套</w:t>
            </w:r>
          </w:p>
        </w:tc>
        <w:tc>
          <w:tcPr>
            <w:tcW w:w="2704" w:type="dxa"/>
            <w:shd w:val="clear" w:color="auto" w:fill="auto"/>
            <w:tcMar>
              <w:top w:w="0" w:type="dxa"/>
              <w:left w:w="105" w:type="dxa"/>
              <w:bottom w:w="0" w:type="dxa"/>
              <w:right w:w="105" w:type="dxa"/>
            </w:tcMar>
            <w:vAlign w:val="center"/>
          </w:tcPr>
          <w:p w14:paraId="741DEB72">
            <w:pPr>
              <w:pStyle w:val="7"/>
              <w:spacing w:line="240" w:lineRule="auto"/>
              <w:jc w:val="center"/>
              <w:rPr>
                <w:rFonts w:hint="eastAsia" w:ascii="仿宋" w:hAnsi="仿宋" w:eastAsia="仿宋" w:cs="仿宋"/>
                <w:sz w:val="24"/>
                <w:szCs w:val="24"/>
              </w:rPr>
            </w:pPr>
          </w:p>
        </w:tc>
      </w:tr>
      <w:tr w14:paraId="43BDF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52" w:type="dxa"/>
            <w:shd w:val="clear" w:color="auto" w:fill="auto"/>
            <w:tcMar>
              <w:top w:w="0" w:type="dxa"/>
              <w:left w:w="105" w:type="dxa"/>
              <w:bottom w:w="0" w:type="dxa"/>
              <w:right w:w="105" w:type="dxa"/>
            </w:tcMar>
            <w:vAlign w:val="center"/>
          </w:tcPr>
          <w:p w14:paraId="75B16E6B">
            <w:pPr>
              <w:pStyle w:val="7"/>
              <w:spacing w:line="24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合计</w:t>
            </w:r>
          </w:p>
        </w:tc>
        <w:tc>
          <w:tcPr>
            <w:tcW w:w="8995" w:type="dxa"/>
            <w:gridSpan w:val="4"/>
            <w:shd w:val="clear" w:color="auto" w:fill="auto"/>
            <w:tcMar>
              <w:top w:w="0" w:type="dxa"/>
              <w:left w:w="105" w:type="dxa"/>
              <w:bottom w:w="0" w:type="dxa"/>
              <w:right w:w="105" w:type="dxa"/>
            </w:tcMar>
            <w:vAlign w:val="center"/>
          </w:tcPr>
          <w:p w14:paraId="2AD45BBD">
            <w:pPr>
              <w:pStyle w:val="7"/>
              <w:spacing w:line="24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大写：           小写：</w:t>
            </w:r>
          </w:p>
        </w:tc>
      </w:tr>
    </w:tbl>
    <w:p w14:paraId="38FE7F64">
      <w:pPr>
        <w:pStyle w:val="7"/>
        <w:rPr>
          <w:rFonts w:ascii="Times New Roman" w:hAnsi="Times New Roman" w:eastAsia="仿宋" w:cs="Times New Roman"/>
          <w:szCs w:val="21"/>
        </w:rPr>
      </w:pPr>
    </w:p>
    <w:p w14:paraId="6A59F5E0">
      <w:pPr>
        <w:widowControl/>
        <w:jc w:val="lef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2.服务期：验收合格之日起，提供</w:t>
      </w:r>
      <w:r>
        <w:rPr>
          <w:rFonts w:hint="eastAsia" w:ascii="仿宋" w:hAnsi="仿宋" w:eastAsia="仿宋" w:cs="仿宋"/>
          <w:b/>
          <w:bCs/>
          <w:sz w:val="24"/>
          <w:szCs w:val="24"/>
          <w:u w:val="single"/>
          <w:lang w:val="en-US" w:eastAsia="zh-CN"/>
        </w:rPr>
        <w:t xml:space="preserve">      </w:t>
      </w:r>
      <w:r>
        <w:rPr>
          <w:rFonts w:hint="eastAsia" w:ascii="仿宋" w:hAnsi="仿宋" w:eastAsia="仿宋" w:cs="仿宋"/>
          <w:b/>
          <w:bCs/>
          <w:sz w:val="24"/>
          <w:szCs w:val="24"/>
          <w:lang w:val="en-US" w:eastAsia="zh-CN"/>
        </w:rPr>
        <w:t>年。</w:t>
      </w:r>
    </w:p>
    <w:p w14:paraId="273EAB91">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7"/>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hint="eastAsia" w:ascii="Times New Roman" w:hAnsi="Times New Roman" w:eastAsia="仿宋" w:cs="Times New Roman"/>
          <w:sz w:val="24"/>
          <w:szCs w:val="24"/>
          <w:u w:val="single"/>
          <w:lang w:val="en-US" w:eastAsia="zh-CN"/>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bookmarkStart w:id="91" w:name="_Toc14685"/>
      <w:bookmarkStart w:id="92" w:name="_Toc30002"/>
      <w:bookmarkStart w:id="93" w:name="_Toc29032"/>
      <w:r>
        <w:rPr>
          <w:rFonts w:hint="eastAsia" w:ascii="Times New Roman" w:hAnsi="Times New Roman" w:eastAsia="仿宋" w:cs="Times New Roman"/>
          <w:sz w:val="24"/>
          <w:szCs w:val="24"/>
          <w:u w:val="none"/>
          <w:lang w:val="en-US" w:eastAsia="zh-CN"/>
        </w:rPr>
        <w:t>日</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4" w:name="_Toc5447"/>
      <w:bookmarkStart w:id="95" w:name="_Toc20691"/>
      <w:r>
        <w:rPr>
          <w:rFonts w:ascii="Times New Roman" w:hAnsi="Times New Roman" w:eastAsia="黑体" w:cs="Times New Roman"/>
          <w:b/>
          <w:sz w:val="36"/>
          <w:szCs w:val="32"/>
        </w:rPr>
        <w:br w:type="page"/>
      </w:r>
    </w:p>
    <w:p w14:paraId="2C1171E3">
      <w:pPr>
        <w:pStyle w:val="2"/>
        <w:numPr>
          <w:ilvl w:val="0"/>
          <w:numId w:val="0"/>
        </w:numPr>
        <w:ind w:left="0" w:leftChars="0" w:firstLine="0" w:firstLineChars="0"/>
        <w:rPr>
          <w:rFonts w:ascii="Times New Roman" w:hAnsi="Times New Roman" w:cs="Times New Roman"/>
        </w:rPr>
      </w:pPr>
      <w:bookmarkStart w:id="96" w:name="_Toc10625"/>
      <w:r>
        <w:rPr>
          <w:rFonts w:hint="eastAsia" w:ascii="Times New Roman" w:hAnsi="Times New Roman" w:eastAsia="黑体" w:cs="Times New Roman"/>
          <w:b/>
          <w:kern w:val="44"/>
          <w:sz w:val="36"/>
          <w:lang w:val="zh-CN" w:eastAsia="zh-CN" w:bidi="ar-SA"/>
        </w:rPr>
        <w:t xml:space="preserve">第七章 </w:t>
      </w:r>
      <w:r>
        <w:rPr>
          <w:rFonts w:ascii="Times New Roman" w:hAnsi="Times New Roman" w:cs="Times New Roman"/>
        </w:rPr>
        <w:t>合同条款（仅成交后使用）</w:t>
      </w:r>
      <w:bookmarkEnd w:id="94"/>
      <w:bookmarkEnd w:id="95"/>
      <w:bookmarkEnd w:id="96"/>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36B9AB0F">
      <w:pPr>
        <w:widowControl w:val="0"/>
        <w:spacing w:line="360" w:lineRule="auto"/>
        <w:jc w:val="center"/>
        <w:rPr>
          <w:rFonts w:ascii="方正小标宋_GBK" w:hAnsi="方正小标宋_GBK" w:eastAsia="方正小标宋_GBK" w:cs="方正小标宋_GBK"/>
          <w:b w:val="0"/>
          <w:bCs/>
          <w:kern w:val="0"/>
          <w:sz w:val="44"/>
          <w:szCs w:val="44"/>
          <w:lang w:val="en-US" w:eastAsia="zh-CN" w:bidi="ar"/>
        </w:rPr>
      </w:pPr>
      <w:r>
        <w:rPr>
          <w:rFonts w:hint="eastAsia" w:ascii="方正小标宋_GBK" w:hAnsi="方正小标宋_GBK" w:eastAsia="方正小标宋_GBK" w:cs="方正小标宋_GBK"/>
          <w:b w:val="0"/>
          <w:bCs/>
          <w:kern w:val="0"/>
          <w:sz w:val="44"/>
          <w:szCs w:val="44"/>
          <w:lang w:val="en-US" w:eastAsia="zh-CN" w:bidi="ar"/>
        </w:rPr>
        <w:t>合同</w:t>
      </w:r>
    </w:p>
    <w:p w14:paraId="36F318A7">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采购人（以下简称甲方）：四川省人民医院</w:t>
      </w:r>
    </w:p>
    <w:p w14:paraId="77C40439">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地址：四川省成都市一环路西二段 32 号</w:t>
      </w:r>
    </w:p>
    <w:p w14:paraId="52593DC7">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法定代表人：</w:t>
      </w:r>
    </w:p>
    <w:p w14:paraId="57727DFB">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 xml:space="preserve">联系人：                     电话： </w:t>
      </w:r>
    </w:p>
    <w:p w14:paraId="4EA69D08">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医学信息中心联系人：         电话：</w:t>
      </w:r>
    </w:p>
    <w:p w14:paraId="556A0910">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 xml:space="preserve"> </w:t>
      </w:r>
    </w:p>
    <w:p w14:paraId="2DCBAA9B">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乙方：中国农业银行股份有限公司成都光华支行</w:t>
      </w:r>
    </w:p>
    <w:p w14:paraId="19BE4659">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地址：四川省成都市小南街3号</w:t>
      </w:r>
    </w:p>
    <w:p w14:paraId="0F2DA60D">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法定代表人：</w:t>
      </w:r>
    </w:p>
    <w:p w14:paraId="2A05EAC1">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电话：028-63930892</w:t>
      </w:r>
    </w:p>
    <w:p w14:paraId="779C5A7F">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联系人：黄觅</w:t>
      </w:r>
    </w:p>
    <w:p w14:paraId="065F9BF9">
      <w:pPr>
        <w:spacing w:line="480" w:lineRule="exact"/>
        <w:rPr>
          <w:rFonts w:ascii="宋体" w:hAnsi="宋体" w:eastAsia="宋体" w:cs="宋体"/>
          <w:color w:val="000000"/>
          <w:kern w:val="0"/>
          <w:sz w:val="24"/>
          <w:szCs w:val="24"/>
        </w:rPr>
      </w:pPr>
    </w:p>
    <w:p w14:paraId="5CA983B4">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丙方：</w:t>
      </w:r>
    </w:p>
    <w:p w14:paraId="0B8BCE71">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地址：</w:t>
      </w:r>
    </w:p>
    <w:p w14:paraId="441E24D6">
      <w:pPr>
        <w:spacing w:line="480" w:lineRule="exact"/>
        <w:rPr>
          <w:rFonts w:ascii="Times New Roman" w:hAnsi="Times New Roman" w:eastAsia="宋体" w:cs="Times New Roman"/>
          <w:szCs w:val="21"/>
        </w:rPr>
      </w:pPr>
      <w:r>
        <w:rPr>
          <w:rFonts w:hint="eastAsia" w:ascii="宋体" w:hAnsi="宋体" w:eastAsia="宋体" w:cs="宋体"/>
          <w:color w:val="000000"/>
          <w:kern w:val="0"/>
          <w:sz w:val="24"/>
          <w:szCs w:val="24"/>
        </w:rPr>
        <w:t>法定代表人：</w:t>
      </w:r>
    </w:p>
    <w:p w14:paraId="6C1CFD47">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移动电话：</w:t>
      </w:r>
    </w:p>
    <w:p w14:paraId="2FFA61B0">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联系人：</w:t>
      </w:r>
    </w:p>
    <w:p w14:paraId="20778382">
      <w:pPr>
        <w:spacing w:line="360" w:lineRule="auto"/>
        <w:rPr>
          <w:rFonts w:ascii="Times New Roman" w:hAnsi="Times New Roman" w:eastAsia="宋体" w:cs="Times New Roman"/>
          <w:sz w:val="24"/>
          <w:szCs w:val="24"/>
        </w:rPr>
      </w:pPr>
    </w:p>
    <w:p w14:paraId="5324A58D">
      <w:pPr>
        <w:widowControl/>
        <w:ind w:firstLine="480" w:firstLineChars="200"/>
        <w:jc w:val="left"/>
        <w:rPr>
          <w:rFonts w:ascii="Times New Roman" w:hAnsi="Times New Roman" w:eastAsia="宋体" w:cs="Times New Roman"/>
          <w:sz w:val="24"/>
          <w:szCs w:val="24"/>
        </w:rPr>
      </w:pPr>
      <w:r>
        <w:rPr>
          <w:rFonts w:hint="eastAsia" w:ascii="宋体" w:hAnsi="宋体" w:eastAsia="宋体" w:cs="宋体"/>
          <w:color w:val="000000"/>
          <w:kern w:val="0"/>
          <w:sz w:val="24"/>
          <w:szCs w:val="24"/>
        </w:rPr>
        <w:t>甲乙丙三方确认就“”采购项目（项目编号：）甲方向丙方购买本合同中写明的货物</w:t>
      </w:r>
      <w:r>
        <w:rPr>
          <w:rFonts w:ascii="宋体" w:hAnsi="宋体" w:eastAsia="宋体" w:cs="宋体"/>
          <w:color w:val="000000"/>
          <w:kern w:val="0"/>
          <w:sz w:val="24"/>
          <w:szCs w:val="24"/>
        </w:rPr>
        <w:t xml:space="preserve">/ </w:t>
      </w:r>
      <w:r>
        <w:rPr>
          <w:rFonts w:hint="eastAsia" w:ascii="宋体" w:hAnsi="宋体" w:eastAsia="宋体" w:cs="宋体"/>
          <w:color w:val="000000"/>
          <w:kern w:val="0"/>
          <w:sz w:val="24"/>
          <w:szCs w:val="24"/>
        </w:rPr>
        <w:t>服务事项，根据《中华人民共和国民法典》等法律法规及本项目的相关采购文件，甲、乙、 丙三方同意签订本合同。详细技术说明及其他有关合同项目的特定信息由合同附件予以说明，合同附件及本项目的相关采购文件均为本合同不可分割的部分。三方同意共同遵守</w:t>
      </w:r>
      <w:r>
        <w:rPr>
          <w:rFonts w:ascii="宋体" w:hAnsi="宋体" w:eastAsia="宋体" w:cs="宋体"/>
          <w:color w:val="000000"/>
          <w:kern w:val="0"/>
          <w:sz w:val="24"/>
          <w:szCs w:val="24"/>
        </w:rPr>
        <w:t>以下</w:t>
      </w:r>
      <w:r>
        <w:rPr>
          <w:rFonts w:hint="eastAsia" w:ascii="宋体" w:hAnsi="宋体" w:eastAsia="宋体" w:cs="宋体"/>
          <w:color w:val="000000"/>
          <w:kern w:val="0"/>
          <w:sz w:val="24"/>
          <w:szCs w:val="24"/>
        </w:rPr>
        <w:t>条款。</w:t>
      </w:r>
    </w:p>
    <w:p w14:paraId="0382E2D3">
      <w:pPr>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sz w:val="24"/>
          <w:szCs w:val="24"/>
        </w:rPr>
        <w:t>一、项目内容</w:t>
      </w:r>
    </w:p>
    <w:tbl>
      <w:tblPr>
        <w:tblStyle w:val="18"/>
        <w:tblW w:w="1145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6"/>
        <w:gridCol w:w="1047"/>
        <w:gridCol w:w="222"/>
        <w:gridCol w:w="770"/>
        <w:gridCol w:w="1559"/>
        <w:gridCol w:w="851"/>
        <w:gridCol w:w="1417"/>
        <w:gridCol w:w="1417"/>
        <w:gridCol w:w="1276"/>
        <w:gridCol w:w="1048"/>
      </w:tblGrid>
      <w:tr w14:paraId="7E9518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1846" w:type="dxa"/>
            <w:tcBorders>
              <w:top w:val="single" w:color="auto" w:sz="4" w:space="0"/>
              <w:left w:val="single" w:color="auto" w:sz="4" w:space="0"/>
              <w:bottom w:val="single" w:color="auto" w:sz="4" w:space="0"/>
              <w:right w:val="single" w:color="auto" w:sz="4" w:space="0"/>
            </w:tcBorders>
            <w:vAlign w:val="center"/>
          </w:tcPr>
          <w:p w14:paraId="5EE3FA56">
            <w:pPr>
              <w:adjustRightInd w:val="0"/>
              <w:snapToGrid w:val="0"/>
              <w:spacing w:line="240" w:lineRule="auto"/>
              <w:jc w:val="center"/>
              <w:rPr>
                <w:rFonts w:ascii="宋体" w:hAnsi="宋体" w:eastAsia="宋体" w:cs="宋体"/>
                <w:sz w:val="24"/>
                <w:szCs w:val="24"/>
              </w:rPr>
            </w:pPr>
            <w:r>
              <w:rPr>
                <w:rFonts w:hint="eastAsia" w:ascii="宋体" w:hAnsi="宋体" w:eastAsia="宋体" w:cs="宋体"/>
                <w:sz w:val="24"/>
                <w:szCs w:val="24"/>
              </w:rPr>
              <w:t>名称</w:t>
            </w:r>
          </w:p>
        </w:tc>
        <w:tc>
          <w:tcPr>
            <w:tcW w:w="1047" w:type="dxa"/>
            <w:tcBorders>
              <w:top w:val="single" w:color="auto" w:sz="4" w:space="0"/>
              <w:left w:val="single" w:color="auto" w:sz="4" w:space="0"/>
              <w:bottom w:val="single" w:color="auto" w:sz="4" w:space="0"/>
              <w:right w:val="single" w:color="auto" w:sz="4" w:space="0"/>
            </w:tcBorders>
            <w:vAlign w:val="center"/>
          </w:tcPr>
          <w:p w14:paraId="7EE87990">
            <w:pPr>
              <w:adjustRightInd w:val="0"/>
              <w:snapToGrid w:val="0"/>
              <w:spacing w:line="240" w:lineRule="auto"/>
              <w:jc w:val="center"/>
              <w:rPr>
                <w:rFonts w:ascii="宋体" w:hAnsi="宋体" w:eastAsia="宋体" w:cs="宋体"/>
                <w:sz w:val="24"/>
                <w:szCs w:val="24"/>
              </w:rPr>
            </w:pPr>
            <w:r>
              <w:rPr>
                <w:rFonts w:hint="eastAsia" w:ascii="宋体" w:hAnsi="宋体" w:eastAsia="宋体" w:cs="宋体"/>
                <w:sz w:val="24"/>
                <w:szCs w:val="24"/>
              </w:rPr>
              <w:t>品牌</w:t>
            </w:r>
          </w:p>
        </w:tc>
        <w:tc>
          <w:tcPr>
            <w:tcW w:w="992" w:type="dxa"/>
            <w:gridSpan w:val="2"/>
            <w:tcBorders>
              <w:top w:val="single" w:color="auto" w:sz="4" w:space="0"/>
              <w:left w:val="single" w:color="auto" w:sz="4" w:space="0"/>
              <w:bottom w:val="single" w:color="auto" w:sz="4" w:space="0"/>
              <w:right w:val="single" w:color="auto" w:sz="4" w:space="0"/>
            </w:tcBorders>
            <w:vAlign w:val="center"/>
          </w:tcPr>
          <w:p w14:paraId="2274649A">
            <w:pPr>
              <w:adjustRightInd w:val="0"/>
              <w:snapToGrid w:val="0"/>
              <w:spacing w:line="240" w:lineRule="auto"/>
              <w:jc w:val="center"/>
              <w:rPr>
                <w:rFonts w:ascii="宋体" w:hAnsi="宋体" w:eastAsia="宋体" w:cs="宋体"/>
                <w:sz w:val="24"/>
                <w:szCs w:val="24"/>
              </w:rPr>
            </w:pPr>
            <w:r>
              <w:rPr>
                <w:rFonts w:hint="eastAsia" w:ascii="宋体" w:hAnsi="宋体" w:eastAsia="宋体" w:cs="宋体"/>
                <w:sz w:val="24"/>
                <w:szCs w:val="24"/>
              </w:rPr>
              <w:t>产地</w:t>
            </w:r>
          </w:p>
        </w:tc>
        <w:tc>
          <w:tcPr>
            <w:tcW w:w="1559" w:type="dxa"/>
            <w:tcBorders>
              <w:top w:val="single" w:color="auto" w:sz="4" w:space="0"/>
              <w:left w:val="single" w:color="auto" w:sz="4" w:space="0"/>
              <w:bottom w:val="single" w:color="auto" w:sz="4" w:space="0"/>
              <w:right w:val="single" w:color="auto" w:sz="4" w:space="0"/>
            </w:tcBorders>
            <w:vAlign w:val="center"/>
          </w:tcPr>
          <w:p w14:paraId="77183815">
            <w:pPr>
              <w:adjustRightInd w:val="0"/>
              <w:snapToGrid w:val="0"/>
              <w:spacing w:line="240" w:lineRule="auto"/>
              <w:jc w:val="center"/>
              <w:rPr>
                <w:rFonts w:ascii="宋体" w:hAnsi="宋体" w:eastAsia="宋体" w:cs="宋体"/>
                <w:sz w:val="24"/>
                <w:szCs w:val="24"/>
              </w:rPr>
            </w:pPr>
            <w:r>
              <w:rPr>
                <w:rFonts w:hint="eastAsia" w:ascii="宋体" w:hAnsi="宋体" w:eastAsia="宋体" w:cs="宋体"/>
                <w:sz w:val="24"/>
                <w:szCs w:val="24"/>
              </w:rPr>
              <w:t>规格型号</w:t>
            </w:r>
          </w:p>
        </w:tc>
        <w:tc>
          <w:tcPr>
            <w:tcW w:w="851" w:type="dxa"/>
            <w:tcBorders>
              <w:top w:val="single" w:color="auto" w:sz="4" w:space="0"/>
              <w:left w:val="single" w:color="auto" w:sz="4" w:space="0"/>
              <w:bottom w:val="single" w:color="auto" w:sz="4" w:space="0"/>
              <w:right w:val="single" w:color="auto" w:sz="4" w:space="0"/>
            </w:tcBorders>
            <w:vAlign w:val="center"/>
          </w:tcPr>
          <w:p w14:paraId="2C3130D8">
            <w:pPr>
              <w:adjustRightInd w:val="0"/>
              <w:snapToGrid w:val="0"/>
              <w:spacing w:line="240" w:lineRule="auto"/>
              <w:jc w:val="center"/>
              <w:rPr>
                <w:rFonts w:ascii="宋体" w:hAnsi="宋体" w:eastAsia="宋体" w:cs="宋体"/>
                <w:sz w:val="24"/>
                <w:szCs w:val="24"/>
              </w:rPr>
            </w:pPr>
            <w:r>
              <w:rPr>
                <w:rFonts w:hint="eastAsia" w:ascii="宋体" w:hAnsi="宋体" w:eastAsia="宋体" w:cs="宋体"/>
                <w:sz w:val="24"/>
                <w:szCs w:val="24"/>
              </w:rPr>
              <w:t>数量</w:t>
            </w:r>
          </w:p>
        </w:tc>
        <w:tc>
          <w:tcPr>
            <w:tcW w:w="1417" w:type="dxa"/>
            <w:tcBorders>
              <w:top w:val="single" w:color="auto" w:sz="4" w:space="0"/>
              <w:left w:val="single" w:color="auto" w:sz="4" w:space="0"/>
              <w:bottom w:val="single" w:color="auto" w:sz="4" w:space="0"/>
              <w:right w:val="single" w:color="auto" w:sz="4" w:space="0"/>
            </w:tcBorders>
          </w:tcPr>
          <w:p w14:paraId="6BC35A85">
            <w:pPr>
              <w:adjustRightInd w:val="0"/>
              <w:snapToGrid w:val="0"/>
              <w:spacing w:line="240" w:lineRule="auto"/>
              <w:jc w:val="center"/>
              <w:rPr>
                <w:rFonts w:ascii="宋体" w:hAnsi="宋体" w:eastAsia="宋体" w:cs="宋体"/>
                <w:sz w:val="24"/>
                <w:szCs w:val="24"/>
              </w:rPr>
            </w:pPr>
            <w:r>
              <w:rPr>
                <w:rFonts w:hint="eastAsia" w:ascii="宋体" w:hAnsi="宋体" w:eastAsia="宋体" w:cs="宋体"/>
                <w:sz w:val="24"/>
                <w:szCs w:val="24"/>
              </w:rPr>
              <w:t>单位</w:t>
            </w:r>
          </w:p>
        </w:tc>
        <w:tc>
          <w:tcPr>
            <w:tcW w:w="1417" w:type="dxa"/>
            <w:tcBorders>
              <w:top w:val="single" w:color="auto" w:sz="4" w:space="0"/>
              <w:left w:val="single" w:color="auto" w:sz="4" w:space="0"/>
              <w:bottom w:val="single" w:color="auto" w:sz="4" w:space="0"/>
              <w:right w:val="single" w:color="auto" w:sz="4" w:space="0"/>
            </w:tcBorders>
            <w:vAlign w:val="center"/>
          </w:tcPr>
          <w:p w14:paraId="60EF00D1">
            <w:pPr>
              <w:adjustRightInd w:val="0"/>
              <w:snapToGrid w:val="0"/>
              <w:spacing w:line="240" w:lineRule="auto"/>
              <w:jc w:val="center"/>
              <w:rPr>
                <w:rFonts w:ascii="宋体" w:hAnsi="宋体" w:eastAsia="宋体" w:cs="宋体"/>
                <w:sz w:val="24"/>
                <w:szCs w:val="24"/>
              </w:rPr>
            </w:pPr>
            <w:r>
              <w:rPr>
                <w:rFonts w:hint="eastAsia" w:ascii="宋体" w:hAnsi="宋体" w:eastAsia="宋体" w:cs="宋体"/>
                <w:sz w:val="24"/>
                <w:szCs w:val="24"/>
              </w:rPr>
              <w:t>单价</w:t>
            </w:r>
          </w:p>
        </w:tc>
        <w:tc>
          <w:tcPr>
            <w:tcW w:w="1276" w:type="dxa"/>
            <w:tcBorders>
              <w:top w:val="single" w:color="auto" w:sz="4" w:space="0"/>
              <w:left w:val="single" w:color="auto" w:sz="4" w:space="0"/>
              <w:bottom w:val="single" w:color="auto" w:sz="4" w:space="0"/>
              <w:right w:val="single" w:color="auto" w:sz="4" w:space="0"/>
            </w:tcBorders>
            <w:vAlign w:val="center"/>
          </w:tcPr>
          <w:p w14:paraId="314C2517">
            <w:pPr>
              <w:adjustRightInd w:val="0"/>
              <w:snapToGrid w:val="0"/>
              <w:spacing w:line="240" w:lineRule="auto"/>
              <w:jc w:val="center"/>
              <w:rPr>
                <w:rFonts w:ascii="宋体" w:hAnsi="宋体" w:eastAsia="宋体" w:cs="宋体"/>
                <w:sz w:val="24"/>
                <w:szCs w:val="24"/>
              </w:rPr>
            </w:pPr>
            <w:r>
              <w:rPr>
                <w:rFonts w:hint="eastAsia" w:ascii="宋体" w:hAnsi="宋体" w:eastAsia="宋体" w:cs="宋体"/>
                <w:sz w:val="24"/>
                <w:szCs w:val="24"/>
              </w:rPr>
              <w:t>总价</w:t>
            </w:r>
          </w:p>
        </w:tc>
        <w:tc>
          <w:tcPr>
            <w:tcW w:w="1048" w:type="dxa"/>
            <w:tcBorders>
              <w:top w:val="single" w:color="auto" w:sz="4" w:space="0"/>
              <w:left w:val="single" w:color="auto" w:sz="4" w:space="0"/>
              <w:bottom w:val="single" w:color="auto" w:sz="4" w:space="0"/>
              <w:right w:val="single" w:color="auto" w:sz="4" w:space="0"/>
            </w:tcBorders>
            <w:vAlign w:val="center"/>
          </w:tcPr>
          <w:p w14:paraId="16E7F067">
            <w:pPr>
              <w:adjustRightInd w:val="0"/>
              <w:snapToGrid w:val="0"/>
              <w:spacing w:line="240" w:lineRule="auto"/>
              <w:jc w:val="center"/>
              <w:rPr>
                <w:rFonts w:ascii="宋体" w:hAnsi="宋体" w:eastAsia="宋体" w:cs="宋体"/>
                <w:sz w:val="24"/>
                <w:szCs w:val="24"/>
              </w:rPr>
            </w:pPr>
            <w:r>
              <w:rPr>
                <w:rFonts w:hint="eastAsia" w:ascii="宋体" w:hAnsi="宋体" w:eastAsia="宋体" w:cs="宋体"/>
                <w:sz w:val="24"/>
                <w:szCs w:val="24"/>
              </w:rPr>
              <w:t>备注</w:t>
            </w:r>
          </w:p>
        </w:tc>
      </w:tr>
      <w:tr w14:paraId="733975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1846" w:type="dxa"/>
            <w:tcBorders>
              <w:top w:val="single" w:color="auto" w:sz="4" w:space="0"/>
              <w:left w:val="single" w:color="auto" w:sz="4" w:space="0"/>
              <w:bottom w:val="single" w:color="auto" w:sz="4" w:space="0"/>
              <w:right w:val="single" w:color="auto" w:sz="4" w:space="0"/>
            </w:tcBorders>
            <w:vAlign w:val="center"/>
          </w:tcPr>
          <w:p w14:paraId="1815A63B">
            <w:pPr>
              <w:adjustRightInd w:val="0"/>
              <w:snapToGrid w:val="0"/>
              <w:spacing w:line="240" w:lineRule="auto"/>
              <w:jc w:val="center"/>
              <w:rPr>
                <w:rFonts w:ascii="宋体" w:hAnsi="宋体" w:eastAsia="宋体" w:cs="宋体"/>
                <w:sz w:val="24"/>
                <w:szCs w:val="24"/>
              </w:rPr>
            </w:pPr>
          </w:p>
        </w:tc>
        <w:tc>
          <w:tcPr>
            <w:tcW w:w="1047" w:type="dxa"/>
            <w:tcBorders>
              <w:top w:val="single" w:color="auto" w:sz="4" w:space="0"/>
              <w:left w:val="single" w:color="auto" w:sz="4" w:space="0"/>
              <w:bottom w:val="single" w:color="auto" w:sz="4" w:space="0"/>
              <w:right w:val="single" w:color="auto" w:sz="4" w:space="0"/>
            </w:tcBorders>
            <w:vAlign w:val="center"/>
          </w:tcPr>
          <w:p w14:paraId="510AE566">
            <w:pPr>
              <w:adjustRightInd w:val="0"/>
              <w:snapToGrid w:val="0"/>
              <w:spacing w:line="240" w:lineRule="auto"/>
              <w:jc w:val="center"/>
              <w:rPr>
                <w:rFonts w:ascii="宋体" w:hAnsi="宋体" w:eastAsia="宋体" w:cs="宋体"/>
                <w:sz w:val="24"/>
                <w:szCs w:val="24"/>
              </w:rPr>
            </w:pPr>
          </w:p>
        </w:tc>
        <w:tc>
          <w:tcPr>
            <w:tcW w:w="992" w:type="dxa"/>
            <w:gridSpan w:val="2"/>
            <w:tcBorders>
              <w:top w:val="single" w:color="auto" w:sz="4" w:space="0"/>
              <w:left w:val="single" w:color="auto" w:sz="4" w:space="0"/>
              <w:bottom w:val="single" w:color="auto" w:sz="4" w:space="0"/>
              <w:right w:val="single" w:color="auto" w:sz="4" w:space="0"/>
            </w:tcBorders>
            <w:vAlign w:val="center"/>
          </w:tcPr>
          <w:p w14:paraId="7C07BAF9">
            <w:pPr>
              <w:adjustRightInd w:val="0"/>
              <w:snapToGrid w:val="0"/>
              <w:spacing w:line="240" w:lineRule="auto"/>
              <w:jc w:val="center"/>
              <w:rPr>
                <w:rFonts w:ascii="宋体" w:hAnsi="宋体" w:eastAsia="宋体" w:cs="宋体"/>
                <w:sz w:val="24"/>
                <w:szCs w:val="24"/>
              </w:rPr>
            </w:pPr>
          </w:p>
        </w:tc>
        <w:tc>
          <w:tcPr>
            <w:tcW w:w="1559" w:type="dxa"/>
            <w:tcBorders>
              <w:top w:val="single" w:color="auto" w:sz="4" w:space="0"/>
              <w:left w:val="single" w:color="auto" w:sz="4" w:space="0"/>
              <w:bottom w:val="single" w:color="auto" w:sz="4" w:space="0"/>
              <w:right w:val="single" w:color="auto" w:sz="4" w:space="0"/>
            </w:tcBorders>
            <w:vAlign w:val="center"/>
          </w:tcPr>
          <w:p w14:paraId="2193590F">
            <w:pPr>
              <w:adjustRightInd w:val="0"/>
              <w:snapToGrid w:val="0"/>
              <w:spacing w:line="240" w:lineRule="auto"/>
              <w:jc w:val="center"/>
              <w:rPr>
                <w:rFonts w:ascii="宋体" w:hAnsi="宋体" w:eastAsia="宋体" w:cs="宋体"/>
                <w:sz w:val="24"/>
                <w:szCs w:val="24"/>
              </w:rPr>
            </w:pPr>
          </w:p>
        </w:tc>
        <w:tc>
          <w:tcPr>
            <w:tcW w:w="851" w:type="dxa"/>
            <w:tcBorders>
              <w:top w:val="single" w:color="auto" w:sz="4" w:space="0"/>
              <w:left w:val="single" w:color="auto" w:sz="4" w:space="0"/>
              <w:bottom w:val="single" w:color="auto" w:sz="4" w:space="0"/>
              <w:right w:val="single" w:color="auto" w:sz="4" w:space="0"/>
            </w:tcBorders>
            <w:vAlign w:val="center"/>
          </w:tcPr>
          <w:p w14:paraId="4CCA3194">
            <w:pPr>
              <w:adjustRightInd w:val="0"/>
              <w:snapToGrid w:val="0"/>
              <w:spacing w:line="240" w:lineRule="auto"/>
              <w:jc w:val="center"/>
              <w:rPr>
                <w:rFonts w:ascii="宋体" w:hAnsi="宋体" w:eastAsia="宋体" w:cs="宋体"/>
                <w:sz w:val="24"/>
                <w:szCs w:val="24"/>
              </w:rPr>
            </w:pPr>
          </w:p>
        </w:tc>
        <w:tc>
          <w:tcPr>
            <w:tcW w:w="1417" w:type="dxa"/>
            <w:tcBorders>
              <w:top w:val="single" w:color="auto" w:sz="4" w:space="0"/>
              <w:left w:val="single" w:color="auto" w:sz="4" w:space="0"/>
              <w:bottom w:val="single" w:color="auto" w:sz="4" w:space="0"/>
              <w:right w:val="single" w:color="auto" w:sz="4" w:space="0"/>
            </w:tcBorders>
          </w:tcPr>
          <w:p w14:paraId="5A312488">
            <w:pPr>
              <w:adjustRightInd w:val="0"/>
              <w:snapToGrid w:val="0"/>
              <w:spacing w:line="240" w:lineRule="auto"/>
              <w:jc w:val="center"/>
              <w:rPr>
                <w:rFonts w:ascii="宋体" w:hAnsi="宋体" w:eastAsia="宋体" w:cs="宋体"/>
                <w:sz w:val="24"/>
                <w:szCs w:val="24"/>
              </w:rPr>
            </w:pPr>
          </w:p>
        </w:tc>
        <w:tc>
          <w:tcPr>
            <w:tcW w:w="1417" w:type="dxa"/>
            <w:tcBorders>
              <w:top w:val="single" w:color="auto" w:sz="4" w:space="0"/>
              <w:left w:val="single" w:color="auto" w:sz="4" w:space="0"/>
              <w:bottom w:val="single" w:color="auto" w:sz="4" w:space="0"/>
              <w:right w:val="single" w:color="auto" w:sz="4" w:space="0"/>
            </w:tcBorders>
            <w:vAlign w:val="center"/>
          </w:tcPr>
          <w:p w14:paraId="59F5FD9C">
            <w:pPr>
              <w:adjustRightInd w:val="0"/>
              <w:snapToGrid w:val="0"/>
              <w:spacing w:line="240" w:lineRule="auto"/>
              <w:jc w:val="center"/>
              <w:rPr>
                <w:rFonts w:ascii="宋体" w:hAnsi="宋体" w:eastAsia="宋体" w:cs="宋体"/>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2624BA8A">
            <w:pPr>
              <w:adjustRightInd w:val="0"/>
              <w:snapToGrid w:val="0"/>
              <w:spacing w:line="240" w:lineRule="auto"/>
              <w:jc w:val="center"/>
              <w:rPr>
                <w:rFonts w:ascii="宋体" w:hAnsi="宋体" w:eastAsia="宋体" w:cs="宋体"/>
                <w:sz w:val="24"/>
                <w:szCs w:val="24"/>
              </w:rPr>
            </w:pPr>
          </w:p>
        </w:tc>
        <w:tc>
          <w:tcPr>
            <w:tcW w:w="1048" w:type="dxa"/>
            <w:tcBorders>
              <w:top w:val="single" w:color="auto" w:sz="4" w:space="0"/>
              <w:left w:val="single" w:color="auto" w:sz="4" w:space="0"/>
              <w:bottom w:val="single" w:color="auto" w:sz="4" w:space="0"/>
              <w:right w:val="single" w:color="auto" w:sz="4" w:space="0"/>
            </w:tcBorders>
            <w:vAlign w:val="center"/>
          </w:tcPr>
          <w:p w14:paraId="208A5C34">
            <w:pPr>
              <w:adjustRightInd w:val="0"/>
              <w:snapToGrid w:val="0"/>
              <w:spacing w:line="240" w:lineRule="auto"/>
              <w:jc w:val="center"/>
              <w:rPr>
                <w:rFonts w:ascii="宋体" w:hAnsi="宋体" w:eastAsia="宋体" w:cs="宋体"/>
                <w:sz w:val="24"/>
                <w:szCs w:val="24"/>
              </w:rPr>
            </w:pPr>
          </w:p>
        </w:tc>
      </w:tr>
      <w:tr w14:paraId="6DE5EC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9" w:hRule="atLeast"/>
          <w:jc w:val="center"/>
        </w:trPr>
        <w:tc>
          <w:tcPr>
            <w:tcW w:w="1846" w:type="dxa"/>
            <w:tcBorders>
              <w:top w:val="single" w:color="auto" w:sz="4" w:space="0"/>
              <w:left w:val="single" w:color="auto" w:sz="4" w:space="0"/>
              <w:bottom w:val="single" w:color="auto" w:sz="4" w:space="0"/>
              <w:right w:val="single" w:color="auto" w:sz="4" w:space="0"/>
            </w:tcBorders>
            <w:shd w:val="clear" w:color="A4A4A4" w:fill="auto"/>
            <w:vAlign w:val="center"/>
          </w:tcPr>
          <w:p w14:paraId="0EF15002">
            <w:pPr>
              <w:adjustRightInd w:val="0"/>
              <w:snapToGrid w:val="0"/>
              <w:spacing w:line="240" w:lineRule="auto"/>
              <w:jc w:val="center"/>
              <w:rPr>
                <w:rFonts w:ascii="宋体" w:hAnsi="宋体" w:eastAsia="宋体" w:cs="宋体"/>
                <w:sz w:val="24"/>
                <w:szCs w:val="24"/>
              </w:rPr>
            </w:pPr>
            <w:r>
              <w:rPr>
                <w:rFonts w:hint="eastAsia" w:ascii="宋体" w:hAnsi="宋体" w:eastAsia="宋体" w:cs="宋体"/>
                <w:sz w:val="24"/>
                <w:szCs w:val="24"/>
              </w:rPr>
              <w:t>技术参数</w:t>
            </w:r>
          </w:p>
          <w:p w14:paraId="2F1E4560">
            <w:pPr>
              <w:adjustRightInd w:val="0"/>
              <w:snapToGrid w:val="0"/>
              <w:spacing w:line="240" w:lineRule="auto"/>
              <w:jc w:val="center"/>
              <w:rPr>
                <w:rFonts w:ascii="宋体" w:hAnsi="宋体" w:eastAsia="宋体" w:cs="宋体"/>
                <w:sz w:val="24"/>
                <w:szCs w:val="24"/>
              </w:rPr>
            </w:pPr>
            <w:r>
              <w:rPr>
                <w:rFonts w:hint="eastAsia" w:ascii="宋体" w:hAnsi="宋体" w:eastAsia="宋体" w:cs="宋体"/>
                <w:sz w:val="24"/>
                <w:szCs w:val="24"/>
              </w:rPr>
              <w:t>（可另附附件）</w:t>
            </w:r>
          </w:p>
        </w:tc>
        <w:tc>
          <w:tcPr>
            <w:tcW w:w="9607" w:type="dxa"/>
            <w:gridSpan w:val="9"/>
            <w:tcBorders>
              <w:top w:val="single" w:color="auto" w:sz="4" w:space="0"/>
              <w:left w:val="single" w:color="auto" w:sz="4" w:space="0"/>
              <w:bottom w:val="single" w:color="auto" w:sz="4" w:space="0"/>
              <w:right w:val="single" w:color="auto" w:sz="4" w:space="0"/>
            </w:tcBorders>
            <w:shd w:val="clear" w:color="A4A4A4" w:fill="auto"/>
          </w:tcPr>
          <w:p w14:paraId="4714C037">
            <w:pPr>
              <w:adjustRightInd w:val="0"/>
              <w:snapToGrid w:val="0"/>
              <w:spacing w:line="240" w:lineRule="auto"/>
              <w:jc w:val="left"/>
              <w:rPr>
                <w:rFonts w:ascii="宋体" w:hAnsi="宋体" w:eastAsia="宋体" w:cs="宋体"/>
                <w:sz w:val="24"/>
                <w:szCs w:val="24"/>
              </w:rPr>
            </w:pPr>
          </w:p>
        </w:tc>
      </w:tr>
      <w:tr w14:paraId="367467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6" w:hRule="atLeast"/>
          <w:jc w:val="center"/>
        </w:trPr>
        <w:tc>
          <w:tcPr>
            <w:tcW w:w="1846" w:type="dxa"/>
            <w:tcBorders>
              <w:top w:val="single" w:color="auto" w:sz="4" w:space="0"/>
              <w:left w:val="single" w:color="auto" w:sz="4" w:space="0"/>
              <w:right w:val="single" w:color="auto" w:sz="4" w:space="0"/>
            </w:tcBorders>
            <w:shd w:val="clear" w:color="A4A4A4" w:fill="auto"/>
            <w:vAlign w:val="center"/>
          </w:tcPr>
          <w:p w14:paraId="32D2E41D">
            <w:pPr>
              <w:adjustRightInd w:val="0"/>
              <w:snapToGrid w:val="0"/>
              <w:spacing w:line="240" w:lineRule="auto"/>
              <w:jc w:val="center"/>
              <w:rPr>
                <w:rFonts w:ascii="宋体" w:hAnsi="宋体" w:eastAsia="宋体" w:cs="宋体"/>
                <w:sz w:val="24"/>
                <w:szCs w:val="24"/>
              </w:rPr>
            </w:pPr>
            <w:r>
              <w:rPr>
                <w:rFonts w:hint="eastAsia" w:ascii="宋体" w:hAnsi="宋体" w:eastAsia="宋体" w:cs="宋体"/>
                <w:sz w:val="24"/>
                <w:szCs w:val="24"/>
              </w:rPr>
              <w:t>服务期</w:t>
            </w:r>
          </w:p>
        </w:tc>
        <w:tc>
          <w:tcPr>
            <w:tcW w:w="1269" w:type="dxa"/>
            <w:gridSpan w:val="2"/>
            <w:tcBorders>
              <w:top w:val="single" w:color="auto" w:sz="4" w:space="0"/>
              <w:left w:val="single" w:color="auto" w:sz="4" w:space="0"/>
              <w:right w:val="single" w:color="auto" w:sz="4" w:space="0"/>
            </w:tcBorders>
            <w:shd w:val="clear" w:color="A4A4A4" w:fill="auto"/>
          </w:tcPr>
          <w:p w14:paraId="0A88AED3">
            <w:pPr>
              <w:adjustRightInd w:val="0"/>
              <w:snapToGrid w:val="0"/>
              <w:spacing w:line="240" w:lineRule="auto"/>
              <w:jc w:val="left"/>
              <w:rPr>
                <w:rFonts w:ascii="宋体" w:hAnsi="宋体" w:eastAsia="宋体" w:cs="宋体"/>
                <w:sz w:val="24"/>
                <w:szCs w:val="24"/>
              </w:rPr>
            </w:pPr>
          </w:p>
        </w:tc>
        <w:tc>
          <w:tcPr>
            <w:tcW w:w="8338" w:type="dxa"/>
            <w:gridSpan w:val="7"/>
            <w:tcBorders>
              <w:top w:val="single" w:color="auto" w:sz="4" w:space="0"/>
              <w:left w:val="single" w:color="auto" w:sz="4" w:space="0"/>
              <w:right w:val="single" w:color="auto" w:sz="4" w:space="0"/>
            </w:tcBorders>
            <w:shd w:val="clear" w:color="A4A4A4" w:fill="auto"/>
            <w:vAlign w:val="center"/>
          </w:tcPr>
          <w:p w14:paraId="69028C17">
            <w:pPr>
              <w:adjustRightInd w:val="0"/>
              <w:snapToGrid w:val="0"/>
              <w:spacing w:line="240" w:lineRule="auto"/>
              <w:jc w:val="left"/>
              <w:rPr>
                <w:rFonts w:ascii="宋体" w:hAnsi="宋体" w:eastAsia="宋体" w:cs="宋体"/>
                <w:sz w:val="24"/>
                <w:szCs w:val="24"/>
              </w:rPr>
            </w:pPr>
          </w:p>
        </w:tc>
      </w:tr>
    </w:tbl>
    <w:p w14:paraId="3BC38158">
      <w:pPr>
        <w:spacing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t>甲乙双方对上述设备的品牌、生产商、规格型号、数量、单价、总价的选择即确认，向丙方购买设备。</w:t>
      </w:r>
    </w:p>
    <w:p w14:paraId="5409C4F6">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二、合同总价</w:t>
      </w:r>
    </w:p>
    <w:p w14:paraId="10B89D46">
      <w:pPr>
        <w:spacing w:line="360" w:lineRule="auto"/>
        <w:ind w:firstLine="480" w:firstLineChars="200"/>
        <w:rPr>
          <w:rFonts w:ascii="Times New Roman" w:hAnsi="Times New Roman" w:eastAsia="宋体" w:cs="Times New Roman"/>
          <w:b/>
          <w:sz w:val="24"/>
          <w:szCs w:val="24"/>
        </w:rPr>
      </w:pPr>
      <w:r>
        <w:rPr>
          <w:rFonts w:hint="eastAsia" w:ascii="宋体" w:hAnsi="宋体" w:eastAsia="宋体" w:cs="宋体"/>
          <w:color w:val="000000"/>
          <w:kern w:val="0"/>
          <w:sz w:val="24"/>
          <w:szCs w:val="24"/>
        </w:rPr>
        <w:t>合同总价（含税）为人民币：   元，大写人民币:   ；该合同总价已包含硬件和软件开发、人工、包装、运输、安装、调试及验收后维保等相关服务的全部含税费用，甲乙双方无需向丙方支付任何额外费用。</w:t>
      </w:r>
    </w:p>
    <w:p w14:paraId="7B5C4E88">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三、付款方式</w:t>
      </w:r>
    </w:p>
    <w:p w14:paraId="2A4F933F">
      <w:pPr>
        <w:autoSpaceDE w:val="0"/>
        <w:autoSpaceDN w:val="0"/>
        <w:adjustRightInd w:val="0"/>
        <w:spacing w:line="480" w:lineRule="exac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1.本合同以人民币转账形式付款。人民币   元，大写人民币   。</w:t>
      </w:r>
    </w:p>
    <w:p w14:paraId="0D634434">
      <w:pPr>
        <w:autoSpaceDE w:val="0"/>
        <w:autoSpaceDN w:val="0"/>
        <w:adjustRightInd w:val="0"/>
        <w:spacing w:line="480" w:lineRule="exac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2.</w:t>
      </w:r>
      <w:r>
        <w:rPr>
          <w:rFonts w:hint="eastAsia" w:ascii="Times New Roman" w:hAnsi="Times New Roman" w:eastAsia="宋体" w:cs="Times New Roman"/>
          <w:sz w:val="24"/>
          <w:szCs w:val="24"/>
        </w:rPr>
        <w:t>合同签订生效并</w:t>
      </w:r>
      <w:r>
        <w:rPr>
          <w:rFonts w:hint="eastAsia" w:ascii="宋体" w:hAnsi="宋体" w:eastAsia="宋体" w:cs="宋体"/>
          <w:color w:val="000000"/>
          <w:kern w:val="0"/>
          <w:sz w:val="24"/>
          <w:szCs w:val="24"/>
        </w:rPr>
        <w:t>最终验收合格后   日内，乙方接到甲方付款确认书以及丙方提交的相关有效票据（以乙方要求为准）后，乙方通过银行转账的方式向丙方支付合同金额的****%，人民币****元，大写人民币*****。</w:t>
      </w:r>
    </w:p>
    <w:p w14:paraId="492C94E7">
      <w:pPr>
        <w:autoSpaceDE w:val="0"/>
        <w:autoSpaceDN w:val="0"/>
        <w:adjustRightInd w:val="0"/>
        <w:spacing w:line="480" w:lineRule="exac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3.丙方指定的收款账户信息如下，如有变更，丙方应当在变更后3日内通知甲方和乙方，否则由此造成的损失，甲方乙方不承担：</w:t>
      </w:r>
    </w:p>
    <w:p w14:paraId="122A6990">
      <w:pPr>
        <w:autoSpaceDE w:val="0"/>
        <w:autoSpaceDN w:val="0"/>
        <w:adjustRightInd w:val="0"/>
        <w:spacing w:line="480" w:lineRule="exact"/>
        <w:ind w:left="426" w:leftChars="203" w:firstLine="480" w:firstLineChars="20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 xml:space="preserve">户名 </w:t>
      </w:r>
    </w:p>
    <w:p w14:paraId="2C789F2E">
      <w:pPr>
        <w:autoSpaceDE w:val="0"/>
        <w:autoSpaceDN w:val="0"/>
        <w:adjustRightInd w:val="0"/>
        <w:spacing w:line="480" w:lineRule="exact"/>
        <w:ind w:left="426" w:leftChars="203" w:firstLine="480" w:firstLineChars="20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 xml:space="preserve">开户行： </w:t>
      </w:r>
    </w:p>
    <w:p w14:paraId="525F34FD">
      <w:pPr>
        <w:autoSpaceDE w:val="0"/>
        <w:autoSpaceDN w:val="0"/>
        <w:adjustRightInd w:val="0"/>
        <w:spacing w:line="480" w:lineRule="exact"/>
        <w:ind w:left="426" w:leftChars="203" w:firstLine="480" w:firstLineChars="20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 xml:space="preserve">账号： </w:t>
      </w:r>
    </w:p>
    <w:p w14:paraId="52298037">
      <w:pPr>
        <w:widowControl w:val="0"/>
        <w:spacing w:line="360" w:lineRule="auto"/>
        <w:ind w:firstLine="0" w:firstLineChars="0"/>
        <w:jc w:val="both"/>
        <w:rPr>
          <w:rFonts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4.甲丙两方在确认验收合格后*个工作日内，丙方应按国家有关规定开具合规的发票，否则，乙方有权拒绝付款，并不因此而承担违约责任。</w:t>
      </w:r>
    </w:p>
    <w:p w14:paraId="4F97FB0A">
      <w:pPr>
        <w:widowControl w:val="0"/>
        <w:spacing w:line="360" w:lineRule="auto"/>
        <w:ind w:firstLine="0" w:firstLineChars="0"/>
        <w:jc w:val="both"/>
        <w:rPr>
          <w:rFonts w:ascii="Times New Roman" w:hAnsi="Times New Roman" w:eastAsia="宋体" w:cs="Times New Roman"/>
          <w:b/>
          <w:kern w:val="2"/>
          <w:sz w:val="24"/>
          <w:szCs w:val="24"/>
          <w:lang w:val="en-US" w:eastAsia="zh-CN" w:bidi="ar-SA"/>
        </w:rPr>
      </w:pPr>
      <w:r>
        <w:rPr>
          <w:rFonts w:hint="eastAsia" w:ascii="Times New Roman" w:hAnsi="Times New Roman" w:eastAsia="宋体" w:cs="Times New Roman"/>
          <w:b/>
          <w:kern w:val="2"/>
          <w:sz w:val="24"/>
          <w:szCs w:val="24"/>
          <w:lang w:val="en-US" w:eastAsia="zh-CN" w:bidi="ar-SA"/>
        </w:rPr>
        <w:t>四、交付地点、方式</w:t>
      </w:r>
    </w:p>
    <w:p w14:paraId="22BCBDDD">
      <w:pPr>
        <w:widowControl w:val="0"/>
        <w:spacing w:line="360" w:lineRule="auto"/>
        <w:ind w:firstLine="0" w:firstLineChars="0"/>
        <w:jc w:val="both"/>
        <w:rPr>
          <w:rFonts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1.交货地点：</w:t>
      </w:r>
      <w:r>
        <w:rPr>
          <w:rFonts w:hint="eastAsia" w:ascii="Times New Roman" w:hAnsi="Times New Roman" w:eastAsia="宋体" w:cs="Times New Roman"/>
          <w:kern w:val="2"/>
          <w:sz w:val="24"/>
          <w:szCs w:val="24"/>
          <w:lang w:val="en-US" w:eastAsia="zh-CN" w:bidi="ar-SA"/>
        </w:rPr>
        <w:t>甲方指定地点</w:t>
      </w:r>
    </w:p>
    <w:p w14:paraId="32ED9CBB">
      <w:pPr>
        <w:widowControl w:val="0"/>
        <w:spacing w:line="360" w:lineRule="auto"/>
        <w:ind w:firstLine="0" w:firstLineChars="0"/>
        <w:jc w:val="both"/>
        <w:rPr>
          <w:rFonts w:ascii="宋体" w:hAnsi="宋体"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2.</w:t>
      </w:r>
      <w:r>
        <w:rPr>
          <w:rFonts w:ascii="Times New Roman" w:hAnsi="Times New Roman" w:eastAsia="宋体" w:cs="Times New Roman"/>
          <w:kern w:val="2"/>
          <w:sz w:val="24"/>
          <w:szCs w:val="24"/>
          <w:lang w:val="en-US" w:eastAsia="zh-CN" w:bidi="ar-SA"/>
        </w:rPr>
        <w:t>交货方式</w:t>
      </w:r>
      <w:r>
        <w:rPr>
          <w:rFonts w:hint="eastAsia" w:ascii="宋体" w:hAnsi="宋体" w:eastAsia="宋体" w:cs="Times New Roman"/>
          <w:kern w:val="2"/>
          <w:sz w:val="24"/>
          <w:szCs w:val="24"/>
          <w:lang w:val="en-US" w:eastAsia="zh-CN" w:bidi="ar-SA"/>
        </w:rPr>
        <w:t>：丙方上门安装</w:t>
      </w:r>
    </w:p>
    <w:p w14:paraId="6EEBDCA3">
      <w:pPr>
        <w:spacing w:line="360" w:lineRule="auto"/>
        <w:rPr>
          <w:rFonts w:ascii="Times New Roman" w:hAnsi="Times New Roman" w:eastAsia="宋体" w:cs="Times New Roman"/>
          <w:b/>
          <w:sz w:val="24"/>
          <w:szCs w:val="24"/>
        </w:rPr>
      </w:pPr>
      <w:r>
        <w:rPr>
          <w:rFonts w:ascii="Times New Roman" w:hAnsi="Times New Roman" w:eastAsia="宋体" w:cs="Times New Roman"/>
          <w:sz w:val="24"/>
          <w:szCs w:val="24"/>
        </w:rPr>
        <w:t>丙方按照甲方要求，保证在甲方通知送货后</w:t>
      </w:r>
      <w:r>
        <w:rPr>
          <w:rFonts w:hint="eastAsia" w:ascii="Times New Roman" w:hAnsi="Times New Roman" w:eastAsia="宋体" w:cs="Times New Roman"/>
          <w:sz w:val="24"/>
          <w:szCs w:val="24"/>
        </w:rPr>
        <w:t>*</w:t>
      </w:r>
      <w:r>
        <w:rPr>
          <w:rFonts w:ascii="Times New Roman" w:hAnsi="Times New Roman" w:eastAsia="宋体" w:cs="Times New Roman"/>
          <w:sz w:val="24"/>
          <w:szCs w:val="24"/>
        </w:rPr>
        <w:t>*日内将货物送至甲方指定地点并安装调试完成，包装费、运输费用、保险费用及验收合格前的风险均由</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方负责。</w:t>
      </w:r>
    </w:p>
    <w:p w14:paraId="4CF8570C">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五、安装调试及培训</w:t>
      </w:r>
    </w:p>
    <w:p w14:paraId="3BBD6F3C">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1、交货时间：自本合同签订之日起30日内由丙方送货至甲方指定地点，丙方负责安装调试达到正常使用。如安装工作涉及隐蔽部件安装的，应在隐蔽性安装前通知甲方到场清点。货物验收合格前，毁损灭失的风险由丙方承担。</w:t>
      </w:r>
    </w:p>
    <w:p w14:paraId="1AB6D7B0">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2、在货物抵达甲方指定地点</w:t>
      </w:r>
      <w:r>
        <w:rPr>
          <w:rFonts w:ascii="Times New Roman" w:hAnsi="Times New Roman" w:eastAsia="宋体" w:cs="Times New Roman"/>
          <w:sz w:val="24"/>
          <w:szCs w:val="24"/>
        </w:rPr>
        <w:t>*</w:t>
      </w:r>
      <w:r>
        <w:rPr>
          <w:rFonts w:hint="eastAsia" w:ascii="Times New Roman" w:hAnsi="Times New Roman" w:eastAsia="宋体" w:cs="Times New Roman"/>
          <w:sz w:val="24"/>
          <w:szCs w:val="24"/>
        </w:rPr>
        <w:t>日内，丙方人员及工程技术人员应抵达甲方指定地点通知甲方进行开箱验收。双方依据丙方提供的装箱单、检验合格证书、使用说明等有关资料，如有短缺、规格不符、资料不全等，由丙方在7日内无偿给予更换、补齐，并承担由此产生的全部费用。开箱后*日内，丙方开始安装调试，丙方应保证在*日内安装调试完毕。验收前，丙方应完成对甲方的操作人员、技术人员进行免费培训，保证受训人员能熟练操作，具备开展日常技术工作的能力，并能够对该货物能进行日常维护。</w:t>
      </w:r>
    </w:p>
    <w:p w14:paraId="3131F55D">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3、验收标准：按国家有关规定以及甲方采购文件的质量要求和技术指标、丙方的响应文件及承诺与本合同约定标准进行验收；</w:t>
      </w:r>
    </w:p>
    <w:p w14:paraId="2363D442">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4、交货验收时丙方须提供产品质检部门从同类产品中抽样检查合格的检测报告，每台货物上均应有产品质量检验合格标志。丙方还应当在甲方验收时将所提供货物的装箱清单、配件、随机工具、用户使用手册、原厂保修卡等资料交付给甲方；丙方不能完整交付货物及本款规定的单证和工具的，必须负责补齐，否则视为未按合同约定交货。进口设备需提供商检证明及按照现行法律规定需要提供的其他证明。</w:t>
      </w:r>
    </w:p>
    <w:p w14:paraId="16689475">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5、验收时如发现所交付的货物有短装、次品、损坏或其它不符合标准及本合同规定之情形，甲方应做出详尽的现场记录，或由甲丙双方签署备忘录，此现场记录或备忘录可用作补充、缺失和更换损坏部件的有效证据，由此产生的时间延误与有关费用由丙方承担，验收期限相应顺延。</w:t>
      </w:r>
    </w:p>
    <w:p w14:paraId="76F54BC5">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6、如质量验收合格，双方签署质量验收报告，合同货物质保期自甲方签署验收文件之日起计算。如丙方所供货物不符合本条要求，甲方有权拒签验收合格证明，有权要求丙方无条件更换、补齐，丙方应在交货时间内提供符合上述要求的货物。如果未能补齐的，视为逾期交货或经1次调换仍不能达到合同约定的质量要求，丙方按照合同第八条第2款承担违约责任。</w:t>
      </w:r>
    </w:p>
    <w:p w14:paraId="3EB426A6">
      <w:pPr>
        <w:spacing w:line="360" w:lineRule="auto"/>
        <w:rPr>
          <w:rFonts w:ascii="Times New Roman" w:hAnsi="Times New Roman" w:eastAsia="宋体" w:cs="Times New Roman"/>
          <w:b/>
          <w:sz w:val="24"/>
          <w:szCs w:val="24"/>
        </w:rPr>
      </w:pPr>
      <w:r>
        <w:rPr>
          <w:rFonts w:hint="eastAsia" w:ascii="宋体" w:hAnsi="宋体" w:eastAsia="宋体" w:cs="Times New Roman"/>
          <w:sz w:val="24"/>
          <w:szCs w:val="24"/>
        </w:rPr>
        <w:t>7、期间涉及的交通费、膳食费、住宿费及其他一切费用均由丙方负责。</w:t>
      </w:r>
    </w:p>
    <w:p w14:paraId="77B35C7B">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六、软件验收</w:t>
      </w:r>
    </w:p>
    <w:p w14:paraId="0EEC3AB1">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1、验收时间：</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方完成安装及调试后</w:t>
      </w:r>
      <w:r>
        <w:rPr>
          <w:rFonts w:hint="eastAsia" w:ascii="Times New Roman" w:hAnsi="Times New Roman" w:eastAsia="宋体" w:cs="Times New Roman"/>
          <w:sz w:val="24"/>
          <w:szCs w:val="24"/>
          <w:u w:val="single"/>
        </w:rPr>
        <w:t xml:space="preserve">   </w:t>
      </w:r>
      <w:r>
        <w:rPr>
          <w:rFonts w:ascii="Times New Roman" w:hAnsi="Times New Roman" w:eastAsia="宋体" w:cs="Times New Roman"/>
          <w:sz w:val="24"/>
          <w:szCs w:val="24"/>
        </w:rPr>
        <w:t>个工作日内，由甲方指定人员完成验收。</w:t>
      </w:r>
    </w:p>
    <w:p w14:paraId="0079F477">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2、验收</w:t>
      </w:r>
      <w:r>
        <w:rPr>
          <w:rFonts w:hint="eastAsia" w:ascii="Times New Roman" w:hAnsi="Times New Roman" w:eastAsia="宋体" w:cs="Times New Roman"/>
          <w:sz w:val="24"/>
          <w:szCs w:val="24"/>
        </w:rPr>
        <w:t>方式</w:t>
      </w:r>
      <w:r>
        <w:rPr>
          <w:rFonts w:ascii="Times New Roman" w:hAnsi="Times New Roman" w:eastAsia="宋体" w:cs="Times New Roman"/>
          <w:sz w:val="24"/>
          <w:szCs w:val="24"/>
        </w:rPr>
        <w:t>：</w:t>
      </w:r>
      <w:r>
        <w:rPr>
          <w:rFonts w:hint="eastAsia" w:ascii="Times New Roman" w:hAnsi="Times New Roman" w:eastAsia="宋体" w:cs="Times New Roman"/>
          <w:sz w:val="24"/>
          <w:szCs w:val="24"/>
        </w:rPr>
        <w:t>按国家（行业）最高标准，以及本项目采购文件的质量要求和技术指标与出厂标准的最高标准。甲方指定人员对软件质量进行验收。</w:t>
      </w:r>
    </w:p>
    <w:p w14:paraId="68BD243B">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3、甲方在验收中如发现软件的型号、规格、包装和质量等不符合本合同约定的，自软件验收完成后</w:t>
      </w:r>
      <w:r>
        <w:rPr>
          <w:rFonts w:hint="eastAsia" w:ascii="Times New Roman" w:hAnsi="Times New Roman" w:eastAsia="宋体" w:cs="Times New Roman"/>
          <w:sz w:val="24"/>
          <w:szCs w:val="24"/>
          <w:u w:val="single"/>
        </w:rPr>
        <w:t xml:space="preserve">   </w:t>
      </w:r>
      <w:r>
        <w:rPr>
          <w:rFonts w:ascii="Times New Roman" w:hAnsi="Times New Roman" w:eastAsia="宋体" w:cs="Times New Roman"/>
          <w:sz w:val="24"/>
          <w:szCs w:val="24"/>
        </w:rPr>
        <w:t>个工作日内向</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方提出书面异议。</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方在接到甲方书面异议后，应在</w:t>
      </w:r>
      <w:r>
        <w:rPr>
          <w:rFonts w:hint="eastAsia" w:ascii="Times New Roman" w:hAnsi="Times New Roman" w:eastAsia="宋体" w:cs="Times New Roman"/>
          <w:sz w:val="24"/>
          <w:szCs w:val="24"/>
          <w:u w:val="single"/>
        </w:rPr>
        <w:t xml:space="preserve">  </w:t>
      </w:r>
      <w:r>
        <w:rPr>
          <w:rFonts w:ascii="Times New Roman" w:hAnsi="Times New Roman" w:eastAsia="宋体" w:cs="Times New Roman"/>
          <w:sz w:val="24"/>
          <w:szCs w:val="24"/>
        </w:rPr>
        <w:t>个工作日内负责处理并通知甲方处理情况，否则，即视为</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方已接受甲方提出的异议和处理意见。</w:t>
      </w:r>
    </w:p>
    <w:p w14:paraId="6D7ACB48">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4、验收时如发现所交付的服务有问题、缺陷或其它不符合标准及本合同规定之情形者，甲方应做出详尽的现场记录，或由甲丙双方签署备忘录，此现场记录或备忘录可用作补充、缺失和更换损坏部件的有效证据，由此产生的时间延误与有关费用、造成的甲方的损失由丙方承担；</w:t>
      </w:r>
    </w:p>
    <w:p w14:paraId="7EB3915E">
      <w:pPr>
        <w:spacing w:line="360" w:lineRule="auto"/>
        <w:rPr>
          <w:rFonts w:ascii="Times New Roman" w:hAnsi="Times New Roman" w:eastAsia="宋体" w:cs="Times New Roman"/>
          <w:b/>
          <w:sz w:val="24"/>
          <w:szCs w:val="24"/>
        </w:rPr>
      </w:pPr>
      <w:r>
        <w:rPr>
          <w:rFonts w:hint="eastAsia" w:ascii="Times New Roman" w:hAnsi="Times New Roman" w:eastAsia="宋体" w:cs="Times New Roman"/>
          <w:sz w:val="24"/>
          <w:szCs w:val="24"/>
        </w:rPr>
        <w:t>5、如软件经丙方</w:t>
      </w:r>
      <w:r>
        <w:rPr>
          <w:rFonts w:ascii="Times New Roman" w:hAnsi="Times New Roman" w:eastAsia="宋体" w:cs="Times New Roman"/>
          <w:sz w:val="24"/>
          <w:szCs w:val="24"/>
          <w:u w:val="single"/>
        </w:rPr>
        <w:t>*</w:t>
      </w:r>
      <w:r>
        <w:rPr>
          <w:rFonts w:hint="eastAsia" w:ascii="Times New Roman" w:hAnsi="Times New Roman" w:eastAsia="宋体" w:cs="Times New Roman"/>
          <w:sz w:val="24"/>
          <w:szCs w:val="24"/>
        </w:rPr>
        <w:t>次维护仍不能达到合同约定的质量标准，甲方有权退货，并视作丙方不能交付软件而须支付违约赔偿金给甲方，甲方还可依法追究丙方的违约责任。</w:t>
      </w:r>
    </w:p>
    <w:p w14:paraId="11832985">
      <w:pPr>
        <w:numPr>
          <w:ilvl w:val="0"/>
          <w:numId w:val="12"/>
        </w:num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硬件验收</w:t>
      </w:r>
    </w:p>
    <w:p w14:paraId="6E299A03">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1、交货时间：自本合同签订之日起  日内由丙方送货至甲方指定地点，丙方负责安装调试达到正常使用。如安装工作涉及隐蔽部件安装的，应在隐蔽性安装前通知甲方到场清点。货物验收合格前，毁损灭失的风险由丙方承担。</w:t>
      </w:r>
    </w:p>
    <w:p w14:paraId="1C1B3DE1">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2、验收前，丙方应完成对甲方的操作人员、技术人员进行免费培训，提供成套培训资料，保证受训人员能熟练操作，具备开展日常技术工作的能力，并能够对该货物能进行日常维护。</w:t>
      </w:r>
    </w:p>
    <w:p w14:paraId="4D7C3776">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3、验收标准：按国家有关规定以及甲方采购文件的质量要求和技术指标、丙方的响应文件及承诺与本合同约定标准进行验收；</w:t>
      </w:r>
    </w:p>
    <w:p w14:paraId="47F0CACC">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4、交货验收时丙方须提供产品质检部门从同类产品中抽样检查合格的检测报告，每台货物上均应有产品质量检验合格标志。丙方还应当在甲方验收时将所提供货物的装箱清单、配件、随机工具、用户使用手册、原厂保修卡等资料交付给甲方；丙方不能完整交付货物及本款规定的单证和工具的，必须负责补齐，否则视为未按合同约定交货。进口设备需提供商检证明及按照现行法律规定需要提供的其他证明。</w:t>
      </w:r>
    </w:p>
    <w:p w14:paraId="1291C864">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5、验收时如发现所交付的货物有短装、次品、损坏或其它不符合标准及本合同规定之情形，甲方应做出详尽的现场记录，或由甲乙双方签署备忘录，此现场记录或备忘录可用作补充、缺失和更换损坏部件的有效证据，由此产生的时间延误与有关费用由丙方承担，验收期限相应顺延。</w:t>
      </w:r>
    </w:p>
    <w:p w14:paraId="62B36830">
      <w:pPr>
        <w:spacing w:line="360" w:lineRule="auto"/>
        <w:rPr>
          <w:rFonts w:ascii="Times New Roman" w:hAnsi="Times New Roman" w:eastAsia="宋体" w:cs="Times New Roman"/>
          <w:b/>
          <w:sz w:val="24"/>
          <w:szCs w:val="24"/>
        </w:rPr>
      </w:pPr>
      <w:r>
        <w:rPr>
          <w:rFonts w:hint="eastAsia" w:ascii="Times New Roman" w:hAnsi="Times New Roman" w:eastAsia="宋体" w:cs="Times New Roman"/>
          <w:sz w:val="24"/>
          <w:szCs w:val="24"/>
        </w:rPr>
        <w:t>6、如质量验收合格，双方签署质量验收报告，合同货物质保期自甲方签署验收文件之日起计算。如丙方所供货物不符合本条要求，甲方有权拒签验收合格证明，有权要求丙方无条件更换、补齐，丙方应在交货时间内提供符合上述要求的货物。如果未能补齐的，视为逾期交货或经1次调换仍不能达到合同约定的质量要求，承担违约责任。</w:t>
      </w:r>
    </w:p>
    <w:p w14:paraId="3BF01C29">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八、软件退换</w:t>
      </w:r>
    </w:p>
    <w:p w14:paraId="53D91CA1">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1、甲方根据本合同第</w:t>
      </w:r>
      <w:r>
        <w:rPr>
          <w:rFonts w:hint="eastAsia" w:ascii="Times New Roman" w:hAnsi="Times New Roman" w:eastAsia="宋体" w:cs="Times New Roman"/>
          <w:sz w:val="24"/>
          <w:szCs w:val="24"/>
        </w:rPr>
        <w:t>六</w:t>
      </w:r>
      <w:r>
        <w:rPr>
          <w:rFonts w:ascii="Times New Roman" w:hAnsi="Times New Roman" w:eastAsia="宋体" w:cs="Times New Roman"/>
          <w:sz w:val="24"/>
          <w:szCs w:val="24"/>
        </w:rPr>
        <w:t>条提出书面异议的，如果</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方在上述约定时间内未能按照甲方要求进行处理的，则甲方有权要求退货或换货，</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方在收到甲方的书面退换货通知后</w:t>
      </w:r>
      <w:r>
        <w:rPr>
          <w:rFonts w:hint="eastAsia" w:ascii="Times New Roman" w:hAnsi="Times New Roman" w:eastAsia="宋体" w:cs="Times New Roman"/>
          <w:sz w:val="24"/>
          <w:szCs w:val="24"/>
          <w:u w:val="single"/>
        </w:rPr>
        <w:t xml:space="preserve">     </w:t>
      </w:r>
      <w:r>
        <w:rPr>
          <w:rFonts w:ascii="Times New Roman" w:hAnsi="Times New Roman" w:eastAsia="宋体" w:cs="Times New Roman"/>
          <w:sz w:val="24"/>
          <w:szCs w:val="24"/>
        </w:rPr>
        <w:t>个工作日内完成退货或换货。</w:t>
      </w:r>
    </w:p>
    <w:p w14:paraId="2BD746DB">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2、软件交付甲方使用后，若甲方在生产作业过程中发现软件确实存在以下问题的，甲方有权退还软件并且解除本合同，同时</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方须退还</w:t>
      </w:r>
      <w:r>
        <w:rPr>
          <w:rFonts w:hint="eastAsia" w:ascii="Times New Roman" w:hAnsi="Times New Roman" w:eastAsia="宋体" w:cs="Times New Roman"/>
          <w:sz w:val="24"/>
          <w:szCs w:val="24"/>
        </w:rPr>
        <w:t>乙方</w:t>
      </w:r>
      <w:r>
        <w:rPr>
          <w:rFonts w:ascii="Times New Roman" w:hAnsi="Times New Roman" w:eastAsia="宋体" w:cs="Times New Roman"/>
          <w:sz w:val="24"/>
          <w:szCs w:val="24"/>
        </w:rPr>
        <w:t>的所付款项。存在的情况为：</w:t>
      </w:r>
    </w:p>
    <w:p w14:paraId="17A47EAA">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（1）软件不能正常安装的；</w:t>
      </w:r>
    </w:p>
    <w:p w14:paraId="75BA1BFE">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（2）软件的使用会影响甲方操作系统的稳定或其他软件的正常使用的；</w:t>
      </w:r>
    </w:p>
    <w:p w14:paraId="48F58CC2">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（3）软件的实际使用功能不能达到</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方软件承诺的功能，而</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方不能在</w:t>
      </w:r>
      <w:r>
        <w:rPr>
          <w:rFonts w:hint="eastAsia" w:ascii="Times New Roman" w:hAnsi="Times New Roman" w:eastAsia="宋体" w:cs="Times New Roman"/>
          <w:sz w:val="24"/>
          <w:szCs w:val="24"/>
          <w:u w:val="single"/>
        </w:rPr>
        <w:t xml:space="preserve">  </w:t>
      </w:r>
      <w:r>
        <w:rPr>
          <w:rFonts w:ascii="Times New Roman" w:hAnsi="Times New Roman" w:eastAsia="宋体" w:cs="Times New Roman"/>
          <w:sz w:val="24"/>
          <w:szCs w:val="24"/>
        </w:rPr>
        <w:t>个工作日内解决的。</w:t>
      </w:r>
    </w:p>
    <w:p w14:paraId="431A1C0A">
      <w:pPr>
        <w:spacing w:line="360" w:lineRule="auto"/>
        <w:rPr>
          <w:rFonts w:ascii="Times New Roman" w:hAnsi="Times New Roman" w:eastAsia="宋体" w:cs="Times New Roman"/>
          <w:b/>
          <w:sz w:val="24"/>
          <w:szCs w:val="24"/>
        </w:rPr>
      </w:pPr>
      <w:r>
        <w:rPr>
          <w:rFonts w:hint="eastAsia" w:ascii="Times New Roman" w:hAnsi="Times New Roman" w:eastAsia="宋体" w:cs="Times New Roman"/>
          <w:sz w:val="24"/>
          <w:szCs w:val="24"/>
        </w:rPr>
        <w:t>3、</w:t>
      </w:r>
      <w:r>
        <w:rPr>
          <w:rFonts w:ascii="Times New Roman" w:hAnsi="Times New Roman" w:eastAsia="宋体" w:cs="Times New Roman"/>
          <w:sz w:val="24"/>
          <w:szCs w:val="24"/>
        </w:rPr>
        <w:t>甲方根据本合同条款提出退货或解除合同的，</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方应在收到甲方通知后</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个工作</w:t>
      </w:r>
      <w:r>
        <w:rPr>
          <w:rFonts w:ascii="Times New Roman" w:hAnsi="Times New Roman" w:eastAsia="宋体" w:cs="Times New Roman"/>
          <w:sz w:val="24"/>
          <w:szCs w:val="24"/>
        </w:rPr>
        <w:t>日内退还</w:t>
      </w:r>
      <w:r>
        <w:rPr>
          <w:rFonts w:hint="eastAsia" w:ascii="Times New Roman" w:hAnsi="Times New Roman" w:eastAsia="宋体" w:cs="Times New Roman"/>
          <w:sz w:val="24"/>
          <w:szCs w:val="24"/>
        </w:rPr>
        <w:t>乙</w:t>
      </w:r>
      <w:r>
        <w:rPr>
          <w:rFonts w:ascii="Times New Roman" w:hAnsi="Times New Roman" w:eastAsia="宋体" w:cs="Times New Roman"/>
          <w:sz w:val="24"/>
          <w:szCs w:val="24"/>
        </w:rPr>
        <w:t>方全部已付款项。</w:t>
      </w:r>
    </w:p>
    <w:p w14:paraId="61E3F3B7">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九、维护升级、售后服务</w:t>
      </w:r>
    </w:p>
    <w:p w14:paraId="777F64A7">
      <w:pPr>
        <w:widowControl w:val="0"/>
        <w:numPr>
          <w:ilvl w:val="0"/>
          <w:numId w:val="13"/>
        </w:numPr>
        <w:spacing w:line="360" w:lineRule="auto"/>
        <w:ind w:left="420" w:hanging="420" w:firstLineChars="0"/>
        <w:jc w:val="both"/>
        <w:rPr>
          <w:rFonts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质保期（自验收合格之日）：***年；产品零配件（包括主计算机系统及工作站）保证供应时间≥</w:t>
      </w:r>
      <w:r>
        <w:rPr>
          <w:rFonts w:ascii="宋体" w:hAnsi="宋体" w:eastAsia="宋体" w:cs="Times New Roman"/>
          <w:kern w:val="2"/>
          <w:sz w:val="24"/>
          <w:szCs w:val="24"/>
          <w:lang w:val="en-US" w:eastAsia="zh-CN" w:bidi="ar-SA"/>
        </w:rPr>
        <w:t>*年；验收合格后的保修期内，丙方承诺开机率或使用率＞</w:t>
      </w:r>
      <w:r>
        <w:rPr>
          <w:rFonts w:hint="eastAsia" w:ascii="宋体" w:hAnsi="宋体" w:eastAsia="宋体" w:cs="Times New Roman"/>
          <w:kern w:val="2"/>
          <w:sz w:val="24"/>
          <w:szCs w:val="24"/>
          <w:lang w:val="en-US" w:eastAsia="zh-CN" w:bidi="ar-SA"/>
        </w:rPr>
        <w:t>*</w:t>
      </w:r>
      <w:r>
        <w:rPr>
          <w:rFonts w:ascii="宋体" w:hAnsi="宋体" w:eastAsia="宋体" w:cs="Times New Roman"/>
          <w:kern w:val="2"/>
          <w:sz w:val="24"/>
          <w:szCs w:val="24"/>
          <w:lang w:val="en-US" w:eastAsia="zh-CN" w:bidi="ar-SA"/>
        </w:rPr>
        <w:t>*%（按</w:t>
      </w:r>
      <w:r>
        <w:rPr>
          <w:rFonts w:hint="eastAsia" w:ascii="宋体" w:hAnsi="宋体" w:eastAsia="宋体" w:cs="Times New Roman"/>
          <w:kern w:val="2"/>
          <w:sz w:val="24"/>
          <w:szCs w:val="24"/>
          <w:lang w:val="en-US" w:eastAsia="zh-CN" w:bidi="ar-SA"/>
        </w:rPr>
        <w:t>3</w:t>
      </w:r>
      <w:r>
        <w:rPr>
          <w:rFonts w:ascii="宋体" w:hAnsi="宋体" w:eastAsia="宋体" w:cs="Times New Roman"/>
          <w:kern w:val="2"/>
          <w:sz w:val="24"/>
          <w:szCs w:val="24"/>
          <w:lang w:val="en-US" w:eastAsia="zh-CN" w:bidi="ar-SA"/>
        </w:rPr>
        <w:t>65日</w:t>
      </w:r>
      <w:r>
        <w:rPr>
          <w:rFonts w:hint="eastAsia" w:ascii="宋体" w:hAnsi="宋体" w:eastAsia="宋体" w:cs="Times New Roman"/>
          <w:kern w:val="2"/>
          <w:sz w:val="24"/>
          <w:szCs w:val="24"/>
          <w:lang w:val="en-US" w:eastAsia="zh-CN" w:bidi="ar-SA"/>
        </w:rPr>
        <w:t>/年计算</w:t>
      </w:r>
      <w:r>
        <w:rPr>
          <w:rFonts w:ascii="宋体" w:hAnsi="宋体" w:eastAsia="宋体" w:cs="Times New Roman"/>
          <w:kern w:val="2"/>
          <w:sz w:val="24"/>
          <w:szCs w:val="24"/>
          <w:lang w:val="en-US" w:eastAsia="zh-CN" w:bidi="ar-SA"/>
        </w:rPr>
        <w:t>）</w:t>
      </w:r>
    </w:p>
    <w:p w14:paraId="68A4B0D8">
      <w:pPr>
        <w:widowControl w:val="0"/>
        <w:numPr>
          <w:ilvl w:val="0"/>
          <w:numId w:val="13"/>
        </w:numPr>
        <w:spacing w:line="360" w:lineRule="auto"/>
        <w:ind w:left="420" w:hanging="420" w:firstLineChars="0"/>
        <w:jc w:val="both"/>
        <w:rPr>
          <w:rFonts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服务内容：（1）电话支持 （2）</w:t>
      </w:r>
      <w:r>
        <w:rPr>
          <w:rFonts w:hint="eastAsia" w:ascii="宋体" w:hAnsi="宋体" w:eastAsia="宋体" w:cs="Times New Roman"/>
          <w:color w:val="000000"/>
          <w:kern w:val="2"/>
          <w:sz w:val="24"/>
          <w:szCs w:val="24"/>
          <w:lang w:val="en-US" w:eastAsia="zh-CN" w:bidi="ar-SA"/>
        </w:rPr>
        <w:t>远程技术支持 （3）现场服务</w:t>
      </w:r>
    </w:p>
    <w:p w14:paraId="76AD494E">
      <w:pPr>
        <w:widowControl w:val="0"/>
        <w:numPr>
          <w:ilvl w:val="0"/>
          <w:numId w:val="13"/>
        </w:numPr>
        <w:spacing w:line="360" w:lineRule="auto"/>
        <w:ind w:left="420" w:hanging="420" w:firstLineChars="0"/>
        <w:jc w:val="both"/>
        <w:rPr>
          <w:rFonts w:ascii="宋体" w:hAnsi="宋体" w:eastAsia="宋体" w:cs="Times New Roman"/>
          <w:kern w:val="2"/>
          <w:sz w:val="24"/>
          <w:szCs w:val="24"/>
          <w:lang w:val="en-US" w:eastAsia="zh-CN" w:bidi="ar-SA"/>
        </w:rPr>
      </w:pPr>
      <w:r>
        <w:rPr>
          <w:rFonts w:hint="eastAsia" w:ascii="宋体" w:hAnsi="宋体" w:eastAsia="宋体" w:cs="Times New Roman"/>
          <w:color w:val="000000"/>
          <w:kern w:val="2"/>
          <w:sz w:val="24"/>
          <w:szCs w:val="24"/>
          <w:lang w:val="en-US" w:eastAsia="zh-CN" w:bidi="ar-SA"/>
        </w:rPr>
        <w:t>报修响应方案：质保期内提供7*24小时服务热线，在接到报修信息后20分钟内响应，提供远程技术服务支撑，在1小时内完成维修。如果远程服务不能完成维修服务的，提供上门维修服务，在2小时内到达现场，并在4小时内完成维修。</w:t>
      </w:r>
    </w:p>
    <w:p w14:paraId="1F8B2149">
      <w:pPr>
        <w:widowControl w:val="0"/>
        <w:numPr>
          <w:ilvl w:val="0"/>
          <w:numId w:val="13"/>
        </w:numPr>
        <w:spacing w:line="360" w:lineRule="auto"/>
        <w:ind w:left="420" w:hanging="420" w:firstLineChars="0"/>
        <w:jc w:val="both"/>
        <w:rPr>
          <w:rFonts w:ascii="宋体" w:hAnsi="宋体"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维护升级标准：只要甲方需要丙方有义务更新软件至最新版。</w:t>
      </w:r>
    </w:p>
    <w:p w14:paraId="1B0B50FA">
      <w:pPr>
        <w:widowControl w:val="0"/>
        <w:numPr>
          <w:ilvl w:val="0"/>
          <w:numId w:val="13"/>
        </w:numPr>
        <w:spacing w:line="360" w:lineRule="auto"/>
        <w:ind w:left="420" w:hanging="420" w:firstLineChars="0"/>
        <w:jc w:val="both"/>
        <w:rPr>
          <w:rFonts w:ascii="宋体" w:hAnsi="宋体" w:eastAsia="宋体" w:cs="Times New Roman"/>
          <w:kern w:val="2"/>
          <w:sz w:val="24"/>
          <w:szCs w:val="24"/>
          <w:lang w:val="en-US" w:eastAsia="zh-CN" w:bidi="ar-SA"/>
        </w:rPr>
      </w:pPr>
      <w:r>
        <w:rPr>
          <w:rFonts w:ascii="Times New Roman" w:hAnsi="Times New Roman" w:eastAsia="宋体" w:cs="Times New Roman"/>
          <w:kern w:val="2"/>
          <w:sz w:val="24"/>
          <w:szCs w:val="24"/>
          <w:lang w:val="en-US" w:eastAsia="zh-CN" w:bidi="ar-SA"/>
        </w:rPr>
        <w:t>质保期满后，丙方终生提供优惠的维修服务；零配件费用按当时市场价的</w:t>
      </w:r>
      <w:r>
        <w:rPr>
          <w:rFonts w:hint="eastAsia" w:ascii="Times New Roman" w:hAnsi="Times New Roman" w:eastAsia="宋体" w:cs="Times New Roman"/>
          <w:kern w:val="2"/>
          <w:sz w:val="24"/>
          <w:szCs w:val="24"/>
          <w:lang w:val="en-US" w:eastAsia="zh-CN" w:bidi="ar-SA"/>
        </w:rPr>
        <w:t>*折的优惠价格收取；</w:t>
      </w:r>
    </w:p>
    <w:p w14:paraId="11F0DFF6">
      <w:pPr>
        <w:widowControl w:val="0"/>
        <w:numPr>
          <w:ilvl w:val="0"/>
          <w:numId w:val="13"/>
        </w:numPr>
        <w:spacing w:line="360" w:lineRule="auto"/>
        <w:ind w:left="420" w:hanging="420" w:firstLineChars="0"/>
        <w:jc w:val="both"/>
        <w:rPr>
          <w:rFonts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在质保期内丙方应事先声明产品使用的耗材和易损件，未事先声明的专用耗材和易损件将被纳入保修范围。属于原厂专用耗材和易损件，丙方应将耗材和易损件的品名、规格、使用寿命和供应价格作为合同附件告知甲方。</w:t>
      </w:r>
    </w:p>
    <w:p w14:paraId="241E16B7">
      <w:pPr>
        <w:widowControl w:val="0"/>
        <w:numPr>
          <w:ilvl w:val="0"/>
          <w:numId w:val="13"/>
        </w:numPr>
        <w:spacing w:line="360" w:lineRule="auto"/>
        <w:ind w:left="420" w:hanging="420" w:firstLineChars="0"/>
        <w:jc w:val="both"/>
        <w:rPr>
          <w:rFonts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因丙方原因不能够达到上述设备保修及售后服务的约定，按甲方实际停机天数自动延长其保修期,甲方有权延后质保金和维保费用的支付时间，并追究丙方因此引发的相应的法律责任。</w:t>
      </w:r>
    </w:p>
    <w:p w14:paraId="42903455">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十、责任和义务</w:t>
      </w:r>
    </w:p>
    <w:p w14:paraId="3E9E4EE6">
      <w:pPr>
        <w:widowControl w:val="0"/>
        <w:numPr>
          <w:ilvl w:val="0"/>
          <w:numId w:val="14"/>
        </w:numPr>
        <w:spacing w:line="360" w:lineRule="auto"/>
        <w:ind w:left="420" w:hanging="420" w:firstLineChars="0"/>
        <w:jc w:val="both"/>
        <w:rPr>
          <w:rFonts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甲方责任：</w:t>
      </w:r>
      <w:r>
        <w:rPr>
          <w:rFonts w:ascii="宋体" w:hAnsi="宋体" w:eastAsia="宋体" w:cs="Times New Roman"/>
          <w:color w:val="000000"/>
          <w:kern w:val="2"/>
          <w:sz w:val="24"/>
          <w:szCs w:val="24"/>
          <w:lang w:val="en-US" w:eastAsia="zh-CN" w:bidi="ar-SA"/>
        </w:rPr>
        <w:t>甲方需准备好安装</w:t>
      </w:r>
      <w:r>
        <w:rPr>
          <w:rFonts w:hint="eastAsia" w:ascii="宋体" w:hAnsi="宋体" w:eastAsia="宋体" w:cs="Times New Roman"/>
          <w:color w:val="000000"/>
          <w:kern w:val="2"/>
          <w:sz w:val="24"/>
          <w:szCs w:val="24"/>
          <w:lang w:val="en-US" w:eastAsia="zh-CN" w:bidi="ar-SA"/>
        </w:rPr>
        <w:t>硬件和软件</w:t>
      </w:r>
      <w:r>
        <w:rPr>
          <w:rFonts w:ascii="宋体" w:hAnsi="宋体" w:eastAsia="宋体" w:cs="Times New Roman"/>
          <w:color w:val="000000"/>
          <w:kern w:val="2"/>
          <w:sz w:val="24"/>
          <w:szCs w:val="24"/>
          <w:lang w:val="en-US" w:eastAsia="zh-CN" w:bidi="ar-SA"/>
        </w:rPr>
        <w:t>的环境，</w:t>
      </w:r>
      <w:r>
        <w:rPr>
          <w:rFonts w:hint="eastAsia" w:ascii="Times New Roman" w:hAnsi="Times New Roman" w:eastAsia="宋体" w:cs="Times New Roman"/>
          <w:kern w:val="2"/>
          <w:sz w:val="24"/>
          <w:szCs w:val="24"/>
          <w:lang w:val="en-US" w:eastAsia="zh-CN" w:bidi="ar-SA"/>
        </w:rPr>
        <w:t>丙</w:t>
      </w:r>
      <w:r>
        <w:rPr>
          <w:rFonts w:ascii="宋体" w:hAnsi="宋体" w:eastAsia="宋体" w:cs="Times New Roman"/>
          <w:color w:val="000000"/>
          <w:kern w:val="2"/>
          <w:sz w:val="24"/>
          <w:szCs w:val="24"/>
          <w:lang w:val="en-US" w:eastAsia="zh-CN" w:bidi="ar-SA"/>
        </w:rPr>
        <w:t>方需对甲方准备工作进行协助、指导。</w:t>
      </w:r>
    </w:p>
    <w:p w14:paraId="61D1B75A">
      <w:pPr>
        <w:widowControl w:val="0"/>
        <w:numPr>
          <w:ilvl w:val="0"/>
          <w:numId w:val="14"/>
        </w:numPr>
        <w:spacing w:line="360" w:lineRule="auto"/>
        <w:ind w:left="420" w:hanging="420" w:firstLineChars="0"/>
        <w:jc w:val="both"/>
        <w:rPr>
          <w:rFonts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乙方责任：根据合同约定、甲方付款确认书</w:t>
      </w:r>
      <w:r>
        <w:rPr>
          <w:rFonts w:hint="eastAsia" w:ascii="Times New Roman" w:hAnsi="Times New Roman" w:eastAsia="宋体" w:cs="Times New Roman"/>
          <w:kern w:val="2"/>
          <w:sz w:val="24"/>
          <w:szCs w:val="24"/>
          <w:lang w:val="en-US" w:eastAsia="zh-CN" w:bidi="ar-SA"/>
        </w:rPr>
        <w:t>以及丙方提供的符合财务结算的相关票据，向丙方进行支付。</w:t>
      </w:r>
    </w:p>
    <w:p w14:paraId="4CDF1DA3">
      <w:pPr>
        <w:widowControl w:val="0"/>
        <w:numPr>
          <w:ilvl w:val="0"/>
          <w:numId w:val="14"/>
        </w:numPr>
        <w:spacing w:line="360" w:lineRule="auto"/>
        <w:ind w:left="420" w:hanging="420" w:firstLineChars="0"/>
        <w:jc w:val="both"/>
        <w:rPr>
          <w:rFonts w:ascii="宋体" w:hAnsi="宋体" w:eastAsia="宋体" w:cs="Times New Roman"/>
          <w:color w:val="000000"/>
          <w:kern w:val="2"/>
          <w:sz w:val="24"/>
          <w:szCs w:val="24"/>
          <w:lang w:val="en-US" w:eastAsia="zh-CN" w:bidi="ar-SA"/>
        </w:rPr>
      </w:pPr>
      <w:r>
        <w:rPr>
          <w:rFonts w:hint="eastAsia" w:ascii="Times New Roman" w:hAnsi="Times New Roman" w:eastAsia="宋体" w:cs="Times New Roman"/>
          <w:kern w:val="2"/>
          <w:sz w:val="24"/>
          <w:szCs w:val="24"/>
          <w:lang w:val="en-US" w:eastAsia="zh-CN" w:bidi="ar-SA"/>
        </w:rPr>
        <w:t>丙</w:t>
      </w:r>
      <w:r>
        <w:rPr>
          <w:rFonts w:hint="eastAsia" w:ascii="宋体" w:hAnsi="宋体" w:eastAsia="宋体" w:cs="Times New Roman"/>
          <w:color w:val="000000"/>
          <w:kern w:val="2"/>
          <w:sz w:val="24"/>
          <w:szCs w:val="24"/>
          <w:lang w:val="en-US" w:eastAsia="zh-CN" w:bidi="ar-SA"/>
        </w:rPr>
        <w:t>方责任：</w:t>
      </w:r>
    </w:p>
    <w:p w14:paraId="23055521">
      <w:pP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（1）</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方保证其提供给甲方的</w:t>
      </w:r>
      <w:r>
        <w:rPr>
          <w:rFonts w:hint="eastAsia" w:ascii="宋体" w:hAnsi="宋体" w:eastAsia="宋体" w:cs="Times New Roman"/>
          <w:color w:val="000000"/>
          <w:sz w:val="24"/>
          <w:szCs w:val="24"/>
        </w:rPr>
        <w:t>硬件和软件</w:t>
      </w:r>
      <w:r>
        <w:rPr>
          <w:rFonts w:ascii="Times New Roman" w:hAnsi="Times New Roman" w:eastAsia="宋体" w:cs="Times New Roman"/>
          <w:sz w:val="24"/>
          <w:szCs w:val="24"/>
        </w:rPr>
        <w:t>产品享受厂方升级政策范围内的升级</w:t>
      </w:r>
      <w:r>
        <w:rPr>
          <w:rFonts w:hint="eastAsia" w:ascii="Times New Roman" w:hAnsi="Times New Roman" w:eastAsia="宋体" w:cs="Times New Roman"/>
          <w:sz w:val="24"/>
          <w:szCs w:val="24"/>
        </w:rPr>
        <w:t>和一切改良</w:t>
      </w:r>
      <w:r>
        <w:rPr>
          <w:rFonts w:ascii="Times New Roman" w:hAnsi="Times New Roman" w:eastAsia="宋体" w:cs="Times New Roman"/>
          <w:sz w:val="24"/>
          <w:szCs w:val="24"/>
        </w:rPr>
        <w:t>。</w:t>
      </w:r>
      <w:r>
        <w:rPr>
          <w:rFonts w:hint="eastAsia" w:ascii="宋体" w:hAnsi="宋体" w:eastAsia="宋体" w:cs="Times New Roman"/>
          <w:color w:val="000000"/>
          <w:sz w:val="24"/>
          <w:szCs w:val="24"/>
        </w:rPr>
        <w:t xml:space="preserve"> </w:t>
      </w:r>
    </w:p>
    <w:p w14:paraId="77BCD765">
      <w:pP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（2）</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方必须保证本合同所述</w:t>
      </w:r>
      <w:r>
        <w:rPr>
          <w:rFonts w:hint="eastAsia" w:ascii="宋体" w:hAnsi="宋体" w:eastAsia="宋体" w:cs="Times New Roman"/>
          <w:color w:val="000000"/>
          <w:sz w:val="24"/>
          <w:szCs w:val="24"/>
        </w:rPr>
        <w:t>硬件和软件</w:t>
      </w:r>
      <w:r>
        <w:rPr>
          <w:rFonts w:ascii="Times New Roman" w:hAnsi="Times New Roman" w:eastAsia="宋体" w:cs="Times New Roman"/>
          <w:sz w:val="24"/>
          <w:szCs w:val="24"/>
        </w:rPr>
        <w:t>是</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方目前的最新版本</w:t>
      </w:r>
      <w:r>
        <w:rPr>
          <w:rFonts w:hint="eastAsia" w:ascii="Times New Roman" w:hAnsi="Times New Roman" w:eastAsia="宋体" w:cs="Times New Roman"/>
          <w:sz w:val="24"/>
          <w:szCs w:val="24"/>
        </w:rPr>
        <w:t>。</w:t>
      </w:r>
    </w:p>
    <w:p w14:paraId="00D9B078">
      <w:pPr>
        <w:spacing w:line="360" w:lineRule="auto"/>
        <w:rPr>
          <w:rFonts w:ascii="Times New Roman" w:hAnsi="Times New Roman" w:eastAsia="宋体" w:cs="Times New Roman"/>
          <w:sz w:val="24"/>
          <w:szCs w:val="24"/>
        </w:rPr>
      </w:pPr>
      <w:r>
        <w:rPr>
          <w:rFonts w:hint="eastAsia" w:ascii="宋体" w:hAnsi="宋体" w:eastAsia="宋体" w:cs="Times New Roman"/>
          <w:color w:val="000000"/>
          <w:sz w:val="24"/>
          <w:szCs w:val="24"/>
        </w:rPr>
        <w:t>（3）</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方负责以</w:t>
      </w:r>
      <w:r>
        <w:rPr>
          <w:rFonts w:hint="eastAsia" w:ascii="宋体" w:hAnsi="宋体" w:eastAsia="宋体" w:cs="Times New Roman"/>
          <w:color w:val="000000"/>
          <w:sz w:val="24"/>
          <w:szCs w:val="24"/>
        </w:rPr>
        <w:t>硬件和软件</w:t>
      </w:r>
      <w:r>
        <w:rPr>
          <w:rFonts w:hint="eastAsia" w:ascii="Times New Roman" w:hAnsi="Times New Roman" w:eastAsia="宋体" w:cs="Times New Roman"/>
          <w:sz w:val="24"/>
          <w:szCs w:val="24"/>
        </w:rPr>
        <w:t>功能的升级、维护和文档更新。</w:t>
      </w:r>
    </w:p>
    <w:p w14:paraId="7F7B8DC4">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（4）</w:t>
      </w:r>
      <w:r>
        <w:rPr>
          <w:rFonts w:ascii="Times New Roman" w:hAnsi="Times New Roman" w:eastAsia="宋体" w:cs="Times New Roman"/>
          <w:sz w:val="24"/>
          <w:szCs w:val="24"/>
        </w:rPr>
        <w:t>如甲方以后有需要对</w:t>
      </w:r>
      <w:r>
        <w:rPr>
          <w:rFonts w:hint="eastAsia" w:ascii="宋体" w:hAnsi="宋体" w:eastAsia="宋体" w:cs="Times New Roman"/>
          <w:color w:val="000000"/>
          <w:sz w:val="24"/>
          <w:szCs w:val="24"/>
        </w:rPr>
        <w:t>硬件和软件</w:t>
      </w:r>
      <w:r>
        <w:rPr>
          <w:rFonts w:ascii="Times New Roman" w:hAnsi="Times New Roman" w:eastAsia="宋体" w:cs="Times New Roman"/>
          <w:sz w:val="24"/>
          <w:szCs w:val="24"/>
        </w:rPr>
        <w:t>进行改动的，</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w:t>
      </w:r>
      <w:r>
        <w:rPr>
          <w:rFonts w:hint="eastAsia" w:ascii="Times New Roman" w:hAnsi="Times New Roman" w:eastAsia="宋体" w:cs="Times New Roman"/>
          <w:sz w:val="24"/>
          <w:szCs w:val="24"/>
        </w:rPr>
        <w:t>免费进行改良。</w:t>
      </w:r>
    </w:p>
    <w:p w14:paraId="112BE6B3">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（5）丙</w:t>
      </w:r>
      <w:r>
        <w:rPr>
          <w:rFonts w:ascii="Times New Roman" w:hAnsi="Times New Roman" w:eastAsia="宋体" w:cs="Times New Roman"/>
          <w:sz w:val="24"/>
          <w:szCs w:val="24"/>
        </w:rPr>
        <w:t>方保证其</w:t>
      </w:r>
      <w:r>
        <w:rPr>
          <w:rFonts w:hint="eastAsia" w:ascii="宋体" w:hAnsi="宋体" w:eastAsia="宋体" w:cs="Times New Roman"/>
          <w:color w:val="000000"/>
          <w:sz w:val="24"/>
          <w:szCs w:val="24"/>
        </w:rPr>
        <w:t>硬件和软件</w:t>
      </w:r>
      <w:r>
        <w:rPr>
          <w:rFonts w:ascii="Times New Roman" w:hAnsi="Times New Roman" w:eastAsia="宋体" w:cs="Times New Roman"/>
          <w:sz w:val="24"/>
          <w:szCs w:val="24"/>
        </w:rPr>
        <w:t>系统不带有定期的密码输入</w:t>
      </w:r>
      <w:r>
        <w:rPr>
          <w:rFonts w:hint="eastAsia" w:ascii="Times New Roman" w:hAnsi="Times New Roman" w:eastAsia="宋体" w:cs="Times New Roman"/>
          <w:sz w:val="24"/>
          <w:szCs w:val="24"/>
        </w:rPr>
        <w:t>。</w:t>
      </w:r>
    </w:p>
    <w:p w14:paraId="38D458FE">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（6）丙</w:t>
      </w:r>
      <w:r>
        <w:rPr>
          <w:rFonts w:ascii="Times New Roman" w:hAnsi="Times New Roman" w:eastAsia="宋体" w:cs="Times New Roman"/>
          <w:sz w:val="24"/>
          <w:szCs w:val="24"/>
        </w:rPr>
        <w:t>方的</w:t>
      </w:r>
      <w:r>
        <w:rPr>
          <w:rFonts w:hint="eastAsia" w:ascii="宋体" w:hAnsi="宋体" w:eastAsia="宋体" w:cs="Times New Roman"/>
          <w:color w:val="000000"/>
          <w:sz w:val="24"/>
          <w:szCs w:val="24"/>
        </w:rPr>
        <w:t>硬件和软件</w:t>
      </w:r>
      <w:r>
        <w:rPr>
          <w:rFonts w:ascii="Times New Roman" w:hAnsi="Times New Roman" w:eastAsia="宋体" w:cs="Times New Roman"/>
          <w:sz w:val="24"/>
          <w:szCs w:val="24"/>
        </w:rPr>
        <w:t>不可隐含任何恶意功能，包括但不限于病毒、蠕虫和特洛伊木马等程序，也不可以于未经甲方及其相关联</w:t>
      </w:r>
      <w:r>
        <w:rPr>
          <w:rFonts w:ascii="Times New Roman" w:hAnsi="Times New Roman" w:eastAsia="宋体" w:cs="Times New Roman"/>
          <w:szCs w:val="20"/>
        </w:rPr>
        <w:fldChar w:fldCharType="begin"/>
      </w:r>
      <w:r>
        <w:rPr>
          <w:rFonts w:ascii="Times New Roman" w:hAnsi="Times New Roman" w:eastAsia="宋体" w:cs="Times New Roman"/>
          <w:szCs w:val="20"/>
        </w:rPr>
        <w:instrText xml:space="preserve"> HYPERLINK "https://v.66law.cn/shuofa/gsf/gsfgd/" \t "_blank" \o "公司" </w:instrText>
      </w:r>
      <w:r>
        <w:rPr>
          <w:rFonts w:ascii="Times New Roman" w:hAnsi="Times New Roman" w:eastAsia="宋体" w:cs="Times New Roman"/>
          <w:szCs w:val="20"/>
        </w:rPr>
        <w:fldChar w:fldCharType="separate"/>
      </w:r>
      <w:r>
        <w:rPr>
          <w:rFonts w:ascii="Times New Roman" w:hAnsi="Times New Roman" w:eastAsia="宋体" w:cs="Times New Roman"/>
          <w:sz w:val="24"/>
          <w:szCs w:val="24"/>
        </w:rPr>
        <w:t>公司</w:t>
      </w:r>
      <w:r>
        <w:rPr>
          <w:rFonts w:ascii="Times New Roman" w:hAnsi="Times New Roman" w:eastAsia="宋体" w:cs="Times New Roman"/>
          <w:sz w:val="24"/>
          <w:szCs w:val="24"/>
        </w:rPr>
        <w:fldChar w:fldCharType="end"/>
      </w:r>
      <w:r>
        <w:rPr>
          <w:rFonts w:ascii="Times New Roman" w:hAnsi="Times New Roman" w:eastAsia="宋体" w:cs="Times New Roman"/>
          <w:sz w:val="24"/>
          <w:szCs w:val="24"/>
        </w:rPr>
        <w:t>授权下透过软件收集和扩散任何甲方及其相关联公司之数据各信息</w:t>
      </w:r>
      <w:r>
        <w:rPr>
          <w:rFonts w:hint="eastAsia" w:ascii="Times New Roman" w:hAnsi="Times New Roman" w:eastAsia="宋体" w:cs="Times New Roman"/>
          <w:sz w:val="24"/>
          <w:szCs w:val="24"/>
        </w:rPr>
        <w:t>。</w:t>
      </w:r>
    </w:p>
    <w:p w14:paraId="5C0B7D3D">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（7）丙方提供的</w:t>
      </w:r>
      <w:r>
        <w:rPr>
          <w:rFonts w:hint="eastAsia" w:ascii="宋体" w:hAnsi="宋体" w:eastAsia="宋体" w:cs="Times New Roman"/>
          <w:color w:val="000000"/>
          <w:sz w:val="24"/>
          <w:szCs w:val="24"/>
        </w:rPr>
        <w:t>硬件和软件</w:t>
      </w:r>
      <w:r>
        <w:rPr>
          <w:rFonts w:hint="eastAsia" w:ascii="Times New Roman" w:hAnsi="Times New Roman" w:eastAsia="宋体" w:cs="Times New Roman"/>
          <w:sz w:val="24"/>
          <w:szCs w:val="24"/>
        </w:rPr>
        <w:t>服务需要严格遵守相关网络信息安全规定。</w:t>
      </w:r>
    </w:p>
    <w:p w14:paraId="7EDDC40D">
      <w:pPr>
        <w:spacing w:line="360" w:lineRule="auto"/>
        <w:rPr>
          <w:rFonts w:ascii="宋体" w:hAnsi="宋体" w:eastAsia="宋体" w:cs="Times New Roman"/>
          <w:sz w:val="24"/>
          <w:szCs w:val="24"/>
        </w:rPr>
      </w:pPr>
      <w:r>
        <w:rPr>
          <w:rFonts w:hint="eastAsia" w:ascii="Times New Roman" w:hAnsi="Times New Roman" w:eastAsia="宋体" w:cs="Times New Roman"/>
          <w:sz w:val="24"/>
          <w:szCs w:val="24"/>
        </w:rPr>
        <w:t>（8）丙方工作人员若因操作失误导致系统故障、数据遗失的，丙方应负责调试系统至正常使用状态并恢复数据，由此造成甲方损失的，丙方应承担赔偿责任。</w:t>
      </w:r>
    </w:p>
    <w:p w14:paraId="7EE8DFF3">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十一、</w:t>
      </w:r>
      <w:r>
        <w:rPr>
          <w:rFonts w:ascii="Times New Roman" w:hAnsi="Times New Roman" w:eastAsia="宋体" w:cs="Times New Roman"/>
          <w:b/>
          <w:sz w:val="24"/>
          <w:szCs w:val="24"/>
        </w:rPr>
        <w:t>保证条款</w:t>
      </w:r>
    </w:p>
    <w:p w14:paraId="1B00BF4F">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方保证交付甲方的</w:t>
      </w:r>
      <w:r>
        <w:rPr>
          <w:rFonts w:hint="eastAsia" w:ascii="宋体" w:hAnsi="宋体" w:eastAsia="宋体" w:cs="Times New Roman"/>
          <w:color w:val="000000"/>
          <w:sz w:val="24"/>
          <w:szCs w:val="24"/>
        </w:rPr>
        <w:t>硬件和软件</w:t>
      </w:r>
      <w:r>
        <w:rPr>
          <w:rFonts w:ascii="Times New Roman" w:hAnsi="Times New Roman" w:eastAsia="宋体" w:cs="Times New Roman"/>
          <w:sz w:val="24"/>
          <w:szCs w:val="24"/>
        </w:rPr>
        <w:t>来源合法</w:t>
      </w:r>
      <w:r>
        <w:rPr>
          <w:rFonts w:hint="eastAsia" w:ascii="Times New Roman" w:hAnsi="Times New Roman" w:eastAsia="宋体" w:cs="Times New Roman"/>
          <w:sz w:val="24"/>
          <w:szCs w:val="24"/>
        </w:rPr>
        <w:t>。</w:t>
      </w:r>
    </w:p>
    <w:p w14:paraId="5BD8E456">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方保证提供给甲方的软件不侵犯任何第三方的合法权益，包括但不限于</w:t>
      </w:r>
      <w:r>
        <w:rPr>
          <w:rFonts w:ascii="Times New Roman" w:hAnsi="Times New Roman" w:eastAsia="宋体" w:cs="Times New Roman"/>
          <w:szCs w:val="20"/>
        </w:rPr>
        <w:fldChar w:fldCharType="begin"/>
      </w:r>
      <w:r>
        <w:rPr>
          <w:rFonts w:ascii="Times New Roman" w:hAnsi="Times New Roman" w:eastAsia="宋体" w:cs="Times New Roman"/>
          <w:szCs w:val="20"/>
        </w:rPr>
        <w:instrText xml:space="preserve"> HYPERLINK "https://www.66law.cn/special/shangbiaochaxun/" \t "_blank" \o "商标权" </w:instrText>
      </w:r>
      <w:r>
        <w:rPr>
          <w:rFonts w:ascii="Times New Roman" w:hAnsi="Times New Roman" w:eastAsia="宋体" w:cs="Times New Roman"/>
          <w:szCs w:val="20"/>
        </w:rPr>
        <w:fldChar w:fldCharType="separate"/>
      </w:r>
      <w:r>
        <w:rPr>
          <w:rFonts w:ascii="Times New Roman" w:hAnsi="Times New Roman" w:eastAsia="宋体" w:cs="Times New Roman"/>
          <w:sz w:val="24"/>
          <w:szCs w:val="24"/>
        </w:rPr>
        <w:t>商标权</w:t>
      </w:r>
      <w:r>
        <w:rPr>
          <w:rFonts w:ascii="Times New Roman" w:hAnsi="Times New Roman" w:eastAsia="宋体" w:cs="Times New Roman"/>
          <w:sz w:val="24"/>
          <w:szCs w:val="24"/>
        </w:rPr>
        <w:fldChar w:fldCharType="end"/>
      </w:r>
      <w:r>
        <w:rPr>
          <w:rFonts w:ascii="Times New Roman" w:hAnsi="Times New Roman" w:eastAsia="宋体" w:cs="Times New Roman"/>
          <w:sz w:val="24"/>
          <w:szCs w:val="24"/>
        </w:rPr>
        <w:t>、专利权或</w:t>
      </w:r>
      <w:r>
        <w:rPr>
          <w:rFonts w:ascii="Times New Roman" w:hAnsi="Times New Roman" w:eastAsia="宋体" w:cs="Times New Roman"/>
          <w:szCs w:val="20"/>
        </w:rPr>
        <w:fldChar w:fldCharType="begin"/>
      </w:r>
      <w:r>
        <w:rPr>
          <w:rFonts w:ascii="Times New Roman" w:hAnsi="Times New Roman" w:eastAsia="宋体" w:cs="Times New Roman"/>
          <w:szCs w:val="20"/>
        </w:rPr>
        <w:instrText xml:space="preserve"> HYPERLINK "https://www.66law.cn/special/symm/" \t "_blank" \o "商业秘密" </w:instrText>
      </w:r>
      <w:r>
        <w:rPr>
          <w:rFonts w:ascii="Times New Roman" w:hAnsi="Times New Roman" w:eastAsia="宋体" w:cs="Times New Roman"/>
          <w:szCs w:val="20"/>
        </w:rPr>
        <w:fldChar w:fldCharType="separate"/>
      </w:r>
      <w:r>
        <w:rPr>
          <w:rFonts w:ascii="Times New Roman" w:hAnsi="Times New Roman" w:eastAsia="宋体" w:cs="Times New Roman"/>
          <w:sz w:val="24"/>
          <w:szCs w:val="24"/>
        </w:rPr>
        <w:t>商业秘密</w:t>
      </w:r>
      <w:r>
        <w:rPr>
          <w:rFonts w:ascii="Times New Roman" w:hAnsi="Times New Roman" w:eastAsia="宋体" w:cs="Times New Roman"/>
          <w:sz w:val="24"/>
          <w:szCs w:val="24"/>
        </w:rPr>
        <w:fldChar w:fldCharType="end"/>
      </w:r>
      <w:r>
        <w:rPr>
          <w:rFonts w:ascii="Times New Roman" w:hAnsi="Times New Roman" w:eastAsia="宋体" w:cs="Times New Roman"/>
          <w:sz w:val="24"/>
          <w:szCs w:val="24"/>
        </w:rPr>
        <w:t>等。如出现第三方对甲方使用或销售本合同软件提出所有权异议、索赔等情况的，甲方有权拒绝并立即通知</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方，由</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方自行处理由此导致的问题，并且</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方应在自行承担相关费用的情况下按照甲方之要求采取必要的补救措施确保甲方的损失降至最低。</w:t>
      </w:r>
    </w:p>
    <w:p w14:paraId="4244B892">
      <w:pPr>
        <w:spacing w:line="360" w:lineRule="auto"/>
        <w:rPr>
          <w:rFonts w:ascii="Times New Roman" w:hAnsi="Times New Roman" w:eastAsia="宋体" w:cs="Times New Roman"/>
          <w:b/>
          <w:sz w:val="24"/>
          <w:szCs w:val="24"/>
        </w:rPr>
      </w:pPr>
      <w:r>
        <w:rPr>
          <w:rFonts w:ascii="Times New Roman" w:hAnsi="Times New Roman" w:eastAsia="宋体" w:cs="Times New Roman"/>
          <w:sz w:val="24"/>
          <w:szCs w:val="24"/>
        </w:rPr>
        <w:t>3、如</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方出现不履行义务、迟延履行义务或其他瑕疵履行的，因此而产生的费用和导致甲方损失的责任均由</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方承担。</w:t>
      </w:r>
    </w:p>
    <w:p w14:paraId="31EE6674">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十二、违约条款</w:t>
      </w:r>
    </w:p>
    <w:p w14:paraId="032150B8">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1、丙方交付的</w:t>
      </w:r>
      <w:r>
        <w:rPr>
          <w:rFonts w:hint="eastAsia" w:ascii="宋体" w:hAnsi="宋体" w:eastAsia="宋体" w:cs="Times New Roman"/>
          <w:color w:val="000000"/>
          <w:sz w:val="24"/>
          <w:szCs w:val="24"/>
        </w:rPr>
        <w:t>硬件和软件</w:t>
      </w:r>
      <w:r>
        <w:rPr>
          <w:rFonts w:hint="eastAsia" w:ascii="Times New Roman" w:hAnsi="Times New Roman" w:eastAsia="宋体" w:cs="Times New Roman"/>
          <w:sz w:val="24"/>
          <w:szCs w:val="24"/>
        </w:rPr>
        <w:t>质量不符合合同规定的，丙方应向甲方支付合同总价的百分之十的违约金，并须在合同规定的交货时间内更换合格的软件给甲方，否则，视作丙方不能交付</w:t>
      </w:r>
      <w:r>
        <w:rPr>
          <w:rFonts w:hint="eastAsia" w:ascii="宋体" w:hAnsi="宋体" w:eastAsia="宋体" w:cs="Times New Roman"/>
          <w:color w:val="000000"/>
          <w:sz w:val="24"/>
          <w:szCs w:val="24"/>
        </w:rPr>
        <w:t>硬件和软件</w:t>
      </w:r>
      <w:r>
        <w:rPr>
          <w:rFonts w:hint="eastAsia" w:ascii="Times New Roman" w:hAnsi="Times New Roman" w:eastAsia="宋体" w:cs="Times New Roman"/>
          <w:sz w:val="24"/>
          <w:szCs w:val="24"/>
        </w:rPr>
        <w:t>而违约，按本条本款下述第“2”项规定由丙方偿付违约赔偿金给甲方。</w:t>
      </w:r>
    </w:p>
    <w:p w14:paraId="5B99180F">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2、丙方不能交付</w:t>
      </w:r>
      <w:r>
        <w:rPr>
          <w:rFonts w:hint="eastAsia" w:ascii="宋体" w:hAnsi="宋体" w:eastAsia="宋体" w:cs="Times New Roman"/>
          <w:color w:val="000000"/>
          <w:sz w:val="24"/>
          <w:szCs w:val="24"/>
        </w:rPr>
        <w:t>硬件和软件</w:t>
      </w:r>
      <w:r>
        <w:rPr>
          <w:rFonts w:hint="eastAsia" w:ascii="Times New Roman" w:hAnsi="Times New Roman" w:eastAsia="宋体" w:cs="Times New Roman"/>
          <w:sz w:val="24"/>
          <w:szCs w:val="24"/>
        </w:rPr>
        <w:t>或逾期交付</w:t>
      </w:r>
      <w:r>
        <w:rPr>
          <w:rFonts w:hint="eastAsia" w:ascii="宋体" w:hAnsi="宋体" w:eastAsia="宋体" w:cs="Times New Roman"/>
          <w:color w:val="000000"/>
          <w:sz w:val="24"/>
          <w:szCs w:val="24"/>
        </w:rPr>
        <w:t>硬件和软件</w:t>
      </w:r>
      <w:r>
        <w:rPr>
          <w:rFonts w:hint="eastAsia" w:ascii="Times New Roman" w:hAnsi="Times New Roman" w:eastAsia="宋体" w:cs="Times New Roman"/>
          <w:sz w:val="24"/>
          <w:szCs w:val="24"/>
        </w:rPr>
        <w:t>而违约的，除应及时交足</w:t>
      </w:r>
      <w:r>
        <w:rPr>
          <w:rFonts w:hint="eastAsia" w:ascii="宋体" w:hAnsi="宋体" w:eastAsia="宋体" w:cs="Times New Roman"/>
          <w:color w:val="000000"/>
          <w:sz w:val="24"/>
          <w:szCs w:val="24"/>
        </w:rPr>
        <w:t>硬件和软件</w:t>
      </w:r>
      <w:r>
        <w:rPr>
          <w:rFonts w:hint="eastAsia" w:ascii="Times New Roman" w:hAnsi="Times New Roman" w:eastAsia="宋体" w:cs="Times New Roman"/>
          <w:sz w:val="24"/>
          <w:szCs w:val="24"/>
        </w:rPr>
        <w:t>外，应向甲方偿付逾期交货部分货款总额的万分之五/天的违约金；逾期交货超过叁拾天，甲方有权终止合同，丙方则应按合同总价的百分之十的款额向甲方偿付赔偿金，并须全额退还乙方已经付给丙方的货款及其利息。</w:t>
      </w:r>
    </w:p>
    <w:p w14:paraId="322F04FC">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3、丙方软件经甲方送交具有法定资格条件的质量技术监督机构检测后，如检测结果认定</w:t>
      </w:r>
      <w:r>
        <w:rPr>
          <w:rFonts w:hint="eastAsia" w:ascii="宋体" w:hAnsi="宋体" w:eastAsia="宋体" w:cs="Times New Roman"/>
          <w:color w:val="000000"/>
          <w:sz w:val="24"/>
          <w:szCs w:val="24"/>
        </w:rPr>
        <w:t>硬件和软件</w:t>
      </w:r>
      <w:r>
        <w:rPr>
          <w:rFonts w:hint="eastAsia" w:ascii="Times New Roman" w:hAnsi="Times New Roman" w:eastAsia="宋体" w:cs="Times New Roman"/>
          <w:sz w:val="24"/>
          <w:szCs w:val="24"/>
        </w:rPr>
        <w:t>质量不符合本合同规定标准的，则视为丙方没有按时交货而违约，丙方须在柒天内无条件更换合格的软件，如逾期不能更换合格的软件，甲方有权终止本合同，丙方应另付合同总价的百分之拾的赔偿金给甲方。</w:t>
      </w:r>
    </w:p>
    <w:p w14:paraId="451729C0">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4、丙方保证本合同</w:t>
      </w:r>
      <w:r>
        <w:rPr>
          <w:rFonts w:hint="eastAsia" w:ascii="宋体" w:hAnsi="宋体" w:eastAsia="宋体" w:cs="Times New Roman"/>
          <w:color w:val="000000"/>
          <w:sz w:val="24"/>
          <w:szCs w:val="24"/>
        </w:rPr>
        <w:t>硬件和软件</w:t>
      </w:r>
      <w:r>
        <w:rPr>
          <w:rFonts w:hint="eastAsia" w:ascii="Times New Roman" w:hAnsi="Times New Roman" w:eastAsia="宋体" w:cs="Times New Roman"/>
          <w:sz w:val="24"/>
          <w:szCs w:val="24"/>
        </w:rPr>
        <w:t>的权利无瑕疵，包括</w:t>
      </w:r>
      <w:r>
        <w:rPr>
          <w:rFonts w:hint="eastAsia" w:ascii="宋体" w:hAnsi="宋体" w:eastAsia="宋体" w:cs="Times New Roman"/>
          <w:color w:val="000000"/>
          <w:sz w:val="24"/>
          <w:szCs w:val="24"/>
        </w:rPr>
        <w:t>硬件和软件</w:t>
      </w:r>
      <w:r>
        <w:rPr>
          <w:rFonts w:hint="eastAsia" w:ascii="Times New Roman" w:hAnsi="Times New Roman" w:eastAsia="宋体" w:cs="Times New Roman"/>
          <w:sz w:val="24"/>
          <w:szCs w:val="24"/>
        </w:rPr>
        <w:t>所有权及知识产权等权利无瑕疵。如任何第三方经法院（或仲裁机构）裁决有权对上述软件主张权利或国家机关依法对</w:t>
      </w:r>
      <w:r>
        <w:rPr>
          <w:rFonts w:hint="eastAsia" w:ascii="宋体" w:hAnsi="宋体" w:eastAsia="宋体" w:cs="Times New Roman"/>
          <w:color w:val="000000"/>
          <w:sz w:val="24"/>
          <w:szCs w:val="24"/>
        </w:rPr>
        <w:t>硬件和软件</w:t>
      </w:r>
      <w:r>
        <w:rPr>
          <w:rFonts w:hint="eastAsia" w:ascii="Times New Roman" w:hAnsi="Times New Roman" w:eastAsia="宋体" w:cs="Times New Roman"/>
          <w:sz w:val="24"/>
          <w:szCs w:val="24"/>
        </w:rPr>
        <w:t>进行没收查处的，丙方除应向乙方返还已收款项外，还应另按合同总价的百分之拾向甲方支付违约金并赔偿因此给甲方造成的一切损失。</w:t>
      </w:r>
    </w:p>
    <w:p w14:paraId="2593E678">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5、甲乙丙三方因违约偿付的违约金不足以弥补非违约方损失的，还应按非违约方损失尚未弥补的部分，支付赔偿金给非违约方。</w:t>
      </w:r>
    </w:p>
    <w:p w14:paraId="45A4B6C2">
      <w:pPr>
        <w:spacing w:line="360" w:lineRule="auto"/>
        <w:rPr>
          <w:rFonts w:ascii="宋体" w:hAnsi="宋体" w:eastAsia="宋体" w:cs="Tahoma"/>
          <w:sz w:val="24"/>
          <w:szCs w:val="24"/>
        </w:rPr>
      </w:pPr>
      <w:r>
        <w:rPr>
          <w:rFonts w:hint="eastAsia" w:ascii="Times New Roman" w:hAnsi="Times New Roman" w:eastAsia="宋体" w:cs="Times New Roman"/>
          <w:sz w:val="24"/>
          <w:szCs w:val="24"/>
        </w:rPr>
        <w:t>6、丙方提供的</w:t>
      </w:r>
      <w:r>
        <w:rPr>
          <w:rFonts w:hint="eastAsia" w:ascii="宋体" w:hAnsi="宋体" w:eastAsia="宋体" w:cs="Times New Roman"/>
          <w:color w:val="000000"/>
          <w:sz w:val="24"/>
          <w:szCs w:val="24"/>
        </w:rPr>
        <w:t>硬件和软件</w:t>
      </w:r>
      <w:r>
        <w:rPr>
          <w:rFonts w:hint="eastAsia" w:ascii="Times New Roman" w:hAnsi="Times New Roman" w:eastAsia="宋体" w:cs="Times New Roman"/>
          <w:sz w:val="24"/>
          <w:szCs w:val="24"/>
        </w:rPr>
        <w:t>服务需要严格遵守相关网络信息安全规定。未经甲方允许，丙方不能擅自将系统中甲方的相关信息以任何形式透露给第三方，若有相关行为，甲方将依法追究其法律责任。</w:t>
      </w:r>
    </w:p>
    <w:p w14:paraId="5C366EF7">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十三、不可抗力</w:t>
      </w:r>
    </w:p>
    <w:p w14:paraId="2D25F314">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1、不可抗力包括影响合同义务的执行的严重火灾、水灾、台风、地震、罢工等。</w:t>
      </w:r>
    </w:p>
    <w:p w14:paraId="1B8EBC7C">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2、不可抗力事故受到影响的一方应在</w:t>
      </w:r>
      <w:r>
        <w:rPr>
          <w:rFonts w:hint="eastAsia" w:ascii="Times New Roman" w:hAnsi="Times New Roman" w:eastAsia="宋体" w:cs="Times New Roman"/>
          <w:sz w:val="24"/>
          <w:szCs w:val="24"/>
        </w:rPr>
        <w:t xml:space="preserve"> 7 </w:t>
      </w:r>
      <w:r>
        <w:rPr>
          <w:rFonts w:ascii="Times New Roman" w:hAnsi="Times New Roman" w:eastAsia="宋体" w:cs="Times New Roman"/>
          <w:sz w:val="24"/>
          <w:szCs w:val="24"/>
        </w:rPr>
        <w:t>个工作日内通知对方，并出具相关证明。当不可抗力事故消除后，受到影响的一方应尽快书面通知</w:t>
      </w:r>
      <w:r>
        <w:rPr>
          <w:rFonts w:hint="eastAsia" w:ascii="Times New Roman" w:hAnsi="Times New Roman" w:eastAsia="宋体" w:cs="Times New Roman"/>
          <w:sz w:val="24"/>
          <w:szCs w:val="24"/>
        </w:rPr>
        <w:t>其他</w:t>
      </w:r>
      <w:r>
        <w:rPr>
          <w:rFonts w:ascii="Times New Roman" w:hAnsi="Times New Roman" w:eastAsia="宋体" w:cs="Times New Roman"/>
          <w:sz w:val="24"/>
          <w:szCs w:val="24"/>
        </w:rPr>
        <w:t>方。</w:t>
      </w:r>
    </w:p>
    <w:p w14:paraId="41903CD2">
      <w:pPr>
        <w:spacing w:line="360" w:lineRule="auto"/>
        <w:rPr>
          <w:rFonts w:ascii="Times New Roman" w:hAnsi="Times New Roman" w:eastAsia="宋体" w:cs="Times New Roman"/>
          <w:b/>
          <w:sz w:val="24"/>
          <w:szCs w:val="24"/>
        </w:rPr>
      </w:pPr>
      <w:r>
        <w:rPr>
          <w:rFonts w:ascii="Times New Roman" w:hAnsi="Times New Roman" w:eastAsia="宋体" w:cs="Times New Roman"/>
          <w:sz w:val="24"/>
          <w:szCs w:val="24"/>
        </w:rPr>
        <w:t>3、由于不可抗力事故而影响合同履行的，但不影响合同目的实现的，可延迟履行合同期限，延迟时间相当于事故所影响的时间。若不可抗力原因影响本合同执行时间超过</w:t>
      </w:r>
      <w:r>
        <w:rPr>
          <w:rFonts w:hint="eastAsia" w:ascii="Times New Roman" w:hAnsi="Times New Roman" w:eastAsia="宋体" w:cs="Times New Roman"/>
          <w:sz w:val="24"/>
          <w:szCs w:val="24"/>
        </w:rPr>
        <w:t>3个月，三方就合同签订履行事宜另行协商。</w:t>
      </w:r>
    </w:p>
    <w:p w14:paraId="1C7D04B6">
      <w:pPr>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sz w:val="24"/>
          <w:szCs w:val="24"/>
        </w:rPr>
        <w:t>十四、</w:t>
      </w:r>
      <w:r>
        <w:rPr>
          <w:rFonts w:hint="eastAsia" w:ascii="Times New Roman" w:hAnsi="Times New Roman" w:eastAsia="宋体" w:cs="Times New Roman"/>
          <w:b/>
          <w:bCs/>
          <w:sz w:val="24"/>
          <w:szCs w:val="24"/>
        </w:rPr>
        <w:t>知识产权及数据隐私保护</w:t>
      </w:r>
    </w:p>
    <w:p w14:paraId="72A310F0">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1、</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方必须对本合同履行过程中知悉的甲方的商业</w:t>
      </w:r>
      <w:r>
        <w:rPr>
          <w:rFonts w:hint="eastAsia" w:ascii="Times New Roman" w:hAnsi="Times New Roman" w:eastAsia="宋体" w:cs="Times New Roman"/>
          <w:sz w:val="24"/>
          <w:szCs w:val="24"/>
        </w:rPr>
        <w:t>技术</w:t>
      </w:r>
      <w:r>
        <w:rPr>
          <w:rFonts w:ascii="Times New Roman" w:hAnsi="Times New Roman" w:eastAsia="宋体" w:cs="Times New Roman"/>
          <w:sz w:val="24"/>
          <w:szCs w:val="24"/>
        </w:rPr>
        <w:t>秘密</w:t>
      </w:r>
      <w:r>
        <w:rPr>
          <w:rFonts w:hint="eastAsia" w:ascii="Times New Roman" w:hAnsi="Times New Roman" w:eastAsia="宋体" w:cs="Times New Roman"/>
          <w:sz w:val="24"/>
          <w:szCs w:val="24"/>
        </w:rPr>
        <w:t>、经营秘密、患者隐私数据等甲方未公开的信息</w:t>
      </w:r>
      <w:r>
        <w:rPr>
          <w:rFonts w:ascii="Times New Roman" w:hAnsi="Times New Roman" w:eastAsia="宋体" w:cs="Times New Roman"/>
          <w:sz w:val="24"/>
          <w:szCs w:val="24"/>
        </w:rPr>
        <w:t>负保密义务，不得向任何第三方透露</w:t>
      </w:r>
      <w:r>
        <w:rPr>
          <w:rFonts w:hint="eastAsia" w:ascii="Times New Roman" w:hAnsi="Times New Roman" w:eastAsia="宋体" w:cs="Times New Roman"/>
          <w:sz w:val="24"/>
          <w:szCs w:val="24"/>
        </w:rPr>
        <w:t>，不得用作本协议以外的其他用途</w:t>
      </w:r>
      <w:r>
        <w:rPr>
          <w:rFonts w:ascii="Times New Roman" w:hAnsi="Times New Roman" w:eastAsia="宋体" w:cs="Times New Roman"/>
          <w:sz w:val="24"/>
          <w:szCs w:val="24"/>
        </w:rPr>
        <w:t>。否则，</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方应赔偿甲方因此造成的经济损失，包括但不限于实际损失、可得利益损失及为此支付的律师代理费用</w:t>
      </w:r>
      <w:r>
        <w:rPr>
          <w:rFonts w:hint="eastAsia" w:ascii="Times New Roman" w:hAnsi="Times New Roman" w:eastAsia="宋体" w:cs="Times New Roman"/>
          <w:sz w:val="24"/>
          <w:szCs w:val="24"/>
        </w:rPr>
        <w:t>、诉讼费、公告费、公证费、保全费等。保密期为永久。损失无法计算的，甲丙双方同意按照合同金额的1</w:t>
      </w:r>
      <w:r>
        <w:rPr>
          <w:rFonts w:ascii="Times New Roman" w:hAnsi="Times New Roman" w:eastAsia="宋体" w:cs="Times New Roman"/>
          <w:sz w:val="24"/>
          <w:szCs w:val="24"/>
        </w:rPr>
        <w:t>0</w:t>
      </w:r>
      <w:r>
        <w:rPr>
          <w:rFonts w:hint="eastAsia" w:ascii="Times New Roman" w:hAnsi="Times New Roman" w:eastAsia="宋体" w:cs="Times New Roman"/>
          <w:sz w:val="24"/>
          <w:szCs w:val="24"/>
        </w:rPr>
        <w:t>倍计算违约金，甲丙双方均不认为该违约金过高。</w:t>
      </w:r>
    </w:p>
    <w:p w14:paraId="2DB75BCF">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2</w:t>
      </w:r>
      <w:r>
        <w:rPr>
          <w:rFonts w:ascii="Times New Roman" w:hAnsi="Times New Roman" w:eastAsia="宋体" w:cs="Times New Roman"/>
          <w:sz w:val="24"/>
          <w:szCs w:val="24"/>
        </w:rPr>
        <w:t>、任何一方在未征得对方书面同意，不得将本合同的权利或义务转让给第三方。</w:t>
      </w:r>
      <w:r>
        <w:rPr>
          <w:rFonts w:hint="eastAsia" w:ascii="Times New Roman" w:hAnsi="Times New Roman" w:eastAsia="宋体" w:cs="Times New Roman"/>
          <w:sz w:val="24"/>
          <w:szCs w:val="24"/>
        </w:rPr>
        <w:t>否则，违约方按照合同金额</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%支付违约金，违约金不足以弥补非违约方损失的，违约方予以补足。</w:t>
      </w:r>
    </w:p>
    <w:p w14:paraId="38E203E6">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3、甲、丙双方共同研发的该系统软件产品，知识产权归甲、丙双方共同拥有，软件所有数据归甲方所有。</w:t>
      </w:r>
    </w:p>
    <w:p w14:paraId="37F6E496">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十五、廉洁约定</w:t>
      </w:r>
    </w:p>
    <w:p w14:paraId="5F384D6B">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甲乙丙三方及相关人员均应严格遵守有关廉洁规定，共同签署《廉洁购销协议》。任一一方或相关人员如有商业贿赂等违法违纪行为，非违约方可单方解除合同，解除合同造成的损失由违约方承担。</w:t>
      </w:r>
    </w:p>
    <w:p w14:paraId="1A2C166F">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十六、合同生效</w:t>
      </w:r>
    </w:p>
    <w:p w14:paraId="12539D29">
      <w:pPr>
        <w:widowControl w:val="0"/>
        <w:numPr>
          <w:ilvl w:val="0"/>
          <w:numId w:val="15"/>
        </w:numPr>
        <w:spacing w:line="360" w:lineRule="auto"/>
        <w:ind w:left="480" w:hanging="480" w:firstLineChars="0"/>
        <w:jc w:val="both"/>
        <w:rPr>
          <w:rFonts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本合同在甲乙丙三方法定代表人、负责人或授权代表签字并加盖单位公章或合同专用章后生效。</w:t>
      </w:r>
    </w:p>
    <w:p w14:paraId="01E5CCD3">
      <w:pPr>
        <w:widowControl w:val="0"/>
        <w:numPr>
          <w:ilvl w:val="0"/>
          <w:numId w:val="15"/>
        </w:numPr>
        <w:spacing w:line="360" w:lineRule="auto"/>
        <w:ind w:left="480" w:hanging="480" w:firstLineChars="0"/>
        <w:jc w:val="both"/>
        <w:rPr>
          <w:rFonts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本合同一式</w:t>
      </w:r>
      <w:r>
        <w:rPr>
          <w:rFonts w:hint="eastAsia" w:ascii="Times New Roman" w:hAnsi="Times New Roman" w:eastAsia="宋体" w:cs="Times New Roman"/>
          <w:kern w:val="2"/>
          <w:sz w:val="24"/>
          <w:szCs w:val="24"/>
          <w:u w:val="single"/>
          <w:lang w:val="en-US" w:eastAsia="zh-CN" w:bidi="ar-SA"/>
        </w:rPr>
        <w:t xml:space="preserve"> </w:t>
      </w:r>
      <w:r>
        <w:rPr>
          <w:rFonts w:hint="eastAsia" w:ascii="Times New Roman" w:hAnsi="Times New Roman" w:eastAsia="宋体" w:cs="Times New Roman"/>
          <w:kern w:val="2"/>
          <w:sz w:val="24"/>
          <w:szCs w:val="24"/>
          <w:lang w:val="en-US" w:eastAsia="zh-CN" w:bidi="ar-SA"/>
        </w:rPr>
        <w:t>份，甲方执四份，乙方执</w:t>
      </w:r>
      <w:r>
        <w:rPr>
          <w:rFonts w:hint="eastAsia" w:ascii="Times New Roman" w:hAnsi="Times New Roman" w:eastAsia="宋体" w:cs="Times New Roman"/>
          <w:kern w:val="2"/>
          <w:sz w:val="24"/>
          <w:szCs w:val="24"/>
          <w:u w:val="single"/>
          <w:lang w:val="en-US" w:eastAsia="zh-CN" w:bidi="ar-SA"/>
        </w:rPr>
        <w:t xml:space="preserve"> </w:t>
      </w:r>
      <w:r>
        <w:rPr>
          <w:rFonts w:hint="eastAsia" w:ascii="Times New Roman" w:hAnsi="Times New Roman" w:eastAsia="宋体" w:cs="Times New Roman"/>
          <w:kern w:val="2"/>
          <w:sz w:val="24"/>
          <w:szCs w:val="24"/>
          <w:lang w:val="en-US" w:eastAsia="zh-CN" w:bidi="ar-SA"/>
        </w:rPr>
        <w:t>份，丙方【 】份。</w:t>
      </w:r>
    </w:p>
    <w:p w14:paraId="56550C3D">
      <w:pPr>
        <w:spacing w:line="360" w:lineRule="auto"/>
        <w:rPr>
          <w:rFonts w:ascii="仿宋" w:hAnsi="仿宋" w:eastAsia="仿宋" w:cs="Times New Roman"/>
          <w:sz w:val="24"/>
          <w:szCs w:val="24"/>
        </w:rPr>
      </w:pPr>
      <w:r>
        <w:rPr>
          <w:rFonts w:hint="eastAsia" w:ascii="Times New Roman" w:hAnsi="Times New Roman" w:eastAsia="宋体" w:cs="Times New Roman"/>
          <w:b/>
          <w:sz w:val="24"/>
          <w:szCs w:val="24"/>
        </w:rPr>
        <w:t>十七、争议解决方式</w:t>
      </w:r>
    </w:p>
    <w:p w14:paraId="07DC4F4F">
      <w:pPr>
        <w:widowControl w:val="0"/>
        <w:numPr>
          <w:ilvl w:val="0"/>
          <w:numId w:val="16"/>
        </w:numPr>
        <w:tabs>
          <w:tab w:val="left" w:pos="540"/>
        </w:tabs>
        <w:spacing w:after="120" w:afterLines="50" w:line="360" w:lineRule="auto"/>
        <w:ind w:left="480" w:hanging="480" w:firstLineChars="0"/>
        <w:jc w:val="both"/>
        <w:outlineLvl w:val="2"/>
        <w:rPr>
          <w:rFonts w:ascii="宋体" w:hAnsi="宋体" w:eastAsia="宋体" w:cs="Times New Roman"/>
          <w:kern w:val="2"/>
          <w:sz w:val="24"/>
          <w:szCs w:val="24"/>
          <w:lang w:val="en-US" w:eastAsia="zh-CN" w:bidi="ar-SA"/>
        </w:rPr>
      </w:pPr>
      <w:r>
        <w:rPr>
          <w:rFonts w:hint="eastAsia" w:ascii="宋体" w:hAnsi="宋体" w:eastAsia="宋体" w:cs="宋体"/>
          <w:kern w:val="2"/>
          <w:sz w:val="24"/>
          <w:szCs w:val="24"/>
          <w:lang w:val="en-US" w:eastAsia="zh-CN" w:bidi="ar-SA"/>
        </w:rPr>
        <w:t>因交付服务及货物（若有）质量发生争议，由质量技术监督部门或其指定的质量鉴定机构进行质量鉴定。服务及货物（若有）符合标准的，鉴定费由甲方承担；服务及货物（若有）不符合质量标准的，鉴定费由丙方承担。</w:t>
      </w:r>
    </w:p>
    <w:p w14:paraId="6D7F9CA9">
      <w:pPr>
        <w:widowControl w:val="0"/>
        <w:numPr>
          <w:ilvl w:val="0"/>
          <w:numId w:val="16"/>
        </w:numPr>
        <w:tabs>
          <w:tab w:val="left" w:pos="540"/>
        </w:tabs>
        <w:spacing w:after="120" w:afterLines="50" w:line="360" w:lineRule="auto"/>
        <w:ind w:left="480" w:hanging="480" w:firstLineChars="0"/>
        <w:jc w:val="both"/>
        <w:outlineLvl w:val="2"/>
        <w:rPr>
          <w:rFonts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合同履行期间,若双方发生争议，可协商或由有关部门调解解决，协商或调解不成的，任何一方均有权向甲方住所地管辖权的人民法院起诉。</w:t>
      </w:r>
    </w:p>
    <w:p w14:paraId="68C681C8">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十八、双方需要说明的其他事项</w:t>
      </w:r>
    </w:p>
    <w:p w14:paraId="4C13F77E">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协议内容应符合各方行业的监管要求，若遇国家监管政策调整导致任何一方不能继续履约，合同当事人有权解除或终止协议，且不承担违约或损失赔偿责任等相关条款。</w:t>
      </w:r>
    </w:p>
    <w:p w14:paraId="0963CBC1">
      <w:pPr>
        <w:spacing w:line="360" w:lineRule="auto"/>
        <w:rPr>
          <w:rFonts w:ascii="Times New Roman" w:hAnsi="Times New Roman" w:eastAsia="宋体" w:cs="Times New Roman"/>
          <w:bCs/>
          <w:sz w:val="24"/>
          <w:szCs w:val="24"/>
          <w:u w:val="single"/>
        </w:rPr>
      </w:pPr>
    </w:p>
    <w:p w14:paraId="5BB1CEA2">
      <w:pPr>
        <w:spacing w:line="360" w:lineRule="auto"/>
        <w:outlineLvl w:val="0"/>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（以下无正文）</w:t>
      </w:r>
    </w:p>
    <w:p w14:paraId="5A49150B">
      <w:pPr>
        <w:spacing w:line="360" w:lineRule="auto"/>
        <w:outlineLvl w:val="0"/>
        <w:rPr>
          <w:rFonts w:ascii="Times New Roman" w:hAnsi="Times New Roman" w:eastAsia="宋体" w:cs="Times New Roman"/>
          <w:b/>
          <w:bCs/>
          <w:sz w:val="24"/>
          <w:szCs w:val="24"/>
        </w:rPr>
      </w:pPr>
    </w:p>
    <w:p w14:paraId="7D163CB7">
      <w:pPr>
        <w:spacing w:line="360" w:lineRule="auto"/>
        <w:outlineLvl w:val="0"/>
        <w:rPr>
          <w:rFonts w:hint="eastAsia" w:ascii="Times New Roman" w:hAnsi="Times New Roman" w:eastAsia="宋体" w:cs="Times New Roman"/>
          <w:b/>
          <w:bCs/>
          <w:sz w:val="24"/>
          <w:szCs w:val="24"/>
        </w:rPr>
      </w:pPr>
      <w:r>
        <w:rPr>
          <w:rFonts w:hint="eastAsia" w:ascii="Times New Roman" w:hAnsi="Times New Roman" w:eastAsia="宋体" w:cs="Times New Roman"/>
          <w:b/>
          <w:bCs/>
          <w:sz w:val="24"/>
          <w:szCs w:val="24"/>
        </w:rPr>
        <w:t>签约方：</w:t>
      </w:r>
    </w:p>
    <w:tbl>
      <w:tblPr>
        <w:tblStyle w:val="19"/>
        <w:tblW w:w="985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927"/>
        <w:gridCol w:w="4927"/>
      </w:tblGrid>
      <w:tr w14:paraId="75CACD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tcPr>
          <w:p w14:paraId="08AE9645">
            <w:pPr>
              <w:spacing w:line="360" w:lineRule="auto"/>
              <w:rPr>
                <w:rFonts w:ascii="宋体" w:hAnsi="宋体" w:eastAsia="宋体" w:cs="Times New Roman"/>
                <w:sz w:val="24"/>
                <w:szCs w:val="24"/>
              </w:rPr>
            </w:pPr>
            <w:r>
              <w:rPr>
                <w:rFonts w:hint="eastAsia" w:ascii="宋体" w:hAnsi="宋体" w:eastAsia="宋体" w:cs="Times New Roman"/>
                <w:sz w:val="24"/>
                <w:szCs w:val="24"/>
              </w:rPr>
              <w:t>甲方：四川省人民医院</w:t>
            </w:r>
          </w:p>
          <w:p w14:paraId="4B8A6ABF">
            <w:pPr>
              <w:spacing w:line="360" w:lineRule="auto"/>
              <w:rPr>
                <w:rFonts w:ascii="宋体" w:hAnsi="宋体" w:eastAsia="宋体" w:cs="Times New Roman"/>
                <w:sz w:val="24"/>
                <w:szCs w:val="24"/>
              </w:rPr>
            </w:pPr>
            <w:r>
              <w:rPr>
                <w:rFonts w:hint="eastAsia" w:ascii="宋体" w:hAnsi="宋体" w:eastAsia="宋体" w:cs="Times New Roman"/>
                <w:sz w:val="24"/>
                <w:szCs w:val="24"/>
              </w:rPr>
              <w:t>法定代表人（授权代表）：</w:t>
            </w:r>
          </w:p>
        </w:tc>
        <w:tc>
          <w:tcPr>
            <w:tcW w:w="4927" w:type="dxa"/>
            <w:vAlign w:val="center"/>
          </w:tcPr>
          <w:p w14:paraId="425C4595">
            <w:pPr>
              <w:spacing w:line="360" w:lineRule="auto"/>
              <w:outlineLvl w:val="0"/>
              <w:rPr>
                <w:rFonts w:ascii="宋体" w:hAnsi="宋体" w:eastAsia="宋体" w:cs="Times New Roman"/>
                <w:sz w:val="24"/>
                <w:szCs w:val="24"/>
              </w:rPr>
            </w:pPr>
            <w:r>
              <w:rPr>
                <w:rFonts w:hint="eastAsia" w:ascii="宋体" w:hAnsi="宋体" w:eastAsia="宋体" w:cs="Times New Roman"/>
                <w:sz w:val="24"/>
                <w:szCs w:val="24"/>
              </w:rPr>
              <w:t>乙方：</w:t>
            </w:r>
            <w:r>
              <w:rPr>
                <w:rFonts w:hint="eastAsia" w:ascii="宋体" w:hAnsi="宋体" w:eastAsia="宋体" w:cs="宋体"/>
                <w:color w:val="000000"/>
                <w:kern w:val="0"/>
                <w:sz w:val="24"/>
                <w:szCs w:val="24"/>
              </w:rPr>
              <w:t>中国农业银行股份有限公司成都光华支行</w:t>
            </w:r>
          </w:p>
          <w:p w14:paraId="27D87829">
            <w:pPr>
              <w:spacing w:line="360" w:lineRule="auto"/>
              <w:outlineLvl w:val="0"/>
              <w:rPr>
                <w:rFonts w:ascii="宋体" w:hAnsi="宋体" w:eastAsia="宋体" w:cs="Times New Roman"/>
                <w:sz w:val="24"/>
                <w:szCs w:val="24"/>
              </w:rPr>
            </w:pPr>
            <w:r>
              <w:rPr>
                <w:rFonts w:hint="eastAsia" w:ascii="宋体" w:hAnsi="宋体" w:eastAsia="宋体" w:cs="Times New Roman"/>
                <w:sz w:val="24"/>
                <w:szCs w:val="24"/>
              </w:rPr>
              <w:t>负责人（授权代表）：</w:t>
            </w:r>
          </w:p>
        </w:tc>
      </w:tr>
      <w:tr w14:paraId="0635F0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76F0DA86">
            <w:pPr>
              <w:spacing w:line="360" w:lineRule="auto"/>
              <w:rPr>
                <w:rFonts w:ascii="宋体" w:hAnsi="宋体" w:eastAsia="宋体" w:cs="Times New Roman"/>
                <w:sz w:val="24"/>
                <w:szCs w:val="24"/>
              </w:rPr>
            </w:pPr>
          </w:p>
        </w:tc>
        <w:tc>
          <w:tcPr>
            <w:tcW w:w="4927" w:type="dxa"/>
            <w:vAlign w:val="center"/>
          </w:tcPr>
          <w:p w14:paraId="367B7B3E">
            <w:pPr>
              <w:spacing w:line="360" w:lineRule="auto"/>
              <w:outlineLvl w:val="0"/>
              <w:rPr>
                <w:rFonts w:ascii="宋体" w:hAnsi="宋体" w:eastAsia="宋体" w:cs="Times New Roman"/>
                <w:sz w:val="24"/>
                <w:szCs w:val="24"/>
              </w:rPr>
            </w:pPr>
          </w:p>
        </w:tc>
      </w:tr>
      <w:tr w14:paraId="6AE60C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1412FA1C">
            <w:pPr>
              <w:spacing w:line="360" w:lineRule="auto"/>
              <w:rPr>
                <w:rFonts w:ascii="宋体" w:hAnsi="宋体" w:eastAsia="宋体" w:cs="Times New Roman"/>
                <w:sz w:val="24"/>
                <w:szCs w:val="24"/>
              </w:rPr>
            </w:pPr>
            <w:r>
              <w:rPr>
                <w:rFonts w:hint="eastAsia" w:ascii="宋体" w:hAnsi="宋体" w:eastAsia="宋体" w:cs="Times New Roman"/>
                <w:sz w:val="24"/>
                <w:szCs w:val="24"/>
              </w:rPr>
              <w:t>签约日期：  年  月   日</w:t>
            </w:r>
          </w:p>
        </w:tc>
        <w:tc>
          <w:tcPr>
            <w:tcW w:w="4927" w:type="dxa"/>
            <w:vAlign w:val="center"/>
          </w:tcPr>
          <w:p w14:paraId="69ACA276">
            <w:pPr>
              <w:spacing w:line="360" w:lineRule="auto"/>
              <w:outlineLvl w:val="0"/>
              <w:rPr>
                <w:rFonts w:ascii="宋体" w:hAnsi="宋体" w:eastAsia="宋体" w:cs="Times New Roman"/>
                <w:sz w:val="24"/>
                <w:szCs w:val="24"/>
              </w:rPr>
            </w:pPr>
            <w:r>
              <w:rPr>
                <w:rFonts w:hint="eastAsia" w:ascii="宋体" w:hAnsi="宋体" w:eastAsia="宋体" w:cs="Times New Roman"/>
                <w:sz w:val="24"/>
                <w:szCs w:val="24"/>
              </w:rPr>
              <w:t>签约日期：   年   月   日</w:t>
            </w:r>
          </w:p>
        </w:tc>
      </w:tr>
      <w:tr w14:paraId="2D0624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5B0C9CB2">
            <w:pPr>
              <w:spacing w:line="360" w:lineRule="auto"/>
              <w:rPr>
                <w:rFonts w:ascii="宋体" w:hAnsi="宋体" w:eastAsia="宋体" w:cs="Times New Roman"/>
                <w:sz w:val="24"/>
                <w:szCs w:val="24"/>
              </w:rPr>
            </w:pPr>
          </w:p>
        </w:tc>
        <w:tc>
          <w:tcPr>
            <w:tcW w:w="4927" w:type="dxa"/>
            <w:vAlign w:val="center"/>
          </w:tcPr>
          <w:p w14:paraId="5E2AE137">
            <w:pPr>
              <w:spacing w:line="360" w:lineRule="auto"/>
              <w:outlineLvl w:val="0"/>
              <w:rPr>
                <w:rFonts w:ascii="宋体" w:hAnsi="宋体" w:eastAsia="宋体" w:cs="Times New Roman"/>
                <w:sz w:val="24"/>
                <w:szCs w:val="24"/>
              </w:rPr>
            </w:pPr>
          </w:p>
        </w:tc>
      </w:tr>
      <w:tr w14:paraId="5B7BFD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5AD07550">
            <w:pPr>
              <w:spacing w:line="360" w:lineRule="auto"/>
              <w:outlineLvl w:val="0"/>
              <w:rPr>
                <w:rFonts w:ascii="宋体" w:hAnsi="宋体" w:eastAsia="宋体" w:cs="Times New Roman"/>
                <w:sz w:val="24"/>
                <w:szCs w:val="24"/>
              </w:rPr>
            </w:pPr>
            <w:r>
              <w:rPr>
                <w:rFonts w:hint="eastAsia" w:ascii="宋体" w:hAnsi="宋体" w:eastAsia="宋体" w:cs="Times New Roman"/>
                <w:sz w:val="24"/>
                <w:szCs w:val="24"/>
              </w:rPr>
              <w:t xml:space="preserve">丙方： </w:t>
            </w:r>
          </w:p>
          <w:p w14:paraId="6E827531">
            <w:pPr>
              <w:spacing w:line="360" w:lineRule="auto"/>
              <w:outlineLvl w:val="0"/>
              <w:rPr>
                <w:rFonts w:ascii="宋体" w:hAnsi="宋体" w:eastAsia="宋体" w:cs="Times New Roman"/>
                <w:sz w:val="24"/>
                <w:szCs w:val="24"/>
              </w:rPr>
            </w:pPr>
            <w:r>
              <w:rPr>
                <w:rFonts w:hint="eastAsia" w:ascii="宋体" w:hAnsi="宋体" w:eastAsia="宋体" w:cs="Times New Roman"/>
                <w:sz w:val="24"/>
                <w:szCs w:val="24"/>
              </w:rPr>
              <w:t>法定代表人（授权代表）：</w:t>
            </w:r>
          </w:p>
        </w:tc>
        <w:tc>
          <w:tcPr>
            <w:tcW w:w="4927" w:type="dxa"/>
            <w:vAlign w:val="center"/>
          </w:tcPr>
          <w:p w14:paraId="682A3836">
            <w:pPr>
              <w:spacing w:line="360" w:lineRule="auto"/>
              <w:outlineLvl w:val="0"/>
              <w:rPr>
                <w:rFonts w:ascii="宋体" w:hAnsi="宋体" w:eastAsia="宋体" w:cs="Times New Roman"/>
                <w:sz w:val="24"/>
                <w:szCs w:val="24"/>
              </w:rPr>
            </w:pPr>
          </w:p>
        </w:tc>
      </w:tr>
      <w:tr w14:paraId="2D9B1D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0C88A150">
            <w:pPr>
              <w:spacing w:line="360" w:lineRule="auto"/>
              <w:outlineLvl w:val="0"/>
              <w:rPr>
                <w:rFonts w:ascii="宋体" w:hAnsi="宋体" w:eastAsia="宋体" w:cs="Times New Roman"/>
                <w:sz w:val="24"/>
                <w:szCs w:val="24"/>
              </w:rPr>
            </w:pPr>
          </w:p>
        </w:tc>
        <w:tc>
          <w:tcPr>
            <w:tcW w:w="4927" w:type="dxa"/>
            <w:vAlign w:val="center"/>
          </w:tcPr>
          <w:p w14:paraId="46038840">
            <w:pPr>
              <w:spacing w:line="360" w:lineRule="auto"/>
              <w:outlineLvl w:val="0"/>
              <w:rPr>
                <w:rFonts w:ascii="宋体" w:hAnsi="宋体" w:eastAsia="宋体" w:cs="Times New Roman"/>
                <w:sz w:val="24"/>
                <w:szCs w:val="24"/>
              </w:rPr>
            </w:pPr>
          </w:p>
        </w:tc>
      </w:tr>
      <w:tr w14:paraId="2DF204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7D716507">
            <w:pPr>
              <w:spacing w:line="360" w:lineRule="auto"/>
              <w:outlineLvl w:val="0"/>
              <w:rPr>
                <w:rFonts w:ascii="宋体" w:hAnsi="宋体" w:eastAsia="宋体" w:cs="Times New Roman"/>
                <w:sz w:val="24"/>
                <w:szCs w:val="24"/>
              </w:rPr>
            </w:pPr>
            <w:r>
              <w:rPr>
                <w:rFonts w:hint="eastAsia" w:ascii="宋体" w:hAnsi="宋体" w:eastAsia="宋体" w:cs="Times New Roman"/>
                <w:sz w:val="24"/>
                <w:szCs w:val="24"/>
              </w:rPr>
              <w:t>签约日期：   年   月   日</w:t>
            </w:r>
          </w:p>
        </w:tc>
        <w:tc>
          <w:tcPr>
            <w:tcW w:w="4927" w:type="dxa"/>
            <w:vAlign w:val="center"/>
          </w:tcPr>
          <w:p w14:paraId="5C43CB82">
            <w:pPr>
              <w:spacing w:line="360" w:lineRule="auto"/>
              <w:outlineLvl w:val="0"/>
              <w:rPr>
                <w:rFonts w:ascii="宋体" w:hAnsi="宋体" w:eastAsia="宋体" w:cs="Times New Roman"/>
                <w:sz w:val="24"/>
                <w:szCs w:val="24"/>
              </w:rPr>
            </w:pPr>
          </w:p>
        </w:tc>
      </w:tr>
    </w:tbl>
    <w:p w14:paraId="27EEDFCC">
      <w:pPr>
        <w:rPr>
          <w:rFonts w:ascii="Times New Roman" w:hAnsi="Times New Roman" w:eastAsia="宋体" w:cs="Times New Roman"/>
          <w:szCs w:val="20"/>
        </w:rPr>
      </w:pPr>
      <w:r>
        <w:rPr>
          <w:rFonts w:ascii="STZhongsong" w:hAnsi="STZhongsong" w:eastAsia="STZhongsong" w:cs="Times New Roman"/>
          <w:sz w:val="24"/>
          <w:szCs w:val="24"/>
        </w:rPr>
        <w:br w:type="page"/>
      </w:r>
    </w:p>
    <w:p w14:paraId="77D9E7BC">
      <w:pPr>
        <w:spacing w:line="460" w:lineRule="exact"/>
        <w:outlineLvl w:val="0"/>
        <w:rPr>
          <w:rFonts w:ascii="STZhongsong" w:hAnsi="STZhongsong" w:eastAsia="STZhongsong" w:cs="Times New Roman"/>
          <w:sz w:val="24"/>
          <w:szCs w:val="24"/>
        </w:rPr>
      </w:pPr>
      <w:r>
        <w:rPr>
          <w:rFonts w:hint="eastAsia" w:ascii="STZhongsong" w:hAnsi="STZhongsong" w:eastAsia="STZhongsong" w:cs="Times New Roman"/>
          <w:sz w:val="24"/>
          <w:szCs w:val="24"/>
        </w:rPr>
        <w:t>附件：</w:t>
      </w:r>
    </w:p>
    <w:p w14:paraId="45F70C31">
      <w:pPr>
        <w:spacing w:line="460" w:lineRule="exact"/>
        <w:outlineLvl w:val="0"/>
        <w:rPr>
          <w:rFonts w:ascii="STZhongsong" w:hAnsi="STZhongsong" w:eastAsia="STZhongsong" w:cs="Times New Roman"/>
          <w:sz w:val="24"/>
          <w:szCs w:val="24"/>
        </w:rPr>
      </w:pPr>
    </w:p>
    <w:p w14:paraId="4045B751">
      <w:pPr>
        <w:spacing w:line="460" w:lineRule="exact"/>
        <w:outlineLvl w:val="0"/>
        <w:rPr>
          <w:rFonts w:ascii="STZhongsong" w:hAnsi="STZhongsong" w:eastAsia="STZhongsong" w:cs="Times New Roman"/>
          <w:sz w:val="24"/>
          <w:szCs w:val="24"/>
        </w:rPr>
      </w:pPr>
    </w:p>
    <w:p w14:paraId="5C830740">
      <w:pPr>
        <w:rPr>
          <w:rFonts w:ascii="Times New Roman" w:hAnsi="Times New Roman" w:cs="Times New Roman"/>
          <w:b/>
          <w:bCs/>
          <w:sz w:val="44"/>
          <w:szCs w:val="52"/>
        </w:rPr>
      </w:pPr>
    </w:p>
    <w:p w14:paraId="5E4209AD">
      <w:pPr>
        <w:rPr>
          <w:rFonts w:ascii="Times New Roman" w:hAnsi="Times New Roman" w:cs="Times New Roman"/>
          <w:b/>
          <w:bCs/>
          <w:sz w:val="44"/>
          <w:szCs w:val="52"/>
        </w:rPr>
      </w:pPr>
      <w:r>
        <w:rPr>
          <w:rFonts w:ascii="Times New Roman" w:hAnsi="Times New Roman" w:cs="Times New Roman"/>
          <w:b/>
          <w:bCs/>
          <w:sz w:val="44"/>
          <w:szCs w:val="52"/>
        </w:rPr>
        <w:br w:type="page"/>
      </w:r>
    </w:p>
    <w:p w14:paraId="0CA01D3C">
      <w:pPr>
        <w:rPr>
          <w:rFonts w:ascii="Times New Roman" w:hAnsi="Times New Roman" w:cs="Times New Roman"/>
          <w:b/>
          <w:bCs/>
          <w:sz w:val="44"/>
          <w:szCs w:val="52"/>
        </w:rPr>
      </w:pP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14:paraId="16107A24">
      <w:pPr>
        <w:ind w:firstLine="4200" w:firstLineChars="1500"/>
        <w:rPr>
          <w:rFonts w:ascii="Times New Roman" w:hAnsi="Times New Roman" w:eastAsia="仿宋" w:cs="Times New Roman"/>
          <w:sz w:val="28"/>
          <w:szCs w:val="28"/>
        </w:rPr>
      </w:pPr>
    </w:p>
    <w:p w14:paraId="112A86E1">
      <w:pPr>
        <w:jc w:val="right"/>
        <w:rPr>
          <w:rStyle w:val="33"/>
          <w:rFonts w:ascii="Times New Roman" w:hAnsi="Times New Roman" w:eastAsia="宋体" w:cs="Times New Roman"/>
          <w:b/>
          <w:bCs/>
          <w:sz w:val="32"/>
          <w:szCs w:val="32"/>
        </w:rPr>
      </w:pPr>
      <w:r>
        <w:rPr>
          <w:rFonts w:ascii="Times New Roman" w:hAnsi="Times New Roman" w:cs="Times New Roman"/>
        </w:rPr>
        <w:t>年   月   日</w:t>
      </w:r>
    </w:p>
    <w:p w14:paraId="27852A60">
      <w:pPr>
        <w:pStyle w:val="26"/>
        <w:rPr>
          <w:rFonts w:ascii="Times New Roman" w:hAnsi="Times New Roman"/>
        </w:rPr>
      </w:pPr>
    </w:p>
    <w:sectPr>
      <w:footerReference r:id="rId7" w:type="default"/>
      <w:pgSz w:w="11905" w:h="16838"/>
      <w:pgMar w:top="1134" w:right="1134" w:bottom="1134" w:left="1134" w:header="851" w:footer="992" w:gutter="0"/>
      <w:pgNumType w:fmt="decimal"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216311A2-7992-42D4-A69E-48FB728CEAE1}"/>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6000CE39-EFCC-4E83-B3AF-E62929F0C33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2839F5F3-BF7F-4CF7-9C6F-8C30EB155BE1}"/>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43E1DACD-9986-44B6-B9DC-F1B37709CDC4}"/>
  </w:font>
  <w:font w:name="Segoe UI Symbol">
    <w:panose1 w:val="020B0502040204020203"/>
    <w:charset w:val="00"/>
    <w:family w:val="swiss"/>
    <w:pitch w:val="default"/>
    <w:sig w:usb0="800001E3" w:usb1="1200FFEF" w:usb2="00040000" w:usb3="04000000" w:csb0="00000001" w:csb1="40000000"/>
    <w:embedRegular r:id="rId5" w:fontKey="{2BF4F604-6E40-4903-8777-36AA40289807}"/>
  </w:font>
  <w:font w:name="方正小标宋_GBK">
    <w:altName w:val="微软雅黑"/>
    <w:panose1 w:val="03000509000000000000"/>
    <w:charset w:val="86"/>
    <w:family w:val="script"/>
    <w:pitch w:val="default"/>
    <w:sig w:usb0="00000000" w:usb1="00000000" w:usb2="00000000" w:usb3="00000000" w:csb0="00040000" w:csb1="00000000"/>
    <w:embedRegular r:id="rId6" w:fontKey="{7D37F45B-368A-48C8-94E2-4A13958910F5}"/>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embedRegular r:id="rId7" w:fontKey="{26A29256-AEE9-4780-808C-AC6D84CA7F00}"/>
  </w:font>
  <w:font w:name="STZhongsong">
    <w:altName w:val="宋体"/>
    <w:panose1 w:val="02010600040101010101"/>
    <w:charset w:val="86"/>
    <w:family w:val="auto"/>
    <w:pitch w:val="default"/>
    <w:sig w:usb0="00000000" w:usb1="00000000" w:usb2="00000000" w:usb3="00000000" w:csb0="0004009F" w:csb1="DFD70000"/>
    <w:embedRegular r:id="rId8" w:fontKey="{A7B3D0D9-9D40-439E-B74E-622352121C8A}"/>
  </w:font>
  <w:font w:name="Arial">
    <w:panose1 w:val="020B0604020202020204"/>
    <w:charset w:val="00"/>
    <w:family w:val="auto"/>
    <w:pitch w:val="default"/>
    <w:sig w:usb0="E0002EFF" w:usb1="C000785B" w:usb2="00000009" w:usb3="00000000" w:csb0="400001FF" w:csb1="FFFF0000"/>
  </w:font>
  <w:font w:name="KSOFE816CA0F">
    <w:panose1 w:val="02020603050405020304"/>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D476E">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C4B893">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43</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1C4B893">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43</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tabs>
        <w:tab w:val="left" w:pos="7316"/>
        <w:tab w:val="right" w:pos="9756"/>
      </w:tabs>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DA94D1">
    <w:pPr>
      <w:pStyle w:val="12"/>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119A73A2"/>
    <w:multiLevelType w:val="multilevel"/>
    <w:tmpl w:val="119A73A2"/>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1F712D09"/>
    <w:multiLevelType w:val="singleLevel"/>
    <w:tmpl w:val="1F712D09"/>
    <w:lvl w:ilvl="0" w:tentative="0">
      <w:start w:val="1"/>
      <w:numFmt w:val="decimal"/>
      <w:lvlText w:val="(%1)"/>
      <w:lvlJc w:val="left"/>
      <w:pPr>
        <w:ind w:left="218" w:hanging="425"/>
      </w:pPr>
      <w:rPr>
        <w:rFonts w:hint="default"/>
      </w:rPr>
    </w:lvl>
  </w:abstractNum>
  <w:abstractNum w:abstractNumId="7">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8">
    <w:nsid w:val="372ECE5A"/>
    <w:multiLevelType w:val="singleLevel"/>
    <w:tmpl w:val="372ECE5A"/>
    <w:lvl w:ilvl="0" w:tentative="0">
      <w:start w:val="7"/>
      <w:numFmt w:val="chineseCounting"/>
      <w:suff w:val="nothing"/>
      <w:lvlText w:val="%1、"/>
      <w:lvlJc w:val="left"/>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605C01F1"/>
    <w:multiLevelType w:val="multilevel"/>
    <w:tmpl w:val="605C01F1"/>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64C10C17"/>
    <w:multiLevelType w:val="multilevel"/>
    <w:tmpl w:val="64C10C17"/>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15">
    <w:nsid w:val="7B7F1CB9"/>
    <w:multiLevelType w:val="multilevel"/>
    <w:tmpl w:val="7B7F1CB9"/>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7"/>
  </w:num>
  <w:num w:numId="2">
    <w:abstractNumId w:val="3"/>
  </w:num>
  <w:num w:numId="3">
    <w:abstractNumId w:val="10"/>
  </w:num>
  <w:num w:numId="4">
    <w:abstractNumId w:val="14"/>
  </w:num>
  <w:num w:numId="5">
    <w:abstractNumId w:val="6"/>
  </w:num>
  <w:num w:numId="6">
    <w:abstractNumId w:val="11"/>
  </w:num>
  <w:num w:numId="7">
    <w:abstractNumId w:val="9"/>
  </w:num>
  <w:num w:numId="8">
    <w:abstractNumId w:val="2"/>
  </w:num>
  <w:num w:numId="9">
    <w:abstractNumId w:val="1"/>
  </w:num>
  <w:num w:numId="10">
    <w:abstractNumId w:val="0"/>
  </w:num>
  <w:num w:numId="11">
    <w:abstractNumId w:val="4"/>
  </w:num>
  <w:num w:numId="12">
    <w:abstractNumId w:val="8"/>
  </w:num>
  <w:num w:numId="13">
    <w:abstractNumId w:val="5"/>
  </w:num>
  <w:num w:numId="14">
    <w:abstractNumId w:val="12"/>
  </w:num>
  <w:num w:numId="15">
    <w:abstractNumId w:val="15"/>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A7208"/>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0770D"/>
    <w:rsid w:val="00E2603E"/>
    <w:rsid w:val="00E535EF"/>
    <w:rsid w:val="00E71156"/>
    <w:rsid w:val="00E769CD"/>
    <w:rsid w:val="00EA700B"/>
    <w:rsid w:val="00EF1292"/>
    <w:rsid w:val="00F3202A"/>
    <w:rsid w:val="00F523A1"/>
    <w:rsid w:val="00F676AD"/>
    <w:rsid w:val="00F90C3B"/>
    <w:rsid w:val="00FF60E3"/>
    <w:rsid w:val="0168325F"/>
    <w:rsid w:val="01A1683A"/>
    <w:rsid w:val="01AC5842"/>
    <w:rsid w:val="01D50A7C"/>
    <w:rsid w:val="01EA636A"/>
    <w:rsid w:val="01FF7230"/>
    <w:rsid w:val="023C235A"/>
    <w:rsid w:val="024C0DD3"/>
    <w:rsid w:val="03D1158F"/>
    <w:rsid w:val="041F679F"/>
    <w:rsid w:val="04BC1856"/>
    <w:rsid w:val="058C78B0"/>
    <w:rsid w:val="05904691"/>
    <w:rsid w:val="05E13064"/>
    <w:rsid w:val="05E51322"/>
    <w:rsid w:val="05FD48BE"/>
    <w:rsid w:val="06897EFF"/>
    <w:rsid w:val="078A573C"/>
    <w:rsid w:val="082425D6"/>
    <w:rsid w:val="083251D0"/>
    <w:rsid w:val="08326375"/>
    <w:rsid w:val="0837398B"/>
    <w:rsid w:val="083A1BBD"/>
    <w:rsid w:val="08745B19"/>
    <w:rsid w:val="08EE39BE"/>
    <w:rsid w:val="093A3733"/>
    <w:rsid w:val="0A220AAD"/>
    <w:rsid w:val="0A5151D8"/>
    <w:rsid w:val="0A726EFC"/>
    <w:rsid w:val="0B4508AE"/>
    <w:rsid w:val="0B753B34"/>
    <w:rsid w:val="0C120997"/>
    <w:rsid w:val="0C774C9E"/>
    <w:rsid w:val="0C965124"/>
    <w:rsid w:val="0CF161C9"/>
    <w:rsid w:val="0D26294C"/>
    <w:rsid w:val="0D5C636E"/>
    <w:rsid w:val="0D7D4536"/>
    <w:rsid w:val="0DF742E8"/>
    <w:rsid w:val="0E0B7FF0"/>
    <w:rsid w:val="0E5B6625"/>
    <w:rsid w:val="0EAC189D"/>
    <w:rsid w:val="0F5D2ECD"/>
    <w:rsid w:val="0FC14BAE"/>
    <w:rsid w:val="101A497B"/>
    <w:rsid w:val="10432B4B"/>
    <w:rsid w:val="104D4694"/>
    <w:rsid w:val="10A15B58"/>
    <w:rsid w:val="110E1F50"/>
    <w:rsid w:val="112503FB"/>
    <w:rsid w:val="117A5014"/>
    <w:rsid w:val="127F05A0"/>
    <w:rsid w:val="1299771C"/>
    <w:rsid w:val="12BC165D"/>
    <w:rsid w:val="12EE4AC4"/>
    <w:rsid w:val="130A5001"/>
    <w:rsid w:val="136D78F8"/>
    <w:rsid w:val="13806B2E"/>
    <w:rsid w:val="13AC16D1"/>
    <w:rsid w:val="14221993"/>
    <w:rsid w:val="144B0EEA"/>
    <w:rsid w:val="14A32AD4"/>
    <w:rsid w:val="151E65FF"/>
    <w:rsid w:val="15567E5A"/>
    <w:rsid w:val="15CC4977"/>
    <w:rsid w:val="16077093"/>
    <w:rsid w:val="162A4F7D"/>
    <w:rsid w:val="16A82A66"/>
    <w:rsid w:val="16DE614F"/>
    <w:rsid w:val="17233056"/>
    <w:rsid w:val="17826121"/>
    <w:rsid w:val="18316649"/>
    <w:rsid w:val="18E216F1"/>
    <w:rsid w:val="1954595C"/>
    <w:rsid w:val="1994787E"/>
    <w:rsid w:val="1A331C30"/>
    <w:rsid w:val="1A82318C"/>
    <w:rsid w:val="1AD11A1D"/>
    <w:rsid w:val="1B0B27A2"/>
    <w:rsid w:val="1B634D6B"/>
    <w:rsid w:val="1B642891"/>
    <w:rsid w:val="1BC9751D"/>
    <w:rsid w:val="1C625023"/>
    <w:rsid w:val="1C746B04"/>
    <w:rsid w:val="1D2821E4"/>
    <w:rsid w:val="1D8C2C2E"/>
    <w:rsid w:val="1DB4365C"/>
    <w:rsid w:val="1DB97A3F"/>
    <w:rsid w:val="1DC35F95"/>
    <w:rsid w:val="1DCD29D8"/>
    <w:rsid w:val="1DD000AF"/>
    <w:rsid w:val="1E09745A"/>
    <w:rsid w:val="1E0D2131"/>
    <w:rsid w:val="1E114F52"/>
    <w:rsid w:val="1E176351"/>
    <w:rsid w:val="1ECD615C"/>
    <w:rsid w:val="1EFB52BB"/>
    <w:rsid w:val="1FE21EC2"/>
    <w:rsid w:val="1FF95C9E"/>
    <w:rsid w:val="205D7CC4"/>
    <w:rsid w:val="209239FD"/>
    <w:rsid w:val="20CF13CE"/>
    <w:rsid w:val="210800B2"/>
    <w:rsid w:val="215D225D"/>
    <w:rsid w:val="21B53E47"/>
    <w:rsid w:val="22537F1C"/>
    <w:rsid w:val="22935D1D"/>
    <w:rsid w:val="23054D52"/>
    <w:rsid w:val="2393373D"/>
    <w:rsid w:val="23B24AE2"/>
    <w:rsid w:val="23D4489F"/>
    <w:rsid w:val="23D83E1C"/>
    <w:rsid w:val="24466FD8"/>
    <w:rsid w:val="24727DCD"/>
    <w:rsid w:val="25186BC6"/>
    <w:rsid w:val="252B6033"/>
    <w:rsid w:val="25537BFE"/>
    <w:rsid w:val="25F95EEC"/>
    <w:rsid w:val="262001B9"/>
    <w:rsid w:val="264F486A"/>
    <w:rsid w:val="271635BC"/>
    <w:rsid w:val="27B87AF9"/>
    <w:rsid w:val="27DA0163"/>
    <w:rsid w:val="27E80EA9"/>
    <w:rsid w:val="280414A1"/>
    <w:rsid w:val="28570368"/>
    <w:rsid w:val="28A27020"/>
    <w:rsid w:val="28E14F1E"/>
    <w:rsid w:val="29C5318E"/>
    <w:rsid w:val="2A142F93"/>
    <w:rsid w:val="2A3F69A3"/>
    <w:rsid w:val="2A81391B"/>
    <w:rsid w:val="2B502F98"/>
    <w:rsid w:val="2BE05F64"/>
    <w:rsid w:val="2C9A0A9E"/>
    <w:rsid w:val="2D2F2FAF"/>
    <w:rsid w:val="2DA70D65"/>
    <w:rsid w:val="2DBC4548"/>
    <w:rsid w:val="2E3D31FA"/>
    <w:rsid w:val="2E693FEF"/>
    <w:rsid w:val="2E9C2616"/>
    <w:rsid w:val="2F575E37"/>
    <w:rsid w:val="2FEF6776"/>
    <w:rsid w:val="30136908"/>
    <w:rsid w:val="30823A8E"/>
    <w:rsid w:val="30E31FB7"/>
    <w:rsid w:val="31322DBE"/>
    <w:rsid w:val="32165D3B"/>
    <w:rsid w:val="325356E2"/>
    <w:rsid w:val="332B5D17"/>
    <w:rsid w:val="333F7A14"/>
    <w:rsid w:val="3427766B"/>
    <w:rsid w:val="343706EB"/>
    <w:rsid w:val="34713BFD"/>
    <w:rsid w:val="34830DA6"/>
    <w:rsid w:val="35154C31"/>
    <w:rsid w:val="351A08D0"/>
    <w:rsid w:val="35215253"/>
    <w:rsid w:val="35805CB0"/>
    <w:rsid w:val="35A26038"/>
    <w:rsid w:val="35A41DB0"/>
    <w:rsid w:val="35BC70FA"/>
    <w:rsid w:val="36334CE5"/>
    <w:rsid w:val="3701395E"/>
    <w:rsid w:val="37920A5A"/>
    <w:rsid w:val="37BE35FD"/>
    <w:rsid w:val="380A6843"/>
    <w:rsid w:val="382B5F8F"/>
    <w:rsid w:val="38A46EE9"/>
    <w:rsid w:val="391E6AEA"/>
    <w:rsid w:val="393671C3"/>
    <w:rsid w:val="39673A3D"/>
    <w:rsid w:val="3A3F1B1E"/>
    <w:rsid w:val="3A551407"/>
    <w:rsid w:val="3B033C36"/>
    <w:rsid w:val="3B9C7486"/>
    <w:rsid w:val="3C333E8E"/>
    <w:rsid w:val="3C8A61A4"/>
    <w:rsid w:val="3CB90F2D"/>
    <w:rsid w:val="3CE05DC4"/>
    <w:rsid w:val="3CEE6201"/>
    <w:rsid w:val="3D385C00"/>
    <w:rsid w:val="3DBF7BA4"/>
    <w:rsid w:val="3E1E2F9A"/>
    <w:rsid w:val="3E57579A"/>
    <w:rsid w:val="3E5D4E8E"/>
    <w:rsid w:val="3EF618CF"/>
    <w:rsid w:val="3FE25336"/>
    <w:rsid w:val="40073668"/>
    <w:rsid w:val="40866C82"/>
    <w:rsid w:val="40C31C84"/>
    <w:rsid w:val="41076015"/>
    <w:rsid w:val="41D35EF7"/>
    <w:rsid w:val="42075FF8"/>
    <w:rsid w:val="422C3859"/>
    <w:rsid w:val="42355148"/>
    <w:rsid w:val="42842020"/>
    <w:rsid w:val="42876CE2"/>
    <w:rsid w:val="44150A49"/>
    <w:rsid w:val="444340B2"/>
    <w:rsid w:val="447A6BAC"/>
    <w:rsid w:val="44E81B7F"/>
    <w:rsid w:val="4513485D"/>
    <w:rsid w:val="468567BB"/>
    <w:rsid w:val="4734568A"/>
    <w:rsid w:val="476060E7"/>
    <w:rsid w:val="4782487D"/>
    <w:rsid w:val="47B71E17"/>
    <w:rsid w:val="495913D8"/>
    <w:rsid w:val="49A10689"/>
    <w:rsid w:val="49D56585"/>
    <w:rsid w:val="49FC25C6"/>
    <w:rsid w:val="4A052D2B"/>
    <w:rsid w:val="4A3D2AA8"/>
    <w:rsid w:val="4A475610"/>
    <w:rsid w:val="4ABD5996"/>
    <w:rsid w:val="4B31068E"/>
    <w:rsid w:val="4B410375"/>
    <w:rsid w:val="4BA55220"/>
    <w:rsid w:val="4BAD0151"/>
    <w:rsid w:val="4BCA036B"/>
    <w:rsid w:val="4BF453E8"/>
    <w:rsid w:val="4C184E09"/>
    <w:rsid w:val="4C2757BD"/>
    <w:rsid w:val="4C7E73A7"/>
    <w:rsid w:val="4C8F75A2"/>
    <w:rsid w:val="4DAD4403"/>
    <w:rsid w:val="4E0336C0"/>
    <w:rsid w:val="4E6F0D56"/>
    <w:rsid w:val="4E8C008E"/>
    <w:rsid w:val="4E9B1B4B"/>
    <w:rsid w:val="4EA312FE"/>
    <w:rsid w:val="4EDC5ADC"/>
    <w:rsid w:val="4EE002CE"/>
    <w:rsid w:val="4FEF758C"/>
    <w:rsid w:val="501A6E72"/>
    <w:rsid w:val="501C4F0D"/>
    <w:rsid w:val="50201D6B"/>
    <w:rsid w:val="503A2AB3"/>
    <w:rsid w:val="50771A9C"/>
    <w:rsid w:val="50D43A3A"/>
    <w:rsid w:val="51891604"/>
    <w:rsid w:val="51C47F6D"/>
    <w:rsid w:val="52B256B5"/>
    <w:rsid w:val="52FB52AE"/>
    <w:rsid w:val="54063F0A"/>
    <w:rsid w:val="5455382C"/>
    <w:rsid w:val="547F7727"/>
    <w:rsid w:val="55342CF9"/>
    <w:rsid w:val="554674F7"/>
    <w:rsid w:val="560662B2"/>
    <w:rsid w:val="58395CD8"/>
    <w:rsid w:val="589C07F4"/>
    <w:rsid w:val="59357973"/>
    <w:rsid w:val="59965D30"/>
    <w:rsid w:val="5A3727CC"/>
    <w:rsid w:val="5A6307F6"/>
    <w:rsid w:val="5AA47FD9"/>
    <w:rsid w:val="5BA529F7"/>
    <w:rsid w:val="5C205D85"/>
    <w:rsid w:val="5C576E99"/>
    <w:rsid w:val="5C6043D4"/>
    <w:rsid w:val="5D0A3490"/>
    <w:rsid w:val="5D7E0D39"/>
    <w:rsid w:val="5DDF2DD1"/>
    <w:rsid w:val="5DE057CC"/>
    <w:rsid w:val="5E2E5CB0"/>
    <w:rsid w:val="5E490A40"/>
    <w:rsid w:val="5E9D3F29"/>
    <w:rsid w:val="5EDF45D6"/>
    <w:rsid w:val="5F353859"/>
    <w:rsid w:val="5F64242D"/>
    <w:rsid w:val="5FA04B6E"/>
    <w:rsid w:val="5FB63195"/>
    <w:rsid w:val="60384CD1"/>
    <w:rsid w:val="60557590"/>
    <w:rsid w:val="60655808"/>
    <w:rsid w:val="606C7EF8"/>
    <w:rsid w:val="608E1541"/>
    <w:rsid w:val="60F86CEE"/>
    <w:rsid w:val="617D1584"/>
    <w:rsid w:val="6220263B"/>
    <w:rsid w:val="63A9427A"/>
    <w:rsid w:val="63D462B1"/>
    <w:rsid w:val="63E678B4"/>
    <w:rsid w:val="63FF44D2"/>
    <w:rsid w:val="641A3596"/>
    <w:rsid w:val="64364086"/>
    <w:rsid w:val="64C00105"/>
    <w:rsid w:val="64C36D7E"/>
    <w:rsid w:val="64D96647"/>
    <w:rsid w:val="64F90F01"/>
    <w:rsid w:val="65322E16"/>
    <w:rsid w:val="65340FB0"/>
    <w:rsid w:val="655B51E5"/>
    <w:rsid w:val="65E40ADA"/>
    <w:rsid w:val="65FD3F7D"/>
    <w:rsid w:val="66330B86"/>
    <w:rsid w:val="66E22203"/>
    <w:rsid w:val="677B6565"/>
    <w:rsid w:val="67AB0BF9"/>
    <w:rsid w:val="67BC1D30"/>
    <w:rsid w:val="68B812C9"/>
    <w:rsid w:val="694A4441"/>
    <w:rsid w:val="698536CB"/>
    <w:rsid w:val="69C33672"/>
    <w:rsid w:val="69D50CF4"/>
    <w:rsid w:val="69D73D89"/>
    <w:rsid w:val="69FC5FED"/>
    <w:rsid w:val="69FF522C"/>
    <w:rsid w:val="6A535578"/>
    <w:rsid w:val="6AE34B4E"/>
    <w:rsid w:val="6BBB1173"/>
    <w:rsid w:val="6C487AFD"/>
    <w:rsid w:val="6C8664BC"/>
    <w:rsid w:val="6C9D2ADA"/>
    <w:rsid w:val="6CB24363"/>
    <w:rsid w:val="6D3E7C18"/>
    <w:rsid w:val="6D970FE2"/>
    <w:rsid w:val="6DBB3A8B"/>
    <w:rsid w:val="6DE573D0"/>
    <w:rsid w:val="6E721F63"/>
    <w:rsid w:val="6E98550D"/>
    <w:rsid w:val="6EA93466"/>
    <w:rsid w:val="6EBC037B"/>
    <w:rsid w:val="6EBE56B6"/>
    <w:rsid w:val="6EFF37D8"/>
    <w:rsid w:val="6F146151"/>
    <w:rsid w:val="6F276F27"/>
    <w:rsid w:val="6F7D4948"/>
    <w:rsid w:val="6F960C48"/>
    <w:rsid w:val="6FCF0795"/>
    <w:rsid w:val="6FE70C3C"/>
    <w:rsid w:val="700560CB"/>
    <w:rsid w:val="70643A4D"/>
    <w:rsid w:val="70C90342"/>
    <w:rsid w:val="70F10A19"/>
    <w:rsid w:val="71381023"/>
    <w:rsid w:val="732B6917"/>
    <w:rsid w:val="735465E8"/>
    <w:rsid w:val="73714961"/>
    <w:rsid w:val="74060F7A"/>
    <w:rsid w:val="74D27DA9"/>
    <w:rsid w:val="74D925D0"/>
    <w:rsid w:val="754825D6"/>
    <w:rsid w:val="754D1D92"/>
    <w:rsid w:val="75676A2A"/>
    <w:rsid w:val="758350A9"/>
    <w:rsid w:val="75AB44BA"/>
    <w:rsid w:val="75DE488F"/>
    <w:rsid w:val="75F8635F"/>
    <w:rsid w:val="76EE55AC"/>
    <w:rsid w:val="773521BD"/>
    <w:rsid w:val="77BE6726"/>
    <w:rsid w:val="77EE068E"/>
    <w:rsid w:val="78412EB3"/>
    <w:rsid w:val="788B412F"/>
    <w:rsid w:val="78AA2807"/>
    <w:rsid w:val="79687E1D"/>
    <w:rsid w:val="7AAC778D"/>
    <w:rsid w:val="7AC540CB"/>
    <w:rsid w:val="7B560FD7"/>
    <w:rsid w:val="7B5F74F8"/>
    <w:rsid w:val="7B690630"/>
    <w:rsid w:val="7BC01667"/>
    <w:rsid w:val="7BD0027A"/>
    <w:rsid w:val="7BDC234C"/>
    <w:rsid w:val="7C02594A"/>
    <w:rsid w:val="7C5123F4"/>
    <w:rsid w:val="7C7E6FA2"/>
    <w:rsid w:val="7D040AB6"/>
    <w:rsid w:val="7D4119E6"/>
    <w:rsid w:val="7D917500"/>
    <w:rsid w:val="7DAF162B"/>
    <w:rsid w:val="7DB303AF"/>
    <w:rsid w:val="7DC42B41"/>
    <w:rsid w:val="7DEB7B49"/>
    <w:rsid w:val="7E5971A9"/>
    <w:rsid w:val="7EB42631"/>
    <w:rsid w:val="7F4D1F29"/>
    <w:rsid w:val="7F524A36"/>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basedOn w:val="1"/>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sht标题1"/>
    <w:basedOn w:val="1"/>
    <w:next w:val="2"/>
    <w:qFormat/>
    <w:uiPriority w:val="0"/>
    <w:pPr>
      <w:jc w:val="center"/>
    </w:pPr>
    <w:rPr>
      <w:rFonts w:eastAsia="黑体"/>
      <w:b/>
      <w:sz w:val="52"/>
      <w:szCs w:val="24"/>
    </w:rPr>
  </w:style>
  <w:style w:type="paragraph" w:customStyle="1" w:styleId="42">
    <w:name w:val="列出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45</Pages>
  <Words>1314</Words>
  <Characters>1394</Characters>
  <Lines>72</Lines>
  <Paragraphs>20</Paragraphs>
  <TotalTime>1</TotalTime>
  <ScaleCrop>false</ScaleCrop>
  <LinksUpToDate>false</LinksUpToDate>
  <CharactersWithSpaces>1456</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CAI</cp:lastModifiedBy>
  <dcterms:modified xsi:type="dcterms:W3CDTF">2026-09-16T03:03:11Z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57EB7A2434744399A951BBFC278C5099_13</vt:lpwstr>
  </property>
  <property fmtid="{D5CDD505-2E9C-101B-9397-08002B2CF9AE}" pid="4" name="KSOTemplateDocerSaveRecord">
    <vt:lpwstr>eyJoZGlkIjoiNDc0MTk5M2JkMmE1NDI4NDczMTFjZTZjODJmMzdhNjkiLCJ1c2VySWQiOiIyMTIzMTcyNzYifQ==</vt:lpwstr>
  </property>
</Properties>
</file>