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四川省人民医院综合科研大楼导视系统规划与设计服务采购项目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4</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471310326"/>
      <w:bookmarkStart w:id="2" w:name="_Toc20358"/>
      <w:bookmarkStart w:id="3" w:name="_Toc3240"/>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四川省人民医院综合科研大楼导视系统规划与设计服务采购项目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CGZX-YZB20260428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61EF9B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250000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合同支付上限的10%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u w:val="single"/>
                <w:lang w:val="en-US" w:eastAsia="zh-CN"/>
              </w:rPr>
              <w:t>院长办公室</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0F184A3B">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2CF6218A">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119655C7">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1D317396">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01B99F44">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6596"/>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8"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6"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8"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6"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w:t>
            </w:r>
            <w:bookmarkStart w:id="109" w:name="_GoBack"/>
            <w:bookmarkEnd w:id="109"/>
            <w:r>
              <w:rPr>
                <w:rFonts w:ascii="Times New Roman" w:hAnsi="Times New Roman" w:eastAsia="仿宋" w:cs="Times New Roman"/>
                <w:sz w:val="22"/>
              </w:rPr>
              <w:t>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8"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6"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8"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6"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8"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6"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8"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6"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752CF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一、项目简介</w:t>
      </w:r>
    </w:p>
    <w:p w14:paraId="59B8F7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四川省人民医院新建科研楼即将进入内部装修阶段，现需对整栋楼的导视系统进行系统性、前瞻性的整体规划与专业设计，确保未来投入使用后，能够为医护人员、科研人员、访客、患者等提供清晰、准确、高效、人性化的空间指引与环境识别服务，并满足医疗科研场所的特殊要求，现需确定一家供应商提供从前期规划到设计的全流程服务。</w:t>
      </w:r>
    </w:p>
    <w:p w14:paraId="6879F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项目地点：四川省医学科学院·四川省人民医院综合科研大楼（建筑面积约10万+平方米）。</w:t>
      </w:r>
    </w:p>
    <w:p w14:paraId="482EBA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★二、服务范围与具体工作内容</w:t>
      </w:r>
    </w:p>
    <w:p w14:paraId="3D2D1F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1.前期调研与需求分析：</w:t>
      </w:r>
    </w:p>
    <w:p w14:paraId="39950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（1）对科研楼建筑平面图、功能区划（如实验室区、办公区、会议区、公共休息区、设备层、地下车库等）、人流物流动线进行深入研究。</w:t>
      </w:r>
    </w:p>
    <w:p w14:paraId="4954F7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与采购人相关部门（基建、后勤、医务、科研、信息等）进行访谈，了解各区域的具体功能、使用人群、管理要求及特殊需求（如生物安全标识、放射性标识、消防疏散强化、无障碍要求等）。结合医院实际情况，提出与医院文化、科研楼定位相融合的导视系统设计理念。</w:t>
      </w:r>
    </w:p>
    <w:p w14:paraId="1CFFD1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2.整体规划与系统架构设计：</w:t>
      </w:r>
    </w:p>
    <w:p w14:paraId="5E8856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（1）制定完整的科研楼导视系统分级规划方案（如一级导向：楼外总索引、楼层总索引；二级导向：区域导向；三级导向：功能房间门牌、科室牌；四级导向：温馨提示、安全警示、设备标识等）。</w:t>
      </w:r>
    </w:p>
    <w:p w14:paraId="18440F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（2）规划合理的视点布局与信息传递序列，确保导向的连续性和一致性。</w:t>
      </w:r>
    </w:p>
    <w:p w14:paraId="1FA6A8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（3）分析并提出与装修工程相关的预埋、预留、管线铺设需求及技术建议（如吊挂点位加固、电源预留、网络接口、特殊安装基座等），协助采购人与装修单位对接。</w:t>
      </w:r>
    </w:p>
    <w:p w14:paraId="73478A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3.详细点位勘察与梳理：</w:t>
      </w:r>
    </w:p>
    <w:p w14:paraId="67BF7A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（1）对科研楼所有公共区域、功能房间、设施点位进行现场勘察（可结合图纸）。</w:t>
      </w:r>
    </w:p>
    <w:p w14:paraId="46F2F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（2）编制详细的《导视标识点位清单及规格需求表》，包含每个标识的预估位置、类型、内容、安装方式、所需水电条件等，并与建筑图纸对应编号。</w:t>
      </w:r>
    </w:p>
    <w:p w14:paraId="60DA52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（3）特别关注交叉路口、电梯厅、楼梯间、卫生间、安全出口、设备机房、管道井、实验室门禁等关键点位。</w:t>
      </w:r>
    </w:p>
    <w:p w14:paraId="4AB7D4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4.标识系统方案设计：</w:t>
      </w:r>
    </w:p>
    <w:p w14:paraId="58DE0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完成整套导视系统的视觉设计方案，包括：</w:t>
      </w:r>
    </w:p>
    <w:p w14:paraId="61B2DA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（1）标识的造型、材质、工艺、色彩、字体、图形符号、版式设计。</w:t>
      </w:r>
    </w:p>
    <w:p w14:paraId="46A8C7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（2）日间与夜间的视觉效果考虑（含照明方式设计）。</w:t>
      </w:r>
    </w:p>
    <w:p w14:paraId="52CAD3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（3）提供主要类别标识的效果图、设计说明及材料样板。</w:t>
      </w:r>
    </w:p>
    <w:p w14:paraId="233EF5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5.需全力支持配合导视系统制作和安装。</w:t>
      </w:r>
    </w:p>
    <w:p w14:paraId="3A01C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★三、交付成果要求</w:t>
      </w:r>
    </w:p>
    <w:p w14:paraId="205C8A3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1.《科研楼导视系统规划与需求分析报告》</w:t>
      </w:r>
    </w:p>
    <w:p w14:paraId="339EB1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2.《科研楼导视标识详细点位布局图及点位清单》</w:t>
      </w:r>
    </w:p>
    <w:p w14:paraId="62CB19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3.《导视系统整体设计方案》（含设计理念、系统分级说明、主要标识效果图、材质工艺说明、色彩字体规范等）</w:t>
      </w:r>
    </w:p>
    <w:p w14:paraId="6DC3F4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4.提供完整的规划设计方案文本（含纸质版和电子版）。</w:t>
      </w:r>
    </w:p>
    <w:p w14:paraId="2A8658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5.供应商承诺提供7*24小时服务机制。（提供承诺函并加盖供应商公章）</w:t>
      </w:r>
    </w:p>
    <w:p w14:paraId="0408FA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6.供应商承诺，接到采购人设计需求后，如需上门，2小时内到场。（提供承诺函并加盖供应商公章）</w:t>
      </w:r>
    </w:p>
    <w:p w14:paraId="491E1D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四、其他要求</w:t>
      </w:r>
    </w:p>
    <w:p w14:paraId="4D6BB1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1.供应商针对本项目的设计思路规划方案，包括：①对本项目设计工作的理解和认知②设计重难点分析及应对策略③设计总体思路及理念。方案应完整且无缺陷。</w:t>
      </w:r>
      <w:r>
        <w:rPr>
          <w:rFonts w:hint="default" w:ascii="仿宋" w:hAnsi="仿宋" w:eastAsia="仿宋" w:cs="仿宋"/>
          <w:color w:val="auto"/>
          <w:sz w:val="24"/>
          <w:szCs w:val="24"/>
          <w:highlight w:val="none"/>
          <w:lang w:val="en-US" w:eastAsia="zh-CN"/>
        </w:rPr>
        <w:br w:type="textWrapping"/>
      </w:r>
      <w:r>
        <w:rPr>
          <w:rFonts w:hint="default" w:ascii="仿宋" w:hAnsi="仿宋" w:eastAsia="仿宋" w:cs="仿宋"/>
          <w:color w:val="auto"/>
          <w:sz w:val="24"/>
          <w:szCs w:val="24"/>
          <w:highlight w:val="none"/>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p w14:paraId="6820A2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2.供应商针对本项目的设计思路规划方案，包括：①设计团队保障 ②设计全流程质量管控流程 ③设计成果审核校验标准 ④设计变更应急处理机制。方案应完整且无缺陷。</w:t>
      </w:r>
      <w:r>
        <w:rPr>
          <w:rFonts w:hint="default" w:ascii="仿宋" w:hAnsi="仿宋" w:eastAsia="仿宋" w:cs="仿宋"/>
          <w:color w:val="auto"/>
          <w:sz w:val="24"/>
          <w:szCs w:val="24"/>
          <w:highlight w:val="none"/>
          <w:lang w:val="en-US" w:eastAsia="zh-CN"/>
        </w:rPr>
        <w:br w:type="textWrapping"/>
      </w:r>
      <w:r>
        <w:rPr>
          <w:rFonts w:hint="default" w:ascii="仿宋" w:hAnsi="仿宋" w:eastAsia="仿宋" w:cs="仿宋"/>
          <w:color w:val="auto"/>
          <w:sz w:val="24"/>
          <w:szCs w:val="24"/>
          <w:highlight w:val="none"/>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p w14:paraId="7CC445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3.供应商提供2023年1月1日（含）至递交投标文件截止日的医疗系统</w:t>
      </w:r>
      <w:r>
        <w:rPr>
          <w:rFonts w:hint="eastAsia" w:ascii="仿宋" w:hAnsi="仿宋" w:eastAsia="仿宋" w:cs="仿宋"/>
          <w:color w:val="auto"/>
          <w:sz w:val="24"/>
          <w:szCs w:val="24"/>
          <w:highlight w:val="none"/>
          <w:lang w:val="en-US" w:eastAsia="zh-CN"/>
        </w:rPr>
        <w:t>的</w:t>
      </w:r>
      <w:r>
        <w:rPr>
          <w:rFonts w:hint="default" w:ascii="仿宋" w:hAnsi="仿宋" w:eastAsia="仿宋" w:cs="仿宋"/>
          <w:color w:val="auto"/>
          <w:sz w:val="24"/>
          <w:szCs w:val="24"/>
          <w:highlight w:val="none"/>
          <w:lang w:val="en-US" w:eastAsia="zh-CN"/>
        </w:rPr>
        <w:t>建筑物导视设计规划类似项目业绩。</w:t>
      </w:r>
    </w:p>
    <w:p w14:paraId="6AAEA2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4.配备项目负责人、设计负责人、策划师、空间设计师、平面设计师等核心岗位，</w:t>
      </w:r>
      <w:bookmarkStart w:id="15" w:name="OLE_LINK3"/>
      <w:r>
        <w:rPr>
          <w:rFonts w:hint="default" w:ascii="仿宋" w:hAnsi="仿宋" w:eastAsia="仿宋" w:cs="仿宋"/>
          <w:color w:val="auto"/>
          <w:sz w:val="24"/>
          <w:szCs w:val="24"/>
          <w:highlight w:val="none"/>
          <w:lang w:val="en-US" w:eastAsia="zh-CN"/>
        </w:rPr>
        <w:t>各岗位人员不能共用，项目负责人</w:t>
      </w:r>
      <w:bookmarkEnd w:id="15"/>
      <w:r>
        <w:rPr>
          <w:rFonts w:hint="default" w:ascii="仿宋" w:hAnsi="仿宋" w:eastAsia="仿宋" w:cs="仿宋"/>
          <w:color w:val="auto"/>
          <w:sz w:val="24"/>
          <w:szCs w:val="24"/>
          <w:highlight w:val="none"/>
          <w:lang w:val="en-US" w:eastAsia="zh-CN"/>
        </w:rPr>
        <w:t>具备本科及以上学历。</w:t>
      </w:r>
    </w:p>
    <w:p w14:paraId="57567A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5.供应商提供的除项目负责人以外的其他设计团队人员具有设计相关专业专科以上学历。</w:t>
      </w:r>
    </w:p>
    <w:p w14:paraId="7F8ECE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★五、商务要求：</w:t>
      </w:r>
    </w:p>
    <w:p w14:paraId="15C765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资金支付条款：服务期满且经采购人验收合格后，供应商于5日内向采购人提供合法有效票据及其他相关请款资料，采购人于接到上述票据及资料后的55日内，向供应商支付合同总价100%的金额。如存在因考核等原因导致的扣款，应在支付前予以扣除。                   </w:t>
      </w:r>
    </w:p>
    <w:p w14:paraId="2EA98D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2.服务地点：四川省人民医院（四川省成都市青羊区一环路西二段32号）</w:t>
      </w:r>
    </w:p>
    <w:p w14:paraId="57DFD2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3.服务期：合同签订后240天</w:t>
      </w:r>
    </w:p>
    <w:p w14:paraId="0AFEFD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4.验收：</w:t>
      </w:r>
    </w:p>
    <w:p w14:paraId="2E687F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4.1验收时间：服务期满且供应商完成所有服务内容后5日内通知采购人验收，采购人接供应商通知后10日内组织验收。        </w:t>
      </w:r>
    </w:p>
    <w:p w14:paraId="659A61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4.2验收组织方式：自行验收</w:t>
      </w:r>
    </w:p>
    <w:p w14:paraId="7CA0EA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4.3验收主体：采购人       </w:t>
      </w:r>
    </w:p>
    <w:p w14:paraId="1FB5BD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4.4验收方式：现场整体验收</w:t>
      </w:r>
    </w:p>
    <w:p w14:paraId="0133BB3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4.5验收程序：一次性验收</w:t>
      </w:r>
    </w:p>
    <w:p w14:paraId="03238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4.6验收内容：按照基于本项目采购需求编制的采购文件要求及供应商响应文件情况，由供应商向采购人提供的全部服务。</w:t>
      </w:r>
    </w:p>
    <w:p w14:paraId="115BF9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4.7验收标准：</w:t>
      </w:r>
    </w:p>
    <w:p w14:paraId="7B5A18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（1）国家相关法律法规、行业标准、技术规范。</w:t>
      </w:r>
    </w:p>
    <w:p w14:paraId="5FF9C0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7A8660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7F2C6C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如验收时双方对技术指标、质量要求等约定标准有相互抵触或异议的事项，双方须按照国家相关规定及基于本项目采购需求编制的招标文件相关技术、服务要求、成交供应商响应文件相关响应内容中质量要求和技术指标较严格的原则确定该事项的标准并进行验收。</w:t>
      </w:r>
    </w:p>
    <w:p w14:paraId="61CA61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3932D7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（6）如本项目验收方式为考核验收，则考核结果须为合格。</w:t>
      </w:r>
    </w:p>
    <w:p w14:paraId="444EFE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4.7是否邀请本项目的其它潜在供应商：否</w:t>
      </w:r>
    </w:p>
    <w:p w14:paraId="01A716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4.8是否邀请专家：否</w:t>
      </w:r>
    </w:p>
    <w:p w14:paraId="1A7FCB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4.9是否邀请第三方检测机构：否</w:t>
      </w:r>
    </w:p>
    <w:p w14:paraId="385F8F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4.10是否邀请服务对象：否</w:t>
      </w:r>
    </w:p>
    <w:p w14:paraId="60CF4D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4.11其它验收要求：无</w:t>
      </w:r>
    </w:p>
    <w:p w14:paraId="5014D6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ascii="Times New Roman" w:hAnsi="Times New Roman" w:eastAsia="仿宋" w:cs="Times New Roman"/>
          <w:sz w:val="24"/>
          <w:szCs w:val="24"/>
        </w:rPr>
      </w:pPr>
      <w:r>
        <w:rPr>
          <w:rFonts w:hint="default" w:ascii="仿宋" w:hAnsi="仿宋" w:eastAsia="仿宋" w:cs="仿宋"/>
          <w:color w:val="auto"/>
          <w:sz w:val="24"/>
          <w:szCs w:val="24"/>
          <w:highlight w:val="none"/>
          <w:lang w:val="en-US" w:eastAsia="zh-CN"/>
        </w:rPr>
        <w:t>5.知识产权归属：保证全部设计成果均为原创，不侵犯任何第三方知识产权；项目最终验收后，其全部知识产权将完整、无条件地归属于采购人；供应商对过程中接触的涉密信息严格保密。（提供承诺函并加盖供应商公章）</w:t>
      </w: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tbl>
      <w:tblPr>
        <w:tblStyle w:val="18"/>
        <w:tblpPr w:leftFromText="180" w:rightFromText="180" w:vertAnchor="text" w:horzAnchor="page" w:tblpX="1120" w:tblpY="694"/>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062"/>
        <w:gridCol w:w="1245"/>
        <w:gridCol w:w="6832"/>
      </w:tblGrid>
      <w:tr w14:paraId="3F9B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trPr>
        <w:tc>
          <w:tcPr>
            <w:tcW w:w="360" w:type="pct"/>
            <w:vAlign w:val="center"/>
          </w:tcPr>
          <w:p w14:paraId="393164F2">
            <w:pPr>
              <w:pStyle w:val="40"/>
              <w:adjustRightInd w:val="0"/>
              <w:snapToGrid w:val="0"/>
              <w:spacing w:line="360" w:lineRule="exact"/>
              <w:contextualSpacing/>
              <w:jc w:val="center"/>
              <w:rPr>
                <w:rFonts w:asciiTheme="majorEastAsia" w:hAnsiTheme="majorEastAsia" w:eastAsiaTheme="majorEastAsia"/>
                <w:b/>
                <w:sz w:val="21"/>
                <w:szCs w:val="21"/>
              </w:rPr>
            </w:pPr>
            <w:r>
              <w:rPr>
                <w:rFonts w:asciiTheme="majorEastAsia" w:hAnsiTheme="majorEastAsia" w:eastAsiaTheme="majorEastAsia"/>
                <w:b/>
                <w:sz w:val="21"/>
                <w:szCs w:val="21"/>
              </w:rPr>
              <w:t>序号</w:t>
            </w:r>
          </w:p>
        </w:tc>
        <w:tc>
          <w:tcPr>
            <w:tcW w:w="539" w:type="pct"/>
            <w:vAlign w:val="center"/>
          </w:tcPr>
          <w:p w14:paraId="4EB60110">
            <w:pPr>
              <w:pStyle w:val="40"/>
              <w:adjustRightInd w:val="0"/>
              <w:snapToGrid w:val="0"/>
              <w:spacing w:line="360" w:lineRule="exact"/>
              <w:contextualSpacing/>
              <w:jc w:val="center"/>
              <w:rPr>
                <w:rFonts w:hint="eastAsia" w:asciiTheme="majorEastAsia" w:hAnsiTheme="majorEastAsia" w:eastAsiaTheme="majorEastAsia"/>
                <w:b/>
                <w:sz w:val="21"/>
                <w:szCs w:val="21"/>
                <w:lang w:val="en-US" w:eastAsia="zh-CN"/>
              </w:rPr>
            </w:pPr>
            <w:r>
              <w:rPr>
                <w:rFonts w:asciiTheme="majorEastAsia" w:hAnsiTheme="majorEastAsia" w:eastAsiaTheme="majorEastAsia"/>
                <w:b/>
                <w:sz w:val="21"/>
                <w:szCs w:val="21"/>
              </w:rPr>
              <w:t>评审</w:t>
            </w:r>
            <w:r>
              <w:rPr>
                <w:rFonts w:hint="eastAsia" w:asciiTheme="majorEastAsia" w:hAnsiTheme="majorEastAsia" w:eastAsiaTheme="majorEastAsia"/>
                <w:b/>
                <w:sz w:val="21"/>
                <w:szCs w:val="21"/>
                <w:lang w:val="en-US" w:eastAsia="zh-CN"/>
              </w:rPr>
              <w:t>因素</w:t>
            </w:r>
          </w:p>
        </w:tc>
        <w:tc>
          <w:tcPr>
            <w:tcW w:w="632" w:type="pct"/>
            <w:vAlign w:val="center"/>
          </w:tcPr>
          <w:p w14:paraId="488636A6">
            <w:pPr>
              <w:pStyle w:val="40"/>
              <w:adjustRightInd w:val="0"/>
              <w:snapToGrid w:val="0"/>
              <w:spacing w:line="360" w:lineRule="exact"/>
              <w:contextualSpacing/>
              <w:jc w:val="center"/>
              <w:rPr>
                <w:rFonts w:hint="eastAsia" w:asciiTheme="majorEastAsia" w:hAnsiTheme="majorEastAsia" w:eastAsiaTheme="majorEastAsia"/>
                <w:b/>
                <w:sz w:val="21"/>
                <w:szCs w:val="21"/>
                <w:lang w:val="en-US" w:eastAsia="zh-CN"/>
              </w:rPr>
            </w:pPr>
            <w:r>
              <w:rPr>
                <w:rFonts w:hint="eastAsia" w:asciiTheme="majorEastAsia" w:hAnsiTheme="majorEastAsia" w:eastAsiaTheme="majorEastAsia"/>
                <w:b/>
                <w:sz w:val="21"/>
                <w:szCs w:val="21"/>
                <w:lang w:val="en-US" w:eastAsia="zh-CN"/>
              </w:rPr>
              <w:t>分值</w:t>
            </w:r>
          </w:p>
        </w:tc>
        <w:tc>
          <w:tcPr>
            <w:tcW w:w="3468" w:type="pct"/>
            <w:vAlign w:val="center"/>
          </w:tcPr>
          <w:p w14:paraId="3C42EE97">
            <w:pPr>
              <w:pStyle w:val="40"/>
              <w:adjustRightInd w:val="0"/>
              <w:snapToGrid w:val="0"/>
              <w:spacing w:line="360" w:lineRule="exact"/>
              <w:contextualSpacing/>
              <w:jc w:val="center"/>
              <w:rPr>
                <w:rFonts w:asciiTheme="majorEastAsia" w:hAnsiTheme="majorEastAsia" w:eastAsiaTheme="majorEastAsia"/>
                <w:b/>
                <w:sz w:val="21"/>
                <w:szCs w:val="21"/>
              </w:rPr>
            </w:pPr>
            <w:r>
              <w:rPr>
                <w:rFonts w:asciiTheme="majorEastAsia" w:hAnsiTheme="majorEastAsia" w:eastAsiaTheme="majorEastAsia"/>
                <w:b/>
                <w:sz w:val="21"/>
                <w:szCs w:val="21"/>
              </w:rPr>
              <w:t>具体标准和要求</w:t>
            </w:r>
          </w:p>
        </w:tc>
      </w:tr>
      <w:tr w14:paraId="167C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0" w:type="pct"/>
            <w:vAlign w:val="center"/>
          </w:tcPr>
          <w:p w14:paraId="39C4B272">
            <w:pPr>
              <w:pStyle w:val="40"/>
              <w:adjustRightInd w:val="0"/>
              <w:snapToGrid w:val="0"/>
              <w:spacing w:line="360" w:lineRule="exact"/>
              <w:contextualSpacing/>
              <w:jc w:val="center"/>
              <w:rPr>
                <w:rFonts w:hint="eastAsia" w:asciiTheme="majorEastAsia" w:hAnsiTheme="majorEastAsia" w:eastAsiaTheme="majorEastAsia"/>
                <w:sz w:val="21"/>
                <w:szCs w:val="21"/>
                <w:lang w:val="en-US" w:eastAsia="zh-CN"/>
              </w:rPr>
            </w:pPr>
            <w:r>
              <w:rPr>
                <w:rFonts w:hint="eastAsia" w:asciiTheme="majorEastAsia" w:hAnsiTheme="majorEastAsia" w:eastAsiaTheme="majorEastAsia"/>
                <w:sz w:val="21"/>
                <w:szCs w:val="21"/>
                <w:lang w:val="en-US" w:eastAsia="zh-CN"/>
              </w:rPr>
              <w:t>1</w:t>
            </w:r>
          </w:p>
        </w:tc>
        <w:tc>
          <w:tcPr>
            <w:tcW w:w="539" w:type="pct"/>
            <w:vAlign w:val="center"/>
          </w:tcPr>
          <w:p w14:paraId="220AFFCF">
            <w:pPr>
              <w:pStyle w:val="40"/>
              <w:adjustRightInd w:val="0"/>
              <w:snapToGrid w:val="0"/>
              <w:spacing w:line="360" w:lineRule="exact"/>
              <w:contextualSpacing/>
              <w:jc w:val="center"/>
              <w:rPr>
                <w:rFonts w:hint="default" w:asciiTheme="majorEastAsia" w:hAnsiTheme="majorEastAsia" w:eastAsiaTheme="majorEastAsia"/>
                <w:sz w:val="21"/>
                <w:szCs w:val="21"/>
                <w:lang w:val="en-US" w:eastAsia="zh-CN"/>
              </w:rPr>
            </w:pPr>
            <w:r>
              <w:rPr>
                <w:rFonts w:hint="eastAsia" w:asciiTheme="majorEastAsia" w:hAnsiTheme="majorEastAsia" w:eastAsiaTheme="majorEastAsia"/>
                <w:sz w:val="21"/>
                <w:szCs w:val="21"/>
                <w:lang w:val="en-US" w:eastAsia="zh-CN"/>
              </w:rPr>
              <w:t>报价10%</w:t>
            </w:r>
          </w:p>
        </w:tc>
        <w:tc>
          <w:tcPr>
            <w:tcW w:w="632" w:type="pct"/>
            <w:vAlign w:val="center"/>
          </w:tcPr>
          <w:p w14:paraId="22641CA1">
            <w:pPr>
              <w:pStyle w:val="40"/>
              <w:adjustRightInd w:val="0"/>
              <w:snapToGrid w:val="0"/>
              <w:spacing w:line="360" w:lineRule="exact"/>
              <w:contextualSpacing/>
              <w:jc w:val="center"/>
              <w:rPr>
                <w:rFonts w:hint="default" w:asciiTheme="majorEastAsia" w:hAnsiTheme="majorEastAsia" w:eastAsiaTheme="majorEastAsia"/>
                <w:sz w:val="21"/>
                <w:szCs w:val="21"/>
                <w:lang w:val="en-US" w:eastAsia="zh-CN"/>
              </w:rPr>
            </w:pPr>
            <w:r>
              <w:rPr>
                <w:rFonts w:hint="eastAsia" w:asciiTheme="majorEastAsia" w:hAnsiTheme="majorEastAsia" w:eastAsiaTheme="majorEastAsia"/>
                <w:sz w:val="21"/>
                <w:szCs w:val="21"/>
                <w:lang w:val="en-US" w:eastAsia="zh-CN"/>
              </w:rPr>
              <w:t>10</w:t>
            </w:r>
          </w:p>
        </w:tc>
        <w:tc>
          <w:tcPr>
            <w:tcW w:w="3468" w:type="pct"/>
            <w:vAlign w:val="center"/>
          </w:tcPr>
          <w:p w14:paraId="6B21D55D">
            <w:pPr>
              <w:pStyle w:val="40"/>
              <w:adjustRightInd w:val="0"/>
              <w:snapToGrid w:val="0"/>
              <w:spacing w:line="360" w:lineRule="exact"/>
              <w:contextualSpacing/>
              <w:rPr>
                <w:rFonts w:hint="default" w:asciiTheme="majorEastAsia" w:hAnsiTheme="majorEastAsia" w:eastAsiaTheme="majorEastAsia"/>
                <w:sz w:val="21"/>
                <w:szCs w:val="21"/>
                <w:lang w:val="en-US"/>
              </w:rPr>
            </w:pPr>
            <w:r>
              <w:rPr>
                <w:rFonts w:hint="default" w:asciiTheme="majorEastAsia" w:hAnsiTheme="majorEastAsia" w:eastAsiaTheme="majorEastAsia"/>
                <w:sz w:val="21"/>
                <w:szCs w:val="21"/>
                <w:lang w:val="en-US" w:eastAsia="zh-CN"/>
              </w:rPr>
              <w:t>以满足谈判文件要求</w:t>
            </w:r>
            <w:r>
              <w:rPr>
                <w:rFonts w:hint="eastAsia" w:asciiTheme="majorEastAsia" w:hAnsiTheme="majorEastAsia" w:eastAsiaTheme="majorEastAsia"/>
                <w:sz w:val="21"/>
                <w:szCs w:val="21"/>
                <w:lang w:val="en-US" w:eastAsia="zh-CN"/>
              </w:rPr>
              <w:t>的最低价</w:t>
            </w:r>
            <w:r>
              <w:rPr>
                <w:rFonts w:hint="default" w:asciiTheme="majorEastAsia" w:hAnsiTheme="majorEastAsia" w:eastAsiaTheme="majorEastAsia"/>
                <w:sz w:val="21"/>
                <w:szCs w:val="21"/>
                <w:lang w:val="en-US" w:eastAsia="zh-CN"/>
              </w:rPr>
              <w:t>为评审基准价，其价格分为满分。其他供应商的报价得分按照下列公式计算：</w:t>
            </w:r>
            <w:r>
              <w:rPr>
                <w:rFonts w:hint="eastAsia" w:asciiTheme="majorEastAsia" w:hAnsiTheme="majorEastAsia" w:eastAsiaTheme="majorEastAsia"/>
                <w:sz w:val="21"/>
                <w:szCs w:val="21"/>
              </w:rPr>
              <w:t>（基准价/报价）*</w:t>
            </w:r>
            <w:r>
              <w:rPr>
                <w:rFonts w:hint="eastAsia" w:asciiTheme="majorEastAsia" w:hAnsiTheme="majorEastAsia" w:eastAsiaTheme="majorEastAsia"/>
                <w:sz w:val="21"/>
                <w:szCs w:val="21"/>
                <w:lang w:val="en-US" w:eastAsia="zh-CN"/>
              </w:rPr>
              <w:t>10</w:t>
            </w:r>
          </w:p>
        </w:tc>
      </w:tr>
      <w:tr w14:paraId="73F3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0" w:type="pct"/>
            <w:vAlign w:val="center"/>
          </w:tcPr>
          <w:p w14:paraId="0709B0FA">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1</w:t>
            </w:r>
          </w:p>
        </w:tc>
        <w:tc>
          <w:tcPr>
            <w:tcW w:w="539" w:type="pct"/>
            <w:vAlign w:val="center"/>
          </w:tcPr>
          <w:p w14:paraId="7323AE38">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项目设计</w:t>
            </w:r>
          </w:p>
          <w:p w14:paraId="2C64B5DB">
            <w:pPr>
              <w:pStyle w:val="40"/>
              <w:adjustRightInd w:val="0"/>
              <w:snapToGrid w:val="0"/>
              <w:spacing w:line="360" w:lineRule="exact"/>
              <w:contextualSpacing/>
              <w:jc w:val="center"/>
              <w:rPr>
                <w:rFonts w:asciiTheme="majorEastAsia" w:hAnsiTheme="majorEastAsia" w:eastAsiaTheme="majorEastAsia"/>
                <w:sz w:val="21"/>
                <w:szCs w:val="21"/>
              </w:rPr>
            </w:pPr>
            <w:r>
              <w:rPr>
                <w:rFonts w:asciiTheme="majorEastAsia" w:hAnsiTheme="majorEastAsia" w:eastAsiaTheme="majorEastAsia"/>
                <w:sz w:val="21"/>
                <w:szCs w:val="21"/>
              </w:rPr>
              <w:t>思路方案</w:t>
            </w:r>
          </w:p>
          <w:p w14:paraId="5C636B2A">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lang w:val="en-US" w:eastAsia="zh-CN"/>
              </w:rPr>
              <w:t>15</w:t>
            </w:r>
            <w:r>
              <w:rPr>
                <w:rFonts w:hint="eastAsia" w:asciiTheme="majorEastAsia" w:hAnsiTheme="majorEastAsia" w:eastAsiaTheme="majorEastAsia"/>
                <w:sz w:val="21"/>
                <w:szCs w:val="21"/>
              </w:rPr>
              <w:t>%</w:t>
            </w:r>
          </w:p>
        </w:tc>
        <w:tc>
          <w:tcPr>
            <w:tcW w:w="632" w:type="pct"/>
            <w:vAlign w:val="center"/>
          </w:tcPr>
          <w:p w14:paraId="2F751C98">
            <w:pPr>
              <w:pStyle w:val="40"/>
              <w:adjustRightInd w:val="0"/>
              <w:snapToGrid w:val="0"/>
              <w:spacing w:line="360" w:lineRule="exact"/>
              <w:contextualSpacing/>
              <w:jc w:val="center"/>
              <w:rPr>
                <w:rFonts w:hint="default" w:asciiTheme="majorEastAsia" w:hAnsiTheme="majorEastAsia" w:eastAsiaTheme="majorEastAsia"/>
                <w:sz w:val="21"/>
                <w:szCs w:val="21"/>
                <w:lang w:val="en-US" w:eastAsia="zh-CN"/>
              </w:rPr>
            </w:pPr>
            <w:bookmarkStart w:id="19" w:name="OLE_LINK5"/>
            <w:r>
              <w:rPr>
                <w:rFonts w:hint="eastAsia" w:asciiTheme="majorEastAsia" w:hAnsiTheme="majorEastAsia" w:eastAsiaTheme="majorEastAsia"/>
                <w:sz w:val="21"/>
                <w:szCs w:val="21"/>
                <w:lang w:val="en-US" w:eastAsia="zh-CN"/>
              </w:rPr>
              <w:t>15</w:t>
            </w:r>
          </w:p>
        </w:tc>
        <w:tc>
          <w:tcPr>
            <w:tcW w:w="3468" w:type="pct"/>
            <w:vAlign w:val="center"/>
          </w:tcPr>
          <w:p w14:paraId="3C7E4A60">
            <w:pPr>
              <w:pStyle w:val="40"/>
              <w:adjustRightInd w:val="0"/>
              <w:snapToGrid w:val="0"/>
              <w:spacing w:line="360" w:lineRule="exact"/>
              <w:contextualSpacing/>
              <w:rPr>
                <w:rFonts w:hint="eastAsia" w:asciiTheme="majorEastAsia" w:hAnsiTheme="majorEastAsia" w:eastAsiaTheme="majorEastAsia"/>
                <w:sz w:val="21"/>
                <w:szCs w:val="21"/>
              </w:rPr>
            </w:pPr>
            <w:r>
              <w:rPr>
                <w:rFonts w:asciiTheme="majorEastAsia" w:hAnsiTheme="majorEastAsia" w:eastAsiaTheme="majorEastAsia"/>
                <w:sz w:val="21"/>
                <w:szCs w:val="21"/>
              </w:rPr>
              <w:t>根据供应商针对本项目的</w:t>
            </w:r>
            <w:bookmarkEnd w:id="19"/>
            <w:r>
              <w:rPr>
                <w:rFonts w:asciiTheme="majorEastAsia" w:hAnsiTheme="majorEastAsia" w:eastAsiaTheme="majorEastAsia"/>
                <w:sz w:val="21"/>
                <w:szCs w:val="21"/>
              </w:rPr>
              <w:t>设计思路规划方案进行评审</w:t>
            </w:r>
            <w:r>
              <w:rPr>
                <w:rFonts w:hint="eastAsia" w:asciiTheme="majorEastAsia" w:hAnsiTheme="majorEastAsia" w:eastAsiaTheme="majorEastAsia"/>
                <w:sz w:val="21"/>
                <w:szCs w:val="21"/>
              </w:rPr>
              <w:t>，</w:t>
            </w:r>
            <w:r>
              <w:rPr>
                <w:rFonts w:asciiTheme="majorEastAsia" w:hAnsiTheme="majorEastAsia" w:eastAsiaTheme="majorEastAsia"/>
                <w:sz w:val="21"/>
                <w:szCs w:val="21"/>
              </w:rPr>
              <w:t>包括：</w:t>
            </w:r>
            <w:r>
              <w:rPr>
                <w:rFonts w:hint="eastAsia" w:asciiTheme="majorEastAsia" w:hAnsiTheme="majorEastAsia" w:eastAsiaTheme="majorEastAsia"/>
                <w:sz w:val="21"/>
                <w:szCs w:val="21"/>
              </w:rPr>
              <w:t>①</w:t>
            </w:r>
            <w:r>
              <w:rPr>
                <w:rFonts w:asciiTheme="majorEastAsia" w:hAnsiTheme="majorEastAsia" w:eastAsiaTheme="majorEastAsia"/>
                <w:sz w:val="21"/>
                <w:szCs w:val="21"/>
              </w:rPr>
              <w:t>对本项目设计工作的理解和认知</w:t>
            </w:r>
            <w:r>
              <w:rPr>
                <w:rFonts w:hint="eastAsia" w:asciiTheme="majorEastAsia" w:hAnsiTheme="majorEastAsia" w:eastAsiaTheme="majorEastAsia"/>
                <w:sz w:val="21"/>
                <w:szCs w:val="21"/>
              </w:rPr>
              <w:t>②</w:t>
            </w:r>
            <w:r>
              <w:rPr>
                <w:rFonts w:asciiTheme="majorEastAsia" w:hAnsiTheme="majorEastAsia" w:eastAsiaTheme="majorEastAsia"/>
                <w:sz w:val="21"/>
                <w:szCs w:val="21"/>
              </w:rPr>
              <w:t>设计重难点分析及</w:t>
            </w:r>
            <w:r>
              <w:rPr>
                <w:rFonts w:hint="eastAsia" w:asciiTheme="majorEastAsia" w:hAnsiTheme="majorEastAsia" w:eastAsiaTheme="majorEastAsia"/>
                <w:sz w:val="21"/>
                <w:szCs w:val="21"/>
              </w:rPr>
              <w:t>应对</w:t>
            </w:r>
            <w:r>
              <w:rPr>
                <w:rFonts w:asciiTheme="majorEastAsia" w:hAnsiTheme="majorEastAsia" w:eastAsiaTheme="majorEastAsia"/>
                <w:sz w:val="21"/>
                <w:szCs w:val="21"/>
              </w:rPr>
              <w:t>策略</w:t>
            </w:r>
            <w:r>
              <w:rPr>
                <w:rFonts w:hint="eastAsia" w:asciiTheme="majorEastAsia" w:hAnsiTheme="majorEastAsia" w:eastAsiaTheme="majorEastAsia"/>
                <w:sz w:val="21"/>
                <w:szCs w:val="21"/>
              </w:rPr>
              <w:t>③</w:t>
            </w:r>
            <w:r>
              <w:rPr>
                <w:rFonts w:asciiTheme="majorEastAsia" w:hAnsiTheme="majorEastAsia" w:eastAsiaTheme="majorEastAsia"/>
                <w:sz w:val="21"/>
                <w:szCs w:val="21"/>
              </w:rPr>
              <w:t>设计总体思路及理念</w:t>
            </w:r>
            <w:r>
              <w:rPr>
                <w:rFonts w:hint="eastAsia" w:asciiTheme="majorEastAsia" w:hAnsiTheme="majorEastAsia" w:eastAsiaTheme="majorEastAsia"/>
                <w:sz w:val="21"/>
                <w:szCs w:val="21"/>
              </w:rPr>
              <w:t>。方案内容齐全且没有缺陷的得</w:t>
            </w:r>
            <w:r>
              <w:rPr>
                <w:rFonts w:hint="eastAsia" w:asciiTheme="majorEastAsia" w:hAnsiTheme="majorEastAsia" w:eastAsiaTheme="majorEastAsia"/>
                <w:sz w:val="21"/>
                <w:szCs w:val="21"/>
                <w:lang w:val="en-US" w:eastAsia="zh-CN"/>
              </w:rPr>
              <w:t>15</w:t>
            </w:r>
            <w:r>
              <w:rPr>
                <w:rFonts w:hint="eastAsia" w:asciiTheme="majorEastAsia" w:hAnsiTheme="majorEastAsia" w:eastAsiaTheme="majorEastAsia"/>
                <w:sz w:val="21"/>
                <w:szCs w:val="21"/>
              </w:rPr>
              <w:t>分，每有一项内容缺失扣</w:t>
            </w:r>
            <w:r>
              <w:rPr>
                <w:rFonts w:hint="eastAsia" w:asciiTheme="majorEastAsia" w:hAnsiTheme="majorEastAsia" w:eastAsiaTheme="majorEastAsia"/>
                <w:sz w:val="21"/>
                <w:szCs w:val="21"/>
                <w:lang w:val="en-US" w:eastAsia="zh-CN"/>
              </w:rPr>
              <w:t>5</w:t>
            </w:r>
            <w:r>
              <w:rPr>
                <w:rFonts w:hint="eastAsia" w:asciiTheme="majorEastAsia" w:hAnsiTheme="majorEastAsia" w:eastAsiaTheme="majorEastAsia"/>
                <w:sz w:val="21"/>
                <w:szCs w:val="21"/>
              </w:rPr>
              <w:t>分，每有一处内容有缺陷或内容表述不完整的扣</w:t>
            </w:r>
            <w:r>
              <w:rPr>
                <w:rFonts w:hint="eastAsia" w:asciiTheme="majorEastAsia" w:hAnsiTheme="majorEastAsia" w:eastAsiaTheme="majorEastAsia"/>
                <w:sz w:val="21"/>
                <w:szCs w:val="21"/>
                <w:lang w:val="en-US" w:eastAsia="zh-CN"/>
              </w:rPr>
              <w:t>2.5</w:t>
            </w:r>
            <w:r>
              <w:rPr>
                <w:rFonts w:hint="eastAsia" w:asciiTheme="majorEastAsia" w:hAnsiTheme="majorEastAsia" w:eastAsiaTheme="majorEastAsia"/>
                <w:sz w:val="21"/>
                <w:szCs w:val="21"/>
              </w:rPr>
              <w:t>分，直至本项分值扣完为止。</w:t>
            </w:r>
          </w:p>
          <w:p w14:paraId="71C11816">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lang w:val="en-US" w:eastAsia="zh-CN"/>
              </w:rPr>
              <w:t>注：缺陷</w:t>
            </w:r>
            <w:r>
              <w:rPr>
                <w:rFonts w:hint="eastAsia" w:asciiTheme="majorEastAsia" w:hAnsiTheme="majorEastAsia" w:eastAsiaTheme="majorEastAsia"/>
                <w:sz w:val="21"/>
                <w:szCs w:val="21"/>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0969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0" w:type="pct"/>
            <w:vAlign w:val="center"/>
          </w:tcPr>
          <w:p w14:paraId="16D48B61">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2</w:t>
            </w:r>
          </w:p>
        </w:tc>
        <w:tc>
          <w:tcPr>
            <w:tcW w:w="539" w:type="pct"/>
            <w:vAlign w:val="center"/>
          </w:tcPr>
          <w:p w14:paraId="0817149A">
            <w:pPr>
              <w:pStyle w:val="40"/>
              <w:adjustRightInd w:val="0"/>
              <w:snapToGrid w:val="0"/>
              <w:spacing w:line="360" w:lineRule="exact"/>
              <w:contextualSpacing/>
              <w:jc w:val="center"/>
              <w:rPr>
                <w:rFonts w:asciiTheme="majorEastAsia" w:hAnsiTheme="majorEastAsia" w:eastAsiaTheme="majorEastAsia"/>
                <w:sz w:val="21"/>
                <w:szCs w:val="21"/>
              </w:rPr>
            </w:pPr>
            <w:bookmarkStart w:id="20" w:name="OLE_LINK6"/>
            <w:r>
              <w:rPr>
                <w:rFonts w:hint="eastAsia" w:asciiTheme="majorEastAsia" w:hAnsiTheme="majorEastAsia" w:eastAsiaTheme="majorEastAsia"/>
                <w:sz w:val="21"/>
                <w:szCs w:val="21"/>
              </w:rPr>
              <w:t>设计质量保障方案</w:t>
            </w:r>
            <w:bookmarkEnd w:id="20"/>
          </w:p>
          <w:p w14:paraId="6A0F98FB">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lang w:val="en-US" w:eastAsia="zh-CN"/>
              </w:rPr>
              <w:t>16</w:t>
            </w:r>
            <w:r>
              <w:rPr>
                <w:rFonts w:hint="eastAsia" w:asciiTheme="majorEastAsia" w:hAnsiTheme="majorEastAsia" w:eastAsiaTheme="majorEastAsia"/>
                <w:sz w:val="21"/>
                <w:szCs w:val="21"/>
              </w:rPr>
              <w:t>%</w:t>
            </w:r>
          </w:p>
        </w:tc>
        <w:tc>
          <w:tcPr>
            <w:tcW w:w="632" w:type="pct"/>
            <w:vAlign w:val="center"/>
          </w:tcPr>
          <w:p w14:paraId="66EE2704">
            <w:pPr>
              <w:pStyle w:val="40"/>
              <w:adjustRightInd w:val="0"/>
              <w:snapToGrid w:val="0"/>
              <w:spacing w:line="360" w:lineRule="exact"/>
              <w:contextualSpacing/>
              <w:jc w:val="center"/>
              <w:rPr>
                <w:rFonts w:hint="default" w:asciiTheme="majorEastAsia" w:hAnsiTheme="majorEastAsia" w:eastAsiaTheme="majorEastAsia"/>
                <w:sz w:val="21"/>
                <w:szCs w:val="21"/>
                <w:lang w:val="en-US" w:eastAsia="zh-CN"/>
              </w:rPr>
            </w:pPr>
            <w:r>
              <w:rPr>
                <w:rFonts w:hint="eastAsia" w:asciiTheme="majorEastAsia" w:hAnsiTheme="majorEastAsia" w:eastAsiaTheme="majorEastAsia"/>
                <w:sz w:val="21"/>
                <w:szCs w:val="21"/>
                <w:lang w:val="en-US" w:eastAsia="zh-CN"/>
              </w:rPr>
              <w:t>16</w:t>
            </w:r>
          </w:p>
        </w:tc>
        <w:tc>
          <w:tcPr>
            <w:tcW w:w="3468" w:type="pct"/>
            <w:vAlign w:val="center"/>
          </w:tcPr>
          <w:p w14:paraId="5777D3B4">
            <w:pPr>
              <w:pStyle w:val="40"/>
              <w:adjustRightInd w:val="0"/>
              <w:snapToGrid w:val="0"/>
              <w:spacing w:line="360" w:lineRule="exact"/>
              <w:contextualSpacing/>
              <w:rPr>
                <w:rFonts w:hint="eastAsia" w:asciiTheme="majorEastAsia" w:hAnsiTheme="majorEastAsia" w:eastAsiaTheme="majorEastAsia"/>
                <w:sz w:val="21"/>
                <w:szCs w:val="21"/>
              </w:rPr>
            </w:pPr>
            <w:r>
              <w:rPr>
                <w:rFonts w:asciiTheme="majorEastAsia" w:hAnsiTheme="majorEastAsia" w:eastAsiaTheme="majorEastAsia"/>
                <w:sz w:val="21"/>
                <w:szCs w:val="21"/>
              </w:rPr>
              <w:t>根据供应商针对本项目的设计思路规划方案进行评审</w:t>
            </w:r>
            <w:r>
              <w:rPr>
                <w:rFonts w:hint="eastAsia" w:asciiTheme="majorEastAsia" w:hAnsiTheme="majorEastAsia" w:eastAsiaTheme="majorEastAsia"/>
                <w:sz w:val="21"/>
                <w:szCs w:val="21"/>
              </w:rPr>
              <w:t>，</w:t>
            </w:r>
            <w:r>
              <w:rPr>
                <w:rFonts w:asciiTheme="majorEastAsia" w:hAnsiTheme="majorEastAsia" w:eastAsiaTheme="majorEastAsia"/>
                <w:sz w:val="21"/>
                <w:szCs w:val="21"/>
              </w:rPr>
              <w:t>包括：①设计团队保障 ②设计全流程质量管控流程 ③设计成果审核校验标准 ④设计变更应急处理机制。</w:t>
            </w:r>
            <w:r>
              <w:rPr>
                <w:rFonts w:hint="eastAsia" w:asciiTheme="majorEastAsia" w:hAnsiTheme="majorEastAsia" w:eastAsiaTheme="majorEastAsia"/>
                <w:sz w:val="21"/>
                <w:szCs w:val="21"/>
              </w:rPr>
              <w:t>方案内容齐全且没有缺陷的得</w:t>
            </w:r>
            <w:r>
              <w:rPr>
                <w:rFonts w:hint="eastAsia" w:asciiTheme="majorEastAsia" w:hAnsiTheme="majorEastAsia" w:eastAsiaTheme="majorEastAsia"/>
                <w:sz w:val="21"/>
                <w:szCs w:val="21"/>
                <w:lang w:val="en-US" w:eastAsia="zh-CN"/>
              </w:rPr>
              <w:t>16</w:t>
            </w:r>
            <w:r>
              <w:rPr>
                <w:rFonts w:hint="eastAsia" w:asciiTheme="majorEastAsia" w:hAnsiTheme="majorEastAsia" w:eastAsiaTheme="majorEastAsia"/>
                <w:sz w:val="21"/>
                <w:szCs w:val="21"/>
              </w:rPr>
              <w:t>分，每有一项内容缺失扣</w:t>
            </w:r>
            <w:r>
              <w:rPr>
                <w:rFonts w:hint="eastAsia" w:asciiTheme="majorEastAsia" w:hAnsiTheme="majorEastAsia" w:eastAsiaTheme="majorEastAsia"/>
                <w:sz w:val="21"/>
                <w:szCs w:val="21"/>
                <w:lang w:val="en-US" w:eastAsia="zh-CN"/>
              </w:rPr>
              <w:t>4</w:t>
            </w:r>
            <w:r>
              <w:rPr>
                <w:rFonts w:hint="eastAsia" w:asciiTheme="majorEastAsia" w:hAnsiTheme="majorEastAsia" w:eastAsiaTheme="majorEastAsia"/>
                <w:sz w:val="21"/>
                <w:szCs w:val="21"/>
              </w:rPr>
              <w:t>分，每有一处内容有缺陷或内容表述不完整的扣</w:t>
            </w:r>
            <w:r>
              <w:rPr>
                <w:rFonts w:hint="eastAsia" w:asciiTheme="majorEastAsia" w:hAnsiTheme="majorEastAsia" w:eastAsiaTheme="majorEastAsia"/>
                <w:sz w:val="21"/>
                <w:szCs w:val="21"/>
                <w:lang w:val="en-US" w:eastAsia="zh-CN"/>
              </w:rPr>
              <w:t>2</w:t>
            </w:r>
            <w:r>
              <w:rPr>
                <w:rFonts w:hint="eastAsia" w:asciiTheme="majorEastAsia" w:hAnsiTheme="majorEastAsia" w:eastAsiaTheme="majorEastAsia"/>
                <w:sz w:val="21"/>
                <w:szCs w:val="21"/>
              </w:rPr>
              <w:t>分，直至本项分值扣完为止。</w:t>
            </w:r>
          </w:p>
          <w:p w14:paraId="675C452F">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lang w:val="en-US" w:eastAsia="zh-CN"/>
              </w:rPr>
              <w:t>注：缺陷</w:t>
            </w:r>
            <w:r>
              <w:rPr>
                <w:rFonts w:hint="eastAsia" w:asciiTheme="majorEastAsia" w:hAnsiTheme="majorEastAsia" w:eastAsiaTheme="majorEastAsia"/>
                <w:sz w:val="21"/>
                <w:szCs w:val="21"/>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7517A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0" w:type="pct"/>
            <w:vAlign w:val="center"/>
          </w:tcPr>
          <w:p w14:paraId="48FDA667">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3</w:t>
            </w:r>
          </w:p>
        </w:tc>
        <w:tc>
          <w:tcPr>
            <w:tcW w:w="539" w:type="pct"/>
            <w:vAlign w:val="center"/>
          </w:tcPr>
          <w:p w14:paraId="74BA7D44">
            <w:pPr>
              <w:pStyle w:val="40"/>
              <w:adjustRightInd w:val="0"/>
              <w:snapToGrid w:val="0"/>
              <w:spacing w:line="360" w:lineRule="exact"/>
              <w:contextualSpacing/>
              <w:jc w:val="center"/>
              <w:rPr>
                <w:rFonts w:asciiTheme="majorEastAsia" w:hAnsiTheme="majorEastAsia" w:eastAsiaTheme="majorEastAsia"/>
                <w:sz w:val="21"/>
                <w:szCs w:val="21"/>
              </w:rPr>
            </w:pPr>
            <w:r>
              <w:rPr>
                <w:rFonts w:asciiTheme="majorEastAsia" w:hAnsiTheme="majorEastAsia" w:eastAsiaTheme="majorEastAsia"/>
                <w:sz w:val="21"/>
                <w:szCs w:val="21"/>
              </w:rPr>
              <w:t>业绩</w:t>
            </w:r>
          </w:p>
          <w:p w14:paraId="4D546FCF">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lang w:val="en-US" w:eastAsia="zh-CN"/>
              </w:rPr>
              <w:t>30</w:t>
            </w:r>
            <w:r>
              <w:rPr>
                <w:rFonts w:hint="eastAsia" w:asciiTheme="majorEastAsia" w:hAnsiTheme="majorEastAsia" w:eastAsiaTheme="majorEastAsia"/>
                <w:sz w:val="21"/>
                <w:szCs w:val="21"/>
              </w:rPr>
              <w:t>%</w:t>
            </w:r>
          </w:p>
        </w:tc>
        <w:tc>
          <w:tcPr>
            <w:tcW w:w="632" w:type="pct"/>
            <w:vAlign w:val="center"/>
          </w:tcPr>
          <w:p w14:paraId="1C51D2A6">
            <w:pPr>
              <w:pStyle w:val="40"/>
              <w:adjustRightInd w:val="0"/>
              <w:snapToGrid w:val="0"/>
              <w:spacing w:line="360" w:lineRule="exact"/>
              <w:contextualSpacing/>
              <w:jc w:val="center"/>
              <w:rPr>
                <w:rFonts w:hint="default" w:asciiTheme="majorEastAsia" w:hAnsiTheme="majorEastAsia" w:eastAsiaTheme="majorEastAsia"/>
                <w:sz w:val="21"/>
                <w:szCs w:val="21"/>
                <w:lang w:val="en-US" w:eastAsia="zh-CN"/>
              </w:rPr>
            </w:pPr>
            <w:r>
              <w:rPr>
                <w:rFonts w:hint="eastAsia" w:asciiTheme="majorEastAsia" w:hAnsiTheme="majorEastAsia" w:eastAsiaTheme="majorEastAsia"/>
                <w:sz w:val="21"/>
                <w:szCs w:val="21"/>
                <w:lang w:val="en-US" w:eastAsia="zh-CN"/>
              </w:rPr>
              <w:t>30</w:t>
            </w:r>
          </w:p>
        </w:tc>
        <w:tc>
          <w:tcPr>
            <w:tcW w:w="3468" w:type="pct"/>
            <w:vAlign w:val="center"/>
          </w:tcPr>
          <w:p w14:paraId="7D19A737">
            <w:pPr>
              <w:pStyle w:val="40"/>
              <w:adjustRightInd w:val="0"/>
              <w:snapToGrid w:val="0"/>
              <w:spacing w:line="360" w:lineRule="exact"/>
              <w:contextualSpacing/>
              <w:rPr>
                <w:rFonts w:asciiTheme="majorEastAsia" w:hAnsiTheme="majorEastAsia" w:eastAsiaTheme="majorEastAsia"/>
                <w:sz w:val="21"/>
                <w:szCs w:val="21"/>
              </w:rPr>
            </w:pPr>
            <w:r>
              <w:rPr>
                <w:rFonts w:asciiTheme="majorEastAsia" w:hAnsiTheme="majorEastAsia" w:eastAsiaTheme="majorEastAsia"/>
                <w:sz w:val="21"/>
                <w:szCs w:val="21"/>
              </w:rPr>
              <w:t>供应商提供202</w:t>
            </w:r>
            <w:r>
              <w:rPr>
                <w:rFonts w:hint="eastAsia" w:asciiTheme="majorEastAsia" w:hAnsiTheme="majorEastAsia" w:eastAsiaTheme="majorEastAsia"/>
                <w:sz w:val="21"/>
                <w:szCs w:val="21"/>
              </w:rPr>
              <w:t>3</w:t>
            </w:r>
            <w:r>
              <w:rPr>
                <w:rFonts w:asciiTheme="majorEastAsia" w:hAnsiTheme="majorEastAsia" w:eastAsiaTheme="majorEastAsia"/>
                <w:sz w:val="21"/>
                <w:szCs w:val="21"/>
              </w:rPr>
              <w:t>年1月1日（含）至递交投标文件截止日的</w:t>
            </w:r>
            <w:r>
              <w:rPr>
                <w:rFonts w:hint="eastAsia" w:asciiTheme="majorEastAsia" w:hAnsiTheme="majorEastAsia" w:eastAsiaTheme="majorEastAsia"/>
                <w:sz w:val="21"/>
                <w:szCs w:val="21"/>
              </w:rPr>
              <w:t>医疗系统</w:t>
            </w:r>
            <w:r>
              <w:rPr>
                <w:rFonts w:asciiTheme="majorEastAsia" w:hAnsiTheme="majorEastAsia" w:eastAsiaTheme="majorEastAsia"/>
                <w:sz w:val="21"/>
                <w:szCs w:val="21"/>
              </w:rPr>
              <w:t>的</w:t>
            </w:r>
            <w:r>
              <w:rPr>
                <w:rFonts w:hint="default" w:asciiTheme="majorEastAsia" w:hAnsiTheme="majorEastAsia" w:eastAsiaTheme="majorEastAsia"/>
                <w:sz w:val="21"/>
                <w:szCs w:val="21"/>
                <w:lang w:val="en-US" w:eastAsia="zh-CN"/>
              </w:rPr>
              <w:t>建筑物导视设计规划类似</w:t>
            </w:r>
            <w:r>
              <w:rPr>
                <w:rFonts w:asciiTheme="majorEastAsia" w:hAnsiTheme="majorEastAsia" w:eastAsiaTheme="majorEastAsia"/>
                <w:sz w:val="21"/>
                <w:szCs w:val="21"/>
              </w:rPr>
              <w:t>业绩，</w:t>
            </w:r>
            <w:bookmarkStart w:id="21" w:name="OLE_LINK9"/>
            <w:r>
              <w:rPr>
                <w:rFonts w:asciiTheme="majorEastAsia" w:hAnsiTheme="majorEastAsia" w:eastAsiaTheme="majorEastAsia"/>
                <w:sz w:val="21"/>
                <w:szCs w:val="21"/>
              </w:rPr>
              <w:t>每提供一个得</w:t>
            </w:r>
            <w:r>
              <w:rPr>
                <w:rFonts w:hint="eastAsia" w:asciiTheme="majorEastAsia" w:hAnsiTheme="majorEastAsia" w:eastAsiaTheme="majorEastAsia"/>
                <w:sz w:val="21"/>
                <w:szCs w:val="21"/>
                <w:lang w:val="en-US" w:eastAsia="zh-CN"/>
              </w:rPr>
              <w:t>6</w:t>
            </w:r>
            <w:r>
              <w:rPr>
                <w:rFonts w:asciiTheme="majorEastAsia" w:hAnsiTheme="majorEastAsia" w:eastAsiaTheme="majorEastAsia"/>
                <w:sz w:val="21"/>
                <w:szCs w:val="21"/>
              </w:rPr>
              <w:t>分，最多得</w:t>
            </w:r>
            <w:r>
              <w:rPr>
                <w:rFonts w:hint="eastAsia" w:asciiTheme="majorEastAsia" w:hAnsiTheme="majorEastAsia" w:eastAsiaTheme="majorEastAsia"/>
                <w:sz w:val="21"/>
                <w:szCs w:val="21"/>
                <w:lang w:val="en-US" w:eastAsia="zh-CN"/>
              </w:rPr>
              <w:t>30</w:t>
            </w:r>
            <w:r>
              <w:rPr>
                <w:rFonts w:asciiTheme="majorEastAsia" w:hAnsiTheme="majorEastAsia" w:eastAsiaTheme="majorEastAsia"/>
                <w:sz w:val="21"/>
                <w:szCs w:val="21"/>
              </w:rPr>
              <w:t>分</w:t>
            </w:r>
            <w:bookmarkEnd w:id="21"/>
            <w:r>
              <w:rPr>
                <w:rFonts w:asciiTheme="majorEastAsia" w:hAnsiTheme="majorEastAsia" w:eastAsiaTheme="majorEastAsia"/>
                <w:sz w:val="21"/>
                <w:szCs w:val="21"/>
              </w:rPr>
              <w:t xml:space="preserve">。 </w:t>
            </w:r>
          </w:p>
          <w:p w14:paraId="6D22A228">
            <w:pPr>
              <w:pStyle w:val="40"/>
              <w:adjustRightInd w:val="0"/>
              <w:snapToGrid w:val="0"/>
              <w:spacing w:line="360" w:lineRule="exact"/>
              <w:contextualSpacing/>
              <w:rPr>
                <w:rFonts w:asciiTheme="majorEastAsia" w:hAnsiTheme="majorEastAsia" w:eastAsiaTheme="majorEastAsia"/>
                <w:sz w:val="21"/>
                <w:szCs w:val="21"/>
              </w:rPr>
            </w:pPr>
            <w:r>
              <w:rPr>
                <w:rFonts w:asciiTheme="majorEastAsia" w:hAnsiTheme="majorEastAsia" w:eastAsiaTheme="majorEastAsia"/>
                <w:sz w:val="21"/>
                <w:szCs w:val="21"/>
              </w:rPr>
              <w:t>业绩需提供</w:t>
            </w:r>
            <w:r>
              <w:rPr>
                <w:rFonts w:hint="eastAsia" w:asciiTheme="majorEastAsia" w:hAnsiTheme="majorEastAsia" w:eastAsiaTheme="majorEastAsia"/>
                <w:sz w:val="21"/>
                <w:szCs w:val="21"/>
              </w:rPr>
              <w:t>①</w:t>
            </w:r>
            <w:r>
              <w:rPr>
                <w:rFonts w:asciiTheme="majorEastAsia" w:hAnsiTheme="majorEastAsia" w:eastAsiaTheme="majorEastAsia"/>
                <w:sz w:val="21"/>
                <w:szCs w:val="21"/>
              </w:rPr>
              <w:t>合同关键页，至少包含</w:t>
            </w:r>
            <w:r>
              <w:rPr>
                <w:rFonts w:hint="eastAsia" w:asciiTheme="majorEastAsia" w:hAnsiTheme="majorEastAsia" w:eastAsiaTheme="majorEastAsia"/>
                <w:sz w:val="21"/>
                <w:szCs w:val="21"/>
              </w:rPr>
              <w:t>【合同首页、金额页（框架合同无具体金额予以认可）、体现合同主要内容页、合同签订时间或服务开始时间页、签字盖章页】②合同项下的任意一张发票。</w:t>
            </w:r>
          </w:p>
          <w:p w14:paraId="49A41F31">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rPr>
              <w:t>注：业绩证明材料中，提供的合同及发票中至少需要体现“标识标牌、标识牌、标牌”等关键信息。</w:t>
            </w:r>
          </w:p>
        </w:tc>
      </w:tr>
      <w:tr w14:paraId="43025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0" w:type="pct"/>
            <w:vAlign w:val="center"/>
          </w:tcPr>
          <w:p w14:paraId="38F5D899">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rPr>
              <w:t>4</w:t>
            </w:r>
          </w:p>
        </w:tc>
        <w:tc>
          <w:tcPr>
            <w:tcW w:w="539" w:type="pct"/>
            <w:vAlign w:val="center"/>
          </w:tcPr>
          <w:p w14:paraId="1724FCD9">
            <w:pPr>
              <w:pStyle w:val="40"/>
              <w:adjustRightInd w:val="0"/>
              <w:snapToGrid w:val="0"/>
              <w:spacing w:line="360" w:lineRule="exact"/>
              <w:contextualSpacing/>
              <w:jc w:val="center"/>
              <w:rPr>
                <w:rFonts w:asciiTheme="majorEastAsia" w:hAnsiTheme="majorEastAsia" w:eastAsiaTheme="majorEastAsia"/>
                <w:sz w:val="21"/>
                <w:szCs w:val="21"/>
              </w:rPr>
            </w:pPr>
            <w:r>
              <w:rPr>
                <w:rFonts w:asciiTheme="majorEastAsia" w:hAnsiTheme="majorEastAsia" w:eastAsiaTheme="majorEastAsia"/>
                <w:sz w:val="21"/>
                <w:szCs w:val="21"/>
              </w:rPr>
              <w:t>服务团队</w:t>
            </w:r>
          </w:p>
          <w:p w14:paraId="33C42A0D">
            <w:pPr>
              <w:pStyle w:val="40"/>
              <w:adjustRightInd w:val="0"/>
              <w:snapToGrid w:val="0"/>
              <w:spacing w:line="360" w:lineRule="exact"/>
              <w:contextualSpacing/>
              <w:jc w:val="center"/>
              <w:rPr>
                <w:rFonts w:asciiTheme="majorEastAsia" w:hAnsiTheme="majorEastAsia" w:eastAsiaTheme="majorEastAsia"/>
                <w:sz w:val="21"/>
                <w:szCs w:val="21"/>
              </w:rPr>
            </w:pPr>
            <w:r>
              <w:rPr>
                <w:rFonts w:hint="eastAsia" w:asciiTheme="majorEastAsia" w:hAnsiTheme="majorEastAsia" w:eastAsiaTheme="majorEastAsia"/>
                <w:sz w:val="21"/>
                <w:szCs w:val="21"/>
                <w:lang w:val="en-US" w:eastAsia="zh-CN"/>
              </w:rPr>
              <w:t>29</w:t>
            </w:r>
            <w:r>
              <w:rPr>
                <w:rFonts w:hint="eastAsia" w:asciiTheme="majorEastAsia" w:hAnsiTheme="majorEastAsia" w:eastAsiaTheme="majorEastAsia"/>
                <w:sz w:val="21"/>
                <w:szCs w:val="21"/>
              </w:rPr>
              <w:t>%</w:t>
            </w:r>
          </w:p>
        </w:tc>
        <w:tc>
          <w:tcPr>
            <w:tcW w:w="632" w:type="pct"/>
            <w:vAlign w:val="center"/>
          </w:tcPr>
          <w:p w14:paraId="3FC0E052">
            <w:pPr>
              <w:pStyle w:val="40"/>
              <w:adjustRightInd w:val="0"/>
              <w:snapToGrid w:val="0"/>
              <w:spacing w:line="360" w:lineRule="exact"/>
              <w:contextualSpacing/>
              <w:jc w:val="center"/>
              <w:rPr>
                <w:rFonts w:hint="default" w:asciiTheme="majorEastAsia" w:hAnsiTheme="majorEastAsia" w:eastAsiaTheme="majorEastAsia"/>
                <w:sz w:val="21"/>
                <w:szCs w:val="21"/>
                <w:lang w:val="en-US" w:eastAsia="zh-CN"/>
              </w:rPr>
            </w:pPr>
            <w:r>
              <w:rPr>
                <w:rFonts w:hint="eastAsia" w:asciiTheme="majorEastAsia" w:hAnsiTheme="majorEastAsia" w:eastAsiaTheme="majorEastAsia"/>
                <w:sz w:val="21"/>
                <w:szCs w:val="21"/>
                <w:lang w:val="en-US" w:eastAsia="zh-CN"/>
              </w:rPr>
              <w:t>29</w:t>
            </w:r>
          </w:p>
        </w:tc>
        <w:tc>
          <w:tcPr>
            <w:tcW w:w="3468" w:type="pct"/>
            <w:vAlign w:val="center"/>
          </w:tcPr>
          <w:p w14:paraId="6C58D4B8">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rPr>
              <w:t>1、</w:t>
            </w:r>
            <w:r>
              <w:rPr>
                <w:rFonts w:asciiTheme="majorEastAsia" w:hAnsiTheme="majorEastAsia" w:eastAsiaTheme="majorEastAsia"/>
                <w:sz w:val="21"/>
                <w:szCs w:val="21"/>
              </w:rPr>
              <w:t>配备</w:t>
            </w:r>
            <w:r>
              <w:rPr>
                <w:rFonts w:hint="eastAsia" w:asciiTheme="majorEastAsia" w:hAnsiTheme="majorEastAsia" w:eastAsiaTheme="majorEastAsia"/>
                <w:sz w:val="21"/>
                <w:szCs w:val="21"/>
              </w:rPr>
              <w:t>项目负责人、</w:t>
            </w:r>
            <w:r>
              <w:rPr>
                <w:rFonts w:asciiTheme="majorEastAsia" w:hAnsiTheme="majorEastAsia" w:eastAsiaTheme="majorEastAsia"/>
                <w:sz w:val="21"/>
                <w:szCs w:val="21"/>
              </w:rPr>
              <w:t>设计负责人、</w:t>
            </w:r>
            <w:r>
              <w:rPr>
                <w:rFonts w:hint="eastAsia" w:asciiTheme="majorEastAsia" w:hAnsiTheme="majorEastAsia" w:eastAsiaTheme="majorEastAsia"/>
                <w:sz w:val="21"/>
                <w:szCs w:val="21"/>
              </w:rPr>
              <w:t>策划师</w:t>
            </w:r>
            <w:r>
              <w:rPr>
                <w:rFonts w:asciiTheme="majorEastAsia" w:hAnsiTheme="majorEastAsia" w:eastAsiaTheme="majorEastAsia"/>
                <w:sz w:val="21"/>
                <w:szCs w:val="21"/>
              </w:rPr>
              <w:t>、空间设计师、平面设计师等核心岗位，岗位齐全</w:t>
            </w:r>
            <w:r>
              <w:rPr>
                <w:rFonts w:hint="eastAsia" w:asciiTheme="majorEastAsia" w:hAnsiTheme="majorEastAsia" w:eastAsiaTheme="majorEastAsia"/>
                <w:sz w:val="21"/>
                <w:szCs w:val="21"/>
                <w:lang w:val="en-US" w:eastAsia="zh-CN"/>
              </w:rPr>
              <w:t>的</w:t>
            </w:r>
            <w:r>
              <w:rPr>
                <w:rFonts w:asciiTheme="majorEastAsia" w:hAnsiTheme="majorEastAsia" w:eastAsiaTheme="majorEastAsia"/>
                <w:sz w:val="21"/>
                <w:szCs w:val="21"/>
              </w:rPr>
              <w:t>得</w:t>
            </w:r>
            <w:r>
              <w:rPr>
                <w:rFonts w:hint="eastAsia" w:asciiTheme="majorEastAsia" w:hAnsiTheme="majorEastAsia" w:eastAsiaTheme="majorEastAsia"/>
                <w:sz w:val="21"/>
                <w:szCs w:val="21"/>
                <w:lang w:val="en-US" w:eastAsia="zh-CN"/>
              </w:rPr>
              <w:t>7</w:t>
            </w:r>
            <w:r>
              <w:rPr>
                <w:rFonts w:asciiTheme="majorEastAsia" w:hAnsiTheme="majorEastAsia" w:eastAsiaTheme="majorEastAsia"/>
                <w:sz w:val="21"/>
                <w:szCs w:val="21"/>
              </w:rPr>
              <w:t>分</w:t>
            </w:r>
            <w:r>
              <w:rPr>
                <w:rFonts w:hint="eastAsia" w:asciiTheme="majorEastAsia" w:hAnsiTheme="majorEastAsia" w:eastAsiaTheme="majorEastAsia"/>
                <w:sz w:val="21"/>
                <w:szCs w:val="21"/>
                <w:lang w:eastAsia="zh-CN"/>
              </w:rPr>
              <w:t>，</w:t>
            </w:r>
            <w:r>
              <w:rPr>
                <w:rFonts w:hint="eastAsia" w:asciiTheme="majorEastAsia" w:hAnsiTheme="majorEastAsia" w:eastAsiaTheme="majorEastAsia"/>
                <w:sz w:val="21"/>
                <w:szCs w:val="21"/>
                <w:lang w:val="en-US" w:eastAsia="zh-CN"/>
              </w:rPr>
              <w:t>各岗位人员不能共用</w:t>
            </w:r>
            <w:r>
              <w:rPr>
                <w:rFonts w:asciiTheme="majorEastAsia" w:hAnsiTheme="majorEastAsia" w:eastAsiaTheme="majorEastAsia"/>
                <w:sz w:val="21"/>
                <w:szCs w:val="21"/>
              </w:rPr>
              <w:t>。</w:t>
            </w:r>
          </w:p>
          <w:p w14:paraId="37AD9018">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rPr>
              <w:t>2、项目负责人</w:t>
            </w:r>
            <w:r>
              <w:rPr>
                <w:rFonts w:asciiTheme="majorEastAsia" w:hAnsiTheme="majorEastAsia" w:eastAsiaTheme="majorEastAsia"/>
                <w:sz w:val="21"/>
                <w:szCs w:val="21"/>
              </w:rPr>
              <w:t>具备本科及以上学历得</w:t>
            </w:r>
            <w:r>
              <w:rPr>
                <w:rFonts w:hint="eastAsia" w:asciiTheme="majorEastAsia" w:hAnsiTheme="majorEastAsia" w:eastAsiaTheme="majorEastAsia"/>
                <w:sz w:val="21"/>
                <w:szCs w:val="21"/>
                <w:lang w:val="en-US" w:eastAsia="zh-CN"/>
              </w:rPr>
              <w:t>7</w:t>
            </w:r>
            <w:r>
              <w:rPr>
                <w:rFonts w:hint="eastAsia" w:asciiTheme="majorEastAsia" w:hAnsiTheme="majorEastAsia" w:eastAsiaTheme="majorEastAsia"/>
                <w:sz w:val="21"/>
                <w:szCs w:val="21"/>
              </w:rPr>
              <w:t>分。</w:t>
            </w:r>
          </w:p>
          <w:p w14:paraId="5F4CCB72">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rPr>
              <w:t>3、</w:t>
            </w:r>
            <w:bookmarkStart w:id="22" w:name="OLE_LINK14"/>
            <w:r>
              <w:rPr>
                <w:rFonts w:hint="eastAsia" w:asciiTheme="majorEastAsia" w:hAnsiTheme="majorEastAsia" w:eastAsiaTheme="majorEastAsia"/>
                <w:sz w:val="21"/>
                <w:szCs w:val="21"/>
              </w:rPr>
              <w:t>设计</w:t>
            </w:r>
            <w:r>
              <w:rPr>
                <w:rFonts w:asciiTheme="majorEastAsia" w:hAnsiTheme="majorEastAsia" w:eastAsiaTheme="majorEastAsia"/>
                <w:sz w:val="21"/>
                <w:szCs w:val="21"/>
              </w:rPr>
              <w:t>团队中每具有</w:t>
            </w:r>
            <w:r>
              <w:rPr>
                <w:rFonts w:hint="eastAsia" w:asciiTheme="majorEastAsia" w:hAnsiTheme="majorEastAsia" w:eastAsiaTheme="majorEastAsia"/>
                <w:sz w:val="21"/>
                <w:szCs w:val="21"/>
              </w:rPr>
              <w:t>1个设计相关专业专科学历的人员得3分，设计相关专业本科学历的人员得5分。本项最多得15分。</w:t>
            </w:r>
          </w:p>
          <w:p w14:paraId="3734C377">
            <w:pPr>
              <w:pStyle w:val="40"/>
              <w:adjustRightInd w:val="0"/>
              <w:snapToGrid w:val="0"/>
              <w:spacing w:line="360" w:lineRule="exact"/>
              <w:contextualSpacing/>
              <w:rPr>
                <w:rFonts w:asciiTheme="majorEastAsia" w:hAnsiTheme="majorEastAsia" w:eastAsiaTheme="majorEastAsia"/>
                <w:sz w:val="21"/>
                <w:szCs w:val="21"/>
              </w:rPr>
            </w:pPr>
            <w:r>
              <w:rPr>
                <w:rFonts w:hint="eastAsia" w:asciiTheme="majorEastAsia" w:hAnsiTheme="majorEastAsia" w:eastAsiaTheme="majorEastAsia"/>
                <w:sz w:val="21"/>
                <w:szCs w:val="21"/>
              </w:rPr>
              <w:t>提供以上人员①身份证②毕业证或学信网网站查询结果截图。未提供或资料不齐全不得分。</w:t>
            </w:r>
            <w:bookmarkEnd w:id="22"/>
          </w:p>
        </w:tc>
      </w:tr>
    </w:tbl>
    <w:p w14:paraId="0B9F1C4B">
      <w:pPr>
        <w:pStyle w:val="2"/>
        <w:rPr>
          <w:rFonts w:ascii="Times New Roman" w:hAnsi="Times New Roman" w:cs="Times New Roman"/>
        </w:rPr>
      </w:pPr>
      <w:bookmarkStart w:id="23" w:name="_Toc22827"/>
      <w:bookmarkStart w:id="24" w:name="_Toc3094"/>
      <w:bookmarkStart w:id="25" w:name="_Toc28171"/>
      <w:r>
        <w:rPr>
          <w:rFonts w:ascii="Times New Roman" w:hAnsi="Times New Roman" w:cs="Times New Roman"/>
        </w:rPr>
        <w:t>响应文件格式</w:t>
      </w:r>
      <w:bookmarkEnd w:id="23"/>
      <w:bookmarkEnd w:id="24"/>
      <w:bookmarkEnd w:id="25"/>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6" w:name="_Toc4960"/>
      <w:bookmarkStart w:id="27" w:name="_Toc29819"/>
      <w:bookmarkStart w:id="28" w:name="_Toc5913"/>
      <w:r>
        <w:rPr>
          <w:rFonts w:ascii="Times New Roman" w:hAnsi="Times New Roman" w:eastAsia="仿宋" w:cs="Times New Roman"/>
          <w:sz w:val="28"/>
          <w:szCs w:val="24"/>
        </w:rPr>
        <w:t>（响应文件封面）</w:t>
      </w:r>
      <w:bookmarkEnd w:id="26"/>
      <w:bookmarkEnd w:id="27"/>
      <w:bookmarkEnd w:id="28"/>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9" w:name="_Toc30609"/>
      <w:bookmarkStart w:id="30" w:name="_Toc9428"/>
      <w:bookmarkStart w:id="31" w:name="_Toc19851"/>
      <w:r>
        <w:rPr>
          <w:rFonts w:ascii="Times New Roman" w:hAnsi="Times New Roman" w:eastAsia="仿宋" w:cs="Times New Roman"/>
          <w:sz w:val="24"/>
          <w:szCs w:val="24"/>
        </w:rPr>
        <w:t>项目名称：</w:t>
      </w:r>
      <w:bookmarkEnd w:id="29"/>
      <w:bookmarkEnd w:id="30"/>
      <w:bookmarkEnd w:id="31"/>
    </w:p>
    <w:p w14:paraId="58CC82C4">
      <w:pPr>
        <w:jc w:val="left"/>
        <w:rPr>
          <w:rFonts w:ascii="Times New Roman" w:hAnsi="Times New Roman" w:eastAsia="仿宋" w:cs="Times New Roman"/>
          <w:sz w:val="24"/>
          <w:szCs w:val="24"/>
        </w:rPr>
      </w:pPr>
      <w:bookmarkStart w:id="32" w:name="_Toc1544"/>
      <w:bookmarkStart w:id="33" w:name="_Toc9041"/>
      <w:bookmarkStart w:id="34" w:name="_Toc32352"/>
      <w:r>
        <w:rPr>
          <w:rFonts w:ascii="Times New Roman" w:hAnsi="Times New Roman" w:eastAsia="仿宋" w:cs="Times New Roman"/>
          <w:sz w:val="24"/>
          <w:szCs w:val="24"/>
        </w:rPr>
        <w:t>项目编号：</w:t>
      </w:r>
      <w:bookmarkEnd w:id="32"/>
      <w:bookmarkEnd w:id="33"/>
      <w:bookmarkEnd w:id="34"/>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5" w:name="_Toc21472"/>
      <w:bookmarkStart w:id="36" w:name="_Toc24097"/>
    </w:p>
    <w:bookmarkEnd w:id="35"/>
    <w:bookmarkEnd w:id="36"/>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7" w:name="_Toc32749"/>
      <w:bookmarkStart w:id="38" w:name="_Toc1690"/>
      <w:bookmarkStart w:id="39" w:name="_Toc24859"/>
      <w:bookmarkStart w:id="40" w:name="_Toc17163"/>
      <w:r>
        <w:rPr>
          <w:rFonts w:ascii="Times New Roman" w:hAnsi="Times New Roman" w:eastAsia="仿宋" w:cs="Times New Roman"/>
          <w:sz w:val="28"/>
          <w:szCs w:val="24"/>
        </w:rPr>
        <w:t>供应商名称（公章）：</w:t>
      </w:r>
      <w:bookmarkEnd w:id="37"/>
      <w:bookmarkEnd w:id="38"/>
      <w:bookmarkEnd w:id="39"/>
      <w:bookmarkEnd w:id="40"/>
    </w:p>
    <w:p w14:paraId="2B941835">
      <w:pPr>
        <w:jc w:val="left"/>
        <w:rPr>
          <w:rFonts w:ascii="Times New Roman" w:hAnsi="Times New Roman" w:eastAsia="仿宋" w:cs="Times New Roman"/>
          <w:sz w:val="28"/>
          <w:szCs w:val="24"/>
        </w:rPr>
      </w:pPr>
      <w:bookmarkStart w:id="41" w:name="_Toc17905"/>
      <w:bookmarkStart w:id="42" w:name="_Toc3558"/>
      <w:bookmarkStart w:id="43" w:name="_Toc24123"/>
      <w:bookmarkStart w:id="44" w:name="_Toc6803"/>
      <w:r>
        <w:rPr>
          <w:rFonts w:ascii="Times New Roman" w:hAnsi="Times New Roman" w:eastAsia="仿宋" w:cs="Times New Roman"/>
          <w:sz w:val="28"/>
          <w:szCs w:val="24"/>
        </w:rPr>
        <w:t>法定代表人或授权代理人（签字）：</w:t>
      </w:r>
      <w:bookmarkEnd w:id="41"/>
      <w:bookmarkEnd w:id="42"/>
      <w:bookmarkEnd w:id="43"/>
      <w:bookmarkEnd w:id="44"/>
    </w:p>
    <w:p w14:paraId="6B7162F2">
      <w:pPr>
        <w:jc w:val="left"/>
        <w:rPr>
          <w:rFonts w:ascii="Times New Roman" w:hAnsi="Times New Roman" w:eastAsia="仿宋" w:cs="Times New Roman"/>
          <w:sz w:val="28"/>
          <w:szCs w:val="24"/>
        </w:rPr>
      </w:pPr>
      <w:bookmarkStart w:id="45" w:name="_Toc2989"/>
      <w:bookmarkStart w:id="46" w:name="_Toc27135"/>
      <w:bookmarkStart w:id="47" w:name="_Toc27526"/>
      <w:bookmarkStart w:id="48" w:name="_Toc5996"/>
      <w:r>
        <w:rPr>
          <w:rFonts w:ascii="Times New Roman" w:hAnsi="Times New Roman" w:eastAsia="仿宋" w:cs="Times New Roman"/>
          <w:sz w:val="28"/>
          <w:szCs w:val="24"/>
        </w:rPr>
        <w:t>联系方式（移动电话）：</w:t>
      </w:r>
      <w:bookmarkEnd w:id="45"/>
      <w:bookmarkEnd w:id="46"/>
      <w:bookmarkEnd w:id="47"/>
      <w:bookmarkEnd w:id="48"/>
    </w:p>
    <w:p w14:paraId="77EDD8DE">
      <w:pPr>
        <w:jc w:val="left"/>
        <w:rPr>
          <w:rFonts w:ascii="Times New Roman" w:hAnsi="Times New Roman" w:eastAsia="仿宋" w:cs="Times New Roman"/>
          <w:sz w:val="28"/>
          <w:szCs w:val="24"/>
        </w:rPr>
      </w:pPr>
      <w:bookmarkStart w:id="49" w:name="_Toc5056"/>
      <w:bookmarkStart w:id="50" w:name="_Toc7233"/>
      <w:bookmarkStart w:id="51" w:name="_Toc19987"/>
      <w:bookmarkStart w:id="52" w:name="_Toc2031"/>
      <w:r>
        <w:rPr>
          <w:rFonts w:ascii="Times New Roman" w:hAnsi="Times New Roman" w:eastAsia="仿宋" w:cs="Times New Roman"/>
          <w:sz w:val="28"/>
          <w:szCs w:val="24"/>
        </w:rPr>
        <w:t>日期：     年    月     日</w:t>
      </w:r>
      <w:bookmarkEnd w:id="49"/>
      <w:bookmarkEnd w:id="50"/>
      <w:bookmarkEnd w:id="51"/>
      <w:bookmarkEnd w:id="52"/>
    </w:p>
    <w:p w14:paraId="7AA5BFB2">
      <w:pPr>
        <w:jc w:val="center"/>
        <w:rPr>
          <w:rFonts w:ascii="Times New Roman" w:hAnsi="Times New Roman" w:eastAsia="仿宋" w:cs="Times New Roman"/>
          <w:sz w:val="32"/>
          <w:szCs w:val="40"/>
        </w:rPr>
      </w:pPr>
      <w:bookmarkStart w:id="53" w:name="_Toc6482"/>
      <w:bookmarkStart w:id="54" w:name="_Toc16029"/>
      <w:bookmarkStart w:id="55" w:name="_Toc21519"/>
      <w:bookmarkStart w:id="56" w:name="_Toc14829"/>
      <w:bookmarkStart w:id="57" w:name="_Toc11352"/>
      <w:bookmarkStart w:id="58" w:name="_Toc3023"/>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3"/>
      <w:bookmarkEnd w:id="54"/>
      <w:bookmarkEnd w:id="55"/>
      <w:bookmarkEnd w:id="56"/>
      <w:bookmarkEnd w:id="57"/>
      <w:bookmarkEnd w:id="58"/>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9" w:name="_Toc30971"/>
      <w:bookmarkStart w:id="60" w:name="_Toc22676"/>
      <w:bookmarkStart w:id="61" w:name="_Toc17857"/>
      <w:bookmarkStart w:id="62" w:name="_Toc31838"/>
      <w:bookmarkStart w:id="63" w:name="_Toc4305"/>
      <w:r>
        <w:rPr>
          <w:rFonts w:ascii="Times New Roman" w:hAnsi="Times New Roman" w:cs="Times New Roman"/>
        </w:rPr>
        <w:br w:type="page"/>
      </w:r>
    </w:p>
    <w:p w14:paraId="72845348">
      <w:pPr>
        <w:pStyle w:val="3"/>
        <w:ind w:firstLine="0"/>
      </w:pPr>
      <w:r>
        <w:t>具有独立承担民事责任的能力</w:t>
      </w:r>
      <w:bookmarkEnd w:id="59"/>
      <w:bookmarkEnd w:id="60"/>
      <w:bookmarkEnd w:id="61"/>
      <w:bookmarkEnd w:id="62"/>
      <w:bookmarkEnd w:id="63"/>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4" w:name="_Toc15613"/>
      <w:bookmarkStart w:id="65" w:name="_Toc27186"/>
      <w:bookmarkStart w:id="66"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4"/>
      <w:bookmarkEnd w:id="65"/>
      <w:bookmarkStart w:id="67" w:name="_Toc13706"/>
      <w:bookmarkStart w:id="68" w:name="_Toc13904"/>
      <w:bookmarkStart w:id="69" w:name="_Toc25357"/>
    </w:p>
    <w:p w14:paraId="76B8A196">
      <w:pPr>
        <w:pStyle w:val="3"/>
        <w:ind w:firstLine="0"/>
        <w:rPr>
          <w:szCs w:val="32"/>
        </w:rPr>
      </w:pPr>
      <w:bookmarkStart w:id="70" w:name="_Toc15508"/>
      <w:bookmarkStart w:id="71" w:name="_Toc23146"/>
      <w:r>
        <w:t>本项目其他资格条件提供的证明材料</w:t>
      </w:r>
      <w:bookmarkEnd w:id="66"/>
      <w:bookmarkEnd w:id="67"/>
      <w:bookmarkEnd w:id="68"/>
      <w:bookmarkEnd w:id="69"/>
      <w:bookmarkEnd w:id="70"/>
      <w:bookmarkEnd w:id="71"/>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72" w:name="_Toc25638"/>
      <w:bookmarkStart w:id="73" w:name="_Toc12015"/>
      <w:bookmarkStart w:id="74" w:name="_Toc11351"/>
      <w:bookmarkStart w:id="75" w:name="_Toc20589"/>
      <w:bookmarkStart w:id="76" w:name="_Toc15526"/>
      <w:bookmarkStart w:id="77" w:name="_Toc27661"/>
      <w:r>
        <w:rPr>
          <w:rStyle w:val="39"/>
          <w:b/>
        </w:rPr>
        <w:t>法定代表人身份证明书</w:t>
      </w:r>
      <w:bookmarkEnd w:id="72"/>
      <w:bookmarkEnd w:id="73"/>
      <w:bookmarkEnd w:id="74"/>
      <w:bookmarkEnd w:id="75"/>
      <w:bookmarkEnd w:id="76"/>
      <w:bookmarkEnd w:id="77"/>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8" w:name="_Toc12967"/>
      <w:bookmarkStart w:id="79" w:name="_Toc2041"/>
      <w:bookmarkStart w:id="80" w:name="_Toc23967"/>
      <w:bookmarkStart w:id="81" w:name="_Toc1074"/>
      <w:bookmarkStart w:id="82" w:name="_Toc16435"/>
      <w:bookmarkStart w:id="83" w:name="_Toc26969"/>
      <w:r>
        <w:rPr>
          <w:rStyle w:val="39"/>
          <w:b/>
        </w:rPr>
        <w:t>采购需求偏离表</w:t>
      </w:r>
      <w:bookmarkEnd w:id="78"/>
      <w:bookmarkEnd w:id="79"/>
      <w:bookmarkEnd w:id="80"/>
      <w:bookmarkEnd w:id="81"/>
      <w:bookmarkEnd w:id="82"/>
      <w:bookmarkEnd w:id="83"/>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4" w:name="_Toc31686"/>
      <w:bookmarkStart w:id="85" w:name="_Toc21082"/>
      <w:bookmarkStart w:id="86" w:name="_Toc24806"/>
      <w:bookmarkStart w:id="87" w:name="_Toc28634"/>
      <w:bookmarkStart w:id="88" w:name="_Toc26839"/>
      <w:bookmarkStart w:id="89" w:name="_Toc1369"/>
      <w:r>
        <w:rPr>
          <w:rStyle w:val="39"/>
          <w:b/>
        </w:rPr>
        <w:t>评分需要提供的证明材料</w:t>
      </w:r>
      <w:bookmarkEnd w:id="84"/>
      <w:bookmarkEnd w:id="85"/>
      <w:bookmarkEnd w:id="86"/>
      <w:bookmarkEnd w:id="87"/>
      <w:bookmarkEnd w:id="88"/>
      <w:bookmarkEnd w:id="89"/>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0" w:name="_Toc32605"/>
      <w:bookmarkStart w:id="91" w:name="_Toc3871"/>
      <w:bookmarkStart w:id="92" w:name="_Toc24494"/>
    </w:p>
    <w:p w14:paraId="1483D64D">
      <w:pPr>
        <w:pStyle w:val="3"/>
        <w:ind w:firstLine="0"/>
      </w:pPr>
      <w:bookmarkStart w:id="93" w:name="_Toc15065"/>
      <w:r>
        <w:t>报价单</w:t>
      </w:r>
      <w:bookmarkEnd w:id="93"/>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8"/>
        <w:gridCol w:w="3688"/>
        <w:gridCol w:w="3739"/>
        <w:gridCol w:w="1223"/>
      </w:tblGrid>
      <w:tr w14:paraId="5CC5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08" w:type="pct"/>
            <w:noWrap w:val="0"/>
            <w:vAlign w:val="center"/>
          </w:tcPr>
          <w:p w14:paraId="10D0437E">
            <w:pPr>
              <w:pStyle w:val="7"/>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1872" w:type="pct"/>
            <w:noWrap w:val="0"/>
            <w:vAlign w:val="center"/>
          </w:tcPr>
          <w:p w14:paraId="18D8C408">
            <w:pPr>
              <w:pStyle w:val="7"/>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报价内容</w:t>
            </w:r>
          </w:p>
        </w:tc>
        <w:tc>
          <w:tcPr>
            <w:tcW w:w="1898" w:type="pct"/>
            <w:noWrap w:val="0"/>
            <w:vAlign w:val="center"/>
          </w:tcPr>
          <w:p w14:paraId="61B17E5B">
            <w:pPr>
              <w:pStyle w:val="7"/>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报价（元）</w:t>
            </w:r>
          </w:p>
        </w:tc>
        <w:tc>
          <w:tcPr>
            <w:tcW w:w="621" w:type="pct"/>
            <w:noWrap w:val="0"/>
            <w:vAlign w:val="center"/>
          </w:tcPr>
          <w:p w14:paraId="0F9E3B38">
            <w:pPr>
              <w:pStyle w:val="7"/>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27B7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08" w:type="pct"/>
            <w:noWrap w:val="0"/>
            <w:vAlign w:val="center"/>
          </w:tcPr>
          <w:p w14:paraId="5C8CA829">
            <w:pPr>
              <w:pStyle w:val="7"/>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872" w:type="pct"/>
            <w:noWrap w:val="0"/>
            <w:vAlign w:val="center"/>
          </w:tcPr>
          <w:p w14:paraId="2682CE62">
            <w:pPr>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jc w:val="center"/>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四川省人民医院综合科研大楼导视系统规划与设计服务</w:t>
            </w:r>
          </w:p>
        </w:tc>
        <w:tc>
          <w:tcPr>
            <w:tcW w:w="1898" w:type="pct"/>
            <w:noWrap w:val="0"/>
            <w:vAlign w:val="center"/>
          </w:tcPr>
          <w:p w14:paraId="7EB10CC3">
            <w:pPr>
              <w:pStyle w:val="7"/>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大写：</w:t>
            </w:r>
          </w:p>
          <w:p w14:paraId="597BBDDA">
            <w:pPr>
              <w:pStyle w:val="7"/>
              <w:jc w:val="both"/>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小写：</w:t>
            </w:r>
          </w:p>
        </w:tc>
        <w:tc>
          <w:tcPr>
            <w:tcW w:w="621" w:type="pct"/>
            <w:noWrap w:val="0"/>
            <w:vAlign w:val="center"/>
          </w:tcPr>
          <w:p w14:paraId="4C560034">
            <w:pPr>
              <w:pStyle w:val="7"/>
              <w:jc w:val="center"/>
              <w:rPr>
                <w:rFonts w:hint="default" w:ascii="仿宋" w:hAnsi="仿宋" w:eastAsia="仿宋" w:cs="仿宋"/>
                <w:color w:val="auto"/>
                <w:sz w:val="24"/>
                <w:szCs w:val="24"/>
                <w:highlight w:val="none"/>
                <w:vertAlign w:val="baseline"/>
                <w:lang w:val="en-US" w:eastAsia="zh-CN"/>
              </w:rPr>
            </w:pPr>
          </w:p>
        </w:tc>
      </w:tr>
    </w:tbl>
    <w:p w14:paraId="215708F9">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4" w:name="_Toc30002"/>
      <w:bookmarkStart w:id="95" w:name="_Toc29032"/>
      <w:bookmarkStart w:id="96"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90"/>
      <w:bookmarkEnd w:id="91"/>
      <w:bookmarkEnd w:id="92"/>
      <w:bookmarkEnd w:id="94"/>
      <w:bookmarkEnd w:id="95"/>
      <w:bookmarkEnd w:id="96"/>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7" w:name="_Toc5447"/>
      <w:bookmarkStart w:id="98"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9" w:name="_Toc10625"/>
      <w:r>
        <w:rPr>
          <w:rFonts w:ascii="Times New Roman" w:hAnsi="Times New Roman" w:cs="Times New Roman"/>
        </w:rPr>
        <w:t>合同条款（仅成交后使用）</w:t>
      </w:r>
      <w:bookmarkEnd w:id="97"/>
      <w:bookmarkEnd w:id="98"/>
      <w:bookmarkEnd w:id="99"/>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8"/>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8"/>
              <w:ind w:firstLine="0" w:firstLineChars="0"/>
              <w:jc w:val="center"/>
              <w:rPr>
                <w:color w:val="000000"/>
                <w:szCs w:val="21"/>
              </w:rPr>
            </w:pPr>
            <w:r>
              <w:rPr>
                <w:color w:val="000000"/>
                <w:szCs w:val="21"/>
              </w:rPr>
              <w:t>序号</w:t>
            </w:r>
          </w:p>
        </w:tc>
        <w:tc>
          <w:tcPr>
            <w:tcW w:w="2977" w:type="dxa"/>
            <w:vAlign w:val="center"/>
          </w:tcPr>
          <w:p w14:paraId="42032E31">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8"/>
              <w:ind w:firstLine="0" w:firstLineChars="0"/>
              <w:jc w:val="center"/>
              <w:rPr>
                <w:color w:val="000000"/>
                <w:szCs w:val="21"/>
              </w:rPr>
            </w:pPr>
            <w:r>
              <w:rPr>
                <w:color w:val="000000"/>
                <w:szCs w:val="21"/>
              </w:rPr>
              <w:t>具体内容</w:t>
            </w:r>
          </w:p>
        </w:tc>
        <w:tc>
          <w:tcPr>
            <w:tcW w:w="963" w:type="dxa"/>
            <w:vAlign w:val="center"/>
          </w:tcPr>
          <w:p w14:paraId="6E75E46C">
            <w:pPr>
              <w:pStyle w:val="28"/>
              <w:ind w:firstLine="0" w:firstLineChars="0"/>
              <w:jc w:val="center"/>
              <w:rPr>
                <w:color w:val="000000"/>
                <w:szCs w:val="21"/>
              </w:rPr>
            </w:pPr>
            <w:r>
              <w:rPr>
                <w:color w:val="000000"/>
                <w:szCs w:val="21"/>
              </w:rPr>
              <w:t>分项价格（万元）</w:t>
            </w:r>
          </w:p>
        </w:tc>
        <w:tc>
          <w:tcPr>
            <w:tcW w:w="2016" w:type="dxa"/>
          </w:tcPr>
          <w:p w14:paraId="3BC8F9B2">
            <w:pPr>
              <w:pStyle w:val="28"/>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8"/>
              <w:ind w:firstLine="0" w:firstLineChars="0"/>
              <w:jc w:val="center"/>
              <w:rPr>
                <w:color w:val="000000"/>
                <w:szCs w:val="21"/>
              </w:rPr>
            </w:pPr>
            <w:r>
              <w:rPr>
                <w:rFonts w:hint="eastAsia"/>
                <w:color w:val="000000"/>
                <w:szCs w:val="21"/>
              </w:rPr>
              <w:t>1</w:t>
            </w:r>
          </w:p>
        </w:tc>
        <w:tc>
          <w:tcPr>
            <w:tcW w:w="2977" w:type="dxa"/>
            <w:vAlign w:val="center"/>
          </w:tcPr>
          <w:p w14:paraId="629F7C51">
            <w:pPr>
              <w:pStyle w:val="28"/>
              <w:ind w:firstLine="0" w:firstLineChars="0"/>
              <w:rPr>
                <w:color w:val="000000"/>
                <w:szCs w:val="21"/>
              </w:rPr>
            </w:pPr>
          </w:p>
        </w:tc>
        <w:tc>
          <w:tcPr>
            <w:tcW w:w="3686" w:type="dxa"/>
            <w:vAlign w:val="center"/>
          </w:tcPr>
          <w:p w14:paraId="1B711F72">
            <w:pPr>
              <w:pStyle w:val="28"/>
              <w:ind w:firstLine="0" w:firstLineChars="0"/>
              <w:rPr>
                <w:color w:val="000000"/>
                <w:szCs w:val="21"/>
              </w:rPr>
            </w:pPr>
          </w:p>
        </w:tc>
        <w:tc>
          <w:tcPr>
            <w:tcW w:w="963" w:type="dxa"/>
            <w:vAlign w:val="center"/>
          </w:tcPr>
          <w:p w14:paraId="5DD02118">
            <w:pPr>
              <w:pStyle w:val="28"/>
              <w:ind w:firstLine="0" w:firstLineChars="0"/>
              <w:jc w:val="center"/>
              <w:rPr>
                <w:color w:val="000000"/>
                <w:szCs w:val="21"/>
              </w:rPr>
            </w:pPr>
          </w:p>
        </w:tc>
        <w:tc>
          <w:tcPr>
            <w:tcW w:w="2016" w:type="dxa"/>
          </w:tcPr>
          <w:p w14:paraId="149276E7">
            <w:pPr>
              <w:pStyle w:val="28"/>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8"/>
              <w:ind w:firstLine="0" w:firstLineChars="0"/>
              <w:jc w:val="center"/>
              <w:rPr>
                <w:color w:val="000000"/>
                <w:szCs w:val="21"/>
              </w:rPr>
            </w:pPr>
            <w:r>
              <w:rPr>
                <w:rFonts w:hint="eastAsia"/>
                <w:color w:val="000000"/>
                <w:szCs w:val="21"/>
              </w:rPr>
              <w:t>2</w:t>
            </w:r>
          </w:p>
        </w:tc>
        <w:tc>
          <w:tcPr>
            <w:tcW w:w="2977" w:type="dxa"/>
            <w:vAlign w:val="center"/>
          </w:tcPr>
          <w:p w14:paraId="0E44D544">
            <w:pPr>
              <w:pStyle w:val="28"/>
              <w:ind w:firstLine="0" w:firstLineChars="0"/>
              <w:rPr>
                <w:color w:val="000000"/>
                <w:szCs w:val="21"/>
              </w:rPr>
            </w:pPr>
          </w:p>
        </w:tc>
        <w:tc>
          <w:tcPr>
            <w:tcW w:w="3686" w:type="dxa"/>
            <w:vAlign w:val="center"/>
          </w:tcPr>
          <w:p w14:paraId="01B65D9C">
            <w:pPr>
              <w:pStyle w:val="28"/>
              <w:ind w:firstLine="0" w:firstLineChars="0"/>
              <w:rPr>
                <w:color w:val="000000"/>
                <w:szCs w:val="21"/>
              </w:rPr>
            </w:pPr>
          </w:p>
        </w:tc>
        <w:tc>
          <w:tcPr>
            <w:tcW w:w="963" w:type="dxa"/>
            <w:vAlign w:val="center"/>
          </w:tcPr>
          <w:p w14:paraId="4C31DD39">
            <w:pPr>
              <w:pStyle w:val="28"/>
              <w:ind w:firstLine="0" w:firstLineChars="0"/>
              <w:jc w:val="center"/>
              <w:rPr>
                <w:color w:val="000000"/>
                <w:szCs w:val="21"/>
              </w:rPr>
            </w:pPr>
          </w:p>
        </w:tc>
        <w:tc>
          <w:tcPr>
            <w:tcW w:w="2016" w:type="dxa"/>
          </w:tcPr>
          <w:p w14:paraId="3000AC5A">
            <w:pPr>
              <w:pStyle w:val="28"/>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8"/>
              <w:ind w:firstLine="0" w:firstLineChars="0"/>
              <w:jc w:val="center"/>
              <w:rPr>
                <w:color w:val="000000"/>
                <w:szCs w:val="21"/>
              </w:rPr>
            </w:pPr>
            <w:r>
              <w:rPr>
                <w:rFonts w:hint="eastAsia"/>
                <w:color w:val="000000"/>
                <w:szCs w:val="21"/>
              </w:rPr>
              <w:t>3</w:t>
            </w:r>
          </w:p>
        </w:tc>
        <w:tc>
          <w:tcPr>
            <w:tcW w:w="2977" w:type="dxa"/>
            <w:vAlign w:val="center"/>
          </w:tcPr>
          <w:p w14:paraId="71D5F885">
            <w:pPr>
              <w:pStyle w:val="28"/>
              <w:ind w:firstLine="0" w:firstLineChars="0"/>
              <w:rPr>
                <w:color w:val="000000"/>
                <w:szCs w:val="21"/>
              </w:rPr>
            </w:pPr>
          </w:p>
        </w:tc>
        <w:tc>
          <w:tcPr>
            <w:tcW w:w="3686" w:type="dxa"/>
            <w:vAlign w:val="center"/>
          </w:tcPr>
          <w:p w14:paraId="38AC0A57">
            <w:pPr>
              <w:pStyle w:val="28"/>
              <w:ind w:firstLine="0" w:firstLineChars="0"/>
              <w:rPr>
                <w:color w:val="000000"/>
                <w:szCs w:val="21"/>
              </w:rPr>
            </w:pPr>
          </w:p>
        </w:tc>
        <w:tc>
          <w:tcPr>
            <w:tcW w:w="963" w:type="dxa"/>
            <w:vAlign w:val="center"/>
          </w:tcPr>
          <w:p w14:paraId="3B158765">
            <w:pPr>
              <w:pStyle w:val="28"/>
              <w:ind w:firstLine="0" w:firstLineChars="0"/>
              <w:jc w:val="center"/>
              <w:rPr>
                <w:color w:val="000000"/>
                <w:szCs w:val="21"/>
              </w:rPr>
            </w:pPr>
          </w:p>
        </w:tc>
        <w:tc>
          <w:tcPr>
            <w:tcW w:w="2016" w:type="dxa"/>
          </w:tcPr>
          <w:p w14:paraId="43F7F4B9">
            <w:pPr>
              <w:pStyle w:val="28"/>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8"/>
              <w:ind w:firstLine="0" w:firstLineChars="0"/>
              <w:jc w:val="center"/>
              <w:rPr>
                <w:color w:val="000000"/>
                <w:szCs w:val="21"/>
              </w:rPr>
            </w:pPr>
            <w:r>
              <w:rPr>
                <w:color w:val="000000"/>
                <w:szCs w:val="21"/>
              </w:rPr>
              <w:t>…</w:t>
            </w:r>
          </w:p>
        </w:tc>
        <w:tc>
          <w:tcPr>
            <w:tcW w:w="2977" w:type="dxa"/>
            <w:vAlign w:val="center"/>
          </w:tcPr>
          <w:p w14:paraId="492CFE5D">
            <w:pPr>
              <w:pStyle w:val="28"/>
              <w:ind w:firstLine="0" w:firstLineChars="0"/>
              <w:rPr>
                <w:color w:val="000000"/>
                <w:szCs w:val="21"/>
              </w:rPr>
            </w:pPr>
          </w:p>
        </w:tc>
        <w:tc>
          <w:tcPr>
            <w:tcW w:w="3686" w:type="dxa"/>
            <w:vAlign w:val="center"/>
          </w:tcPr>
          <w:p w14:paraId="5E27032F">
            <w:pPr>
              <w:pStyle w:val="28"/>
              <w:ind w:firstLine="0" w:firstLineChars="0"/>
              <w:rPr>
                <w:color w:val="000000"/>
                <w:szCs w:val="21"/>
              </w:rPr>
            </w:pPr>
          </w:p>
        </w:tc>
        <w:tc>
          <w:tcPr>
            <w:tcW w:w="963" w:type="dxa"/>
            <w:vAlign w:val="center"/>
          </w:tcPr>
          <w:p w14:paraId="19B21445">
            <w:pPr>
              <w:pStyle w:val="28"/>
              <w:ind w:firstLine="0" w:firstLineChars="0"/>
              <w:jc w:val="center"/>
              <w:rPr>
                <w:color w:val="000000"/>
                <w:szCs w:val="21"/>
              </w:rPr>
            </w:pPr>
          </w:p>
        </w:tc>
        <w:tc>
          <w:tcPr>
            <w:tcW w:w="2016" w:type="dxa"/>
          </w:tcPr>
          <w:p w14:paraId="5FC047A6">
            <w:pPr>
              <w:pStyle w:val="28"/>
              <w:ind w:firstLine="0" w:firstLineChars="0"/>
              <w:rPr>
                <w:color w:val="000000"/>
                <w:szCs w:val="21"/>
              </w:rPr>
            </w:pPr>
          </w:p>
        </w:tc>
      </w:tr>
    </w:tbl>
    <w:p w14:paraId="2D35C912">
      <w:pPr>
        <w:pStyle w:val="28"/>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100" w:name="OLE_LINK1"/>
      <w:bookmarkStart w:id="101"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2" w:name="OLE_LINK28"/>
      <w:r>
        <w:rPr>
          <w:szCs w:val="21"/>
        </w:rPr>
        <w:t>人民币大写：*** 圆整，即RMB *** 元</w:t>
      </w:r>
      <w:bookmarkEnd w:id="102"/>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100"/>
    <w:bookmarkEnd w:id="101"/>
    <w:p w14:paraId="61352334">
      <w:pPr>
        <w:pStyle w:val="28"/>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8"/>
        <w:jc w:val="left"/>
        <w:rPr>
          <w:bCs/>
          <w:szCs w:val="21"/>
        </w:rPr>
      </w:pPr>
    </w:p>
    <w:p w14:paraId="368787FF">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8"/>
        <w:jc w:val="left"/>
        <w:rPr>
          <w:bCs/>
          <w:szCs w:val="21"/>
        </w:rPr>
      </w:pPr>
    </w:p>
    <w:p w14:paraId="27DB179C">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3" w:name="OLE_LINK29"/>
      <w:r>
        <w:rPr>
          <w:rFonts w:hint="eastAsia"/>
          <w:bCs/>
          <w:szCs w:val="21"/>
        </w:rPr>
        <w:t>，考核标准详见附件</w:t>
      </w:r>
      <w:r>
        <w:rPr>
          <w:rFonts w:hint="eastAsia"/>
          <w:bCs/>
          <w:szCs w:val="21"/>
          <w:u w:val="single"/>
        </w:rPr>
        <w:t>2</w:t>
      </w:r>
      <w:r>
        <w:rPr>
          <w:rFonts w:hint="eastAsia"/>
          <w:bCs/>
          <w:szCs w:val="21"/>
        </w:rPr>
        <w:t>《考核标准》</w:t>
      </w:r>
      <w:bookmarkEnd w:id="103"/>
      <w:r>
        <w:rPr>
          <w:bCs/>
          <w:szCs w:val="21"/>
        </w:rPr>
        <w:t>。</w:t>
      </w:r>
    </w:p>
    <w:p w14:paraId="1B257405">
      <w:pPr>
        <w:pStyle w:val="28"/>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8"/>
        <w:numPr>
          <w:ilvl w:val="0"/>
          <w:numId w:val="12"/>
        </w:numPr>
        <w:ind w:left="0" w:firstLine="0" w:firstLineChars="0"/>
        <w:contextualSpacing/>
        <w:jc w:val="left"/>
        <w:rPr>
          <w:b/>
          <w:szCs w:val="21"/>
        </w:rPr>
      </w:pPr>
      <w:r>
        <w:rPr>
          <w:b/>
          <w:szCs w:val="21"/>
        </w:rPr>
        <w:t>验收</w:t>
      </w:r>
    </w:p>
    <w:p w14:paraId="57707485">
      <w:pPr>
        <w:pStyle w:val="28"/>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8"/>
        <w:numPr>
          <w:ilvl w:val="0"/>
          <w:numId w:val="14"/>
        </w:numPr>
        <w:ind w:left="0" w:firstLine="0" w:firstLineChars="0"/>
        <w:contextualSpacing/>
        <w:rPr>
          <w:szCs w:val="21"/>
        </w:rPr>
      </w:pPr>
      <w:r>
        <w:rPr>
          <w:szCs w:val="21"/>
        </w:rPr>
        <w:t>验收方案：</w:t>
      </w:r>
    </w:p>
    <w:p w14:paraId="10719FFA">
      <w:pPr>
        <w:pStyle w:val="28"/>
        <w:numPr>
          <w:ilvl w:val="0"/>
          <w:numId w:val="15"/>
        </w:numPr>
        <w:ind w:firstLineChars="0"/>
        <w:contextualSpacing/>
        <w:rPr>
          <w:color w:val="000000"/>
          <w:szCs w:val="21"/>
        </w:rPr>
      </w:pPr>
      <w:r>
        <w:rPr>
          <w:rFonts w:hint="eastAsia"/>
          <w:color w:val="000000"/>
          <w:szCs w:val="21"/>
        </w:rPr>
        <w:t>验收主体：甲方</w:t>
      </w:r>
    </w:p>
    <w:p w14:paraId="7212F6E2">
      <w:pPr>
        <w:pStyle w:val="28"/>
        <w:numPr>
          <w:ilvl w:val="0"/>
          <w:numId w:val="15"/>
        </w:numPr>
        <w:ind w:firstLineChars="0"/>
        <w:contextualSpacing/>
        <w:rPr>
          <w:color w:val="000000"/>
          <w:szCs w:val="21"/>
        </w:rPr>
      </w:pPr>
      <w:r>
        <w:rPr>
          <w:rFonts w:hint="eastAsia"/>
          <w:color w:val="000000"/>
          <w:szCs w:val="21"/>
        </w:rPr>
        <w:t>验收组织方式：自行验收</w:t>
      </w:r>
    </w:p>
    <w:p w14:paraId="5C963DBA">
      <w:pPr>
        <w:pStyle w:val="28"/>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8"/>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8"/>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8"/>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8"/>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8"/>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8"/>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8"/>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8"/>
        <w:numPr>
          <w:ilvl w:val="0"/>
          <w:numId w:val="15"/>
        </w:numPr>
        <w:ind w:firstLineChars="0"/>
        <w:contextualSpacing/>
        <w:rPr>
          <w:szCs w:val="21"/>
        </w:rPr>
      </w:pPr>
      <w:r>
        <w:rPr>
          <w:szCs w:val="21"/>
        </w:rPr>
        <w:t>验收标准：</w:t>
      </w:r>
    </w:p>
    <w:p w14:paraId="24757C73">
      <w:pPr>
        <w:pStyle w:val="16"/>
        <w:numPr>
          <w:ilvl w:val="0"/>
          <w:numId w:val="16"/>
        </w:numPr>
        <w:spacing w:after="0"/>
        <w:ind w:firstLineChars="0"/>
        <w:contextualSpacing/>
        <w:rPr>
          <w:rFonts w:ascii="Times New Roman" w:hAnsi="Times New Roman"/>
          <w:szCs w:val="21"/>
        </w:rPr>
      </w:pPr>
      <w:bookmarkStart w:id="104"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104"/>
    <w:p w14:paraId="2BFFECC6">
      <w:pPr>
        <w:pStyle w:val="16"/>
        <w:numPr>
          <w:ilvl w:val="0"/>
          <w:numId w:val="16"/>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8"/>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8"/>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8"/>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5" w:name="OLE_LINK30"/>
      <w:r>
        <w:rPr>
          <w:rFonts w:hint="eastAsia"/>
          <w:szCs w:val="21"/>
        </w:rPr>
        <w:t>固定部分价款</w:t>
      </w:r>
      <w:bookmarkEnd w:id="105"/>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8"/>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8"/>
        <w:numPr>
          <w:ilvl w:val="0"/>
          <w:numId w:val="19"/>
        </w:numPr>
        <w:adjustRightInd w:val="0"/>
        <w:ind w:left="525" w:hanging="525" w:hangingChars="250"/>
        <w:contextualSpacing/>
        <w:jc w:val="left"/>
        <w:rPr>
          <w:szCs w:val="21"/>
        </w:rPr>
      </w:pPr>
      <w:r>
        <w:rPr>
          <w:szCs w:val="21"/>
        </w:rPr>
        <w:t>按合同约定向乙方支付费用。</w:t>
      </w:r>
    </w:p>
    <w:p w14:paraId="62A02753">
      <w:pPr>
        <w:pStyle w:val="28"/>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8"/>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8"/>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8"/>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8"/>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6" w:name="OLE_LINK18"/>
      <w:bookmarkStart w:id="107"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6"/>
    <w:bookmarkEnd w:id="107"/>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8"/>
        <w:numPr>
          <w:ilvl w:val="0"/>
          <w:numId w:val="12"/>
        </w:numPr>
        <w:ind w:left="0" w:firstLine="0" w:firstLineChars="0"/>
        <w:contextualSpacing/>
        <w:jc w:val="left"/>
        <w:rPr>
          <w:b/>
          <w:szCs w:val="21"/>
        </w:rPr>
      </w:pPr>
      <w:r>
        <w:rPr>
          <w:b/>
          <w:szCs w:val="21"/>
        </w:rPr>
        <w:t>不可抗力</w:t>
      </w:r>
    </w:p>
    <w:p w14:paraId="26541785">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8"/>
        <w:numPr>
          <w:ilvl w:val="0"/>
          <w:numId w:val="12"/>
        </w:numPr>
        <w:ind w:left="0" w:firstLine="0" w:firstLineChars="0"/>
        <w:contextualSpacing/>
        <w:jc w:val="left"/>
        <w:rPr>
          <w:b/>
          <w:szCs w:val="21"/>
        </w:rPr>
      </w:pPr>
      <w:r>
        <w:rPr>
          <w:b/>
          <w:szCs w:val="21"/>
        </w:rPr>
        <w:t>合同终止及解除</w:t>
      </w:r>
    </w:p>
    <w:p w14:paraId="275C61D9">
      <w:pPr>
        <w:pStyle w:val="28"/>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8"/>
        <w:numPr>
          <w:ilvl w:val="0"/>
          <w:numId w:val="23"/>
        </w:numPr>
        <w:ind w:left="0" w:firstLine="0" w:firstLineChars="0"/>
        <w:rPr>
          <w:szCs w:val="21"/>
        </w:rPr>
      </w:pPr>
      <w:r>
        <w:rPr>
          <w:szCs w:val="21"/>
        </w:rPr>
        <w:t>在甲、乙任何一方有严重违约行为时，另一方有权单方解除合同。</w:t>
      </w:r>
    </w:p>
    <w:p w14:paraId="2BA7B89E">
      <w:pPr>
        <w:pStyle w:val="28"/>
        <w:numPr>
          <w:ilvl w:val="0"/>
          <w:numId w:val="12"/>
        </w:numPr>
        <w:ind w:left="0" w:firstLine="0" w:firstLineChars="0"/>
        <w:contextualSpacing/>
        <w:jc w:val="left"/>
        <w:rPr>
          <w:b/>
          <w:szCs w:val="21"/>
        </w:rPr>
      </w:pPr>
      <w:r>
        <w:rPr>
          <w:b/>
          <w:szCs w:val="21"/>
        </w:rPr>
        <w:t>争议解决办法</w:t>
      </w:r>
    </w:p>
    <w:p w14:paraId="5C6244A3">
      <w:pPr>
        <w:pStyle w:val="28"/>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8"/>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8"/>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3"/>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3"/>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3"/>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8"/>
        <w:numPr>
          <w:ilvl w:val="0"/>
          <w:numId w:val="12"/>
        </w:numPr>
        <w:ind w:left="0" w:firstLine="0" w:firstLineChars="0"/>
        <w:contextualSpacing/>
        <w:jc w:val="left"/>
        <w:rPr>
          <w:b/>
          <w:szCs w:val="21"/>
        </w:rPr>
      </w:pPr>
      <w:r>
        <w:rPr>
          <w:b/>
          <w:szCs w:val="21"/>
        </w:rPr>
        <w:t>其他</w:t>
      </w:r>
    </w:p>
    <w:p w14:paraId="162904B6">
      <w:pPr>
        <w:pStyle w:val="28"/>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8"/>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8"/>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8" w:name="OLE_LINK32"/>
      <w:r>
        <w:rPr>
          <w:rFonts w:hint="eastAsia"/>
          <w:szCs w:val="21"/>
        </w:rPr>
        <w:t>结算单价清单</w:t>
      </w:r>
      <w:bookmarkEnd w:id="108"/>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76F5C2A7">
            <w:pPr>
              <w:widowControl/>
              <w:jc w:val="center"/>
              <w:rPr>
                <w:b/>
                <w:bCs/>
                <w:szCs w:val="21"/>
              </w:rPr>
            </w:pPr>
            <w:r>
              <w:rPr>
                <w:rFonts w:hint="eastAsia"/>
                <w:b/>
                <w:bCs/>
                <w:szCs w:val="21"/>
              </w:rPr>
              <w:t>序号</w:t>
            </w:r>
          </w:p>
        </w:tc>
        <w:tc>
          <w:tcPr>
            <w:tcW w:w="3686" w:type="dxa"/>
            <w:noWrap w:val="0"/>
            <w:vAlign w:val="center"/>
          </w:tcPr>
          <w:p w14:paraId="6138C8A7">
            <w:pPr>
              <w:widowControl/>
              <w:jc w:val="center"/>
              <w:rPr>
                <w:b/>
                <w:bCs/>
                <w:szCs w:val="21"/>
              </w:rPr>
            </w:pPr>
            <w:r>
              <w:rPr>
                <w:rFonts w:hint="eastAsia"/>
                <w:b/>
                <w:bCs/>
                <w:szCs w:val="21"/>
              </w:rPr>
              <w:t>结算项目名称</w:t>
            </w:r>
          </w:p>
        </w:tc>
        <w:tc>
          <w:tcPr>
            <w:tcW w:w="3402" w:type="dxa"/>
            <w:noWrap w:val="0"/>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56BCD53">
            <w:pPr>
              <w:widowControl/>
              <w:jc w:val="center"/>
              <w:rPr>
                <w:szCs w:val="21"/>
              </w:rPr>
            </w:pPr>
            <w:r>
              <w:rPr>
                <w:rFonts w:hint="eastAsia"/>
                <w:szCs w:val="21"/>
              </w:rPr>
              <w:t>1</w:t>
            </w:r>
          </w:p>
        </w:tc>
        <w:tc>
          <w:tcPr>
            <w:tcW w:w="3686" w:type="dxa"/>
            <w:noWrap w:val="0"/>
            <w:vAlign w:val="center"/>
          </w:tcPr>
          <w:p w14:paraId="466C56FF">
            <w:pPr>
              <w:widowControl/>
              <w:jc w:val="left"/>
              <w:rPr>
                <w:szCs w:val="21"/>
              </w:rPr>
            </w:pPr>
          </w:p>
        </w:tc>
        <w:tc>
          <w:tcPr>
            <w:tcW w:w="3402" w:type="dxa"/>
            <w:noWrap w:val="0"/>
            <w:vAlign w:val="center"/>
          </w:tcPr>
          <w:p w14:paraId="3BC0C217">
            <w:pPr>
              <w:widowControl/>
              <w:jc w:val="left"/>
              <w:rPr>
                <w:szCs w:val="21"/>
              </w:rPr>
            </w:pPr>
          </w:p>
        </w:tc>
        <w:tc>
          <w:tcPr>
            <w:tcW w:w="992" w:type="dxa"/>
            <w:noWrap w:val="0"/>
            <w:vAlign w:val="center"/>
          </w:tcPr>
          <w:p w14:paraId="1338F166">
            <w:pPr>
              <w:widowControl/>
              <w:jc w:val="center"/>
              <w:rPr>
                <w:szCs w:val="21"/>
              </w:rPr>
            </w:pPr>
          </w:p>
        </w:tc>
        <w:tc>
          <w:tcPr>
            <w:tcW w:w="986" w:type="dxa"/>
            <w:noWrap w:val="0"/>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F21EF6E">
            <w:pPr>
              <w:widowControl/>
              <w:jc w:val="center"/>
              <w:rPr>
                <w:szCs w:val="21"/>
              </w:rPr>
            </w:pPr>
            <w:r>
              <w:rPr>
                <w:rFonts w:hint="eastAsia"/>
                <w:szCs w:val="21"/>
              </w:rPr>
              <w:t>2</w:t>
            </w:r>
          </w:p>
        </w:tc>
        <w:tc>
          <w:tcPr>
            <w:tcW w:w="3686" w:type="dxa"/>
            <w:noWrap w:val="0"/>
            <w:vAlign w:val="center"/>
          </w:tcPr>
          <w:p w14:paraId="638D463C">
            <w:pPr>
              <w:widowControl/>
              <w:jc w:val="left"/>
              <w:rPr>
                <w:szCs w:val="21"/>
              </w:rPr>
            </w:pPr>
          </w:p>
        </w:tc>
        <w:tc>
          <w:tcPr>
            <w:tcW w:w="3402" w:type="dxa"/>
            <w:noWrap w:val="0"/>
            <w:vAlign w:val="center"/>
          </w:tcPr>
          <w:p w14:paraId="1E1EDFDE">
            <w:pPr>
              <w:widowControl/>
              <w:jc w:val="left"/>
              <w:rPr>
                <w:szCs w:val="21"/>
              </w:rPr>
            </w:pPr>
          </w:p>
        </w:tc>
        <w:tc>
          <w:tcPr>
            <w:tcW w:w="992" w:type="dxa"/>
            <w:noWrap w:val="0"/>
            <w:vAlign w:val="center"/>
          </w:tcPr>
          <w:p w14:paraId="3C44F2A1">
            <w:pPr>
              <w:widowControl/>
              <w:jc w:val="center"/>
              <w:rPr>
                <w:szCs w:val="21"/>
              </w:rPr>
            </w:pPr>
          </w:p>
        </w:tc>
        <w:tc>
          <w:tcPr>
            <w:tcW w:w="986" w:type="dxa"/>
            <w:noWrap w:val="0"/>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9356817">
            <w:pPr>
              <w:widowControl/>
              <w:jc w:val="center"/>
              <w:rPr>
                <w:szCs w:val="21"/>
              </w:rPr>
            </w:pPr>
            <w:r>
              <w:rPr>
                <w:szCs w:val="21"/>
              </w:rPr>
              <w:t>…</w:t>
            </w:r>
          </w:p>
        </w:tc>
        <w:tc>
          <w:tcPr>
            <w:tcW w:w="3686" w:type="dxa"/>
            <w:noWrap w:val="0"/>
            <w:vAlign w:val="center"/>
          </w:tcPr>
          <w:p w14:paraId="670196F7">
            <w:pPr>
              <w:widowControl/>
              <w:jc w:val="left"/>
              <w:rPr>
                <w:szCs w:val="21"/>
              </w:rPr>
            </w:pPr>
          </w:p>
        </w:tc>
        <w:tc>
          <w:tcPr>
            <w:tcW w:w="3402" w:type="dxa"/>
            <w:noWrap w:val="0"/>
            <w:vAlign w:val="center"/>
          </w:tcPr>
          <w:p w14:paraId="5104BE78">
            <w:pPr>
              <w:widowControl/>
              <w:jc w:val="left"/>
              <w:rPr>
                <w:szCs w:val="21"/>
              </w:rPr>
            </w:pPr>
          </w:p>
        </w:tc>
        <w:tc>
          <w:tcPr>
            <w:tcW w:w="992" w:type="dxa"/>
            <w:noWrap w:val="0"/>
            <w:vAlign w:val="center"/>
          </w:tcPr>
          <w:p w14:paraId="22F4BD02">
            <w:pPr>
              <w:widowControl/>
              <w:jc w:val="center"/>
              <w:rPr>
                <w:szCs w:val="21"/>
              </w:rPr>
            </w:pPr>
          </w:p>
        </w:tc>
        <w:tc>
          <w:tcPr>
            <w:tcW w:w="986" w:type="dxa"/>
            <w:noWrap w:val="0"/>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fmt="decimal" w:start="1"/>
          <w:cols w:space="720" w:num="1"/>
          <w:docGrid w:linePitch="312" w:charSpace="0"/>
        </w:sectPr>
      </w:pPr>
      <w:r>
        <w:rPr>
          <w:szCs w:val="21"/>
        </w:rPr>
        <w:br w:type="page"/>
      </w:r>
    </w:p>
    <w:p w14:paraId="7C0E56F4">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2</w:t>
      </w:r>
      <w:r>
        <w:rPr>
          <w:rFonts w:hint="eastAsia" w:ascii="宋体" w:hAnsi="宋体"/>
          <w:b/>
          <w:bCs/>
          <w:szCs w:val="21"/>
        </w:rPr>
        <w:t>：</w:t>
      </w:r>
      <w:r>
        <w:rPr>
          <w:rFonts w:hint="eastAsia" w:ascii="宋体" w:hAnsi="宋体"/>
          <w:b/>
          <w:bCs/>
          <w:szCs w:val="21"/>
          <w:lang w:val="en-US" w:eastAsia="zh-CN"/>
        </w:rPr>
        <w:t>考核标准</w:t>
      </w:r>
    </w:p>
    <w:p w14:paraId="2C21E9B8"/>
    <w:p w14:paraId="5BF6043E">
      <w:r>
        <w:rPr>
          <w:rFonts w:hint="eastAsia"/>
        </w:rPr>
        <w:t>*</w:t>
      </w:r>
      <w:r>
        <w:t>**</w:t>
      </w:r>
    </w:p>
    <w:p w14:paraId="05CB4E39">
      <w:pPr>
        <w:pStyle w:val="7"/>
        <w:rPr>
          <w:rFonts w:hint="eastAsia" w:ascii="仿宋" w:hAnsi="仿宋" w:eastAsia="仿宋" w:cs="仿宋"/>
          <w:color w:val="auto"/>
          <w:sz w:val="28"/>
          <w:szCs w:val="36"/>
          <w:highlight w:val="none"/>
        </w:rPr>
      </w:pPr>
    </w:p>
    <w:p w14:paraId="5A954D06">
      <w:pPr>
        <w:pStyle w:val="7"/>
        <w:rPr>
          <w:rFonts w:hint="eastAsia" w:ascii="仿宋" w:hAnsi="仿宋" w:eastAsia="仿宋" w:cs="仿宋"/>
          <w:color w:val="auto"/>
          <w:sz w:val="28"/>
          <w:szCs w:val="36"/>
          <w:highlight w:val="none"/>
        </w:rPr>
      </w:pPr>
    </w:p>
    <w:p w14:paraId="1C759154">
      <w:pPr>
        <w:pStyle w:val="7"/>
        <w:rPr>
          <w:rFonts w:hint="eastAsia" w:ascii="仿宋" w:hAnsi="仿宋" w:eastAsia="仿宋" w:cs="仿宋"/>
          <w:color w:val="auto"/>
          <w:sz w:val="28"/>
          <w:szCs w:val="36"/>
          <w:highlight w:val="none"/>
        </w:rPr>
      </w:pPr>
    </w:p>
    <w:p w14:paraId="7A5531E3">
      <w:pPr>
        <w:pStyle w:val="7"/>
        <w:rPr>
          <w:rFonts w:hint="eastAsia" w:ascii="仿宋" w:hAnsi="仿宋" w:eastAsia="仿宋" w:cs="仿宋"/>
          <w:color w:val="auto"/>
          <w:sz w:val="28"/>
          <w:szCs w:val="36"/>
          <w:highlight w:val="none"/>
        </w:rPr>
      </w:pPr>
    </w:p>
    <w:p w14:paraId="4E875001">
      <w:pPr>
        <w:rPr>
          <w:rFonts w:ascii="Times New Roman" w:hAnsi="Times New Roman"/>
        </w:rPr>
      </w:pPr>
      <w:r>
        <w:rPr>
          <w:rFonts w:ascii="Times New Roman" w:hAnsi="Times New Roman"/>
        </w:rPr>
        <w:br w:type="page"/>
      </w:r>
    </w:p>
    <w:p w14:paraId="363FF3E9">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3</w:t>
      </w:r>
      <w:r>
        <w:rPr>
          <w:rFonts w:hint="eastAsia" w:ascii="宋体" w:hAnsi="宋体"/>
          <w:b/>
          <w:bCs/>
          <w:szCs w:val="21"/>
        </w:rPr>
        <w:t>：</w:t>
      </w:r>
      <w:r>
        <w:rPr>
          <w:rFonts w:hint="eastAsia" w:ascii="宋体" w:hAnsi="宋体"/>
          <w:b/>
          <w:bCs/>
          <w:szCs w:val="21"/>
          <w:lang w:val="en-US" w:eastAsia="zh-CN"/>
        </w:rPr>
        <w:t>服务方案</w:t>
      </w:r>
    </w:p>
    <w:p w14:paraId="370E0AEC">
      <w:pPr>
        <w:pStyle w:val="25"/>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CE8BC35-35A1-4E3C-8839-D468E22E719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B1255D0-54CB-44B0-BDEB-BBD9BA466C1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0292590-E218-414C-86D2-3F27DF43975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A633BB0-72D5-4254-8CCC-49E46C1B40E8}"/>
  </w:font>
  <w:font w:name="Segoe UI Symbol">
    <w:panose1 w:val="020B0502040204020203"/>
    <w:charset w:val="00"/>
    <w:family w:val="swiss"/>
    <w:pitch w:val="default"/>
    <w:sig w:usb0="800001E3" w:usb1="1200FFEF" w:usb2="00040000" w:usb3="04000000" w:csb0="00000001" w:csb1="40000000"/>
    <w:embedRegular r:id="rId5" w:fontKey="{B94F2F2C-A19C-4800-9719-9806B16B3591}"/>
  </w:font>
  <w:font w:name="Wingdings 2">
    <w:altName w:val="Wingdings"/>
    <w:panose1 w:val="05020102010507070707"/>
    <w:charset w:val="4D"/>
    <w:family w:val="decorative"/>
    <w:pitch w:val="default"/>
    <w:sig w:usb0="00000000" w:usb1="00000000" w:usb2="00000000" w:usb3="00000000" w:csb0="80000001" w:csb1="00000000"/>
    <w:embedRegular r:id="rId6" w:fontKey="{D1B30CEA-541C-4EE8-98C1-66133975305E}"/>
  </w:font>
  <w:font w:name="微软雅黑">
    <w:panose1 w:val="020B0503020204020204"/>
    <w:charset w:val="86"/>
    <w:family w:val="auto"/>
    <w:pitch w:val="default"/>
    <w:sig w:usb0="80000287" w:usb1="2ACF3C50" w:usb2="00000016" w:usb3="00000000" w:csb0="0004001F" w:csb1="00000000"/>
    <w:embedRegular r:id="rId7" w:fontKey="{1CBF20FC-6302-4A85-B2EE-4F756B90EBF1}"/>
  </w:font>
  <w:font w:name="Arial">
    <w:panose1 w:val="020B0604020202020204"/>
    <w:charset w:val="00"/>
    <w:family w:val="auto"/>
    <w:pitch w:val="default"/>
    <w:sig w:usb0="E0002EFF" w:usb1="C000785B" w:usb2="00000009" w:usb3="00000000" w:csb0="400001FF" w:csb1="FFFF0000"/>
  </w:font>
  <w:font w:name="KSOF8BCA4F43">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34</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447A7B"/>
    <w:rsid w:val="01717F83"/>
    <w:rsid w:val="058C78B0"/>
    <w:rsid w:val="05E13064"/>
    <w:rsid w:val="078A573C"/>
    <w:rsid w:val="093A3733"/>
    <w:rsid w:val="0B4508AE"/>
    <w:rsid w:val="0CF161C9"/>
    <w:rsid w:val="0D352B8F"/>
    <w:rsid w:val="0E0B7FF0"/>
    <w:rsid w:val="117A5014"/>
    <w:rsid w:val="127F05A0"/>
    <w:rsid w:val="127F1D65"/>
    <w:rsid w:val="13546548"/>
    <w:rsid w:val="136D78F8"/>
    <w:rsid w:val="1411115B"/>
    <w:rsid w:val="15CC4977"/>
    <w:rsid w:val="162A4F7D"/>
    <w:rsid w:val="16A82A66"/>
    <w:rsid w:val="1994787E"/>
    <w:rsid w:val="1DD000AF"/>
    <w:rsid w:val="1E09745A"/>
    <w:rsid w:val="1E176351"/>
    <w:rsid w:val="1FD31681"/>
    <w:rsid w:val="23D4489F"/>
    <w:rsid w:val="262001B9"/>
    <w:rsid w:val="27B87AF9"/>
    <w:rsid w:val="27E80EA9"/>
    <w:rsid w:val="280414A1"/>
    <w:rsid w:val="28570368"/>
    <w:rsid w:val="29C5318E"/>
    <w:rsid w:val="2B502F98"/>
    <w:rsid w:val="2C9A0A9E"/>
    <w:rsid w:val="2CA621A6"/>
    <w:rsid w:val="2DA70D65"/>
    <w:rsid w:val="2EE31C10"/>
    <w:rsid w:val="3427766B"/>
    <w:rsid w:val="343706EB"/>
    <w:rsid w:val="351A08D0"/>
    <w:rsid w:val="36334CE5"/>
    <w:rsid w:val="3A551407"/>
    <w:rsid w:val="3B033C36"/>
    <w:rsid w:val="3E5D4E8E"/>
    <w:rsid w:val="3FE25336"/>
    <w:rsid w:val="42075FF8"/>
    <w:rsid w:val="42842020"/>
    <w:rsid w:val="4398766E"/>
    <w:rsid w:val="468567BB"/>
    <w:rsid w:val="4782487D"/>
    <w:rsid w:val="49E111D2"/>
    <w:rsid w:val="4B31068E"/>
    <w:rsid w:val="4BA55220"/>
    <w:rsid w:val="4BAD0151"/>
    <w:rsid w:val="4BCF3BD3"/>
    <w:rsid w:val="4C8F75A2"/>
    <w:rsid w:val="4DAD4403"/>
    <w:rsid w:val="4E8C008E"/>
    <w:rsid w:val="4FEF758C"/>
    <w:rsid w:val="50771A9C"/>
    <w:rsid w:val="51C47F6D"/>
    <w:rsid w:val="5455382C"/>
    <w:rsid w:val="54643166"/>
    <w:rsid w:val="5D0A3490"/>
    <w:rsid w:val="5D7E0D39"/>
    <w:rsid w:val="5E9D3F29"/>
    <w:rsid w:val="60384CD1"/>
    <w:rsid w:val="60655808"/>
    <w:rsid w:val="63A9427A"/>
    <w:rsid w:val="63D462B1"/>
    <w:rsid w:val="641A3596"/>
    <w:rsid w:val="64D96647"/>
    <w:rsid w:val="655B51E5"/>
    <w:rsid w:val="65E40ADA"/>
    <w:rsid w:val="66330B86"/>
    <w:rsid w:val="66E22203"/>
    <w:rsid w:val="68B812C9"/>
    <w:rsid w:val="69D50CF4"/>
    <w:rsid w:val="6C487AFD"/>
    <w:rsid w:val="6CB24363"/>
    <w:rsid w:val="6D553404"/>
    <w:rsid w:val="6DAE38ED"/>
    <w:rsid w:val="6EA93466"/>
    <w:rsid w:val="6FCF0795"/>
    <w:rsid w:val="71381023"/>
    <w:rsid w:val="7277690E"/>
    <w:rsid w:val="73714961"/>
    <w:rsid w:val="75381A33"/>
    <w:rsid w:val="754D1D92"/>
    <w:rsid w:val="758350A9"/>
    <w:rsid w:val="79687E1D"/>
    <w:rsid w:val="7B560FD7"/>
    <w:rsid w:val="7B5F74F8"/>
    <w:rsid w:val="7B690630"/>
    <w:rsid w:val="7C5123F4"/>
    <w:rsid w:val="7CB400F8"/>
    <w:rsid w:val="7D040AB6"/>
    <w:rsid w:val="7D4119E6"/>
    <w:rsid w:val="7DAF162B"/>
    <w:rsid w:val="7DC42B41"/>
    <w:rsid w:val="7E234F7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15588</Words>
  <Characters>16185</Characters>
  <Lines>72</Lines>
  <Paragraphs>20</Paragraphs>
  <TotalTime>41</TotalTime>
  <ScaleCrop>false</ScaleCrop>
  <LinksUpToDate>false</LinksUpToDate>
  <CharactersWithSpaces>16558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2026-04-02T01:50:45Z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544C708E1F5341C3B9419F842B1A88BC_13</vt:lpwstr>
  </property>
  <property fmtid="{D5CDD505-2E9C-101B-9397-08002B2CF9AE}" pid="4" name="KSOTemplateDocerSaveRecord">
    <vt:lpwstr>eyJoZGlkIjoiMmYzMjBlOTBlMmU5YzA1ZjM4ZDczZjBmYWNjYjE4M2UiLCJ1c2VySWQiOiI2NTgwMTYxNjcifQ==</vt:lpwstr>
  </property>
</Properties>
</file>