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30F59">
      <w:pPr>
        <w:keepNext w:val="0"/>
        <w:keepLines w:val="0"/>
        <w:pageBreakBefore w:val="0"/>
        <w:widowControl w:val="0"/>
        <w:kinsoku/>
        <w:wordWrap/>
        <w:overflowPunct/>
        <w:topLinePunct w:val="0"/>
        <w:autoSpaceDE/>
        <w:autoSpaceDN/>
        <w:bidi w:val="0"/>
        <w:adjustRightInd/>
        <w:snapToGrid/>
        <w:spacing w:before="1269" w:beforeLines="400" w:line="240" w:lineRule="auto"/>
        <w:jc w:val="center"/>
        <w:textAlignment w:val="auto"/>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val="en-US" w:eastAsia="zh-CN"/>
        </w:rPr>
        <w:t>四川省人民医院</w:t>
      </w:r>
    </w:p>
    <w:p w14:paraId="644DBB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黑体" w:cs="Times New Roman"/>
          <w:b/>
          <w:spacing w:val="24"/>
          <w:sz w:val="56"/>
          <w:szCs w:val="56"/>
          <w:lang w:val="en-US"/>
        </w:rPr>
      </w:pPr>
      <w:r>
        <w:rPr>
          <w:rFonts w:hint="eastAsia" w:ascii="Times New Roman" w:hAnsi="Times New Roman" w:eastAsia="黑体" w:cs="Times New Roman"/>
          <w:b/>
          <w:spacing w:val="24"/>
          <w:sz w:val="56"/>
          <w:szCs w:val="56"/>
          <w:lang w:val="en-US" w:eastAsia="zh-CN"/>
        </w:rPr>
        <w:t>液氮配送服务采购项目（2）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1907"/>
      <w:bookmarkStart w:id="2" w:name="_Toc62832406"/>
      <w:bookmarkStart w:id="3" w:name="_Toc20358"/>
      <w:bookmarkStart w:id="4" w:name="_Toc471310326"/>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四川省人民医院</w:t>
            </w:r>
            <w:r>
              <w:rPr>
                <w:rFonts w:hint="eastAsia" w:ascii="Times New Roman" w:hAnsi="Times New Roman" w:eastAsia="仿宋" w:cs="Times New Roman"/>
                <w:sz w:val="22"/>
                <w:lang w:eastAsia="zh-CN"/>
              </w:rPr>
              <w:t>液氮配送服务</w:t>
            </w:r>
            <w:r>
              <w:rPr>
                <w:rFonts w:hint="eastAsia" w:ascii="Times New Roman" w:hAnsi="Times New Roman" w:eastAsia="仿宋" w:cs="Times New Roman"/>
                <w:sz w:val="22"/>
              </w:rPr>
              <w:t>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CGZX-HQB20260944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4DB35F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本项目支付上限为20万元/年，本项目单价限价详见第四章。</w:t>
            </w:r>
          </w:p>
          <w:p w14:paraId="131F84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68FD47D7">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w:t>
            </w:r>
            <w:r>
              <w:rPr>
                <w:rFonts w:hint="eastAsia" w:ascii="Times New Roman" w:hAnsi="Times New Roman" w:eastAsia="仿宋" w:cs="Times New Roman"/>
                <w:sz w:val="22"/>
                <w:szCs w:val="22"/>
                <w:lang w:val="en-US" w:eastAsia="zh-CN"/>
              </w:rPr>
              <w:t>支付上限</w:t>
            </w:r>
            <w:r>
              <w:rPr>
                <w:rFonts w:hint="eastAsia" w:ascii="Times New Roman" w:hAnsi="Times New Roman" w:eastAsia="仿宋" w:cs="Times New Roman"/>
                <w:sz w:val="22"/>
                <w:szCs w:val="22"/>
                <w:lang w:val="zh-CN"/>
              </w:rPr>
              <w:t>的5%</w:t>
            </w:r>
          </w:p>
          <w:p w14:paraId="22C596BE">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699ED880">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BAD6255">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6DEB6E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9A2CBE1">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1459990B">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ACBE114">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01121BAA">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664075F5">
            <w:pPr>
              <w:pStyle w:val="27"/>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ABE35F1">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69EC6130">
            <w:pPr>
              <w:pStyle w:val="27"/>
              <w:numPr>
                <w:ilvl w:val="0"/>
                <w:numId w:val="8"/>
              </w:numPr>
              <w:tabs>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1B963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04F6FE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456AB6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362038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07729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1ED5C7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7353FBB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23F298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6F241D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DF78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7C4B88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7C57F05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1278AB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C4B63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01CBD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71B3401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91112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1107DFF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6E02E9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38570F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4A10AE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002C3CBE">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8F9CD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28B817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6050E90D">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8F2D3D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6488CE1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39AD97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11AA66F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37E8A5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2F06EB2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0C4CD4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41AD554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3320FAD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59B4A17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72B672E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44100DD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0019781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522D5CE">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7112DCC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74CB405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FCD122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231E46E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2816B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6FD4697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0FC1C9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7A5A6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33FF25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437C89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16DC32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CA8E4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1524C87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A44E8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71C86FC">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1D7AD8ED">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4BE7C652">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918EC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798216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CBD65F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64E79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248552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6A80B9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4EAD95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4C17406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98091B8">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BA1505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2880C43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7FC8CD7">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1622228">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E243D6B">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44F5DAA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2828695D">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6C5FAF6E">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106A91A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2D37AA1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6D683A5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40F674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21C1D3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DCBB8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75A6FB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DE39E4">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A60C09D">
            <w:pPr>
              <w:pStyle w:val="27"/>
              <w:spacing w:line="360" w:lineRule="auto"/>
              <w:ind w:left="210" w:leftChars="100"/>
              <w:jc w:val="both"/>
              <w:rPr>
                <w:rFonts w:ascii="Times New Roman" w:hAnsi="Times New Roman" w:eastAsia="仿宋" w:cs="Times New Roman"/>
                <w:sz w:val="22"/>
                <w:szCs w:val="22"/>
                <w:u w:val="none"/>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w:t>
            </w:r>
            <w:r>
              <w:rPr>
                <w:rFonts w:ascii="Times New Roman" w:hAnsi="Times New Roman" w:eastAsia="仿宋" w:cs="Times New Roman"/>
                <w:sz w:val="22"/>
                <w:szCs w:val="22"/>
                <w:u w:val="none"/>
                <w:lang w:val="zh-CN"/>
              </w:rPr>
              <w:t>8-8739</w:t>
            </w:r>
            <w:r>
              <w:rPr>
                <w:rFonts w:hint="eastAsia" w:ascii="Times New Roman" w:hAnsi="Times New Roman" w:eastAsia="仿宋" w:cs="Times New Roman"/>
                <w:sz w:val="22"/>
                <w:szCs w:val="22"/>
                <w:u w:val="none"/>
                <w:lang w:val="en-US" w:eastAsia="zh-CN"/>
              </w:rPr>
              <w:t>4783</w:t>
            </w:r>
            <w:r>
              <w:rPr>
                <w:rFonts w:ascii="Times New Roman" w:hAnsi="Times New Roman" w:eastAsia="仿宋" w:cs="Times New Roman"/>
                <w:sz w:val="22"/>
                <w:szCs w:val="22"/>
                <w:u w:val="none"/>
                <w:lang w:val="zh-CN"/>
              </w:rPr>
              <w:t>）并将合同初稿发送至</w:t>
            </w:r>
            <w:r>
              <w:rPr>
                <w:rFonts w:hint="eastAsia" w:ascii="Times New Roman" w:hAnsi="Times New Roman" w:eastAsia="仿宋" w:cs="Times New Roman"/>
                <w:sz w:val="22"/>
                <w:szCs w:val="22"/>
                <w:u w:val="none"/>
                <w:lang w:val="en-US" w:eastAsia="zh-CN"/>
              </w:rPr>
              <w:t>1841331039@qq.com</w:t>
            </w:r>
            <w:r>
              <w:rPr>
                <w:rFonts w:ascii="Times New Roman" w:hAnsi="Times New Roman" w:eastAsia="仿宋" w:cs="Times New Roman"/>
                <w:sz w:val="22"/>
                <w:szCs w:val="22"/>
                <w:u w:val="none"/>
              </w:rPr>
              <w:t>。</w:t>
            </w:r>
          </w:p>
          <w:p w14:paraId="5C702F8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5B0E9055">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B4C190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751A703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4DF77">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779494B3">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1829BAD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6D9B4BA2">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6B19A6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68AC0352">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42D5284A">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sz w:val="22"/>
              </w:rPr>
            </w:pPr>
            <w:r>
              <w:rPr>
                <w:rFonts w:ascii="Times New Roman" w:hAnsi="Times New Roman" w:eastAsia="仿宋" w:cs="Times New Roman"/>
                <w:b/>
                <w:bCs/>
                <w:sz w:val="22"/>
              </w:rPr>
              <w:t>本项目其他资格条件</w:t>
            </w:r>
            <w:r>
              <w:rPr>
                <w:rFonts w:ascii="Times New Roman" w:hAnsi="Times New Roman" w:eastAsia="仿宋" w:cs="Times New Roman"/>
                <w:b/>
                <w:sz w:val="22"/>
              </w:rPr>
              <w:t>：</w:t>
            </w:r>
          </w:p>
          <w:p w14:paraId="499FEA14">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1.供应商须具备有效的《危险化学品经营许可证》。</w:t>
            </w:r>
          </w:p>
          <w:p w14:paraId="39F9712D">
            <w:pPr>
              <w:widowControl/>
              <w:jc w:val="left"/>
              <w:rPr>
                <w:rFonts w:hint="eastAsia" w:ascii="Times New Roman" w:hAnsi="Times New Roman" w:eastAsia="仿宋" w:cs="Times New Roman"/>
                <w:b/>
                <w:sz w:val="22"/>
                <w:lang w:eastAsia="zh-CN"/>
              </w:rPr>
            </w:pPr>
            <w:r>
              <w:rPr>
                <w:rFonts w:hint="eastAsia" w:ascii="Times New Roman" w:hAnsi="Times New Roman" w:eastAsia="仿宋" w:cs="Times New Roman"/>
                <w:b/>
                <w:sz w:val="22"/>
                <w:lang w:eastAsia="zh-CN"/>
              </w:rPr>
              <w:t>2.供应商须具备有效的《道路危险货物运输许可证》。若供应商委托第三方运输，则须同时提供第三方承运单位的有效运输资质文件以及双方正式签署的委托运输协议。</w:t>
            </w:r>
          </w:p>
        </w:tc>
        <w:tc>
          <w:tcPr>
            <w:tcW w:w="2846" w:type="pct"/>
            <w:vAlign w:val="center"/>
          </w:tcPr>
          <w:p w14:paraId="5CFAF7D9">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1.供应商</w:t>
            </w:r>
            <w:r>
              <w:rPr>
                <w:rFonts w:hint="default" w:ascii="Times New Roman" w:hAnsi="Times New Roman" w:eastAsia="仿宋" w:cs="Times New Roman"/>
                <w:sz w:val="22"/>
                <w:lang w:val="en-US" w:eastAsia="zh-CN"/>
              </w:rPr>
              <w:t>须提供有效期内的《危险化学品经营许可证》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1EBDCFCD">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2.供应商</w:t>
            </w:r>
            <w:r>
              <w:rPr>
                <w:rFonts w:hint="default" w:ascii="Times New Roman" w:hAnsi="Times New Roman" w:eastAsia="仿宋" w:cs="Times New Roman"/>
                <w:sz w:val="22"/>
                <w:lang w:val="en-US" w:eastAsia="zh-CN"/>
              </w:rPr>
              <w:t>须提供有效期内的《道路危险货物运输许可证》</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。若供应商委托第三方运输，则须同时提供第三方承运单位有效期内的《道路危险货物运输许可证》</w:t>
            </w:r>
            <w:r>
              <w:rPr>
                <w:rFonts w:hint="eastAsia" w:ascii="Times New Roman" w:hAnsi="Times New Roman" w:eastAsia="仿宋" w:cs="Times New Roman"/>
                <w:sz w:val="22"/>
                <w:lang w:val="en-US" w:eastAsia="zh-CN"/>
              </w:rPr>
              <w:t>复印件以及</w:t>
            </w:r>
            <w:r>
              <w:rPr>
                <w:rFonts w:hint="default" w:ascii="Times New Roman" w:hAnsi="Times New Roman" w:eastAsia="仿宋" w:cs="Times New Roman"/>
                <w:sz w:val="22"/>
                <w:lang w:val="en-US" w:eastAsia="zh-CN"/>
              </w:rPr>
              <w:t>双方正式签署的委托</w:t>
            </w:r>
            <w:r>
              <w:rPr>
                <w:rFonts w:hint="eastAsia" w:ascii="Times New Roman" w:hAnsi="Times New Roman" w:eastAsia="仿宋" w:cs="Times New Roman"/>
                <w:sz w:val="22"/>
                <w:lang w:val="en-US" w:eastAsia="zh-CN"/>
              </w:rPr>
              <w:t>运输</w:t>
            </w:r>
            <w:r>
              <w:rPr>
                <w:rFonts w:hint="default" w:ascii="Times New Roman" w:hAnsi="Times New Roman" w:eastAsia="仿宋" w:cs="Times New Roman"/>
                <w:sz w:val="22"/>
                <w:lang w:val="en-US" w:eastAsia="zh-CN"/>
              </w:rPr>
              <w:t>协议</w:t>
            </w:r>
            <w:r>
              <w:rPr>
                <w:rFonts w:hint="eastAsia" w:ascii="Times New Roman" w:hAnsi="Times New Roman" w:eastAsia="仿宋" w:cs="Times New Roman"/>
                <w:sz w:val="22"/>
                <w:lang w:val="en-US" w:eastAsia="zh-CN"/>
              </w:rPr>
              <w:t>复印件</w:t>
            </w:r>
            <w:r>
              <w:rPr>
                <w:rFonts w:hint="default" w:ascii="Times New Roman" w:hAnsi="Times New Roman" w:eastAsia="仿宋" w:cs="Times New Roman"/>
                <w:sz w:val="22"/>
                <w:lang w:val="en-US" w:eastAsia="zh-CN"/>
              </w:rPr>
              <w:t>。</w:t>
            </w:r>
          </w:p>
          <w:p w14:paraId="0409E855">
            <w:pPr>
              <w:jc w:val="left"/>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注：以上证明材料需加盖供应商公章。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jc w:val="center"/>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7620F8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一、项目简介</w:t>
      </w:r>
    </w:p>
    <w:p w14:paraId="44E7B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因采购人实际工作需要，本项目拟采购一家供应商为四川省人民医院提供液氮配送服务。</w:t>
      </w:r>
    </w:p>
    <w:p w14:paraId="5A5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textAlignment w:val="auto"/>
        <w:rPr>
          <w:rFonts w:hint="default" w:ascii="仿宋" w:hAnsi="仿宋" w:eastAsia="仿宋" w:cs="仿宋"/>
          <w:b/>
          <w:bCs w:val="0"/>
          <w:color w:val="auto"/>
          <w:kern w:val="2"/>
          <w:sz w:val="24"/>
          <w:szCs w:val="24"/>
          <w:lang w:val="en-US" w:eastAsia="zh-CN" w:bidi="ar-SA"/>
        </w:rPr>
      </w:pPr>
      <w:r>
        <w:rPr>
          <w:rFonts w:ascii="Segoe UI Symbol" w:hAnsi="Segoe UI Symbol" w:eastAsia="仿宋" w:cs="Segoe UI Symbol"/>
          <w:b/>
          <w:bCs/>
          <w:sz w:val="24"/>
          <w:szCs w:val="22"/>
          <w:highlight w:val="none"/>
        </w:rPr>
        <w:t>★</w:t>
      </w:r>
      <w:r>
        <w:rPr>
          <w:rFonts w:hint="eastAsia" w:ascii="仿宋" w:hAnsi="仿宋" w:eastAsia="仿宋" w:cs="仿宋"/>
          <w:b/>
          <w:bCs w:val="0"/>
          <w:color w:val="auto"/>
          <w:kern w:val="2"/>
          <w:sz w:val="24"/>
          <w:szCs w:val="24"/>
          <w:lang w:val="en-US" w:eastAsia="zh-CN" w:bidi="ar-SA"/>
        </w:rPr>
        <w:t>二、服务内容及服务要求</w:t>
      </w:r>
    </w:p>
    <w:p w14:paraId="302EA2F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（一）服务内容</w:t>
      </w:r>
      <w:r>
        <w:rPr>
          <w:rFonts w:hint="eastAsia" w:ascii="仿宋" w:hAnsi="仿宋" w:eastAsia="仿宋" w:cs="仿宋"/>
          <w:b/>
          <w:bCs/>
          <w:sz w:val="24"/>
          <w:szCs w:val="24"/>
          <w:lang w:val="en-US" w:eastAsia="zh-CN"/>
        </w:rPr>
        <w:t>清单及限价</w:t>
      </w:r>
    </w:p>
    <w:tbl>
      <w:tblPr>
        <w:tblStyle w:val="1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049"/>
        <w:gridCol w:w="1292"/>
        <w:gridCol w:w="4036"/>
        <w:gridCol w:w="1838"/>
        <w:gridCol w:w="1627"/>
      </w:tblGrid>
      <w:tr w14:paraId="46C94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0" w:hRule="atLeast"/>
        </w:trPr>
        <w:tc>
          <w:tcPr>
            <w:tcW w:w="5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F4ADE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序号</w:t>
            </w:r>
          </w:p>
        </w:tc>
        <w:tc>
          <w:tcPr>
            <w:tcW w:w="65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B78B0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名称</w:t>
            </w:r>
          </w:p>
        </w:tc>
        <w:tc>
          <w:tcPr>
            <w:tcW w:w="2049"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0D4CFB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规格</w:t>
            </w:r>
          </w:p>
        </w:tc>
        <w:tc>
          <w:tcPr>
            <w:tcW w:w="933"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FD472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数量（升）</w:t>
            </w:r>
          </w:p>
        </w:tc>
        <w:tc>
          <w:tcPr>
            <w:tcW w:w="826" w:type="pct"/>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C742C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Style w:val="21"/>
                <w:rFonts w:hint="eastAsia" w:ascii="仿宋" w:hAnsi="仿宋" w:eastAsia="仿宋" w:cs="仿宋"/>
                <w:sz w:val="24"/>
                <w:szCs w:val="24"/>
              </w:rPr>
              <w:t>限高</w:t>
            </w:r>
            <w:r>
              <w:rPr>
                <w:rStyle w:val="21"/>
                <w:rFonts w:hint="eastAsia" w:ascii="仿宋" w:hAnsi="仿宋" w:eastAsia="仿宋" w:cs="仿宋"/>
                <w:sz w:val="24"/>
                <w:szCs w:val="24"/>
                <w:lang w:val="en-US" w:eastAsia="zh-CN"/>
              </w:rPr>
              <w:t>单</w:t>
            </w:r>
            <w:r>
              <w:rPr>
                <w:rStyle w:val="21"/>
                <w:rFonts w:hint="eastAsia" w:ascii="仿宋" w:hAnsi="仿宋" w:eastAsia="仿宋" w:cs="仿宋"/>
                <w:sz w:val="24"/>
                <w:szCs w:val="24"/>
              </w:rPr>
              <w:t>价</w:t>
            </w:r>
          </w:p>
        </w:tc>
      </w:tr>
      <w:tr w14:paraId="70C23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5" w:hRule="atLeast"/>
        </w:trPr>
        <w:tc>
          <w:tcPr>
            <w:tcW w:w="5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1588F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65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A857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液氮</w:t>
            </w:r>
          </w:p>
        </w:tc>
        <w:tc>
          <w:tcPr>
            <w:tcW w:w="2049"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98FF3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符合《纯氮、高纯氮和超纯氮》（</w:t>
            </w:r>
            <w:r>
              <w:rPr>
                <w:rFonts w:hint="eastAsia" w:ascii="仿宋" w:hAnsi="仿宋" w:eastAsia="仿宋" w:cs="仿宋"/>
                <w:sz w:val="24"/>
                <w:szCs w:val="24"/>
              </w:rPr>
              <w:t>GB/T 8979-2025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标准</w:t>
            </w:r>
            <w:r>
              <w:rPr>
                <w:rFonts w:hint="eastAsia" w:ascii="仿宋" w:hAnsi="仿宋" w:eastAsia="仿宋" w:cs="仿宋"/>
                <w:sz w:val="24"/>
                <w:szCs w:val="24"/>
              </w:rPr>
              <w:t>，纯度≥99.995%</w:t>
            </w:r>
          </w:p>
        </w:tc>
        <w:tc>
          <w:tcPr>
            <w:tcW w:w="933"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D46103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按实结算</w:t>
            </w:r>
          </w:p>
        </w:tc>
        <w:tc>
          <w:tcPr>
            <w:tcW w:w="826" w:type="pc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1CE402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5元/升</w:t>
            </w:r>
          </w:p>
        </w:tc>
      </w:tr>
    </w:tbl>
    <w:p w14:paraId="39E75BE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（二）技术参数要求</w:t>
      </w:r>
    </w:p>
    <w:p w14:paraId="6F5E31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供产品必须完全符合本项目采购文件规定的质量、规格和性能的要求，不得以假充真，以次充好。供应商应保证其货物在正常使用条件下，在其使用寿命期内应具有满意的性能，产品质量出现问题，供应商应负责退换，退换货费用由供应商承担。</w:t>
      </w:r>
    </w:p>
    <w:p w14:paraId="28AC40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（三）服务要求</w:t>
      </w:r>
    </w:p>
    <w:p w14:paraId="785B65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1.交付时间：采购人应至少提前24小时向</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发出书面订货通知或通过电话订货，</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接订货通知后，24小时内安排送货，紧急情况在国家法律法规允许的情况下12小时内配送。</w:t>
      </w:r>
    </w:p>
    <w:p w14:paraId="131ABC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.计量标准：液氮根据采购人容器容积计量，双方在产品交付登记本签字。</w:t>
      </w:r>
    </w:p>
    <w:p w14:paraId="27A83B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安全责任</w:t>
      </w:r>
    </w:p>
    <w:p w14:paraId="20E35A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按照本项目服务要求及相关法规为采购人提供液氮产品配送服务，采购人须为供应商液氮产品运输和装卸提供安全便利的通道，液氮产品交付前安全责任由供应商承担，交付后安全责任由采购人承担，供应商必须按照国家相关规定及产品的安全技术说明书操作、搬运、使用、储存。</w:t>
      </w:r>
    </w:p>
    <w:p w14:paraId="556DB4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供应商按照相关法规为采购人提供液氮产品，供应商工作人员在采购人现场送货时须遵守采购人相关安全和管理规定，如有违章作业和野蛮装卸，采购人可以向供应商管理人员进行投诉和要求整改，并记入供应商季度考核评价表。严重时可以向有关部门进行投诉。</w:t>
      </w:r>
    </w:p>
    <w:p w14:paraId="07975B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Segoe UI Symbol" w:hAnsi="Segoe UI Symbol" w:eastAsia="仿宋" w:cs="Segoe UI Symbol"/>
          <w:b/>
          <w:bCs/>
          <w:sz w:val="24"/>
          <w:szCs w:val="22"/>
          <w:lang w:val="en-US" w:eastAsia="zh-CN"/>
        </w:rPr>
        <w:t>三</w:t>
      </w:r>
      <w:r>
        <w:rPr>
          <w:rFonts w:ascii="Times New Roman" w:hAnsi="Times New Roman" w:eastAsia="仿宋" w:cs="Times New Roman"/>
          <w:b/>
          <w:bCs/>
          <w:sz w:val="24"/>
          <w:szCs w:val="24"/>
        </w:rPr>
        <w:t>、商务要求：</w:t>
      </w:r>
    </w:p>
    <w:p w14:paraId="452553B2">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val="0"/>
          <w:bCs w:val="0"/>
          <w:sz w:val="24"/>
          <w:szCs w:val="24"/>
          <w:lang w:val="en-US" w:eastAsia="zh-CN"/>
        </w:rPr>
      </w:pPr>
      <w:r>
        <w:rPr>
          <w:rFonts w:hint="eastAsia" w:ascii="Times New Roman" w:hAnsi="Times New Roman" w:eastAsia="仿宋" w:cs="Times New Roman"/>
          <w:b/>
          <w:bCs/>
          <w:sz w:val="24"/>
          <w:szCs w:val="24"/>
          <w:lang w:val="en-US" w:eastAsia="zh-CN"/>
        </w:rPr>
        <w:t>服务期限</w:t>
      </w:r>
      <w:r>
        <w:rPr>
          <w:rFonts w:hint="eastAsia" w:ascii="Times New Roman" w:hAnsi="Times New Roman" w:eastAsia="仿宋" w:cs="Times New Roman"/>
          <w:b w:val="0"/>
          <w:bCs w:val="0"/>
          <w:sz w:val="24"/>
          <w:szCs w:val="24"/>
          <w:lang w:val="en-US" w:eastAsia="zh-CN"/>
        </w:rPr>
        <w:t>：</w:t>
      </w:r>
      <w:bookmarkStart w:id="104" w:name="_GoBack"/>
      <w:r>
        <w:rPr>
          <w:rFonts w:hint="eastAsia" w:ascii="Times New Roman" w:hAnsi="Times New Roman" w:eastAsia="仿宋" w:cs="Times New Roman"/>
          <w:b w:val="0"/>
          <w:bCs w:val="0"/>
          <w:sz w:val="24"/>
          <w:szCs w:val="24"/>
          <w:lang w:val="en-US" w:eastAsia="zh-CN"/>
        </w:rPr>
        <w:t>2026年8月15日至2029年8月14日，合同一年一签，年度考核合格以后续签下一年度合同。若合同签订生效时间晚于2026年8月15日，则以合同签订生效时间作为服务期起始时间，服务期结束时间按本项目服务期限顺延。</w:t>
      </w:r>
      <w:bookmarkEnd w:id="104"/>
    </w:p>
    <w:p w14:paraId="5F6B69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auto"/>
          <w:sz w:val="24"/>
          <w:szCs w:val="24"/>
          <w:highlight w:val="none"/>
        </w:rPr>
      </w:pPr>
      <w:r>
        <w:rPr>
          <w:rFonts w:hint="eastAsia" w:ascii="Times New Roman" w:hAnsi="Times New Roman" w:eastAsia="仿宋" w:cs="Times New Roman"/>
          <w:b/>
          <w:bCs/>
          <w:sz w:val="24"/>
          <w:szCs w:val="24"/>
          <w:lang w:val="en-US" w:eastAsia="zh-CN"/>
        </w:rPr>
        <w:t>（二）交付地点</w:t>
      </w:r>
      <w:r>
        <w:rPr>
          <w:rFonts w:hint="eastAsia" w:ascii="Times New Roman" w:hAnsi="Times New Roman" w:eastAsia="仿宋" w:cs="Times New Roman"/>
          <w:sz w:val="24"/>
          <w:szCs w:val="24"/>
          <w:lang w:val="en-US" w:eastAsia="zh-CN"/>
        </w:rPr>
        <w:t>：四川省人民医院（青羊院区、草堂院区、皮肤病性病研究所（皮研所）、实验动物研究所、龙泉院区，四川省精神医学中心）</w:t>
      </w:r>
      <w:r>
        <w:rPr>
          <w:rFonts w:hint="eastAsia" w:ascii="Times New Roman" w:hAnsi="Times New Roman" w:eastAsia="仿宋" w:cs="Times New Roman"/>
          <w:b w:val="0"/>
          <w:bCs w:val="0"/>
          <w:kern w:val="2"/>
          <w:sz w:val="24"/>
          <w:szCs w:val="24"/>
          <w:lang w:val="en-US" w:eastAsia="zh-CN" w:bidi="ar-SA"/>
        </w:rPr>
        <w:t>。</w:t>
      </w:r>
    </w:p>
    <w:p w14:paraId="156C6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（三）付款条件</w:t>
      </w:r>
    </w:p>
    <w:p w14:paraId="2DD4CE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结算费用=成交单价×实际送货量。供应商应根据本项目成交单价及实际服务情况向采购人提供结算费用清单进行确认，并在采购人确认后5日内按费用清单金额向采购人提供合法有效票据及其他相关请款资料，采购人自收到上述票据及资料后55日内，向供应商全额支付上述结算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360" w:lineRule="auto"/>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Times New Roman" w:hAnsi="Times New Roman" w:eastAsia="仿宋" w:cs="Times New Roman"/>
          <w:b/>
          <w:bCs/>
          <w:sz w:val="24"/>
          <w:szCs w:val="24"/>
          <w:lang w:val="en-US" w:eastAsia="zh-CN"/>
        </w:rPr>
        <w:t>（四）</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按照基于本项目采购需求编制的采购文件要求及供应商响应文件情况，由供应商向采购人提供的每批次液氮产品。</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供应商完成每批次货物交付后5日内通知采购人验收，采购人接供应商通知后10日内组织验收。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360" w:lineRule="auto"/>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5.参照《财政部关于进一步加强政府采购需求和履约验收管理的指导意见》（财库〔2016〕205号）的要求进行验收。</w:t>
            </w:r>
          </w:p>
          <w:p w14:paraId="42C0B319">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360" w:lineRule="auto"/>
              <w:ind w:firstLine="0" w:firstLineChars="0"/>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360" w:lineRule="auto"/>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采购人按照本项目要求对液氮质量现场检验，每批次配送的液氮产品批次号与送货单、验收单上相关信息应完全一致。货物验收以双方签字的登记本数量为验收依据之一，货物验收合格前，毁损灭失的风险由供应商承担。</w:t>
            </w:r>
          </w:p>
        </w:tc>
      </w:tr>
    </w:tbl>
    <w:p w14:paraId="4DBB66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default" w:ascii="仿宋" w:hAnsi="仿宋" w:eastAsia="仿宋" w:cs="仿宋"/>
          <w:b w:val="0"/>
          <w:bCs w:val="0"/>
          <w:kern w:val="2"/>
          <w:sz w:val="24"/>
          <w:szCs w:val="24"/>
          <w:lang w:val="en-US" w:eastAsia="zh-CN" w:bidi="ar-SA"/>
        </w:rPr>
      </w:pPr>
      <w:r>
        <w:rPr>
          <w:rFonts w:hint="eastAsia" w:ascii="Times New Roman" w:hAnsi="Times New Roman" w:eastAsia="仿宋" w:cs="Times New Roman"/>
          <w:b/>
          <w:bCs/>
          <w:kern w:val="2"/>
          <w:sz w:val="24"/>
          <w:szCs w:val="24"/>
          <w:lang w:val="en-US" w:eastAsia="zh-CN" w:bidi="ar-SA"/>
        </w:rPr>
        <w:t>（五）考核内容</w:t>
      </w:r>
    </w:p>
    <w:p w14:paraId="2A6111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jc w:val="both"/>
        <w:textAlignment w:val="auto"/>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1.考核表</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25"/>
        <w:gridCol w:w="1312"/>
        <w:gridCol w:w="2270"/>
        <w:gridCol w:w="1655"/>
        <w:gridCol w:w="1374"/>
        <w:gridCol w:w="823"/>
        <w:gridCol w:w="1639"/>
      </w:tblGrid>
      <w:tr w14:paraId="7F7C8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40" w:hRule="atLeast"/>
        </w:trPr>
        <w:tc>
          <w:tcPr>
            <w:tcW w:w="9806" w:type="dxa"/>
            <w:gridSpan w:val="7"/>
            <w:shd w:val="clear" w:color="auto" w:fill="auto"/>
            <w:tcMar>
              <w:top w:w="0" w:type="dxa"/>
              <w:left w:w="30" w:type="dxa"/>
              <w:bottom w:w="0" w:type="dxa"/>
              <w:right w:w="30" w:type="dxa"/>
            </w:tcMar>
            <w:vAlign w:val="center"/>
          </w:tcPr>
          <w:p w14:paraId="376D0C4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供应商季度考核评价表</w:t>
            </w:r>
          </w:p>
        </w:tc>
      </w:tr>
      <w:tr w14:paraId="3DAD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5368A05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申请科室</w:t>
            </w:r>
          </w:p>
        </w:tc>
        <w:tc>
          <w:tcPr>
            <w:tcW w:w="7851" w:type="dxa"/>
            <w:gridSpan w:val="5"/>
            <w:shd w:val="clear" w:color="auto" w:fill="auto"/>
            <w:tcMar>
              <w:top w:w="0" w:type="dxa"/>
              <w:left w:w="30" w:type="dxa"/>
              <w:bottom w:w="0" w:type="dxa"/>
              <w:right w:w="30" w:type="dxa"/>
            </w:tcMar>
            <w:vAlign w:val="center"/>
          </w:tcPr>
          <w:p w14:paraId="5C2801E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46A1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4B24D3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p>
        </w:tc>
        <w:tc>
          <w:tcPr>
            <w:tcW w:w="3974" w:type="dxa"/>
            <w:gridSpan w:val="2"/>
            <w:shd w:val="clear" w:color="auto" w:fill="auto"/>
            <w:tcMar>
              <w:top w:w="0" w:type="dxa"/>
              <w:left w:w="30" w:type="dxa"/>
              <w:bottom w:w="0" w:type="dxa"/>
              <w:right w:w="30" w:type="dxa"/>
            </w:tcMar>
            <w:vAlign w:val="center"/>
          </w:tcPr>
          <w:p w14:paraId="1082295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56E76D9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w:t>
            </w:r>
          </w:p>
        </w:tc>
        <w:tc>
          <w:tcPr>
            <w:tcW w:w="2488" w:type="dxa"/>
            <w:gridSpan w:val="2"/>
            <w:shd w:val="clear" w:color="auto" w:fill="auto"/>
            <w:tcMar>
              <w:top w:w="0" w:type="dxa"/>
              <w:left w:w="30" w:type="dxa"/>
              <w:bottom w:w="0" w:type="dxa"/>
              <w:right w:w="30" w:type="dxa"/>
            </w:tcMar>
            <w:vAlign w:val="center"/>
          </w:tcPr>
          <w:p w14:paraId="17983B4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C72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Pr>
        <w:tc>
          <w:tcPr>
            <w:tcW w:w="1955" w:type="dxa"/>
            <w:gridSpan w:val="2"/>
            <w:shd w:val="clear" w:color="auto" w:fill="auto"/>
            <w:tcMar>
              <w:top w:w="0" w:type="dxa"/>
              <w:left w:w="30" w:type="dxa"/>
              <w:bottom w:w="0" w:type="dxa"/>
              <w:right w:w="30" w:type="dxa"/>
            </w:tcMar>
            <w:vAlign w:val="center"/>
          </w:tcPr>
          <w:p w14:paraId="1DDE8DC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供应商地址</w:t>
            </w:r>
          </w:p>
        </w:tc>
        <w:tc>
          <w:tcPr>
            <w:tcW w:w="3974" w:type="dxa"/>
            <w:gridSpan w:val="2"/>
            <w:shd w:val="clear" w:color="auto" w:fill="auto"/>
            <w:tcMar>
              <w:top w:w="0" w:type="dxa"/>
              <w:left w:w="30" w:type="dxa"/>
              <w:bottom w:w="0" w:type="dxa"/>
              <w:right w:w="30" w:type="dxa"/>
            </w:tcMar>
            <w:vAlign w:val="center"/>
          </w:tcPr>
          <w:p w14:paraId="342E0E8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c>
          <w:tcPr>
            <w:tcW w:w="1389" w:type="dxa"/>
            <w:shd w:val="clear" w:color="auto" w:fill="auto"/>
            <w:tcMar>
              <w:top w:w="0" w:type="dxa"/>
              <w:left w:w="30" w:type="dxa"/>
              <w:bottom w:w="0" w:type="dxa"/>
              <w:right w:w="30" w:type="dxa"/>
            </w:tcMar>
            <w:vAlign w:val="center"/>
          </w:tcPr>
          <w:p w14:paraId="2C2C9C8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 系 人</w:t>
            </w:r>
          </w:p>
        </w:tc>
        <w:tc>
          <w:tcPr>
            <w:tcW w:w="2488" w:type="dxa"/>
            <w:gridSpan w:val="2"/>
            <w:shd w:val="clear" w:color="auto" w:fill="auto"/>
            <w:tcMar>
              <w:top w:w="0" w:type="dxa"/>
              <w:left w:w="30" w:type="dxa"/>
              <w:bottom w:w="0" w:type="dxa"/>
              <w:right w:w="30" w:type="dxa"/>
            </w:tcMar>
            <w:vAlign w:val="center"/>
          </w:tcPr>
          <w:p w14:paraId="743EC76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5CF1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65" w:hRule="atLeast"/>
        </w:trPr>
        <w:tc>
          <w:tcPr>
            <w:tcW w:w="1955" w:type="dxa"/>
            <w:gridSpan w:val="2"/>
            <w:shd w:val="clear" w:color="auto" w:fill="auto"/>
            <w:tcMar>
              <w:top w:w="0" w:type="dxa"/>
              <w:left w:w="30" w:type="dxa"/>
              <w:bottom w:w="0" w:type="dxa"/>
              <w:right w:w="30" w:type="dxa"/>
            </w:tcMar>
            <w:vAlign w:val="center"/>
          </w:tcPr>
          <w:p w14:paraId="1F4B3F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合同名称</w:t>
            </w:r>
          </w:p>
        </w:tc>
        <w:tc>
          <w:tcPr>
            <w:tcW w:w="7851" w:type="dxa"/>
            <w:gridSpan w:val="5"/>
            <w:shd w:val="clear" w:color="auto" w:fill="auto"/>
            <w:tcMar>
              <w:top w:w="0" w:type="dxa"/>
              <w:left w:w="30" w:type="dxa"/>
              <w:bottom w:w="0" w:type="dxa"/>
              <w:right w:w="30" w:type="dxa"/>
            </w:tcMar>
            <w:vAlign w:val="center"/>
          </w:tcPr>
          <w:p w14:paraId="482416B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CD6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555" w:hRule="atLeast"/>
        </w:trPr>
        <w:tc>
          <w:tcPr>
            <w:tcW w:w="4249" w:type="dxa"/>
            <w:gridSpan w:val="3"/>
            <w:shd w:val="clear" w:color="auto" w:fill="auto"/>
            <w:tcMar>
              <w:top w:w="0" w:type="dxa"/>
              <w:left w:w="30" w:type="dxa"/>
              <w:bottom w:w="0" w:type="dxa"/>
              <w:right w:w="30" w:type="dxa"/>
            </w:tcMar>
            <w:vAlign w:val="center"/>
          </w:tcPr>
          <w:p w14:paraId="3013A5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tc>
        <w:tc>
          <w:tcPr>
            <w:tcW w:w="5557" w:type="dxa"/>
            <w:gridSpan w:val="4"/>
            <w:shd w:val="clear" w:color="auto" w:fill="auto"/>
            <w:tcMar>
              <w:top w:w="0" w:type="dxa"/>
              <w:left w:w="30" w:type="dxa"/>
              <w:bottom w:w="0" w:type="dxa"/>
              <w:right w:w="30" w:type="dxa"/>
            </w:tcMar>
            <w:vAlign w:val="center"/>
          </w:tcPr>
          <w:p w14:paraId="1A3A281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季度</w:t>
            </w:r>
          </w:p>
        </w:tc>
      </w:tr>
      <w:tr w14:paraId="0E08C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35" w:hRule="atLeast"/>
        </w:trPr>
        <w:tc>
          <w:tcPr>
            <w:tcW w:w="630" w:type="dxa"/>
            <w:shd w:val="clear" w:color="auto" w:fill="auto"/>
            <w:tcMar>
              <w:top w:w="0" w:type="dxa"/>
              <w:left w:w="30" w:type="dxa"/>
              <w:bottom w:w="0" w:type="dxa"/>
              <w:right w:w="30" w:type="dxa"/>
            </w:tcMar>
            <w:vAlign w:val="center"/>
          </w:tcPr>
          <w:p w14:paraId="14B9F67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325" w:type="dxa"/>
            <w:shd w:val="clear" w:color="auto" w:fill="auto"/>
            <w:tcMar>
              <w:top w:w="0" w:type="dxa"/>
              <w:left w:w="30" w:type="dxa"/>
              <w:bottom w:w="0" w:type="dxa"/>
              <w:right w:w="30" w:type="dxa"/>
            </w:tcMar>
            <w:vAlign w:val="center"/>
          </w:tcPr>
          <w:p w14:paraId="25FA84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指标类型</w:t>
            </w:r>
          </w:p>
        </w:tc>
        <w:tc>
          <w:tcPr>
            <w:tcW w:w="2294" w:type="dxa"/>
            <w:shd w:val="clear" w:color="auto" w:fill="auto"/>
            <w:tcMar>
              <w:top w:w="0" w:type="dxa"/>
              <w:left w:w="30" w:type="dxa"/>
              <w:bottom w:w="0" w:type="dxa"/>
              <w:right w:w="30" w:type="dxa"/>
            </w:tcMar>
            <w:vAlign w:val="center"/>
          </w:tcPr>
          <w:p w14:paraId="32866E4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指标名称、分值</w:t>
            </w:r>
          </w:p>
        </w:tc>
        <w:tc>
          <w:tcPr>
            <w:tcW w:w="3904" w:type="dxa"/>
            <w:gridSpan w:val="3"/>
            <w:shd w:val="clear" w:color="auto" w:fill="auto"/>
            <w:tcMar>
              <w:top w:w="0" w:type="dxa"/>
              <w:left w:w="30" w:type="dxa"/>
              <w:bottom w:w="0" w:type="dxa"/>
              <w:right w:w="30" w:type="dxa"/>
            </w:tcMar>
            <w:vAlign w:val="center"/>
          </w:tcPr>
          <w:p w14:paraId="285DC2A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1653" w:type="dxa"/>
            <w:shd w:val="clear" w:color="auto" w:fill="auto"/>
            <w:tcMar>
              <w:top w:w="0" w:type="dxa"/>
              <w:left w:w="30" w:type="dxa"/>
              <w:bottom w:w="0" w:type="dxa"/>
              <w:right w:w="30" w:type="dxa"/>
            </w:tcMar>
            <w:vAlign w:val="center"/>
          </w:tcPr>
          <w:p w14:paraId="72C16A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分项得分</w:t>
            </w:r>
          </w:p>
        </w:tc>
      </w:tr>
      <w:tr w14:paraId="7D991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75" w:hRule="atLeast"/>
        </w:trPr>
        <w:tc>
          <w:tcPr>
            <w:tcW w:w="630" w:type="dxa"/>
            <w:vMerge w:val="restart"/>
            <w:shd w:val="clear" w:color="auto" w:fill="auto"/>
            <w:tcMar>
              <w:top w:w="0" w:type="dxa"/>
              <w:left w:w="30" w:type="dxa"/>
              <w:bottom w:w="0" w:type="dxa"/>
              <w:right w:w="30" w:type="dxa"/>
            </w:tcMar>
            <w:vAlign w:val="center"/>
          </w:tcPr>
          <w:p w14:paraId="316E79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325" w:type="dxa"/>
            <w:vMerge w:val="restart"/>
            <w:shd w:val="clear" w:color="auto" w:fill="auto"/>
            <w:tcMar>
              <w:top w:w="0" w:type="dxa"/>
              <w:left w:w="30" w:type="dxa"/>
              <w:bottom w:w="0" w:type="dxa"/>
              <w:right w:w="30" w:type="dxa"/>
            </w:tcMar>
            <w:vAlign w:val="center"/>
          </w:tcPr>
          <w:p w14:paraId="63295C7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响应速度</w:t>
            </w:r>
          </w:p>
          <w:p w14:paraId="21AD6B2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（40分）</w:t>
            </w:r>
          </w:p>
        </w:tc>
        <w:tc>
          <w:tcPr>
            <w:tcW w:w="2294" w:type="dxa"/>
            <w:shd w:val="clear" w:color="auto" w:fill="auto"/>
            <w:tcMar>
              <w:top w:w="0" w:type="dxa"/>
              <w:left w:w="30" w:type="dxa"/>
              <w:bottom w:w="0" w:type="dxa"/>
              <w:right w:w="30" w:type="dxa"/>
            </w:tcMar>
            <w:vAlign w:val="center"/>
          </w:tcPr>
          <w:p w14:paraId="7F5B4BC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反应及时性</w:t>
            </w:r>
          </w:p>
          <w:p w14:paraId="21EB45D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（0-15分）</w:t>
            </w:r>
          </w:p>
        </w:tc>
        <w:tc>
          <w:tcPr>
            <w:tcW w:w="3904" w:type="dxa"/>
            <w:gridSpan w:val="3"/>
            <w:shd w:val="clear" w:color="auto" w:fill="auto"/>
            <w:tcMar>
              <w:top w:w="0" w:type="dxa"/>
              <w:left w:w="30" w:type="dxa"/>
              <w:bottom w:w="0" w:type="dxa"/>
              <w:right w:w="30" w:type="dxa"/>
            </w:tcMar>
            <w:vAlign w:val="center"/>
          </w:tcPr>
          <w:p w14:paraId="75D205A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合同要求的响应时限的情形，扣5分，扣完为止。</w:t>
            </w:r>
          </w:p>
        </w:tc>
        <w:tc>
          <w:tcPr>
            <w:tcW w:w="1653" w:type="dxa"/>
            <w:shd w:val="clear" w:color="auto" w:fill="auto"/>
            <w:tcMar>
              <w:top w:w="0" w:type="dxa"/>
              <w:left w:w="30" w:type="dxa"/>
              <w:bottom w:w="0" w:type="dxa"/>
              <w:right w:w="30" w:type="dxa"/>
            </w:tcMar>
            <w:vAlign w:val="center"/>
          </w:tcPr>
          <w:p w14:paraId="60F34BC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7A288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515" w:hRule="atLeast"/>
        </w:trPr>
        <w:tc>
          <w:tcPr>
            <w:tcW w:w="630" w:type="dxa"/>
            <w:vMerge w:val="continue"/>
            <w:shd w:val="clear" w:color="auto" w:fill="auto"/>
            <w:tcMar>
              <w:top w:w="0" w:type="dxa"/>
              <w:left w:w="30" w:type="dxa"/>
              <w:bottom w:w="0" w:type="dxa"/>
              <w:right w:w="30" w:type="dxa"/>
            </w:tcMar>
            <w:vAlign w:val="center"/>
          </w:tcPr>
          <w:p w14:paraId="666EB467">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59DA60AB">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5050FF0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问题处理及时性（0-25分）</w:t>
            </w:r>
          </w:p>
        </w:tc>
        <w:tc>
          <w:tcPr>
            <w:tcW w:w="3904" w:type="dxa"/>
            <w:gridSpan w:val="3"/>
            <w:shd w:val="clear" w:color="auto" w:fill="auto"/>
            <w:tcMar>
              <w:top w:w="0" w:type="dxa"/>
              <w:left w:w="30" w:type="dxa"/>
              <w:bottom w:w="0" w:type="dxa"/>
              <w:right w:w="30" w:type="dxa"/>
            </w:tcMar>
            <w:vAlign w:val="center"/>
          </w:tcPr>
          <w:p w14:paraId="2351FBE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完全符合合同要求25分，出现一次不符合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合同要求的问题处理时限的情形，扣5分，扣完为止。</w:t>
            </w:r>
          </w:p>
        </w:tc>
        <w:tc>
          <w:tcPr>
            <w:tcW w:w="1653" w:type="dxa"/>
            <w:shd w:val="clear" w:color="auto" w:fill="auto"/>
            <w:tcMar>
              <w:top w:w="0" w:type="dxa"/>
              <w:left w:w="30" w:type="dxa"/>
              <w:bottom w:w="0" w:type="dxa"/>
              <w:right w:w="30" w:type="dxa"/>
            </w:tcMar>
            <w:vAlign w:val="center"/>
          </w:tcPr>
          <w:p w14:paraId="652330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0F55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40AAC5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325" w:type="dxa"/>
            <w:vMerge w:val="restart"/>
            <w:shd w:val="clear" w:color="auto" w:fill="auto"/>
            <w:tcMar>
              <w:top w:w="0" w:type="dxa"/>
              <w:left w:w="30" w:type="dxa"/>
              <w:bottom w:w="0" w:type="dxa"/>
              <w:right w:w="30" w:type="dxa"/>
            </w:tcMar>
            <w:vAlign w:val="center"/>
          </w:tcPr>
          <w:p w14:paraId="6DDE214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服务水平</w:t>
            </w:r>
          </w:p>
          <w:p w14:paraId="08F929D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（30分）</w:t>
            </w:r>
          </w:p>
        </w:tc>
        <w:tc>
          <w:tcPr>
            <w:tcW w:w="2294" w:type="dxa"/>
            <w:shd w:val="clear" w:color="auto" w:fill="auto"/>
            <w:tcMar>
              <w:top w:w="0" w:type="dxa"/>
              <w:left w:w="30" w:type="dxa"/>
              <w:bottom w:w="0" w:type="dxa"/>
              <w:right w:w="30" w:type="dxa"/>
            </w:tcMar>
            <w:vAlign w:val="center"/>
          </w:tcPr>
          <w:p w14:paraId="10E7069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按照合同约定完成服务内容（0-15分）</w:t>
            </w:r>
          </w:p>
        </w:tc>
        <w:tc>
          <w:tcPr>
            <w:tcW w:w="3904" w:type="dxa"/>
            <w:gridSpan w:val="3"/>
            <w:shd w:val="clear" w:color="auto" w:fill="auto"/>
            <w:tcMar>
              <w:top w:w="0" w:type="dxa"/>
              <w:left w:w="30" w:type="dxa"/>
              <w:bottom w:w="0" w:type="dxa"/>
              <w:right w:w="30" w:type="dxa"/>
            </w:tcMar>
            <w:vAlign w:val="center"/>
          </w:tcPr>
          <w:p w14:paraId="72D16A3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完全符合合同要求15分，出现一次不符合</w:t>
            </w: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合同要求的服务内容情形，扣5分，扣完为止。</w:t>
            </w:r>
          </w:p>
        </w:tc>
        <w:tc>
          <w:tcPr>
            <w:tcW w:w="1653" w:type="dxa"/>
            <w:shd w:val="clear" w:color="auto" w:fill="auto"/>
            <w:tcMar>
              <w:top w:w="0" w:type="dxa"/>
              <w:left w:w="30" w:type="dxa"/>
              <w:bottom w:w="0" w:type="dxa"/>
              <w:right w:w="30" w:type="dxa"/>
            </w:tcMar>
            <w:vAlign w:val="center"/>
          </w:tcPr>
          <w:p w14:paraId="7634D3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3A125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continue"/>
            <w:shd w:val="clear" w:color="auto" w:fill="auto"/>
            <w:tcMar>
              <w:top w:w="0" w:type="dxa"/>
              <w:left w:w="30" w:type="dxa"/>
              <w:bottom w:w="0" w:type="dxa"/>
              <w:right w:w="30" w:type="dxa"/>
            </w:tcMar>
            <w:vAlign w:val="center"/>
          </w:tcPr>
          <w:p w14:paraId="3B04BA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6AD73604">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31DF212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一次性解决问题能力（0-10分）</w:t>
            </w:r>
          </w:p>
        </w:tc>
        <w:tc>
          <w:tcPr>
            <w:tcW w:w="3904" w:type="dxa"/>
            <w:gridSpan w:val="3"/>
            <w:shd w:val="clear" w:color="auto" w:fill="auto"/>
            <w:tcMar>
              <w:top w:w="0" w:type="dxa"/>
              <w:left w:w="30" w:type="dxa"/>
              <w:bottom w:w="0" w:type="dxa"/>
              <w:right w:w="30" w:type="dxa"/>
            </w:tcMar>
            <w:vAlign w:val="center"/>
          </w:tcPr>
          <w:p w14:paraId="4BA7B60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出现一次返工处理问题的情形扣2分，扣完为止。无此类情形得10分。</w:t>
            </w:r>
          </w:p>
        </w:tc>
        <w:tc>
          <w:tcPr>
            <w:tcW w:w="1653" w:type="dxa"/>
            <w:shd w:val="clear" w:color="auto" w:fill="auto"/>
            <w:tcMar>
              <w:top w:w="0" w:type="dxa"/>
              <w:left w:w="30" w:type="dxa"/>
              <w:bottom w:w="0" w:type="dxa"/>
              <w:right w:w="30" w:type="dxa"/>
            </w:tcMar>
            <w:vAlign w:val="center"/>
          </w:tcPr>
          <w:p w14:paraId="216FC1D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61C78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960" w:hRule="atLeast"/>
        </w:trPr>
        <w:tc>
          <w:tcPr>
            <w:tcW w:w="630" w:type="dxa"/>
            <w:vMerge w:val="continue"/>
            <w:shd w:val="clear" w:color="auto" w:fill="auto"/>
            <w:tcMar>
              <w:top w:w="0" w:type="dxa"/>
              <w:left w:w="30" w:type="dxa"/>
              <w:bottom w:w="0" w:type="dxa"/>
              <w:right w:w="30" w:type="dxa"/>
            </w:tcMar>
            <w:vAlign w:val="center"/>
          </w:tcPr>
          <w:p w14:paraId="58E9C930">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1DF51F75">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0F0A503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巡检质效</w:t>
            </w:r>
          </w:p>
          <w:p w14:paraId="041481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（0-5分）</w:t>
            </w:r>
          </w:p>
        </w:tc>
        <w:tc>
          <w:tcPr>
            <w:tcW w:w="3904" w:type="dxa"/>
            <w:gridSpan w:val="3"/>
            <w:shd w:val="clear" w:color="auto" w:fill="auto"/>
            <w:tcMar>
              <w:top w:w="0" w:type="dxa"/>
              <w:left w:w="30" w:type="dxa"/>
              <w:bottom w:w="0" w:type="dxa"/>
              <w:right w:w="30" w:type="dxa"/>
            </w:tcMar>
            <w:vAlign w:val="center"/>
          </w:tcPr>
          <w:p w14:paraId="229F336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巡检完全符合合同要求5分，不符合合同要求（频次、记录、反馈等）扣5分。</w:t>
            </w:r>
          </w:p>
        </w:tc>
        <w:tc>
          <w:tcPr>
            <w:tcW w:w="1653" w:type="dxa"/>
            <w:shd w:val="clear" w:color="auto" w:fill="auto"/>
            <w:tcMar>
              <w:top w:w="0" w:type="dxa"/>
              <w:left w:w="30" w:type="dxa"/>
              <w:bottom w:w="0" w:type="dxa"/>
              <w:right w:w="30" w:type="dxa"/>
            </w:tcMar>
            <w:vAlign w:val="center"/>
          </w:tcPr>
          <w:p w14:paraId="476FDE9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A6A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95" w:hRule="atLeast"/>
        </w:trPr>
        <w:tc>
          <w:tcPr>
            <w:tcW w:w="630" w:type="dxa"/>
            <w:vMerge w:val="restart"/>
            <w:shd w:val="clear" w:color="auto" w:fill="auto"/>
            <w:tcMar>
              <w:top w:w="0" w:type="dxa"/>
              <w:left w:w="30" w:type="dxa"/>
              <w:bottom w:w="0" w:type="dxa"/>
              <w:right w:w="30" w:type="dxa"/>
            </w:tcMar>
            <w:vAlign w:val="center"/>
          </w:tcPr>
          <w:p w14:paraId="21846F3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325" w:type="dxa"/>
            <w:vMerge w:val="restart"/>
            <w:shd w:val="clear" w:color="auto" w:fill="auto"/>
            <w:tcMar>
              <w:top w:w="0" w:type="dxa"/>
              <w:left w:w="30" w:type="dxa"/>
              <w:bottom w:w="0" w:type="dxa"/>
              <w:right w:w="30" w:type="dxa"/>
            </w:tcMar>
            <w:vAlign w:val="center"/>
          </w:tcPr>
          <w:p w14:paraId="7E7DAED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货物质量</w:t>
            </w:r>
          </w:p>
          <w:p w14:paraId="09665BB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（20分）</w:t>
            </w:r>
          </w:p>
        </w:tc>
        <w:tc>
          <w:tcPr>
            <w:tcW w:w="2294" w:type="dxa"/>
            <w:shd w:val="clear" w:color="auto" w:fill="auto"/>
            <w:tcMar>
              <w:top w:w="0" w:type="dxa"/>
              <w:left w:w="30" w:type="dxa"/>
              <w:bottom w:w="0" w:type="dxa"/>
              <w:right w:w="30" w:type="dxa"/>
            </w:tcMar>
            <w:vAlign w:val="center"/>
          </w:tcPr>
          <w:p w14:paraId="530095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到货质量(0-10分)</w:t>
            </w:r>
          </w:p>
        </w:tc>
        <w:tc>
          <w:tcPr>
            <w:tcW w:w="3904" w:type="dxa"/>
            <w:gridSpan w:val="3"/>
            <w:shd w:val="clear" w:color="auto" w:fill="auto"/>
            <w:tcMar>
              <w:top w:w="0" w:type="dxa"/>
              <w:left w:w="30" w:type="dxa"/>
              <w:bottom w:w="0" w:type="dxa"/>
              <w:right w:w="30" w:type="dxa"/>
            </w:tcMar>
            <w:vAlign w:val="center"/>
          </w:tcPr>
          <w:p w14:paraId="254DBDA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完全符合合同质量要求10分，出现一次不符合合同要求的到货质量情形，扣2分，扣完为止。</w:t>
            </w:r>
          </w:p>
        </w:tc>
        <w:tc>
          <w:tcPr>
            <w:tcW w:w="1653" w:type="dxa"/>
            <w:shd w:val="clear" w:color="auto" w:fill="auto"/>
            <w:tcMar>
              <w:top w:w="0" w:type="dxa"/>
              <w:left w:w="30" w:type="dxa"/>
              <w:bottom w:w="0" w:type="dxa"/>
              <w:right w:w="30" w:type="dxa"/>
            </w:tcMar>
            <w:vAlign w:val="center"/>
          </w:tcPr>
          <w:p w14:paraId="6524991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76D6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60" w:hRule="atLeast"/>
        </w:trPr>
        <w:tc>
          <w:tcPr>
            <w:tcW w:w="630" w:type="dxa"/>
            <w:vMerge w:val="continue"/>
            <w:shd w:val="clear" w:color="auto" w:fill="auto"/>
            <w:tcMar>
              <w:top w:w="0" w:type="dxa"/>
              <w:left w:w="30" w:type="dxa"/>
              <w:bottom w:w="0" w:type="dxa"/>
              <w:right w:w="30" w:type="dxa"/>
            </w:tcMar>
            <w:vAlign w:val="center"/>
          </w:tcPr>
          <w:p w14:paraId="65E1AC3C">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1325" w:type="dxa"/>
            <w:vMerge w:val="continue"/>
            <w:shd w:val="clear" w:color="auto" w:fill="auto"/>
            <w:tcMar>
              <w:top w:w="0" w:type="dxa"/>
              <w:left w:w="30" w:type="dxa"/>
              <w:bottom w:w="0" w:type="dxa"/>
              <w:right w:w="30" w:type="dxa"/>
            </w:tcMar>
            <w:vAlign w:val="center"/>
          </w:tcPr>
          <w:p w14:paraId="243F93B2">
            <w:pPr>
              <w:keepNext w:val="0"/>
              <w:keepLines w:val="0"/>
              <w:pageBreakBefore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p>
        </w:tc>
        <w:tc>
          <w:tcPr>
            <w:tcW w:w="2294" w:type="dxa"/>
            <w:shd w:val="clear" w:color="auto" w:fill="auto"/>
            <w:tcMar>
              <w:top w:w="0" w:type="dxa"/>
              <w:left w:w="30" w:type="dxa"/>
              <w:bottom w:w="0" w:type="dxa"/>
              <w:right w:w="30" w:type="dxa"/>
            </w:tcMar>
            <w:vAlign w:val="center"/>
          </w:tcPr>
          <w:p w14:paraId="6B5836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使用质量(0-10分)</w:t>
            </w:r>
          </w:p>
        </w:tc>
        <w:tc>
          <w:tcPr>
            <w:tcW w:w="3904" w:type="dxa"/>
            <w:gridSpan w:val="3"/>
            <w:shd w:val="clear" w:color="auto" w:fill="auto"/>
            <w:tcMar>
              <w:top w:w="0" w:type="dxa"/>
              <w:left w:w="30" w:type="dxa"/>
              <w:bottom w:w="0" w:type="dxa"/>
              <w:right w:w="30" w:type="dxa"/>
            </w:tcMar>
            <w:vAlign w:val="center"/>
          </w:tcPr>
          <w:p w14:paraId="1190925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（1）多次送货项目：完全符合合同要求10分，出现一次不满足合同要求的质量效期，扣2分，扣完为止。（2）一次性送货项目：如果不满足合同求的质量效期，扣10分。</w:t>
            </w:r>
          </w:p>
        </w:tc>
        <w:tc>
          <w:tcPr>
            <w:tcW w:w="1653" w:type="dxa"/>
            <w:shd w:val="clear" w:color="auto" w:fill="auto"/>
            <w:tcMar>
              <w:top w:w="0" w:type="dxa"/>
              <w:left w:w="30" w:type="dxa"/>
              <w:bottom w:w="0" w:type="dxa"/>
              <w:right w:w="30" w:type="dxa"/>
            </w:tcMar>
            <w:vAlign w:val="center"/>
          </w:tcPr>
          <w:p w14:paraId="7E8DDE0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0C3B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50A8918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325" w:type="dxa"/>
            <w:shd w:val="clear" w:color="auto" w:fill="auto"/>
            <w:tcMar>
              <w:top w:w="0" w:type="dxa"/>
              <w:left w:w="30" w:type="dxa"/>
              <w:bottom w:w="0" w:type="dxa"/>
              <w:right w:w="30" w:type="dxa"/>
            </w:tcMar>
            <w:vAlign w:val="center"/>
          </w:tcPr>
          <w:p w14:paraId="73FBA2B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其他履约情形（10分）</w:t>
            </w:r>
          </w:p>
        </w:tc>
        <w:tc>
          <w:tcPr>
            <w:tcW w:w="2294" w:type="dxa"/>
            <w:shd w:val="clear" w:color="auto" w:fill="auto"/>
            <w:tcMar>
              <w:top w:w="0" w:type="dxa"/>
              <w:left w:w="30" w:type="dxa"/>
              <w:bottom w:w="0" w:type="dxa"/>
              <w:right w:w="30" w:type="dxa"/>
            </w:tcMar>
            <w:vAlign w:val="center"/>
          </w:tcPr>
          <w:p w14:paraId="04CF8D1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合同约定的其他履约要求(0-10分)</w:t>
            </w:r>
          </w:p>
        </w:tc>
        <w:tc>
          <w:tcPr>
            <w:tcW w:w="3904" w:type="dxa"/>
            <w:gridSpan w:val="3"/>
            <w:shd w:val="clear" w:color="auto" w:fill="auto"/>
            <w:tcMar>
              <w:top w:w="0" w:type="dxa"/>
              <w:left w:w="30" w:type="dxa"/>
              <w:bottom w:w="0" w:type="dxa"/>
              <w:right w:w="30" w:type="dxa"/>
            </w:tcMar>
            <w:vAlign w:val="center"/>
          </w:tcPr>
          <w:p w14:paraId="4450FF1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完全符合合同约定的其他履约要求10分，出现一次不符合要求的扣2分，扣完为止。</w:t>
            </w:r>
          </w:p>
        </w:tc>
        <w:tc>
          <w:tcPr>
            <w:tcW w:w="1653" w:type="dxa"/>
            <w:shd w:val="clear" w:color="auto" w:fill="auto"/>
            <w:tcMar>
              <w:top w:w="0" w:type="dxa"/>
              <w:left w:w="30" w:type="dxa"/>
              <w:bottom w:w="0" w:type="dxa"/>
              <w:right w:w="30" w:type="dxa"/>
            </w:tcMar>
            <w:vAlign w:val="center"/>
          </w:tcPr>
          <w:p w14:paraId="6B3C8E0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211AA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1725" w:hRule="atLeast"/>
        </w:trPr>
        <w:tc>
          <w:tcPr>
            <w:tcW w:w="630" w:type="dxa"/>
            <w:shd w:val="clear" w:color="auto" w:fill="auto"/>
            <w:tcMar>
              <w:top w:w="0" w:type="dxa"/>
              <w:left w:w="30" w:type="dxa"/>
              <w:bottom w:w="0" w:type="dxa"/>
              <w:right w:w="30" w:type="dxa"/>
            </w:tcMar>
            <w:vAlign w:val="center"/>
          </w:tcPr>
          <w:p w14:paraId="22C43EE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325" w:type="dxa"/>
            <w:shd w:val="clear" w:color="auto" w:fill="auto"/>
            <w:tcMar>
              <w:top w:w="0" w:type="dxa"/>
              <w:left w:w="30" w:type="dxa"/>
              <w:bottom w:w="0" w:type="dxa"/>
              <w:right w:w="30" w:type="dxa"/>
            </w:tcMar>
            <w:vAlign w:val="center"/>
          </w:tcPr>
          <w:p w14:paraId="3FB33F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约谈次数（扣分项，40分）</w:t>
            </w:r>
          </w:p>
        </w:tc>
        <w:tc>
          <w:tcPr>
            <w:tcW w:w="2294" w:type="dxa"/>
            <w:shd w:val="clear" w:color="auto" w:fill="auto"/>
            <w:tcMar>
              <w:top w:w="0" w:type="dxa"/>
              <w:left w:w="30" w:type="dxa"/>
              <w:bottom w:w="0" w:type="dxa"/>
              <w:right w:w="30" w:type="dxa"/>
            </w:tcMar>
            <w:vAlign w:val="center"/>
          </w:tcPr>
          <w:p w14:paraId="4A7B977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因科室投诉或履约质效差等原因被约谈（扣0-40分）</w:t>
            </w:r>
          </w:p>
        </w:tc>
        <w:tc>
          <w:tcPr>
            <w:tcW w:w="3904" w:type="dxa"/>
            <w:gridSpan w:val="3"/>
            <w:shd w:val="clear" w:color="auto" w:fill="auto"/>
            <w:tcMar>
              <w:top w:w="0" w:type="dxa"/>
              <w:left w:w="30" w:type="dxa"/>
              <w:bottom w:w="0" w:type="dxa"/>
              <w:right w:w="30" w:type="dxa"/>
            </w:tcMar>
            <w:vAlign w:val="center"/>
          </w:tcPr>
          <w:p w14:paraId="1B443EA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约谈一次扣10分，扣完为止。</w:t>
            </w:r>
          </w:p>
        </w:tc>
        <w:tc>
          <w:tcPr>
            <w:tcW w:w="1653" w:type="dxa"/>
            <w:shd w:val="clear" w:color="auto" w:fill="auto"/>
            <w:tcMar>
              <w:top w:w="0" w:type="dxa"/>
              <w:left w:w="30" w:type="dxa"/>
              <w:bottom w:w="0" w:type="dxa"/>
              <w:right w:w="30" w:type="dxa"/>
            </w:tcMar>
            <w:vAlign w:val="center"/>
          </w:tcPr>
          <w:p w14:paraId="695F05C1">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r w14:paraId="1EE3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2416" w:hRule="atLeast"/>
        </w:trPr>
        <w:tc>
          <w:tcPr>
            <w:tcW w:w="630" w:type="dxa"/>
            <w:shd w:val="clear" w:color="auto" w:fill="auto"/>
            <w:tcMar>
              <w:top w:w="0" w:type="dxa"/>
              <w:left w:w="30" w:type="dxa"/>
              <w:bottom w:w="0" w:type="dxa"/>
              <w:right w:w="30" w:type="dxa"/>
            </w:tcMar>
            <w:vAlign w:val="center"/>
          </w:tcPr>
          <w:p w14:paraId="380C70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325" w:type="dxa"/>
            <w:shd w:val="clear" w:color="auto" w:fill="auto"/>
            <w:tcMar>
              <w:top w:w="0" w:type="dxa"/>
              <w:left w:w="30" w:type="dxa"/>
              <w:bottom w:w="0" w:type="dxa"/>
              <w:right w:w="30" w:type="dxa"/>
            </w:tcMar>
            <w:vAlign w:val="center"/>
          </w:tcPr>
          <w:p w14:paraId="7487E8D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合规性或其他严重问题</w:t>
            </w:r>
          </w:p>
          <w:p w14:paraId="7ECDD8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（一票否决项，若存在，当季考核得分为0分）</w:t>
            </w:r>
          </w:p>
        </w:tc>
        <w:tc>
          <w:tcPr>
            <w:tcW w:w="6198" w:type="dxa"/>
            <w:gridSpan w:val="4"/>
            <w:shd w:val="clear" w:color="auto" w:fill="auto"/>
            <w:tcMar>
              <w:top w:w="0" w:type="dxa"/>
              <w:left w:w="30" w:type="dxa"/>
              <w:bottom w:w="0" w:type="dxa"/>
              <w:right w:w="30" w:type="dxa"/>
            </w:tcMar>
            <w:vAlign w:val="center"/>
          </w:tcPr>
          <w:p w14:paraId="2E55DEC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是否存在商业贿赂等不良记录、违法违纪、行政处罚、行政强制，以及消防安全或安全生产责任事故对医院产生重大不良影响等情形</w:t>
            </w:r>
          </w:p>
        </w:tc>
        <w:tc>
          <w:tcPr>
            <w:tcW w:w="1653" w:type="dxa"/>
            <w:shd w:val="clear" w:color="auto" w:fill="auto"/>
            <w:tcMar>
              <w:top w:w="0" w:type="dxa"/>
              <w:left w:w="30" w:type="dxa"/>
              <w:bottom w:w="0" w:type="dxa"/>
              <w:right w:w="30" w:type="dxa"/>
            </w:tcMar>
            <w:vAlign w:val="center"/>
          </w:tcPr>
          <w:p w14:paraId="3DDA4D5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是口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口</w:t>
            </w:r>
          </w:p>
          <w:p w14:paraId="0FB560D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情形（是则填写）：</w:t>
            </w:r>
          </w:p>
          <w:p w14:paraId="556F036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p>
        </w:tc>
      </w:tr>
      <w:tr w14:paraId="0DABF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7035E43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rPr>
              <w:t>当季考核得分:</w:t>
            </w:r>
          </w:p>
        </w:tc>
      </w:tr>
      <w:tr w14:paraId="297B6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4D15616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Style w:val="21"/>
                <w:rFonts w:hint="eastAsia" w:ascii="仿宋" w:hAnsi="仿宋" w:eastAsia="仿宋" w:cs="仿宋"/>
                <w:color w:val="auto"/>
                <w:sz w:val="24"/>
                <w:szCs w:val="24"/>
                <w:highlight w:val="none"/>
              </w:rPr>
            </w:pPr>
            <w:r>
              <w:rPr>
                <w:rStyle w:val="21"/>
                <w:rFonts w:hint="eastAsia" w:ascii="仿宋" w:hAnsi="仿宋" w:eastAsia="仿宋" w:cs="仿宋"/>
                <w:color w:val="auto"/>
                <w:sz w:val="24"/>
                <w:szCs w:val="24"/>
                <w:highlight w:val="none"/>
                <w:lang w:val="en-US" w:eastAsia="zh-CN"/>
              </w:rPr>
              <w:t>考核结果：</w:t>
            </w:r>
            <w:r>
              <w:rPr>
                <w:rFonts w:hint="eastAsia" w:ascii="仿宋" w:hAnsi="仿宋" w:eastAsia="仿宋" w:cs="仿宋"/>
                <w:i w:val="0"/>
                <w:iCs w:val="0"/>
                <w:color w:val="auto"/>
                <w:kern w:val="0"/>
                <w:sz w:val="24"/>
                <w:szCs w:val="24"/>
                <w:highlight w:val="none"/>
                <w:u w:val="none"/>
                <w:lang w:val="en-US" w:eastAsia="zh-CN" w:bidi="ar"/>
              </w:rPr>
              <w:t xml:space="preserve">           □合格(≥90分)            □不合格(&lt;90分)</w:t>
            </w:r>
          </w:p>
        </w:tc>
      </w:tr>
      <w:tr w14:paraId="0AF1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cantSplit/>
          <w:trHeight w:val="30" w:hRule="atLeast"/>
        </w:trPr>
        <w:tc>
          <w:tcPr>
            <w:tcW w:w="9806" w:type="dxa"/>
            <w:gridSpan w:val="7"/>
            <w:shd w:val="clear" w:color="auto" w:fill="auto"/>
            <w:tcMar>
              <w:top w:w="0" w:type="dxa"/>
              <w:left w:w="30" w:type="dxa"/>
              <w:bottom w:w="0" w:type="dxa"/>
              <w:right w:w="30" w:type="dxa"/>
            </w:tcMar>
            <w:vAlign w:val="center"/>
          </w:tcPr>
          <w:p w14:paraId="649904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评价人员：</w:t>
            </w:r>
          </w:p>
        </w:tc>
      </w:tr>
      <w:tr w14:paraId="5948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630" w:type="dxa"/>
            <w:shd w:val="clear" w:color="auto" w:fill="auto"/>
            <w:tcMar>
              <w:top w:w="0" w:type="dxa"/>
              <w:left w:w="30" w:type="dxa"/>
              <w:bottom w:w="0" w:type="dxa"/>
              <w:right w:w="30" w:type="dxa"/>
            </w:tcMar>
            <w:vAlign w:val="center"/>
          </w:tcPr>
          <w:p w14:paraId="6D5F07E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c>
          <w:tcPr>
            <w:tcW w:w="9176" w:type="dxa"/>
            <w:gridSpan w:val="6"/>
            <w:shd w:val="clear" w:color="auto" w:fill="auto"/>
            <w:tcMar>
              <w:top w:w="0" w:type="dxa"/>
              <w:left w:w="30" w:type="dxa"/>
              <w:bottom w:w="0" w:type="dxa"/>
              <w:right w:w="30" w:type="dxa"/>
            </w:tcMar>
            <w:vAlign w:val="top"/>
          </w:tcPr>
          <w:p w14:paraId="1C10133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0" w:firstLineChars="0"/>
              <w:jc w:val="left"/>
              <w:textAlignment w:val="auto"/>
              <w:rPr>
                <w:rFonts w:hint="eastAsia" w:ascii="仿宋" w:hAnsi="仿宋" w:eastAsia="仿宋" w:cs="仿宋"/>
                <w:color w:val="auto"/>
                <w:sz w:val="24"/>
                <w:szCs w:val="24"/>
                <w:highlight w:val="none"/>
              </w:rPr>
            </w:pPr>
          </w:p>
        </w:tc>
      </w:tr>
    </w:tbl>
    <w:p w14:paraId="0DC6BE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2.费用结算说明</w:t>
      </w:r>
    </w:p>
    <w:p w14:paraId="420EF0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（1）考核得分≥90分：足额支付供应商该季度结算费用；</w:t>
      </w:r>
    </w:p>
    <w:p w14:paraId="26890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（2）80≤考核得分＜90：每低于90分1分扣除供应商该季度结算费用2%。</w:t>
      </w:r>
    </w:p>
    <w:p w14:paraId="59D9A9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（3）考核得分＜80分：直接扣除供应商该季度结算费用50%。</w:t>
      </w:r>
    </w:p>
    <w:p w14:paraId="683A9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3.</w:t>
      </w:r>
      <w:r>
        <w:rPr>
          <w:rFonts w:hint="default" w:ascii="仿宋" w:hAnsi="仿宋" w:eastAsia="仿宋" w:cs="仿宋"/>
          <w:i w:val="0"/>
          <w:iCs w:val="0"/>
          <w:color w:val="auto"/>
          <w:kern w:val="0"/>
          <w:sz w:val="24"/>
          <w:szCs w:val="24"/>
          <w:highlight w:val="none"/>
          <w:u w:val="none"/>
          <w:lang w:val="en-US" w:eastAsia="zh-CN" w:bidi="ar"/>
        </w:rPr>
        <w:t>采购人每季度对供应商供应服务质量进行考核评价。1次季度考核低于90分，采购人将约谈</w:t>
      </w:r>
      <w:r>
        <w:rPr>
          <w:rFonts w:hint="eastAsia" w:ascii="仿宋" w:hAnsi="仿宋" w:eastAsia="仿宋" w:cs="仿宋"/>
          <w:i w:val="0"/>
          <w:iCs w:val="0"/>
          <w:color w:val="auto"/>
          <w:kern w:val="0"/>
          <w:sz w:val="24"/>
          <w:szCs w:val="24"/>
          <w:highlight w:val="none"/>
          <w:u w:val="none"/>
          <w:lang w:val="en-US" w:eastAsia="zh-CN" w:bidi="ar"/>
        </w:rPr>
        <w:t>成交</w:t>
      </w:r>
      <w:r>
        <w:rPr>
          <w:rFonts w:hint="default" w:ascii="仿宋" w:hAnsi="仿宋" w:eastAsia="仿宋" w:cs="仿宋"/>
          <w:i w:val="0"/>
          <w:iCs w:val="0"/>
          <w:color w:val="auto"/>
          <w:kern w:val="0"/>
          <w:sz w:val="24"/>
          <w:szCs w:val="24"/>
          <w:highlight w:val="none"/>
          <w:u w:val="none"/>
          <w:lang w:val="en-US" w:eastAsia="zh-CN" w:bidi="ar"/>
        </w:rPr>
        <w:t>供应商，供应商应立即进行整改。2次季度考核低于90分采购人有权解除合同。</w:t>
      </w:r>
    </w:p>
    <w:p w14:paraId="2814C4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4.年度考核：</w:t>
      </w:r>
      <w:r>
        <w:rPr>
          <w:rFonts w:hint="eastAsia" w:ascii="仿宋" w:hAnsi="仿宋" w:eastAsia="仿宋" w:cs="仿宋"/>
          <w:color w:val="auto"/>
          <w:sz w:val="24"/>
          <w:szCs w:val="24"/>
          <w:highlight w:val="none"/>
          <w:lang w:val="en-US" w:eastAsia="zh-CN"/>
        </w:rPr>
        <w:t>供应商服务期内前三个季度考核均合格，为年度考核合格，采购人续签下一年度合同。</w:t>
      </w:r>
    </w:p>
    <w:p w14:paraId="245F031C">
      <w:pPr>
        <w:pStyle w:val="16"/>
        <w:keepNext w:val="0"/>
        <w:keepLines w:val="0"/>
        <w:pageBreakBefore w:val="0"/>
        <w:widowControl w:val="0"/>
        <w:kinsoku/>
        <w:wordWrap/>
        <w:overflowPunct/>
        <w:topLinePunct w:val="0"/>
        <w:autoSpaceDE/>
        <w:autoSpaceDN/>
        <w:bidi w:val="0"/>
        <w:adjustRightInd/>
        <w:snapToGrid w:val="0"/>
        <w:spacing w:before="0" w:after="0" w:line="360" w:lineRule="auto"/>
        <w:ind w:firstLine="482" w:firstLineChars="200"/>
        <w:jc w:val="left"/>
        <w:textAlignment w:val="auto"/>
        <w:rPr>
          <w:rFonts w:hint="eastAsia" w:ascii="Times New Roman" w:hAnsi="Times New Roman" w:eastAsia="仿宋" w:cs="Times New Roman"/>
          <w:b/>
          <w:bCs/>
          <w:kern w:val="2"/>
          <w:sz w:val="24"/>
          <w:szCs w:val="24"/>
          <w:highlight w:val="none"/>
          <w:lang w:val="en-US" w:eastAsia="zh-CN" w:bidi="ar-SA"/>
        </w:rPr>
      </w:pPr>
      <w:r>
        <w:rPr>
          <w:rFonts w:hint="eastAsia" w:ascii="Times New Roman" w:hAnsi="Times New Roman" w:eastAsia="仿宋" w:cs="Times New Roman"/>
          <w:b/>
          <w:bCs/>
          <w:kern w:val="2"/>
          <w:sz w:val="24"/>
          <w:szCs w:val="24"/>
          <w:highlight w:val="none"/>
          <w:lang w:val="en-US" w:eastAsia="zh-CN" w:bidi="ar-SA"/>
        </w:rPr>
        <w:t>四、其他要求</w:t>
      </w:r>
    </w:p>
    <w:p w14:paraId="240A80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1.供应商提供自2023年1月1日（含）至响应文件递交截止之日类似项目业绩（类似项目是指：液氮配送或销售项目），提供合同复印件或中标（成交）通知书，并加盖供应商公章。</w:t>
      </w:r>
    </w:p>
    <w:p w14:paraId="283DC4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2.服务方案</w:t>
      </w:r>
    </w:p>
    <w:p w14:paraId="21A360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服务方案，包括：①配送运输方案；②充装方案；③危险因素应急措施（应包含：预防及应急处理实施方案）；④液氮泄漏应急措施（应包含：预防及应急处理实施方案）；⑤应急措施（应包含：预防及应急处理实施方案）。</w:t>
      </w:r>
    </w:p>
    <w:p w14:paraId="5DBC11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3.售后服务方案</w:t>
      </w:r>
    </w:p>
    <w:p w14:paraId="45F2D5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供应商针对本项目提供售后服务方案，包括：①售后服务计划及售后服务内容；②设施设备维护方案；③安全巡检计划；④培训计划及定期回访。</w:t>
      </w:r>
    </w:p>
    <w:p w14:paraId="3F1CD373">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hint="default" w:ascii="仿宋" w:hAnsi="仿宋" w:eastAsia="仿宋" w:cs="仿宋"/>
          <w:kern w:val="2"/>
          <w:sz w:val="24"/>
          <w:szCs w:val="24"/>
          <w:lang w:val="en-US" w:eastAsia="zh-CN" w:bidi="ar-SA"/>
        </w:rPr>
      </w:pPr>
    </w:p>
    <w:p w14:paraId="2CA346DE">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tbl>
      <w:tblPr>
        <w:tblStyle w:val="1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282"/>
        <w:gridCol w:w="722"/>
        <w:gridCol w:w="4491"/>
        <w:gridCol w:w="1687"/>
      </w:tblGrid>
      <w:tr w14:paraId="3C66B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540580B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282" w:type="dxa"/>
            <w:vAlign w:val="center"/>
          </w:tcPr>
          <w:p w14:paraId="7D71937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p w14:paraId="1B53ED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及权重</w:t>
            </w:r>
          </w:p>
        </w:tc>
        <w:tc>
          <w:tcPr>
            <w:tcW w:w="722" w:type="dxa"/>
            <w:vAlign w:val="center"/>
          </w:tcPr>
          <w:p w14:paraId="2CD60A90">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4491" w:type="dxa"/>
            <w:vAlign w:val="center"/>
          </w:tcPr>
          <w:p w14:paraId="70C717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c>
          <w:tcPr>
            <w:tcW w:w="1687" w:type="dxa"/>
            <w:vAlign w:val="center"/>
          </w:tcPr>
          <w:p w14:paraId="7DBEA107">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tc>
      </w:tr>
      <w:tr w14:paraId="7599C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1FF2E408">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p>
        </w:tc>
        <w:tc>
          <w:tcPr>
            <w:tcW w:w="1282" w:type="dxa"/>
            <w:vAlign w:val="center"/>
          </w:tcPr>
          <w:p w14:paraId="1D4BE4D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w:t>
            </w:r>
          </w:p>
        </w:tc>
        <w:tc>
          <w:tcPr>
            <w:tcW w:w="722" w:type="dxa"/>
            <w:vAlign w:val="center"/>
          </w:tcPr>
          <w:p w14:paraId="094EF9DA">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w:t>
            </w:r>
          </w:p>
        </w:tc>
        <w:tc>
          <w:tcPr>
            <w:tcW w:w="4491" w:type="dxa"/>
            <w:vAlign w:val="center"/>
          </w:tcPr>
          <w:p w14:paraId="0D638982">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eastAsia="仿宋"/>
                <w:highlight w:val="none"/>
                <w:lang w:val="en-US" w:eastAsia="zh-CN"/>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1687" w:type="dxa"/>
            <w:vAlign w:val="center"/>
          </w:tcPr>
          <w:p w14:paraId="50441EB2">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eastAsia" w:ascii="仿宋" w:hAnsi="仿宋" w:eastAsia="仿宋" w:cs="仿宋"/>
                <w:kern w:val="0"/>
                <w:sz w:val="24"/>
                <w:szCs w:val="24"/>
                <w:highlight w:val="none"/>
              </w:rPr>
            </w:pPr>
          </w:p>
        </w:tc>
      </w:tr>
      <w:tr w14:paraId="2ED5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994348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p>
        </w:tc>
        <w:tc>
          <w:tcPr>
            <w:tcW w:w="1282" w:type="dxa"/>
            <w:vAlign w:val="center"/>
          </w:tcPr>
          <w:p w14:paraId="79B3AB7D">
            <w:pPr>
              <w:keepNext w:val="0"/>
              <w:keepLines w:val="0"/>
              <w:pageBreakBefore w:val="0"/>
              <w:kinsoku/>
              <w:wordWrap/>
              <w:overflowPunct/>
              <w:topLinePunct w:val="0"/>
              <w:autoSpaceDE/>
              <w:autoSpaceDN/>
              <w:bidi w:val="0"/>
              <w:adjustRightInd/>
              <w:snapToGrid/>
              <w:spacing w:line="240" w:lineRule="auto"/>
              <w:ind w:left="63" w:leftChars="3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56</w:t>
            </w:r>
            <w:r>
              <w:rPr>
                <w:rFonts w:hint="eastAsia" w:ascii="仿宋" w:hAnsi="仿宋" w:eastAsia="仿宋" w:cs="仿宋"/>
                <w:sz w:val="24"/>
                <w:szCs w:val="24"/>
                <w:highlight w:val="none"/>
              </w:rPr>
              <w:t>%</w:t>
            </w:r>
          </w:p>
        </w:tc>
        <w:tc>
          <w:tcPr>
            <w:tcW w:w="722" w:type="dxa"/>
            <w:vAlign w:val="center"/>
          </w:tcPr>
          <w:p w14:paraId="258067C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56</w:t>
            </w:r>
          </w:p>
        </w:tc>
        <w:tc>
          <w:tcPr>
            <w:tcW w:w="4491" w:type="dxa"/>
            <w:vAlign w:val="center"/>
          </w:tcPr>
          <w:p w14:paraId="3F81B53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供应商自2023年1月1日（含）至响应文件递交截止之日，每具有1个类似项目业绩（类似项目是指：液氮配送或销售项目）的得7分，本项最多得56分。</w:t>
            </w:r>
          </w:p>
        </w:tc>
        <w:tc>
          <w:tcPr>
            <w:tcW w:w="1687" w:type="dxa"/>
            <w:vAlign w:val="center"/>
          </w:tcPr>
          <w:p w14:paraId="55A2E0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提供合同复印件或中标（成交）通知书，并加盖供应商公章。</w:t>
            </w:r>
          </w:p>
          <w:p w14:paraId="4FEAA4F8">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kern w:val="2"/>
                <w:sz w:val="24"/>
                <w:szCs w:val="24"/>
                <w:lang w:val="en-US" w:eastAsia="zh-CN" w:bidi="ar-SA"/>
              </w:rPr>
              <w:t>以合同签订时间或中标(成交)通知书发放时间为准。</w:t>
            </w:r>
          </w:p>
        </w:tc>
      </w:tr>
      <w:tr w14:paraId="3EC3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74A0783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1282" w:type="dxa"/>
            <w:shd w:val="clear" w:color="auto" w:fill="auto"/>
            <w:vAlign w:val="center"/>
          </w:tcPr>
          <w:p w14:paraId="1FD4157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w:t>
            </w:r>
          </w:p>
        </w:tc>
        <w:tc>
          <w:tcPr>
            <w:tcW w:w="722" w:type="dxa"/>
            <w:shd w:val="clear" w:color="auto" w:fill="auto"/>
            <w:vAlign w:val="center"/>
          </w:tcPr>
          <w:p w14:paraId="217D1A65">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8</w:t>
            </w:r>
          </w:p>
        </w:tc>
        <w:tc>
          <w:tcPr>
            <w:tcW w:w="4491" w:type="dxa"/>
            <w:shd w:val="clear" w:color="auto" w:fill="auto"/>
            <w:vAlign w:val="center"/>
          </w:tcPr>
          <w:p w14:paraId="2064F3D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服务方案进行评审，内容包括：①配送运输方案；②充装方案；③危险因素应急措施（应包含：预防及应急处理实施方案）；④液氮泄漏应急措施（应包含：预防及应急处理实施方案）；⑤应急措施（应包含：预防及应急处理实施方案）。完全满足得8分，每缺少一项内容扣1.6分；每项有一处内容缺陷扣0.8分，每项最多扣1.6分，扣完为止。</w:t>
            </w:r>
          </w:p>
          <w:p w14:paraId="10E5039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60478B5D">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r w14:paraId="39C01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51E3B8D9">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282" w:type="dxa"/>
            <w:shd w:val="clear" w:color="auto" w:fill="auto"/>
            <w:vAlign w:val="center"/>
          </w:tcPr>
          <w:p w14:paraId="27C9D780">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_GB2312" w:cs="仿宋"/>
                <w:sz w:val="24"/>
                <w:szCs w:val="24"/>
                <w:highlight w:val="none"/>
                <w:lang w:val="en-US" w:eastAsia="zh-CN"/>
              </w:rPr>
            </w:pPr>
            <w:r>
              <w:rPr>
                <w:rFonts w:hint="eastAsia" w:ascii="仿宋" w:hAnsi="仿宋" w:eastAsia="仿宋" w:cs="仿宋"/>
                <w:kern w:val="2"/>
                <w:sz w:val="24"/>
                <w:szCs w:val="24"/>
                <w:lang w:val="en-US" w:eastAsia="zh-CN" w:bidi="ar-SA"/>
              </w:rPr>
              <w:t>售后服务方案6%</w:t>
            </w:r>
          </w:p>
        </w:tc>
        <w:tc>
          <w:tcPr>
            <w:tcW w:w="722" w:type="dxa"/>
            <w:shd w:val="clear" w:color="auto" w:fill="auto"/>
            <w:vAlign w:val="center"/>
          </w:tcPr>
          <w:p w14:paraId="0A73F39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4491" w:type="dxa"/>
            <w:shd w:val="clear" w:color="auto" w:fill="auto"/>
            <w:vAlign w:val="center"/>
          </w:tcPr>
          <w:p w14:paraId="1BA51F49">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针对本项目提供的售后服务方案进行评审，内容包括：①售后服务计划及售后服务内容；②设施设备维护方案；③安全巡检计划；④培训计划及定期回访。完全满足得6分，每缺少一项内容扣1.5分；每项有一处内容缺陷扣0.75分，每项最多扣1.5分，扣完为止。</w:t>
            </w:r>
          </w:p>
          <w:p w14:paraId="760B402E">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1687" w:type="dxa"/>
            <w:shd w:val="clear" w:color="auto" w:fill="auto"/>
            <w:vAlign w:val="center"/>
          </w:tcPr>
          <w:p w14:paraId="7A118C62">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6482"/>
      <w:bookmarkStart w:id="50" w:name="_Toc11352"/>
      <w:bookmarkStart w:id="51" w:name="_Toc16029"/>
      <w:bookmarkStart w:id="52" w:name="_Toc21519"/>
      <w:bookmarkStart w:id="53"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17857"/>
      <w:bookmarkStart w:id="56" w:name="_Toc31838"/>
      <w:bookmarkStart w:id="57" w:name="_Toc4305"/>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0589"/>
      <w:bookmarkStart w:id="68" w:name="_Toc15526"/>
      <w:bookmarkStart w:id="69" w:name="_Toc25638"/>
      <w:bookmarkStart w:id="70" w:name="_Toc11351"/>
      <w:bookmarkStart w:id="71" w:name="_Toc27661"/>
      <w:bookmarkStart w:id="72" w:name="_Toc12015"/>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2041"/>
      <w:bookmarkStart w:id="75" w:name="_Toc1074"/>
      <w:bookmarkStart w:id="76" w:name="_Toc12967"/>
      <w:bookmarkStart w:id="77" w:name="_Toc26969"/>
      <w:bookmarkStart w:id="78" w:name="_Toc23967"/>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4806"/>
      <w:bookmarkStart w:id="81" w:name="_Toc28634"/>
      <w:bookmarkStart w:id="82" w:name="_Toc21082"/>
      <w:bookmarkStart w:id="83" w:name="_Toc26839"/>
      <w:bookmarkStart w:id="84" w:name="_Toc31686"/>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2958"/>
        <w:gridCol w:w="2083"/>
        <w:gridCol w:w="1682"/>
        <w:gridCol w:w="1869"/>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vAlign w:val="center"/>
          </w:tcPr>
          <w:p w14:paraId="5EA29404">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序号</w:t>
            </w:r>
          </w:p>
        </w:tc>
        <w:tc>
          <w:tcPr>
            <w:tcW w:w="1502" w:type="pct"/>
            <w:vAlign w:val="center"/>
          </w:tcPr>
          <w:p w14:paraId="706A7A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报价项目</w:t>
            </w:r>
          </w:p>
        </w:tc>
        <w:tc>
          <w:tcPr>
            <w:tcW w:w="1058" w:type="pct"/>
            <w:vAlign w:val="center"/>
          </w:tcPr>
          <w:p w14:paraId="7F65D97A">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w:t>
            </w:r>
          </w:p>
        </w:tc>
        <w:tc>
          <w:tcPr>
            <w:tcW w:w="854" w:type="pct"/>
            <w:vAlign w:val="center"/>
          </w:tcPr>
          <w:p w14:paraId="1F078A84">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生产企业</w:t>
            </w:r>
          </w:p>
        </w:tc>
        <w:tc>
          <w:tcPr>
            <w:tcW w:w="948" w:type="pct"/>
            <w:vAlign w:val="center"/>
          </w:tcPr>
          <w:p w14:paraId="2A0ABD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vAlign w:val="center"/>
          </w:tcPr>
          <w:p w14:paraId="40B3417B">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1</w:t>
            </w:r>
          </w:p>
        </w:tc>
        <w:tc>
          <w:tcPr>
            <w:tcW w:w="1502" w:type="pct"/>
            <w:vAlign w:val="center"/>
          </w:tcPr>
          <w:p w14:paraId="00FE56D5">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液氮配送服务（液氮费）</w:t>
            </w:r>
          </w:p>
        </w:tc>
        <w:tc>
          <w:tcPr>
            <w:tcW w:w="1058" w:type="pct"/>
            <w:vAlign w:val="center"/>
          </w:tcPr>
          <w:p w14:paraId="66178E21">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u w:val="single"/>
                <w:lang w:val="en-US" w:eastAsia="zh-CN"/>
              </w:rPr>
              <w:t xml:space="preserve">     </w:t>
            </w:r>
            <w:r>
              <w:rPr>
                <w:rFonts w:hint="eastAsia" w:ascii="Times New Roman" w:hAnsi="Times New Roman" w:eastAsia="仿宋" w:cs="Times New Roman"/>
                <w:kern w:val="0"/>
                <w:szCs w:val="21"/>
                <w:lang w:val="en-US" w:eastAsia="zh-CN"/>
              </w:rPr>
              <w:t>元/升</w:t>
            </w:r>
          </w:p>
        </w:tc>
        <w:tc>
          <w:tcPr>
            <w:tcW w:w="854" w:type="pct"/>
            <w:vAlign w:val="center"/>
          </w:tcPr>
          <w:p w14:paraId="345FA1B3">
            <w:pPr>
              <w:spacing w:line="240" w:lineRule="auto"/>
              <w:jc w:val="center"/>
              <w:rPr>
                <w:rFonts w:hint="eastAsia" w:ascii="Times New Roman" w:hAnsi="Times New Roman" w:eastAsia="仿宋" w:cs="Times New Roman"/>
                <w:kern w:val="0"/>
                <w:szCs w:val="21"/>
                <w:u w:val="single"/>
                <w:lang w:val="en-US" w:eastAsia="zh-CN"/>
              </w:rPr>
            </w:pPr>
          </w:p>
        </w:tc>
        <w:tc>
          <w:tcPr>
            <w:tcW w:w="948" w:type="pct"/>
            <w:vAlign w:val="center"/>
          </w:tcPr>
          <w:p w14:paraId="65AC81E3">
            <w:pPr>
              <w:spacing w:line="240" w:lineRule="auto"/>
              <w:jc w:val="center"/>
              <w:rPr>
                <w:rFonts w:hint="eastAsia" w:ascii="Times New Roman" w:hAnsi="Times New Roman" w:eastAsia="仿宋" w:cs="Times New Roman"/>
                <w:kern w:val="0"/>
                <w:szCs w:val="21"/>
                <w:lang w:val="zh-TW" w:eastAsia="zh-TW"/>
              </w:rPr>
            </w:pPr>
          </w:p>
        </w:tc>
      </w:tr>
      <w:tr w14:paraId="49FC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6" w:type="pct"/>
            <w:shd w:val="clear" w:color="auto" w:fill="auto"/>
            <w:vAlign w:val="center"/>
          </w:tcPr>
          <w:p w14:paraId="02CDE0A9">
            <w:pPr>
              <w:spacing w:line="240" w:lineRule="auto"/>
              <w:jc w:val="center"/>
              <w:rPr>
                <w:rFonts w:hint="eastAsia" w:ascii="Times New Roman" w:hAnsi="Times New Roman" w:eastAsia="仿宋" w:cs="Times New Roman"/>
                <w:kern w:val="0"/>
                <w:szCs w:val="21"/>
                <w:lang w:val="en-US" w:eastAsia="zh-CN"/>
              </w:rPr>
            </w:pPr>
            <w:r>
              <w:rPr>
                <w:rFonts w:ascii="Times New Roman" w:hAnsi="Times New Roman" w:eastAsia="仿宋" w:cs="Times New Roman"/>
                <w:kern w:val="0"/>
                <w:szCs w:val="21"/>
                <w:lang w:val="zh-TW" w:eastAsia="zh-TW"/>
              </w:rPr>
              <w:t>报价合计</w:t>
            </w:r>
          </w:p>
        </w:tc>
        <w:tc>
          <w:tcPr>
            <w:tcW w:w="4363" w:type="pct"/>
            <w:gridSpan w:val="4"/>
            <w:shd w:val="clear" w:color="auto" w:fill="auto"/>
            <w:vAlign w:val="center"/>
          </w:tcPr>
          <w:p w14:paraId="4B241147">
            <w:pPr>
              <w:spacing w:line="240" w:lineRule="auto"/>
              <w:jc w:val="both"/>
              <w:rPr>
                <w:rFonts w:hint="default" w:ascii="Times New Roman" w:hAnsi="Times New Roman" w:eastAsia="仿宋" w:cs="Times New Roman"/>
                <w:kern w:val="0"/>
                <w:szCs w:val="21"/>
                <w:lang w:val="en-US" w:eastAsia="zh-TW"/>
              </w:rPr>
            </w:pPr>
            <w:r>
              <w:rPr>
                <w:rFonts w:ascii="Times New Roman" w:hAnsi="Times New Roman" w:eastAsia="仿宋" w:cs="Times New Roman"/>
                <w:kern w:val="0"/>
                <w:szCs w:val="21"/>
                <w:lang w:val="zh-TW" w:eastAsia="zh-TW"/>
              </w:rPr>
              <w:t>大写：</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u w:val="single"/>
                <w:lang w:val="zh-TW" w:eastAsia="zh-TW"/>
              </w:rPr>
              <w:t xml:space="preserve">    </w:t>
            </w:r>
            <w:r>
              <w:rPr>
                <w:rFonts w:hint="eastAsia" w:ascii="Times New Roman" w:hAnsi="Times New Roman" w:eastAsia="仿宋" w:cs="Times New Roman"/>
                <w:kern w:val="0"/>
                <w:szCs w:val="21"/>
                <w:u w:val="single"/>
                <w:lang w:val="en-US" w:eastAsia="zh-CN"/>
              </w:rPr>
              <w:t xml:space="preserve">    </w:t>
            </w:r>
            <w:r>
              <w:rPr>
                <w:rFonts w:ascii="Times New Roman" w:hAnsi="Times New Roman" w:eastAsia="仿宋" w:cs="Times New Roman"/>
                <w:kern w:val="0"/>
                <w:szCs w:val="21"/>
                <w:lang w:val="zh-TW" w:eastAsia="zh-TW"/>
              </w:rPr>
              <w:t xml:space="preserve"> </w:t>
            </w:r>
            <w:r>
              <w:rPr>
                <w:rFonts w:hint="eastAsia" w:ascii="Times New Roman" w:hAnsi="Times New Roman" w:eastAsia="仿宋" w:cs="Times New Roman"/>
                <w:kern w:val="0"/>
                <w:szCs w:val="21"/>
                <w:lang w:val="zh-TW" w:eastAsia="zh-TW"/>
              </w:rPr>
              <w:t xml:space="preserve">    </w:t>
            </w:r>
            <w:r>
              <w:rPr>
                <w:rFonts w:ascii="Times New Roman" w:hAnsi="Times New Roman" w:eastAsia="仿宋" w:cs="Times New Roman"/>
                <w:kern w:val="0"/>
                <w:szCs w:val="21"/>
                <w:lang w:val="zh-TW" w:eastAsia="zh-TW"/>
              </w:rPr>
              <w:t>小写：</w:t>
            </w:r>
            <w:r>
              <w:rPr>
                <w:rFonts w:hint="eastAsia" w:ascii="Times New Roman" w:hAnsi="Times New Roman" w:eastAsia="仿宋" w:cs="Times New Roman"/>
                <w:kern w:val="0"/>
                <w:szCs w:val="21"/>
                <w:u w:val="single"/>
                <w:lang w:val="en-US" w:eastAsia="zh-CN"/>
              </w:rPr>
              <w:t xml:space="preserve">          </w:t>
            </w:r>
          </w:p>
        </w:tc>
      </w:tr>
    </w:tbl>
    <w:p w14:paraId="20A10B1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A1DADA0">
      <w:pPr>
        <w:pStyle w:val="40"/>
        <w:rPr>
          <w:sz w:val="48"/>
          <w:szCs w:val="48"/>
        </w:rPr>
      </w:pPr>
      <w:r>
        <w:rPr>
          <w:rFonts w:hint="eastAsia"/>
          <w:sz w:val="48"/>
          <w:szCs w:val="48"/>
        </w:rPr>
        <w:t>*</w:t>
      </w:r>
      <w:r>
        <w:rPr>
          <w:sz w:val="48"/>
          <w:szCs w:val="48"/>
        </w:rPr>
        <w:t>**</w:t>
      </w:r>
      <w:r>
        <w:rPr>
          <w:rFonts w:hint="eastAsia"/>
          <w:sz w:val="48"/>
          <w:szCs w:val="48"/>
        </w:rPr>
        <w:t>服务项目</w:t>
      </w:r>
    </w:p>
    <w:p w14:paraId="04282C4C">
      <w:pPr>
        <w:pStyle w:val="40"/>
        <w:rPr>
          <w:sz w:val="48"/>
          <w:szCs w:val="48"/>
        </w:rPr>
      </w:pPr>
      <w:r>
        <w:rPr>
          <w:rFonts w:hint="eastAsia"/>
          <w:sz w:val="48"/>
          <w:szCs w:val="48"/>
        </w:rPr>
        <w:t>采购</w:t>
      </w:r>
      <w:r>
        <w:rPr>
          <w:sz w:val="48"/>
          <w:szCs w:val="48"/>
        </w:rPr>
        <w:t>合同</w:t>
      </w:r>
    </w:p>
    <w:p w14:paraId="0748937D">
      <w:pPr>
        <w:adjustRightInd w:val="0"/>
        <w:ind w:firstLine="420" w:firstLineChars="200"/>
        <w:contextualSpacing/>
        <w:jc w:val="left"/>
        <w:rPr>
          <w:color w:val="000000"/>
          <w:szCs w:val="21"/>
        </w:rPr>
      </w:pPr>
    </w:p>
    <w:p w14:paraId="4FB19C70">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765E2065">
        <w:tblPrEx>
          <w:tblCellMar>
            <w:top w:w="0" w:type="dxa"/>
            <w:left w:w="0" w:type="dxa"/>
            <w:bottom w:w="0" w:type="dxa"/>
            <w:right w:w="0" w:type="dxa"/>
          </w:tblCellMar>
        </w:tblPrEx>
        <w:trPr>
          <w:trHeight w:val="767" w:hRule="atLeast"/>
          <w:jc w:val="center"/>
        </w:trPr>
        <w:tc>
          <w:tcPr>
            <w:tcW w:w="10204" w:type="dxa"/>
            <w:gridSpan w:val="2"/>
          </w:tcPr>
          <w:p w14:paraId="732BCB77">
            <w:pPr>
              <w:contextualSpacing/>
              <w:rPr>
                <w:color w:val="000000"/>
                <w:szCs w:val="21"/>
              </w:rPr>
            </w:pPr>
            <w:r>
              <w:rPr>
                <w:b/>
                <w:bCs/>
                <w:color w:val="000000"/>
                <w:szCs w:val="21"/>
              </w:rPr>
              <w:t>合同编号</w:t>
            </w:r>
            <w:r>
              <w:rPr>
                <w:color w:val="000000"/>
                <w:szCs w:val="21"/>
              </w:rPr>
              <w:t>：CGZX-***</w:t>
            </w:r>
          </w:p>
          <w:p w14:paraId="6521A40B">
            <w:pPr>
              <w:contextualSpacing/>
              <w:rPr>
                <w:color w:val="000000"/>
                <w:szCs w:val="21"/>
              </w:rPr>
            </w:pPr>
            <w:r>
              <w:rPr>
                <w:b/>
                <w:bCs/>
                <w:color w:val="000000"/>
                <w:szCs w:val="21"/>
              </w:rPr>
              <w:t>签订地点</w:t>
            </w:r>
            <w:r>
              <w:rPr>
                <w:color w:val="000000"/>
                <w:szCs w:val="21"/>
              </w:rPr>
              <w:t>：四川省人民医院</w:t>
            </w:r>
          </w:p>
        </w:tc>
      </w:tr>
      <w:tr w14:paraId="139C764E">
        <w:tblPrEx>
          <w:tblCellMar>
            <w:top w:w="0" w:type="dxa"/>
            <w:left w:w="0" w:type="dxa"/>
            <w:bottom w:w="0" w:type="dxa"/>
            <w:right w:w="0" w:type="dxa"/>
          </w:tblCellMar>
        </w:tblPrEx>
        <w:trPr>
          <w:jc w:val="center"/>
        </w:trPr>
        <w:tc>
          <w:tcPr>
            <w:tcW w:w="4962" w:type="dxa"/>
          </w:tcPr>
          <w:p w14:paraId="159EAAF7">
            <w:pPr>
              <w:rPr>
                <w:szCs w:val="21"/>
              </w:rPr>
            </w:pPr>
            <w:r>
              <w:rPr>
                <w:b/>
                <w:bCs/>
                <w:szCs w:val="21"/>
              </w:rPr>
              <w:t>采购人（以下简称甲方）</w:t>
            </w:r>
            <w:r>
              <w:rPr>
                <w:szCs w:val="21"/>
              </w:rPr>
              <w:t>：四川省人民医院</w:t>
            </w:r>
          </w:p>
          <w:p w14:paraId="58117F67">
            <w:pPr>
              <w:rPr>
                <w:szCs w:val="21"/>
              </w:rPr>
            </w:pPr>
            <w:r>
              <w:rPr>
                <w:b/>
                <w:bCs/>
                <w:szCs w:val="21"/>
              </w:rPr>
              <w:t>地址</w:t>
            </w:r>
            <w:r>
              <w:rPr>
                <w:szCs w:val="21"/>
              </w:rPr>
              <w:t>：四川省成都市一环路西二段32号</w:t>
            </w:r>
          </w:p>
          <w:p w14:paraId="2A307575">
            <w:pPr>
              <w:rPr>
                <w:szCs w:val="21"/>
              </w:rPr>
            </w:pPr>
            <w:r>
              <w:rPr>
                <w:b/>
                <w:bCs/>
                <w:szCs w:val="21"/>
              </w:rPr>
              <w:t>项目联系人</w:t>
            </w:r>
            <w:r>
              <w:rPr>
                <w:szCs w:val="21"/>
              </w:rPr>
              <w:t xml:space="preserve">：*** </w:t>
            </w:r>
            <w:r>
              <w:rPr>
                <w:b/>
                <w:bCs/>
                <w:szCs w:val="21"/>
              </w:rPr>
              <w:t>电话</w:t>
            </w:r>
            <w:r>
              <w:rPr>
                <w:szCs w:val="21"/>
              </w:rPr>
              <w:t>：***</w:t>
            </w:r>
          </w:p>
          <w:p w14:paraId="1AE748C3">
            <w:r>
              <w:rPr>
                <w:rFonts w:hint="eastAsia"/>
                <w:b/>
                <w:bCs/>
                <w:szCs w:val="21"/>
              </w:rPr>
              <w:t>电子邮件：</w:t>
            </w:r>
            <w:r>
              <w:rPr>
                <w:rFonts w:hint="eastAsia"/>
                <w:szCs w:val="21"/>
              </w:rPr>
              <w:t>*</w:t>
            </w:r>
            <w:r>
              <w:rPr>
                <w:szCs w:val="21"/>
              </w:rPr>
              <w:t>**</w:t>
            </w:r>
          </w:p>
        </w:tc>
        <w:tc>
          <w:tcPr>
            <w:tcW w:w="5242" w:type="dxa"/>
          </w:tcPr>
          <w:p w14:paraId="56E63204">
            <w:pPr>
              <w:rPr>
                <w:b/>
                <w:bCs/>
                <w:szCs w:val="21"/>
              </w:rPr>
            </w:pPr>
            <w:r>
              <w:rPr>
                <w:b/>
                <w:bCs/>
                <w:szCs w:val="21"/>
              </w:rPr>
              <w:t>供应商（以下简称乙方）：***</w:t>
            </w:r>
          </w:p>
          <w:p w14:paraId="61247CA1">
            <w:pPr>
              <w:rPr>
                <w:b/>
                <w:bCs/>
                <w:szCs w:val="21"/>
              </w:rPr>
            </w:pPr>
            <w:r>
              <w:rPr>
                <w:b/>
                <w:bCs/>
                <w:szCs w:val="21"/>
              </w:rPr>
              <w:t>地址：***</w:t>
            </w:r>
          </w:p>
          <w:p w14:paraId="0748EE1F">
            <w:pPr>
              <w:rPr>
                <w:b/>
                <w:bCs/>
                <w:szCs w:val="21"/>
              </w:rPr>
            </w:pPr>
            <w:r>
              <w:rPr>
                <w:b/>
                <w:bCs/>
                <w:szCs w:val="21"/>
              </w:rPr>
              <w:t>移动电话：***</w:t>
            </w:r>
          </w:p>
          <w:p w14:paraId="1A68FCDB">
            <w:pPr>
              <w:contextualSpacing/>
              <w:rPr>
                <w:b/>
                <w:bCs/>
                <w:szCs w:val="21"/>
              </w:rPr>
            </w:pPr>
            <w:r>
              <w:rPr>
                <w:b/>
                <w:bCs/>
                <w:szCs w:val="21"/>
              </w:rPr>
              <w:t>联系人：***</w:t>
            </w:r>
          </w:p>
          <w:p w14:paraId="28B7DF60">
            <w:pPr>
              <w:rPr>
                <w:bCs/>
                <w:szCs w:val="21"/>
              </w:rPr>
            </w:pPr>
            <w:r>
              <w:rPr>
                <w:rFonts w:hint="eastAsia"/>
                <w:b/>
                <w:bCs/>
                <w:szCs w:val="21"/>
              </w:rPr>
              <w:t>电子邮件：</w:t>
            </w:r>
            <w:r>
              <w:rPr>
                <w:rFonts w:hint="eastAsia"/>
                <w:szCs w:val="21"/>
              </w:rPr>
              <w:t>*</w:t>
            </w:r>
            <w:r>
              <w:rPr>
                <w:szCs w:val="21"/>
              </w:rPr>
              <w:t>**</w:t>
            </w:r>
          </w:p>
        </w:tc>
      </w:tr>
    </w:tbl>
    <w:p w14:paraId="2EA78E17">
      <w:pPr>
        <w:ind w:firstLine="420" w:firstLineChars="200"/>
        <w:contextualSpacing/>
        <w:jc w:val="left"/>
        <w:rPr>
          <w:color w:val="000000"/>
          <w:szCs w:val="21"/>
        </w:rPr>
      </w:pPr>
    </w:p>
    <w:p w14:paraId="441E58E2">
      <w:pPr>
        <w:keepNext w:val="0"/>
        <w:keepLines w:val="0"/>
        <w:pageBreakBefore w:val="0"/>
        <w:kinsoku/>
        <w:wordWrap/>
        <w:overflowPunct/>
        <w:topLinePunct w:val="0"/>
        <w:autoSpaceDE/>
        <w:autoSpaceDN/>
        <w:bidi w:val="0"/>
        <w:adjustRightInd w:val="0"/>
        <w:spacing w:line="380" w:lineRule="exact"/>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FA94FD">
      <w:pPr>
        <w:keepNext w:val="0"/>
        <w:keepLines w:val="0"/>
        <w:pageBreakBefore w:val="0"/>
        <w:kinsoku/>
        <w:wordWrap/>
        <w:overflowPunct/>
        <w:topLinePunct w:val="0"/>
        <w:autoSpaceDE/>
        <w:autoSpaceDN/>
        <w:bidi w:val="0"/>
        <w:spacing w:line="380" w:lineRule="exact"/>
        <w:contextualSpacing/>
        <w:jc w:val="left"/>
        <w:textAlignment w:val="auto"/>
        <w:rPr>
          <w:rFonts w:hint="eastAsia" w:ascii="宋体" w:hAnsi="宋体" w:eastAsia="宋体" w:cs="宋体"/>
          <w:b/>
          <w:sz w:val="21"/>
          <w:szCs w:val="21"/>
        </w:rPr>
      </w:pPr>
    </w:p>
    <w:p w14:paraId="7056C77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合同标的</w:t>
      </w:r>
    </w:p>
    <w:p w14:paraId="415479D1">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3BF9DD04">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6D2EB496">
      <w:pPr>
        <w:pStyle w:val="9"/>
        <w:keepNext w:val="0"/>
        <w:keepLines w:val="0"/>
        <w:pageBreakBefore w:val="0"/>
        <w:numPr>
          <w:ilvl w:val="0"/>
          <w:numId w:val="14"/>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0E9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3FB9A22">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3771F800">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57B98AC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C4FA119">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244801F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38F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582AD6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11F0DA10">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62B17BE">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ECDA59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7BA806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F03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7B340F5">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169BC297">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AFAE82A">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10E29181">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5FD007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49F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CDE7B27">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2CE6C4D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09D28D0D">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73D6A1D">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42047A3">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3B27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82A42DB">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28940AE5">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30698DDF">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5561E28F">
            <w:pPr>
              <w:pStyle w:val="28"/>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11260044">
            <w:pPr>
              <w:pStyle w:val="28"/>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bl>
    <w:p w14:paraId="68219535">
      <w:pPr>
        <w:pStyle w:val="28"/>
        <w:keepNext w:val="0"/>
        <w:keepLines w:val="0"/>
        <w:pageBreakBefore w:val="0"/>
        <w:numPr>
          <w:ilvl w:val="0"/>
          <w:numId w:val="13"/>
        </w:numPr>
        <w:kinsoku/>
        <w:wordWrap/>
        <w:overflowPunct/>
        <w:topLinePunct w:val="0"/>
        <w:autoSpaceDE/>
        <w:autoSpaceDN/>
        <w:bidi w:val="0"/>
        <w:spacing w:line="380" w:lineRule="exact"/>
        <w:ind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合同价款</w:t>
      </w:r>
    </w:p>
    <w:p w14:paraId="5AABFA69">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bookmarkStart w:id="95" w:name="OLE_LINK2"/>
      <w:bookmarkStart w:id="96" w:name="OLE_LINK1"/>
      <w:r>
        <w:rPr>
          <w:rFonts w:hint="eastAsia" w:ascii="宋体" w:hAnsi="宋体" w:eastAsia="宋体" w:cs="宋体"/>
          <w:color w:val="000000"/>
          <w:sz w:val="21"/>
          <w:szCs w:val="21"/>
        </w:rPr>
        <w:sym w:font="Wingdings 2" w:char="F052"/>
      </w:r>
      <w:r>
        <w:rPr>
          <w:rFonts w:hint="eastAsia" w:ascii="宋体" w:hAnsi="宋体" w:eastAsia="宋体" w:cs="宋体"/>
          <w:sz w:val="21"/>
          <w:szCs w:val="21"/>
        </w:rPr>
        <w:t>全包服务</w:t>
      </w:r>
    </w:p>
    <w:p w14:paraId="2AE35938">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D7A97F3">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半包服务</w:t>
      </w:r>
    </w:p>
    <w:p w14:paraId="0B7863E9">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3C7CF0E4">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3D7C634B">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1E1C3EEC">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340C278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BE0F017">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6E934571">
      <w:pPr>
        <w:pStyle w:val="28"/>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3061A74C">
      <w:pPr>
        <w:pStyle w:val="28"/>
        <w:keepNext w:val="0"/>
        <w:keepLines w:val="0"/>
        <w:pageBreakBefore w:val="0"/>
        <w:kinsoku/>
        <w:wordWrap/>
        <w:overflowPunct/>
        <w:topLinePunct w:val="0"/>
        <w:autoSpaceDE/>
        <w:autoSpaceDN/>
        <w:bidi w:val="0"/>
        <w:spacing w:line="380" w:lineRule="exact"/>
        <w:ind w:left="105" w:leftChars="50" w:firstLine="315" w:firstLineChars="150"/>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345B3C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服务方案</w:t>
      </w:r>
    </w:p>
    <w:p w14:paraId="2DFF92A6">
      <w:pPr>
        <w:keepNext w:val="0"/>
        <w:keepLines w:val="0"/>
        <w:pageBreakBefore w:val="0"/>
        <w:kinsoku/>
        <w:wordWrap/>
        <w:overflowPunct/>
        <w:topLinePunct w:val="0"/>
        <w:autoSpaceDE/>
        <w:autoSpaceDN/>
        <w:bidi w:val="0"/>
        <w:spacing w:line="380" w:lineRule="exact"/>
        <w:ind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63FC2639">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验收</w:t>
      </w:r>
    </w:p>
    <w:p w14:paraId="236C5AD2">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27A3D11">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2D539E5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295587D2">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34F2CC8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2E46B81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5B04528B">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39A66DC0">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648CD316">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3670B147">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5C285C00">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467A026E">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6032832C">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3DE4A81">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0ADBF2E">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8D634F9">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7ADBF3D">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7DF51521">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250FB2C4">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9CB302A">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7B51151F">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F93FEF8">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0A93B369">
      <w:pPr>
        <w:pStyle w:val="16"/>
        <w:keepNext w:val="0"/>
        <w:keepLines w:val="0"/>
        <w:pageBreakBefore w:val="0"/>
        <w:numPr>
          <w:ilvl w:val="0"/>
          <w:numId w:val="17"/>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E710AB7">
      <w:pPr>
        <w:pStyle w:val="28"/>
        <w:keepNext w:val="0"/>
        <w:keepLines w:val="0"/>
        <w:pageBreakBefore w:val="0"/>
        <w:numPr>
          <w:ilvl w:val="0"/>
          <w:numId w:val="16"/>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119A7F8A">
      <w:pPr>
        <w:pStyle w:val="28"/>
        <w:keepNext w:val="0"/>
        <w:keepLines w:val="0"/>
        <w:pageBreakBefore w:val="0"/>
        <w:numPr>
          <w:ilvl w:val="0"/>
          <w:numId w:val="1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5580944F">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付款方式</w:t>
      </w:r>
    </w:p>
    <w:p w14:paraId="34E3500A">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9AB7DD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0812993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18BED6E0">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61FC3AD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5E3F27F7">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67FF6C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分阶段支付，支付期限、方式及额度如下：</w:t>
      </w:r>
    </w:p>
    <w:p w14:paraId="3EAFD114">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75A0C735">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EC2C152">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DC0CC99">
      <w:pPr>
        <w:pStyle w:val="9"/>
        <w:keepNext w:val="0"/>
        <w:keepLines w:val="0"/>
        <w:pageBreakBefore w:val="0"/>
        <w:numPr>
          <w:ilvl w:val="0"/>
          <w:numId w:val="18"/>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56D9DF46">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双方权利与义务</w:t>
      </w:r>
    </w:p>
    <w:p w14:paraId="62705D20">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甲方权利与义务</w:t>
      </w:r>
    </w:p>
    <w:p w14:paraId="590E8BAC">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184833A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08C6B074">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0BCD5926">
      <w:pPr>
        <w:pStyle w:val="28"/>
        <w:keepNext w:val="0"/>
        <w:keepLines w:val="0"/>
        <w:pageBreakBefore w:val="0"/>
        <w:numPr>
          <w:ilvl w:val="0"/>
          <w:numId w:val="20"/>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60C8337D">
      <w:pPr>
        <w:pStyle w:val="9"/>
        <w:keepNext w:val="0"/>
        <w:keepLines w:val="0"/>
        <w:pageBreakBefore w:val="0"/>
        <w:numPr>
          <w:ilvl w:val="0"/>
          <w:numId w:val="19"/>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乙方权利与义务</w:t>
      </w:r>
    </w:p>
    <w:p w14:paraId="5EC5F453">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02A9CF7D">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531E4955">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735C6A19">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2C58BFE1">
      <w:pPr>
        <w:pStyle w:val="9"/>
        <w:keepNext w:val="0"/>
        <w:keepLines w:val="0"/>
        <w:pageBreakBefore w:val="0"/>
        <w:numPr>
          <w:ilvl w:val="0"/>
          <w:numId w:val="21"/>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11B61F2D">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违约责任</w:t>
      </w:r>
    </w:p>
    <w:p w14:paraId="5EFE946D">
      <w:pPr>
        <w:pStyle w:val="9"/>
        <w:keepNext w:val="0"/>
        <w:keepLines w:val="0"/>
        <w:pageBreakBefore w:val="0"/>
        <w:numPr>
          <w:ilvl w:val="0"/>
          <w:numId w:val="22"/>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5A3E43BF">
      <w:pPr>
        <w:pStyle w:val="28"/>
        <w:keepNext w:val="0"/>
        <w:keepLines w:val="0"/>
        <w:pageBreakBefore w:val="0"/>
        <w:numPr>
          <w:ilvl w:val="0"/>
          <w:numId w:val="22"/>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乙方违约责任：</w:t>
      </w:r>
    </w:p>
    <w:p w14:paraId="12D093B7">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bookmarkStart w:id="101" w:name="OLE_LINK18"/>
      <w:bookmarkStart w:id="102" w:name="OLE_LINK17"/>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29AD166">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w:t>
      </w:r>
    </w:p>
    <w:p w14:paraId="76D1040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w:t>
      </w:r>
    </w:p>
    <w:p w14:paraId="1A31D2A4">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41D4BA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78342411">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71B9E3D">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21B207D0">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33339C13">
      <w:pPr>
        <w:pStyle w:val="9"/>
        <w:keepNext w:val="0"/>
        <w:keepLines w:val="0"/>
        <w:pageBreakBefore w:val="0"/>
        <w:numPr>
          <w:ilvl w:val="0"/>
          <w:numId w:val="23"/>
        </w:numPr>
        <w:kinsoku/>
        <w:wordWrap/>
        <w:overflowPunct/>
        <w:topLinePunct w:val="0"/>
        <w:autoSpaceDE/>
        <w:autoSpaceDN/>
        <w:bidi w:val="0"/>
        <w:snapToGrid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DD8785D">
      <w:pPr>
        <w:pStyle w:val="9"/>
        <w:keepNext w:val="0"/>
        <w:keepLines w:val="0"/>
        <w:pageBreakBefore w:val="0"/>
        <w:kinsoku/>
        <w:wordWrap/>
        <w:overflowPunct/>
        <w:topLinePunct w:val="0"/>
        <w:autoSpaceDE/>
        <w:autoSpaceDN/>
        <w:bidi w:val="0"/>
        <w:spacing w:after="0" w:line="380" w:lineRule="exact"/>
        <w:ind w:left="0" w:leftChars="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87BCB4B">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不可抗力</w:t>
      </w:r>
    </w:p>
    <w:p w14:paraId="078B8FD4">
      <w:pPr>
        <w:pStyle w:val="28"/>
        <w:keepNext w:val="0"/>
        <w:keepLines w:val="0"/>
        <w:pageBreakBefore w:val="0"/>
        <w:kinsoku/>
        <w:wordWrap/>
        <w:overflowPunct/>
        <w:topLinePunct w:val="0"/>
        <w:autoSpaceDE/>
        <w:autoSpaceDN/>
        <w:bidi w:val="0"/>
        <w:snapToGrid w:val="0"/>
        <w:spacing w:line="380" w:lineRule="exact"/>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4BDE3C0">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合同终止及解除</w:t>
      </w:r>
    </w:p>
    <w:p w14:paraId="552B5126">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7C5340A4">
      <w:pPr>
        <w:pStyle w:val="28"/>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5E63D4D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争议解决办法</w:t>
      </w:r>
    </w:p>
    <w:p w14:paraId="26D21314">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029A6F91">
      <w:pPr>
        <w:pStyle w:val="28"/>
        <w:keepNext w:val="0"/>
        <w:keepLines w:val="0"/>
        <w:pageBreakBefore w:val="0"/>
        <w:numPr>
          <w:ilvl w:val="0"/>
          <w:numId w:val="25"/>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49B19412">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0636E1A3">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362D409A">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6C978075">
      <w:pPr>
        <w:pStyle w:val="33"/>
        <w:keepNext w:val="0"/>
        <w:keepLines w:val="0"/>
        <w:pageBreakBefore w:val="0"/>
        <w:numPr>
          <w:ilvl w:val="0"/>
          <w:numId w:val="26"/>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600EECE">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其他</w:t>
      </w:r>
    </w:p>
    <w:p w14:paraId="306815C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513D143F">
      <w:pPr>
        <w:pStyle w:val="28"/>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本合同一式四份，自双方签字且盖章之日起生效。甲方三份，乙方一份。</w:t>
      </w:r>
    </w:p>
    <w:p w14:paraId="5C9514A7">
      <w:pPr>
        <w:pStyle w:val="28"/>
        <w:keepNext w:val="0"/>
        <w:keepLines w:val="0"/>
        <w:pageBreakBefore w:val="0"/>
        <w:numPr>
          <w:ilvl w:val="0"/>
          <w:numId w:val="13"/>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合同附件</w:t>
      </w:r>
    </w:p>
    <w:p w14:paraId="3A8F98E9">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1C68F264">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316CDF16">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7EE6110">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552DC3E7">
      <w:pPr>
        <w:keepNext w:val="0"/>
        <w:keepLines w:val="0"/>
        <w:pageBreakBefore w:val="0"/>
        <w:kinsoku/>
        <w:wordWrap/>
        <w:overflowPunct/>
        <w:topLinePunct w:val="0"/>
        <w:autoSpaceDE/>
        <w:autoSpaceDN/>
        <w:bidi w:val="0"/>
        <w:spacing w:line="38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76DEE611">
        <w:tblPrEx>
          <w:tblCellMar>
            <w:top w:w="0" w:type="dxa"/>
            <w:left w:w="0" w:type="dxa"/>
            <w:bottom w:w="0" w:type="dxa"/>
            <w:right w:w="0" w:type="dxa"/>
          </w:tblCellMar>
        </w:tblPrEx>
        <w:trPr>
          <w:trHeight w:val="519" w:hRule="atLeast"/>
          <w:jc w:val="center"/>
        </w:trPr>
        <w:tc>
          <w:tcPr>
            <w:tcW w:w="10214" w:type="dxa"/>
            <w:gridSpan w:val="2"/>
          </w:tcPr>
          <w:p w14:paraId="41A7EEB0">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3324515B">
        <w:tblPrEx>
          <w:tblCellMar>
            <w:top w:w="0" w:type="dxa"/>
            <w:left w:w="0" w:type="dxa"/>
            <w:bottom w:w="0" w:type="dxa"/>
            <w:right w:w="0" w:type="dxa"/>
          </w:tblCellMar>
        </w:tblPrEx>
        <w:trPr>
          <w:jc w:val="center"/>
        </w:trPr>
        <w:tc>
          <w:tcPr>
            <w:tcW w:w="4967" w:type="dxa"/>
          </w:tcPr>
          <w:p w14:paraId="1914C25A">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51F56BA2">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278998B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5EF02AD1">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6086BEE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4D1217F6">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21FB85E3">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2F3BD67">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6BB9791B">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D72E5CB">
            <w:pPr>
              <w:keepNext w:val="0"/>
              <w:keepLines w:val="0"/>
              <w:pageBreakBefore w:val="0"/>
              <w:widowControl/>
              <w:kinsoku/>
              <w:wordWrap/>
              <w:overflowPunct/>
              <w:topLinePunct w:val="0"/>
              <w:autoSpaceDE/>
              <w:autoSpaceDN/>
              <w:bidi w:val="0"/>
              <w:spacing w:line="38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3743C453">
      <w:pPr>
        <w:rPr>
          <w:b/>
          <w:bCs/>
          <w:szCs w:val="21"/>
        </w:rPr>
      </w:pPr>
      <w:r>
        <w:rPr>
          <w:b/>
          <w:bCs/>
          <w:szCs w:val="21"/>
        </w:rPr>
        <w:br w:type="page"/>
      </w:r>
    </w:p>
    <w:p w14:paraId="013D3502">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41EED0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D64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vAlign w:val="center"/>
          </w:tcPr>
          <w:p w14:paraId="4B4895D3">
            <w:pPr>
              <w:widowControl/>
              <w:jc w:val="center"/>
              <w:rPr>
                <w:b/>
                <w:bCs/>
                <w:szCs w:val="21"/>
              </w:rPr>
            </w:pPr>
            <w:r>
              <w:rPr>
                <w:rFonts w:hint="eastAsia"/>
                <w:b/>
                <w:bCs/>
                <w:szCs w:val="21"/>
              </w:rPr>
              <w:t>序号</w:t>
            </w:r>
          </w:p>
        </w:tc>
        <w:tc>
          <w:tcPr>
            <w:tcW w:w="3686" w:type="dxa"/>
            <w:vAlign w:val="center"/>
          </w:tcPr>
          <w:p w14:paraId="19584100">
            <w:pPr>
              <w:widowControl/>
              <w:jc w:val="center"/>
              <w:rPr>
                <w:b/>
                <w:bCs/>
                <w:szCs w:val="21"/>
              </w:rPr>
            </w:pPr>
            <w:r>
              <w:rPr>
                <w:rFonts w:hint="eastAsia"/>
                <w:b/>
                <w:bCs/>
                <w:szCs w:val="21"/>
              </w:rPr>
              <w:t>结算项目名称</w:t>
            </w:r>
          </w:p>
        </w:tc>
        <w:tc>
          <w:tcPr>
            <w:tcW w:w="3402" w:type="dxa"/>
            <w:vAlign w:val="center"/>
          </w:tcPr>
          <w:p w14:paraId="189588A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B33DC3D">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3351272">
            <w:pPr>
              <w:widowControl/>
              <w:jc w:val="center"/>
              <w:rPr>
                <w:b/>
                <w:bCs/>
                <w:szCs w:val="21"/>
              </w:rPr>
            </w:pPr>
            <w:r>
              <w:rPr>
                <w:rFonts w:hint="eastAsia"/>
                <w:b/>
                <w:bCs/>
                <w:szCs w:val="21"/>
              </w:rPr>
              <w:t>结算单价</w:t>
            </w:r>
          </w:p>
        </w:tc>
      </w:tr>
      <w:tr w14:paraId="76E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3872DB6">
            <w:pPr>
              <w:widowControl/>
              <w:jc w:val="center"/>
              <w:rPr>
                <w:szCs w:val="21"/>
              </w:rPr>
            </w:pPr>
            <w:r>
              <w:rPr>
                <w:rFonts w:hint="eastAsia"/>
                <w:szCs w:val="21"/>
              </w:rPr>
              <w:t>1</w:t>
            </w:r>
          </w:p>
        </w:tc>
        <w:tc>
          <w:tcPr>
            <w:tcW w:w="3686" w:type="dxa"/>
            <w:vAlign w:val="center"/>
          </w:tcPr>
          <w:p w14:paraId="1B51F472">
            <w:pPr>
              <w:widowControl/>
              <w:jc w:val="left"/>
              <w:rPr>
                <w:szCs w:val="21"/>
              </w:rPr>
            </w:pPr>
          </w:p>
        </w:tc>
        <w:tc>
          <w:tcPr>
            <w:tcW w:w="3402" w:type="dxa"/>
            <w:vAlign w:val="center"/>
          </w:tcPr>
          <w:p w14:paraId="7DD7FFC4">
            <w:pPr>
              <w:widowControl/>
              <w:jc w:val="left"/>
              <w:rPr>
                <w:szCs w:val="21"/>
              </w:rPr>
            </w:pPr>
          </w:p>
        </w:tc>
        <w:tc>
          <w:tcPr>
            <w:tcW w:w="992" w:type="dxa"/>
            <w:vAlign w:val="center"/>
          </w:tcPr>
          <w:p w14:paraId="0FE89261">
            <w:pPr>
              <w:widowControl/>
              <w:jc w:val="center"/>
              <w:rPr>
                <w:szCs w:val="21"/>
              </w:rPr>
            </w:pPr>
          </w:p>
        </w:tc>
        <w:tc>
          <w:tcPr>
            <w:tcW w:w="986" w:type="dxa"/>
            <w:vAlign w:val="center"/>
          </w:tcPr>
          <w:p w14:paraId="0F2A25BF">
            <w:pPr>
              <w:widowControl/>
              <w:jc w:val="center"/>
              <w:rPr>
                <w:szCs w:val="21"/>
              </w:rPr>
            </w:pPr>
          </w:p>
        </w:tc>
      </w:tr>
      <w:tr w14:paraId="752D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13D3369">
            <w:pPr>
              <w:widowControl/>
              <w:jc w:val="center"/>
              <w:rPr>
                <w:szCs w:val="21"/>
              </w:rPr>
            </w:pPr>
            <w:r>
              <w:rPr>
                <w:rFonts w:hint="eastAsia"/>
                <w:szCs w:val="21"/>
              </w:rPr>
              <w:t>2</w:t>
            </w:r>
          </w:p>
        </w:tc>
        <w:tc>
          <w:tcPr>
            <w:tcW w:w="3686" w:type="dxa"/>
            <w:vAlign w:val="center"/>
          </w:tcPr>
          <w:p w14:paraId="0A223391">
            <w:pPr>
              <w:widowControl/>
              <w:jc w:val="left"/>
              <w:rPr>
                <w:szCs w:val="21"/>
              </w:rPr>
            </w:pPr>
          </w:p>
        </w:tc>
        <w:tc>
          <w:tcPr>
            <w:tcW w:w="3402" w:type="dxa"/>
            <w:vAlign w:val="center"/>
          </w:tcPr>
          <w:p w14:paraId="41AB15F4">
            <w:pPr>
              <w:widowControl/>
              <w:jc w:val="left"/>
              <w:rPr>
                <w:szCs w:val="21"/>
              </w:rPr>
            </w:pPr>
          </w:p>
        </w:tc>
        <w:tc>
          <w:tcPr>
            <w:tcW w:w="992" w:type="dxa"/>
            <w:vAlign w:val="center"/>
          </w:tcPr>
          <w:p w14:paraId="070B9E57">
            <w:pPr>
              <w:widowControl/>
              <w:jc w:val="center"/>
              <w:rPr>
                <w:szCs w:val="21"/>
              </w:rPr>
            </w:pPr>
          </w:p>
        </w:tc>
        <w:tc>
          <w:tcPr>
            <w:tcW w:w="986" w:type="dxa"/>
            <w:vAlign w:val="center"/>
          </w:tcPr>
          <w:p w14:paraId="6CEDF7E5">
            <w:pPr>
              <w:widowControl/>
              <w:jc w:val="center"/>
              <w:rPr>
                <w:szCs w:val="21"/>
              </w:rPr>
            </w:pPr>
          </w:p>
        </w:tc>
      </w:tr>
      <w:tr w14:paraId="016A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A6CF83">
            <w:pPr>
              <w:widowControl/>
              <w:jc w:val="center"/>
              <w:rPr>
                <w:szCs w:val="21"/>
              </w:rPr>
            </w:pPr>
            <w:r>
              <w:rPr>
                <w:szCs w:val="21"/>
              </w:rPr>
              <w:t>…</w:t>
            </w:r>
          </w:p>
        </w:tc>
        <w:tc>
          <w:tcPr>
            <w:tcW w:w="3686" w:type="dxa"/>
            <w:vAlign w:val="center"/>
          </w:tcPr>
          <w:p w14:paraId="73663D6A">
            <w:pPr>
              <w:widowControl/>
              <w:jc w:val="left"/>
              <w:rPr>
                <w:szCs w:val="21"/>
              </w:rPr>
            </w:pPr>
          </w:p>
        </w:tc>
        <w:tc>
          <w:tcPr>
            <w:tcW w:w="3402" w:type="dxa"/>
            <w:vAlign w:val="center"/>
          </w:tcPr>
          <w:p w14:paraId="1D6D4B46">
            <w:pPr>
              <w:widowControl/>
              <w:jc w:val="left"/>
              <w:rPr>
                <w:szCs w:val="21"/>
              </w:rPr>
            </w:pPr>
          </w:p>
        </w:tc>
        <w:tc>
          <w:tcPr>
            <w:tcW w:w="992" w:type="dxa"/>
            <w:vAlign w:val="center"/>
          </w:tcPr>
          <w:p w14:paraId="222BAC48">
            <w:pPr>
              <w:widowControl/>
              <w:jc w:val="center"/>
              <w:rPr>
                <w:szCs w:val="21"/>
              </w:rPr>
            </w:pPr>
          </w:p>
        </w:tc>
        <w:tc>
          <w:tcPr>
            <w:tcW w:w="986" w:type="dxa"/>
            <w:vAlign w:val="center"/>
          </w:tcPr>
          <w:p w14:paraId="0F066CCC">
            <w:pPr>
              <w:widowControl/>
              <w:jc w:val="center"/>
              <w:rPr>
                <w:szCs w:val="21"/>
              </w:rPr>
            </w:pPr>
          </w:p>
        </w:tc>
      </w:tr>
    </w:tbl>
    <w:p w14:paraId="7E4B40E7">
      <w:pPr>
        <w:widowControl/>
        <w:jc w:val="left"/>
        <w:rPr>
          <w:szCs w:val="21"/>
        </w:rPr>
        <w:sectPr>
          <w:headerReference r:id="rId6" w:type="default"/>
          <w:footerReference r:id="rId7" w:type="default"/>
          <w:pgSz w:w="11906" w:h="16838"/>
          <w:pgMar w:top="851" w:right="1134" w:bottom="851" w:left="1134" w:header="0" w:footer="567" w:gutter="0"/>
          <w:pgNumType w:fmt="decimal" w:start="1"/>
          <w:cols w:space="425" w:num="1"/>
          <w:docGrid w:linePitch="312" w:charSpace="0"/>
        </w:sectPr>
      </w:pPr>
    </w:p>
    <w:p w14:paraId="05444452">
      <w:pPr>
        <w:widowControl/>
        <w:jc w:val="left"/>
        <w:rPr>
          <w:rFonts w:ascii="宋体" w:hAnsi="宋体"/>
          <w:b/>
          <w:bCs/>
          <w:szCs w:val="21"/>
        </w:rPr>
      </w:pPr>
      <w:r>
        <w:rPr>
          <w:rFonts w:hint="eastAsia" w:ascii="宋体" w:hAnsi="宋体"/>
          <w:b/>
          <w:bCs/>
          <w:szCs w:val="21"/>
        </w:rPr>
        <w:t>附件2：考核标准</w:t>
      </w:r>
    </w:p>
    <w:p w14:paraId="43DD6514"/>
    <w:p w14:paraId="11E34C38">
      <w:r>
        <w:rPr>
          <w:rFonts w:hint="eastAsia"/>
        </w:rPr>
        <w:t>*</w:t>
      </w:r>
      <w:r>
        <w:t>**</w:t>
      </w:r>
    </w:p>
    <w:p w14:paraId="4B448798">
      <w:r>
        <w:br w:type="page"/>
      </w:r>
    </w:p>
    <w:p w14:paraId="2C133F9F">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BFA308"/>
    <w:p w14:paraId="6F9E11C8">
      <w:r>
        <w:rPr>
          <w:rFonts w:hint="eastAsia"/>
        </w:rPr>
        <w:t>*</w:t>
      </w:r>
      <w:r>
        <w:t>**</w:t>
      </w:r>
    </w:p>
    <w:p w14:paraId="15E827A6">
      <w:pPr>
        <w:rPr>
          <w:rFonts w:ascii="Times New Roman" w:hAnsi="Times New Roman" w:cs="Times New Roman"/>
          <w:b/>
          <w:bCs/>
          <w:sz w:val="44"/>
          <w:szCs w:val="52"/>
        </w:rPr>
      </w:pPr>
      <w:r>
        <w:rPr>
          <w:rFonts w:ascii="Times New Roman" w:hAnsi="Times New Roman" w:cs="Times New Roman"/>
          <w:b/>
          <w:bCs/>
          <w:sz w:val="44"/>
          <w:szCs w:val="52"/>
        </w:rPr>
        <w:br w:type="page"/>
      </w:r>
    </w:p>
    <w:p w14:paraId="0CA01D3C">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2"/>
          <w:rFonts w:ascii="Times New Roman" w:hAnsi="Times New Roman" w:eastAsia="宋体" w:cs="Times New Roman"/>
          <w:b/>
          <w:bCs/>
          <w:sz w:val="32"/>
          <w:szCs w:val="32"/>
        </w:rPr>
      </w:pPr>
      <w:r>
        <w:rPr>
          <w:rFonts w:ascii="Times New Roman" w:hAnsi="Times New Roman" w:cs="Times New Roman"/>
        </w:rPr>
        <w:t>年   月   日</w:t>
      </w:r>
    </w:p>
    <w:p w14:paraId="27852A60">
      <w:pPr>
        <w:pStyle w:val="25"/>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8EDC60D-E2CE-4CF4-9647-AC08F39266A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2383B83-7B84-4CD0-9A87-B0130A6FFD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D07284A-8377-4CEF-89B0-E7F681EF9DBB}"/>
  </w:font>
  <w:font w:name="FangSong_GB2312">
    <w:altName w:val="仿宋_GB2312"/>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5DD3FCF-56C5-44A2-B995-E76ABEF53A90}"/>
  </w:font>
  <w:font w:name="Segoe UI Symbol">
    <w:panose1 w:val="020B0502040204020203"/>
    <w:charset w:val="00"/>
    <w:family w:val="swiss"/>
    <w:pitch w:val="default"/>
    <w:sig w:usb0="800001E3" w:usb1="1200FFEF" w:usb2="00040000" w:usb3="04000000" w:csb0="00000001" w:csb1="40000000"/>
    <w:embedRegular r:id="rId5" w:fontKey="{A8FDE1EC-EE0C-4A27-8862-092C16AB38DA}"/>
  </w:font>
  <w:font w:name="仿宋_GB2312">
    <w:panose1 w:val="02010609030101010101"/>
    <w:charset w:val="86"/>
    <w:family w:val="auto"/>
    <w:pitch w:val="default"/>
    <w:sig w:usb0="00000001" w:usb1="080E0000" w:usb2="00000000" w:usb3="00000000" w:csb0="00040000" w:csb1="00000000"/>
    <w:embedRegular r:id="rId6" w:fontKey="{371A149C-C7FF-4B9C-9341-812D22B1D899}"/>
  </w:font>
  <w:font w:name="Wingdings 2">
    <w:panose1 w:val="05020102010507070707"/>
    <w:charset w:val="4D"/>
    <w:family w:val="decorative"/>
    <w:pitch w:val="default"/>
    <w:sig w:usb0="00000000" w:usb1="00000000" w:usb2="00000000" w:usb3="00000000" w:csb0="80000000" w:csb1="00000000"/>
    <w:embedRegular r:id="rId7" w:fontKey="{BD18D92E-7C08-40CE-B49D-509C8D50CDD9}"/>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E5B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1F67E1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E02F399">
                    <w:pPr>
                      <w:pStyle w:val="11"/>
                    </w:pPr>
                    <w:r>
                      <w:t xml:space="preserve">第 </w:t>
                    </w:r>
                    <w:r>
                      <w:fldChar w:fldCharType="begin"/>
                    </w:r>
                    <w:r>
                      <w:instrText xml:space="preserve"> PAGE  \* MERGEFORMAT </w:instrText>
                    </w:r>
                    <w:r>
                      <w:fldChar w:fldCharType="separate"/>
                    </w:r>
                    <w:r>
                      <w:t>35</w:t>
                    </w:r>
                    <w:r>
                      <w:fldChar w:fldCharType="end"/>
                    </w:r>
                    <w:r>
                      <w:t xml:space="preserve"> 页 共 </w:t>
                    </w:r>
                    <w:r>
                      <w:rPr>
                        <w:rFonts w:hint="eastAsia"/>
                        <w:lang w:val="en-US" w:eastAsia="zh-CN"/>
                      </w:rPr>
                      <w:t>38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687B7">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C3A639F2"/>
    <w:multiLevelType w:val="singleLevel"/>
    <w:tmpl w:val="C3A639F2"/>
    <w:lvl w:ilvl="0" w:tentative="0">
      <w:start w:val="1"/>
      <w:numFmt w:val="chineseCounting"/>
      <w:suff w:val="nothing"/>
      <w:lvlText w:val="（%1）"/>
      <w:lvlJc w:val="left"/>
      <w:rPr>
        <w:rFonts w:hint="eastAsia"/>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000002"/>
    <w:multiLevelType w:val="singleLevel"/>
    <w:tmpl w:val="00000002"/>
    <w:lvl w:ilvl="0" w:tentative="0">
      <w:start w:val="1"/>
      <w:numFmt w:val="decimal"/>
      <w:lvlText w:val="(%1)"/>
      <w:lvlJc w:val="left"/>
      <w:pPr>
        <w:tabs>
          <w:tab w:val="left" w:pos="0"/>
        </w:tabs>
        <w:ind w:left="-61" w:firstLine="61"/>
      </w:pPr>
      <w:rPr>
        <w:rFonts w:hint="default"/>
      </w:rPr>
    </w:lvl>
  </w:abstractNum>
  <w:abstractNum w:abstractNumId="6">
    <w:nsid w:val="00000007"/>
    <w:multiLevelType w:val="singleLevel"/>
    <w:tmpl w:val="00000007"/>
    <w:lvl w:ilvl="0" w:tentative="0">
      <w:start w:val="1"/>
      <w:numFmt w:val="decimal"/>
      <w:lvlText w:val="(%1)"/>
      <w:lvlJc w:val="left"/>
      <w:pPr>
        <w:ind w:left="425" w:hanging="425"/>
      </w:pPr>
      <w:rPr>
        <w:rFonts w:hint="default"/>
      </w:rPr>
    </w:lvl>
  </w:abstractNum>
  <w:abstractNum w:abstractNumId="7">
    <w:nsid w:val="00000009"/>
    <w:multiLevelType w:val="singleLevel"/>
    <w:tmpl w:val="00000009"/>
    <w:lvl w:ilvl="0" w:tentative="0">
      <w:start w:val="1"/>
      <w:numFmt w:val="decimal"/>
      <w:lvlText w:val="%1."/>
      <w:lvlJc w:val="left"/>
      <w:pPr>
        <w:tabs>
          <w:tab w:val="left" w:pos="0"/>
        </w:tabs>
        <w:ind w:left="0" w:firstLine="0"/>
      </w:pPr>
      <w:rPr>
        <w:rFonts w:hint="default"/>
      </w:rPr>
    </w:lvl>
  </w:abstractNum>
  <w:abstractNum w:abstractNumId="8">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5">
    <w:nsid w:val="1F712D09"/>
    <w:multiLevelType w:val="singleLevel"/>
    <w:tmpl w:val="1F712D09"/>
    <w:lvl w:ilvl="0" w:tentative="0">
      <w:start w:val="1"/>
      <w:numFmt w:val="decimal"/>
      <w:lvlText w:val="(%1)"/>
      <w:lvlJc w:val="left"/>
      <w:pPr>
        <w:ind w:left="218" w:hanging="425"/>
      </w:pPr>
      <w:rPr>
        <w:rFonts w:hint="default"/>
      </w:rPr>
    </w:lvl>
  </w:abstractNum>
  <w:abstractNum w:abstractNumId="16">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7"/>
  </w:num>
  <w:num w:numId="2">
    <w:abstractNumId w:val="3"/>
  </w:num>
  <w:num w:numId="3">
    <w:abstractNumId w:val="18"/>
  </w:num>
  <w:num w:numId="4">
    <w:abstractNumId w:val="26"/>
  </w:num>
  <w:num w:numId="5">
    <w:abstractNumId w:val="15"/>
  </w:num>
  <w:num w:numId="6">
    <w:abstractNumId w:val="7"/>
  </w:num>
  <w:num w:numId="7">
    <w:abstractNumId w:val="6"/>
  </w:num>
  <w:num w:numId="8">
    <w:abstractNumId w:val="5"/>
  </w:num>
  <w:num w:numId="9">
    <w:abstractNumId w:val="1"/>
  </w:num>
  <w:num w:numId="10">
    <w:abstractNumId w:val="0"/>
  </w:num>
  <w:num w:numId="11">
    <w:abstractNumId w:val="4"/>
  </w:num>
  <w:num w:numId="12">
    <w:abstractNumId w:val="2"/>
  </w:num>
  <w:num w:numId="13">
    <w:abstractNumId w:val="14"/>
  </w:num>
  <w:num w:numId="14">
    <w:abstractNumId w:val="22"/>
  </w:num>
  <w:num w:numId="15">
    <w:abstractNumId w:val="25"/>
  </w:num>
  <w:num w:numId="16">
    <w:abstractNumId w:val="20"/>
  </w:num>
  <w:num w:numId="17">
    <w:abstractNumId w:val="11"/>
  </w:num>
  <w:num w:numId="18">
    <w:abstractNumId w:val="9"/>
  </w:num>
  <w:num w:numId="19">
    <w:abstractNumId w:val="23"/>
  </w:num>
  <w:num w:numId="20">
    <w:abstractNumId w:val="19"/>
  </w:num>
  <w:num w:numId="21">
    <w:abstractNumId w:val="10"/>
  </w:num>
  <w:num w:numId="22">
    <w:abstractNumId w:val="13"/>
  </w:num>
  <w:num w:numId="23">
    <w:abstractNumId w:val="24"/>
  </w:num>
  <w:num w:numId="24">
    <w:abstractNumId w:val="8"/>
  </w:num>
  <w:num w:numId="25">
    <w:abstractNumId w:val="21"/>
  </w:num>
  <w:num w:numId="26">
    <w:abstractNumId w:val="12"/>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075CB"/>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378C3"/>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D68EC"/>
    <w:rsid w:val="00EF1292"/>
    <w:rsid w:val="00F3202A"/>
    <w:rsid w:val="00F523A1"/>
    <w:rsid w:val="00F676AD"/>
    <w:rsid w:val="00F90C3B"/>
    <w:rsid w:val="00FF60E3"/>
    <w:rsid w:val="01F77F95"/>
    <w:rsid w:val="04395576"/>
    <w:rsid w:val="04777312"/>
    <w:rsid w:val="04A3117E"/>
    <w:rsid w:val="058C78B0"/>
    <w:rsid w:val="05E13064"/>
    <w:rsid w:val="06E01180"/>
    <w:rsid w:val="078A573C"/>
    <w:rsid w:val="07FB488D"/>
    <w:rsid w:val="081541D2"/>
    <w:rsid w:val="093A3733"/>
    <w:rsid w:val="0B4508AE"/>
    <w:rsid w:val="0C0D512F"/>
    <w:rsid w:val="0CD67F10"/>
    <w:rsid w:val="0CF161C9"/>
    <w:rsid w:val="0D356657"/>
    <w:rsid w:val="0D7954EB"/>
    <w:rsid w:val="0DAB3854"/>
    <w:rsid w:val="0E0B7FF0"/>
    <w:rsid w:val="0E6F3E7F"/>
    <w:rsid w:val="0F000F7B"/>
    <w:rsid w:val="0FE61CA0"/>
    <w:rsid w:val="117A5014"/>
    <w:rsid w:val="127F05A0"/>
    <w:rsid w:val="136D78F8"/>
    <w:rsid w:val="15845DE6"/>
    <w:rsid w:val="158F4E06"/>
    <w:rsid w:val="15CC4977"/>
    <w:rsid w:val="162A4F7D"/>
    <w:rsid w:val="16A82A66"/>
    <w:rsid w:val="175E328A"/>
    <w:rsid w:val="182932F0"/>
    <w:rsid w:val="1994787E"/>
    <w:rsid w:val="1C8335FD"/>
    <w:rsid w:val="1CEC0D90"/>
    <w:rsid w:val="1DD000AF"/>
    <w:rsid w:val="1E09745A"/>
    <w:rsid w:val="1E176351"/>
    <w:rsid w:val="1F731A9F"/>
    <w:rsid w:val="1FCD64B1"/>
    <w:rsid w:val="20FB77F4"/>
    <w:rsid w:val="219477BD"/>
    <w:rsid w:val="21B3734E"/>
    <w:rsid w:val="21DD66CA"/>
    <w:rsid w:val="224A0A33"/>
    <w:rsid w:val="22935D1D"/>
    <w:rsid w:val="23C562A3"/>
    <w:rsid w:val="23D4489F"/>
    <w:rsid w:val="2472601F"/>
    <w:rsid w:val="257C53A7"/>
    <w:rsid w:val="25D23219"/>
    <w:rsid w:val="262001B9"/>
    <w:rsid w:val="263C2F96"/>
    <w:rsid w:val="27B87AF9"/>
    <w:rsid w:val="27E80EA9"/>
    <w:rsid w:val="280414A1"/>
    <w:rsid w:val="28570368"/>
    <w:rsid w:val="2936586D"/>
    <w:rsid w:val="29C5318E"/>
    <w:rsid w:val="29E144BE"/>
    <w:rsid w:val="2A6574E9"/>
    <w:rsid w:val="2B502F98"/>
    <w:rsid w:val="2B5F63AF"/>
    <w:rsid w:val="2BEC7D40"/>
    <w:rsid w:val="2C674CE8"/>
    <w:rsid w:val="2C9A0A9E"/>
    <w:rsid w:val="2CC31B0E"/>
    <w:rsid w:val="2D95786F"/>
    <w:rsid w:val="2DA70D65"/>
    <w:rsid w:val="2FAA0D63"/>
    <w:rsid w:val="30F776C7"/>
    <w:rsid w:val="322C3CB1"/>
    <w:rsid w:val="3427766B"/>
    <w:rsid w:val="343706EB"/>
    <w:rsid w:val="351A08D0"/>
    <w:rsid w:val="36334CE5"/>
    <w:rsid w:val="37D16702"/>
    <w:rsid w:val="39927C81"/>
    <w:rsid w:val="3A551407"/>
    <w:rsid w:val="3AAC733F"/>
    <w:rsid w:val="3AC3717D"/>
    <w:rsid w:val="3B033C36"/>
    <w:rsid w:val="3B2D3CBB"/>
    <w:rsid w:val="3BC907C3"/>
    <w:rsid w:val="3C5C560E"/>
    <w:rsid w:val="3C7707DD"/>
    <w:rsid w:val="3E5D4E8E"/>
    <w:rsid w:val="3F9133A5"/>
    <w:rsid w:val="3FE25336"/>
    <w:rsid w:val="40526FD9"/>
    <w:rsid w:val="41076015"/>
    <w:rsid w:val="4121269F"/>
    <w:rsid w:val="42075FF8"/>
    <w:rsid w:val="42842020"/>
    <w:rsid w:val="42A605E8"/>
    <w:rsid w:val="42C16887"/>
    <w:rsid w:val="45774DEB"/>
    <w:rsid w:val="45A33E32"/>
    <w:rsid w:val="468567BB"/>
    <w:rsid w:val="46D63C8B"/>
    <w:rsid w:val="4782487D"/>
    <w:rsid w:val="47A8577D"/>
    <w:rsid w:val="48852C5B"/>
    <w:rsid w:val="48912668"/>
    <w:rsid w:val="48E00EFA"/>
    <w:rsid w:val="49B51131"/>
    <w:rsid w:val="49C246CA"/>
    <w:rsid w:val="4B31068E"/>
    <w:rsid w:val="4BA55220"/>
    <w:rsid w:val="4BAD0151"/>
    <w:rsid w:val="4C184E09"/>
    <w:rsid w:val="4C8F75A2"/>
    <w:rsid w:val="4D1B69A4"/>
    <w:rsid w:val="4DAD4403"/>
    <w:rsid w:val="4E4D5283"/>
    <w:rsid w:val="4E8168A2"/>
    <w:rsid w:val="4E8C008E"/>
    <w:rsid w:val="4F470789"/>
    <w:rsid w:val="4FEF758C"/>
    <w:rsid w:val="50771A9C"/>
    <w:rsid w:val="50A417ED"/>
    <w:rsid w:val="51814859"/>
    <w:rsid w:val="51A76A58"/>
    <w:rsid w:val="51C47F6D"/>
    <w:rsid w:val="526C2A8A"/>
    <w:rsid w:val="53514ECE"/>
    <w:rsid w:val="5455382C"/>
    <w:rsid w:val="55AC0AE1"/>
    <w:rsid w:val="55E6461A"/>
    <w:rsid w:val="566429F2"/>
    <w:rsid w:val="56DB728F"/>
    <w:rsid w:val="5ACB7C5C"/>
    <w:rsid w:val="5BAD547D"/>
    <w:rsid w:val="5D0A3490"/>
    <w:rsid w:val="5D7E0D39"/>
    <w:rsid w:val="5DFB21D6"/>
    <w:rsid w:val="5E7943E4"/>
    <w:rsid w:val="5E9D3F29"/>
    <w:rsid w:val="5F69270C"/>
    <w:rsid w:val="60241FF3"/>
    <w:rsid w:val="60384CD1"/>
    <w:rsid w:val="60655808"/>
    <w:rsid w:val="60E23609"/>
    <w:rsid w:val="60F86CEE"/>
    <w:rsid w:val="61025A59"/>
    <w:rsid w:val="61DA7EB5"/>
    <w:rsid w:val="63A9427A"/>
    <w:rsid w:val="63B23767"/>
    <w:rsid w:val="63D462B1"/>
    <w:rsid w:val="641A3596"/>
    <w:rsid w:val="64D96647"/>
    <w:rsid w:val="655B51E5"/>
    <w:rsid w:val="65E40ADA"/>
    <w:rsid w:val="66330B86"/>
    <w:rsid w:val="668F5FE1"/>
    <w:rsid w:val="66E22203"/>
    <w:rsid w:val="677551D7"/>
    <w:rsid w:val="67863D10"/>
    <w:rsid w:val="68B812C9"/>
    <w:rsid w:val="69D50CF4"/>
    <w:rsid w:val="6AEF704E"/>
    <w:rsid w:val="6B054862"/>
    <w:rsid w:val="6B476CEE"/>
    <w:rsid w:val="6C487AFD"/>
    <w:rsid w:val="6CB24363"/>
    <w:rsid w:val="6CFA6338"/>
    <w:rsid w:val="6EA93466"/>
    <w:rsid w:val="6EBD136C"/>
    <w:rsid w:val="6EDF197E"/>
    <w:rsid w:val="6F3C53B6"/>
    <w:rsid w:val="6FCF0795"/>
    <w:rsid w:val="71381023"/>
    <w:rsid w:val="72930C07"/>
    <w:rsid w:val="73714961"/>
    <w:rsid w:val="754D1D92"/>
    <w:rsid w:val="758350A9"/>
    <w:rsid w:val="76CC46E8"/>
    <w:rsid w:val="77132317"/>
    <w:rsid w:val="77BC7D69"/>
    <w:rsid w:val="78D9133E"/>
    <w:rsid w:val="79687E1D"/>
    <w:rsid w:val="7A7120E3"/>
    <w:rsid w:val="7B560FD7"/>
    <w:rsid w:val="7B5F74F8"/>
    <w:rsid w:val="7B690630"/>
    <w:rsid w:val="7BCE4A5E"/>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sht标题1"/>
    <w:basedOn w:val="1"/>
    <w:next w:val="2"/>
    <w:qFormat/>
    <w:uiPriority w:val="0"/>
    <w:pPr>
      <w:jc w:val="center"/>
    </w:pPr>
    <w:rPr>
      <w:rFonts w:eastAsia="黑体"/>
      <w:b/>
      <w:sz w:val="52"/>
      <w:szCs w:val="24"/>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43</Words>
  <Characters>46</Characters>
  <Lines>72</Lines>
  <Paragraphs>20</Paragraphs>
  <TotalTime>8</TotalTime>
  <ScaleCrop>false</ScaleCrop>
  <LinksUpToDate>false</LinksUpToDate>
  <CharactersWithSpaces>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2026-07-09T13:45:20Z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50E803B176664D6FA00F74B60392790E_13</vt:lpwstr>
  </property>
  <property fmtid="{D5CDD505-2E9C-101B-9397-08002B2CF9AE}" pid="4" name="KSOTemplateDocerSaveRecord">
    <vt:lpwstr>eyJoZGlkIjoiYjQxOTQ2OWY0M2ZiOWE2NmE1M2NmMTYzZWU4ODNlODEiLCJ1c2VySWQiOiI2NDE5ODgzNDAifQ==</vt:lpwstr>
  </property>
</Properties>
</file>