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default"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四川省人民医院2026年广告物料制作服务采购项目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9</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bookmarkStart w:id="104" w:name="_GoBack"/>
      <w:bookmarkEnd w:id="104"/>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3240"/>
      <w:bookmarkStart w:id="1" w:name="_Toc20358"/>
      <w:bookmarkStart w:id="2" w:name="_Toc21919"/>
      <w:bookmarkStart w:id="3" w:name="_Toc471310326"/>
      <w:bookmarkStart w:id="4" w:name="_Toc1907"/>
      <w:bookmarkStart w:id="5" w:name="_Toc62832406"/>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5"/>
        <w:gridCol w:w="1869"/>
        <w:gridCol w:w="7204"/>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四川省人民医院2026年广告物料制作服务采购项目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CGZX-XCT20261262</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最高限价</w:t>
            </w:r>
          </w:p>
        </w:tc>
        <w:tc>
          <w:tcPr>
            <w:tcW w:w="7236" w:type="dxa"/>
            <w:vAlign w:val="center"/>
          </w:tcPr>
          <w:p w14:paraId="056F6904">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lang w:val="en-US" w:eastAsia="zh-CN"/>
              </w:rPr>
              <w:t>本项目为据实结算项目，根据</w:t>
            </w:r>
            <w:r>
              <w:rPr>
                <w:rFonts w:hint="eastAsia" w:ascii="Times New Roman" w:hAnsi="Times New Roman" w:eastAsia="仿宋" w:cs="Times New Roman"/>
                <w:sz w:val="22"/>
              </w:rPr>
              <w:t>本项目第四章</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服务清单及限高价</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rPr>
              <w:t>进行填报下浮率，支付上限</w:t>
            </w:r>
            <w:r>
              <w:rPr>
                <w:rFonts w:hint="eastAsia" w:ascii="Times New Roman" w:hAnsi="Times New Roman" w:eastAsia="仿宋" w:cs="Times New Roman"/>
                <w:sz w:val="22"/>
                <w:lang w:val="en-US" w:eastAsia="zh-CN"/>
              </w:rPr>
              <w:t>为49.5</w:t>
            </w:r>
            <w:r>
              <w:rPr>
                <w:rFonts w:hint="eastAsia" w:ascii="Times New Roman" w:hAnsi="Times New Roman" w:eastAsia="仿宋" w:cs="Times New Roman"/>
                <w:sz w:val="22"/>
              </w:rPr>
              <w:t>万元。</w:t>
            </w:r>
            <w:r>
              <w:rPr>
                <w:rFonts w:hint="eastAsia" w:ascii="Times New Roman" w:hAnsi="Times New Roman" w:eastAsia="仿宋" w:cs="Times New Roman"/>
                <w:sz w:val="22"/>
                <w:lang w:val="en-US" w:eastAsia="zh-CN"/>
              </w:rPr>
              <w:t>下浮</w:t>
            </w:r>
            <w:r>
              <w:rPr>
                <w:rFonts w:hint="eastAsia" w:ascii="Times New Roman" w:hAnsi="Times New Roman" w:eastAsia="仿宋" w:cs="Times New Roman"/>
                <w:sz w:val="22"/>
              </w:rPr>
              <w:t>率为负数或者</w:t>
            </w:r>
            <w:r>
              <w:rPr>
                <w:rFonts w:hint="eastAsia" w:ascii="Times New Roman" w:hAnsi="Times New Roman" w:eastAsia="仿宋" w:cs="Times New Roman"/>
                <w:sz w:val="22"/>
                <w:lang w:val="en-US" w:eastAsia="zh-CN"/>
              </w:rPr>
              <w:t>≥</w:t>
            </w:r>
            <w:r>
              <w:rPr>
                <w:rFonts w:hint="eastAsia" w:ascii="Times New Roman" w:hAnsi="Times New Roman" w:eastAsia="仿宋" w:cs="Times New Roman"/>
                <w:sz w:val="22"/>
              </w:rPr>
              <w:t>100%的，其</w:t>
            </w:r>
            <w:r>
              <w:rPr>
                <w:rFonts w:hint="eastAsia" w:ascii="Times New Roman" w:hAnsi="Times New Roman" w:eastAsia="仿宋" w:cs="Times New Roman"/>
                <w:sz w:val="22"/>
                <w:lang w:val="en-US" w:eastAsia="zh-CN"/>
              </w:rPr>
              <w:t>响应</w:t>
            </w:r>
            <w:r>
              <w:rPr>
                <w:rFonts w:hint="eastAsia" w:ascii="Times New Roman" w:hAnsi="Times New Roman" w:eastAsia="仿宋" w:cs="Times New Roman"/>
                <w:sz w:val="22"/>
              </w:rPr>
              <w:t>文件</w:t>
            </w:r>
            <w:r>
              <w:rPr>
                <w:rFonts w:hint="default" w:ascii="Times New Roman" w:hAnsi="Times New Roman" w:eastAsia="仿宋" w:cs="Times New Roman"/>
                <w:sz w:val="22"/>
                <w:lang w:val="en-US" w:eastAsia="zh-CN"/>
              </w:rPr>
              <w:t>作无效处理</w:t>
            </w:r>
            <w:r>
              <w:rPr>
                <w:rFonts w:hint="eastAsia" w:ascii="Times New Roman" w:hAnsi="Times New Roman" w:eastAsia="仿宋" w:cs="Times New Roman"/>
                <w:sz w:val="22"/>
              </w:rPr>
              <w:t>。</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69" w:hRule="atLeast"/>
        </w:trPr>
        <w:tc>
          <w:tcPr>
            <w:tcW w:w="568"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供应商应当以支票、汇票、本票或者金融机构、担保机构出具的保函等非现金形式(包括网银转账，电汇等方式)提交</w:t>
            </w:r>
            <w:r>
              <w:rPr>
                <w:rFonts w:ascii="Times New Roman" w:hAnsi="Times New Roman" w:eastAsia="仿宋" w:cs="Times New Roman"/>
                <w:sz w:val="22"/>
                <w:szCs w:val="22"/>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服务期结束且经采购人验收合格后，采购人接到供应商退还申请后30个工作日内，一次性无息退还全部履约保证金</w:t>
            </w:r>
            <w:r>
              <w:rPr>
                <w:rFonts w:ascii="Times New Roman" w:hAnsi="Times New Roman" w:eastAsia="仿宋" w:cs="Times New Roman"/>
                <w:sz w:val="22"/>
                <w:szCs w:val="22"/>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4C5215B0">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因供应商严重违约或其它违法违规行为等情形，导致双方无法继续履约</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w:t>
            </w:r>
            <w:r>
              <w:rPr>
                <w:rFonts w:hint="eastAsia" w:ascii="Times New Roman" w:hAnsi="Times New Roman" w:eastAsia="仿宋" w:cs="Times New Roman"/>
                <w:sz w:val="22"/>
                <w:lang w:val="en-US" w:eastAsia="zh-CN"/>
              </w:rPr>
              <w:t>下浮率</w:t>
            </w:r>
            <w:r>
              <w:rPr>
                <w:rFonts w:ascii="Times New Roman" w:hAnsi="Times New Roman" w:eastAsia="仿宋" w:cs="Times New Roman"/>
                <w:sz w:val="22"/>
              </w:rPr>
              <w:t>最</w:t>
            </w:r>
            <w:r>
              <w:rPr>
                <w:rFonts w:hint="eastAsia" w:ascii="Times New Roman" w:hAnsi="Times New Roman" w:eastAsia="仿宋" w:cs="Times New Roman"/>
                <w:sz w:val="22"/>
                <w:lang w:val="en-US" w:eastAsia="zh-CN"/>
              </w:rPr>
              <w:t>高</w:t>
            </w:r>
            <w:r>
              <w:rPr>
                <w:rFonts w:ascii="Times New Roman" w:hAnsi="Times New Roman" w:eastAsia="仿宋" w:cs="Times New Roman"/>
                <w:sz w:val="22"/>
              </w:rPr>
              <w:t>的为成交供应商，</w:t>
            </w:r>
            <w:r>
              <w:rPr>
                <w:rFonts w:hint="eastAsia" w:ascii="Times New Roman" w:hAnsi="Times New Roman" w:eastAsia="仿宋" w:cs="Times New Roman"/>
                <w:sz w:val="22"/>
              </w:rPr>
              <w:t>若得分相同且报价亦相同，则采取随机抽取的方式确定成交供应商</w:t>
            </w:r>
            <w:r>
              <w:rPr>
                <w:rFonts w:hint="eastAsia" w:ascii="Times New Roman" w:hAnsi="Times New Roman" w:eastAsia="仿宋" w:cs="Times New Roman"/>
                <w:sz w:val="22"/>
                <w:lang w:eastAsia="zh-CN"/>
              </w:rPr>
              <w:t>。</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可以继续开展采购活动。谈判小组按照有效报价进行评审，有效报价最低的合格供应商为成交供应商。若最终报价相同则采取随机抽取的方式确定成交供应商。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19" w:hRule="atLeast"/>
        </w:trPr>
        <w:tc>
          <w:tcPr>
            <w:tcW w:w="568"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rPr>
              <w:t>甘</w:t>
            </w:r>
            <w:r>
              <w:rPr>
                <w:rFonts w:ascii="Times New Roman" w:hAnsi="Times New Roman" w:eastAsia="仿宋" w:cs="Times New Roman"/>
                <w:sz w:val="22"/>
              </w:rPr>
              <w:t>老师028-</w:t>
            </w:r>
            <w:r>
              <w:rPr>
                <w:rFonts w:hint="eastAsia" w:ascii="Times New Roman" w:hAnsi="Times New Roman" w:eastAsia="仿宋" w:cs="Times New Roman"/>
                <w:sz w:val="22"/>
              </w:rPr>
              <w:t>87393665</w:t>
            </w:r>
          </w:p>
          <w:p w14:paraId="32CEDDED">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宣传统战部</w:t>
            </w:r>
          </w:p>
          <w:p w14:paraId="4524AB95">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李老师 028-87393665</w:t>
            </w:r>
          </w:p>
          <w:p w14:paraId="418C3619">
            <w:pPr>
              <w:spacing w:line="360" w:lineRule="auto"/>
              <w:ind w:firstLine="220" w:firstLine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22329"/>
      <w:bookmarkStart w:id="8" w:name="_Toc14460"/>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1"/>
        <w:gridCol w:w="1995"/>
        <w:gridCol w:w="7008"/>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rPr>
              <w:t>630325390@qq.com</w:t>
            </w:r>
            <w:r>
              <w:rPr>
                <w:rFonts w:ascii="Times New Roman" w:hAnsi="Times New Roman" w:eastAsia="仿宋" w:cs="Times New Roman"/>
                <w:sz w:val="22"/>
                <w:szCs w:val="22"/>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820"/>
        <w:gridCol w:w="5915"/>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4"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6"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4"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4"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6"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4"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4"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6"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4"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4"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6"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4" w:type="dxa"/>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6"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4" w:type="dxa"/>
            <w:vMerge w:val="continue"/>
            <w:vAlign w:val="center"/>
          </w:tcPr>
          <w:p w14:paraId="6CEC038F">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4"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6"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4" w:type="dxa"/>
            <w:vMerge w:val="continue"/>
            <w:vAlign w:val="center"/>
          </w:tcPr>
          <w:p w14:paraId="4207E63E">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6"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4" w:type="dxa"/>
            <w:vMerge w:val="continue"/>
            <w:vAlign w:val="center"/>
          </w:tcPr>
          <w:p w14:paraId="6DD5AEEF">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4"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6"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4" w:type="dxa"/>
            <w:vMerge w:val="continue"/>
            <w:vAlign w:val="center"/>
          </w:tcPr>
          <w:p w14:paraId="65D0010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4"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6"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4" w:type="dxa"/>
            <w:vMerge w:val="continue"/>
            <w:vAlign w:val="center"/>
          </w:tcPr>
          <w:p w14:paraId="653C02A3">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4"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6" w:type="dxa"/>
            <w:vAlign w:val="center"/>
          </w:tcPr>
          <w:p w14:paraId="1D430456">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lang w:val="en-US" w:eastAsia="zh-CN"/>
              </w:rPr>
              <w:t>无</w:t>
            </w:r>
          </w:p>
        </w:tc>
        <w:tc>
          <w:tcPr>
            <w:tcW w:w="6054" w:type="dxa"/>
            <w:vAlign w:val="center"/>
          </w:tcPr>
          <w:p w14:paraId="2F64669A">
            <w:pPr>
              <w:jc w:val="left"/>
              <w:rPr>
                <w:rFonts w:hint="eastAsia" w:ascii="Times New Roman" w:hAnsi="Times New Roman" w:eastAsia="仿宋" w:cs="Times New Roman"/>
                <w:bCs/>
                <w:kern w:val="0"/>
                <w:sz w:val="22"/>
                <w:lang w:eastAsia="zh-CN"/>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2297"/>
        <w:gridCol w:w="6438"/>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F9F95DF">
      <w:pPr>
        <w:pStyle w:val="16"/>
        <w:keepNext w:val="0"/>
        <w:keepLines w:val="0"/>
        <w:pageBreakBefore w:val="0"/>
        <w:widowControl w:val="0"/>
        <w:numPr>
          <w:ilvl w:val="0"/>
          <w:numId w:val="0"/>
        </w:numPr>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一、</w:t>
      </w:r>
      <w:r>
        <w:rPr>
          <w:rFonts w:hint="eastAsia" w:ascii="仿宋" w:hAnsi="仿宋" w:eastAsia="仿宋" w:cs="仿宋"/>
          <w:b/>
          <w:bCs/>
          <w:sz w:val="24"/>
          <w:szCs w:val="24"/>
        </w:rPr>
        <w:t>项目简介</w:t>
      </w:r>
    </w:p>
    <w:p w14:paraId="196C4CF3">
      <w:pPr>
        <w:pStyle w:val="16"/>
        <w:keepNext w:val="0"/>
        <w:keepLines w:val="0"/>
        <w:pageBreakBefore w:val="0"/>
        <w:widowControl w:val="0"/>
        <w:numPr>
          <w:ilvl w:val="0"/>
          <w:numId w:val="0"/>
        </w:numPr>
        <w:kinsoku/>
        <w:wordWrap/>
        <w:overflowPunct/>
        <w:topLinePunct w:val="0"/>
        <w:autoSpaceDE/>
        <w:autoSpaceDN/>
        <w:bidi w:val="0"/>
        <w:adjustRightInd/>
        <w:spacing w:before="0" w:beforeAutospacing="0" w:after="0" w:afterAutospacing="0" w:line="360" w:lineRule="auto"/>
        <w:ind w:left="0" w:leftChars="0" w:firstLine="480" w:firstLineChars="200"/>
        <w:textAlignment w:val="auto"/>
        <w:rPr>
          <w:rFonts w:hint="default"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为进一步规范采购人宣传物料采购管理，提升采购人品牌形象建设水平，保障健康科普宣传、公益活动推广、院内文化建设及医患便民服务等各项工作有序开展，拟确定1家供应商提供四川省人民医院2026年广告物料制作服务。</w:t>
      </w:r>
    </w:p>
    <w:p w14:paraId="4C949EF7">
      <w:pPr>
        <w:pStyle w:val="16"/>
        <w:keepNext w:val="0"/>
        <w:keepLines w:val="0"/>
        <w:pageBreakBefore w:val="0"/>
        <w:widowControl w:val="0"/>
        <w:kinsoku/>
        <w:wordWrap/>
        <w:overflowPunct/>
        <w:topLinePunct w:val="0"/>
        <w:autoSpaceDE/>
        <w:autoSpaceDN/>
        <w:bidi w:val="0"/>
        <w:adjustRightInd/>
        <w:spacing w:before="0" w:beforeAutospacing="0" w:after="0" w:afterAutospacing="0" w:line="360" w:lineRule="auto"/>
        <w:ind w:left="0" w:leftChars="0" w:firstLine="0" w:firstLineChars="0"/>
        <w:textAlignment w:val="auto"/>
        <w:rPr>
          <w:rFonts w:hint="default" w:ascii="仿宋" w:hAnsi="仿宋" w:eastAsia="仿宋" w:cs="仿宋"/>
          <w:b/>
          <w:bCs/>
          <w:sz w:val="24"/>
          <w:szCs w:val="24"/>
          <w:lang w:val="en-US" w:eastAsia="zh-CN"/>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二、服务清单及限高价</w:t>
      </w:r>
    </w:p>
    <w:tbl>
      <w:tblPr>
        <w:tblStyle w:val="18"/>
        <w:tblW w:w="4998" w:type="pct"/>
        <w:tblInd w:w="0" w:type="dxa"/>
        <w:tblLayout w:type="autofit"/>
        <w:tblCellMar>
          <w:top w:w="0" w:type="dxa"/>
          <w:left w:w="108" w:type="dxa"/>
          <w:bottom w:w="0" w:type="dxa"/>
          <w:right w:w="108" w:type="dxa"/>
        </w:tblCellMar>
      </w:tblPr>
      <w:tblGrid>
        <w:gridCol w:w="1027"/>
        <w:gridCol w:w="1874"/>
        <w:gridCol w:w="1699"/>
        <w:gridCol w:w="2684"/>
        <w:gridCol w:w="1016"/>
        <w:gridCol w:w="1334"/>
      </w:tblGrid>
      <w:tr w14:paraId="1E1DFCC8">
        <w:tblPrEx>
          <w:tblCellMar>
            <w:top w:w="0" w:type="dxa"/>
            <w:left w:w="108" w:type="dxa"/>
            <w:bottom w:w="0" w:type="dxa"/>
            <w:right w:w="108" w:type="dxa"/>
          </w:tblCellMar>
        </w:tblPrEx>
        <w:trPr>
          <w:trHeight w:val="810"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0D4FED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序号</w:t>
            </w:r>
          </w:p>
        </w:tc>
        <w:tc>
          <w:tcPr>
            <w:tcW w:w="972" w:type="pct"/>
            <w:tcBorders>
              <w:top w:val="single" w:color="auto" w:sz="4" w:space="0"/>
              <w:left w:val="nil"/>
              <w:bottom w:val="single" w:color="auto" w:sz="4" w:space="0"/>
              <w:right w:val="single" w:color="auto" w:sz="4" w:space="0"/>
            </w:tcBorders>
            <w:shd w:val="clear" w:color="auto" w:fill="auto"/>
            <w:vAlign w:val="center"/>
          </w:tcPr>
          <w:p w14:paraId="676354A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项目</w:t>
            </w:r>
          </w:p>
        </w:tc>
        <w:tc>
          <w:tcPr>
            <w:tcW w:w="881" w:type="pct"/>
            <w:tcBorders>
              <w:top w:val="single" w:color="auto" w:sz="4" w:space="0"/>
              <w:left w:val="nil"/>
              <w:bottom w:val="single" w:color="auto" w:sz="4" w:space="0"/>
              <w:right w:val="single" w:color="auto" w:sz="4" w:space="0"/>
            </w:tcBorders>
            <w:shd w:val="clear" w:color="auto" w:fill="auto"/>
            <w:vAlign w:val="center"/>
          </w:tcPr>
          <w:p w14:paraId="172C795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规格</w:t>
            </w:r>
          </w:p>
        </w:tc>
        <w:tc>
          <w:tcPr>
            <w:tcW w:w="1392" w:type="pct"/>
            <w:tcBorders>
              <w:top w:val="single" w:color="auto" w:sz="4" w:space="0"/>
              <w:left w:val="nil"/>
              <w:bottom w:val="single" w:color="auto" w:sz="4" w:space="0"/>
              <w:right w:val="single" w:color="auto" w:sz="4" w:space="0"/>
            </w:tcBorders>
            <w:shd w:val="clear" w:color="auto" w:fill="auto"/>
            <w:vAlign w:val="center"/>
          </w:tcPr>
          <w:p w14:paraId="0AF62CF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材质</w:t>
            </w:r>
          </w:p>
        </w:tc>
        <w:tc>
          <w:tcPr>
            <w:tcW w:w="527" w:type="pct"/>
            <w:tcBorders>
              <w:top w:val="single" w:color="auto" w:sz="4" w:space="0"/>
              <w:left w:val="nil"/>
              <w:bottom w:val="single" w:color="auto" w:sz="4" w:space="0"/>
              <w:right w:val="single" w:color="auto" w:sz="4" w:space="0"/>
            </w:tcBorders>
            <w:shd w:val="clear" w:color="auto" w:fill="auto"/>
            <w:vAlign w:val="center"/>
          </w:tcPr>
          <w:p w14:paraId="2529106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单位</w:t>
            </w:r>
          </w:p>
        </w:tc>
        <w:tc>
          <w:tcPr>
            <w:tcW w:w="692" w:type="pct"/>
            <w:tcBorders>
              <w:top w:val="single" w:color="auto" w:sz="4" w:space="0"/>
              <w:left w:val="nil"/>
              <w:bottom w:val="single" w:color="auto" w:sz="4" w:space="0"/>
              <w:right w:val="single" w:color="auto" w:sz="4" w:space="0"/>
            </w:tcBorders>
            <w:shd w:val="clear" w:color="auto" w:fill="auto"/>
            <w:vAlign w:val="center"/>
          </w:tcPr>
          <w:p w14:paraId="1BA2250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限高价（元）</w:t>
            </w:r>
          </w:p>
        </w:tc>
      </w:tr>
      <w:tr w14:paraId="4223F629">
        <w:tblPrEx>
          <w:tblCellMar>
            <w:top w:w="0" w:type="dxa"/>
            <w:left w:w="108" w:type="dxa"/>
            <w:bottom w:w="0" w:type="dxa"/>
            <w:right w:w="108" w:type="dxa"/>
          </w:tblCellMar>
        </w:tblPrEx>
        <w:trPr>
          <w:trHeight w:val="762" w:hRule="atLeast"/>
        </w:trPr>
        <w:tc>
          <w:tcPr>
            <w:tcW w:w="533" w:type="pct"/>
            <w:vMerge w:val="restart"/>
            <w:tcBorders>
              <w:top w:val="nil"/>
              <w:left w:val="single" w:color="auto" w:sz="4" w:space="0"/>
              <w:bottom w:val="single" w:color="auto" w:sz="4" w:space="0"/>
              <w:right w:val="single" w:color="auto" w:sz="4" w:space="0"/>
            </w:tcBorders>
            <w:shd w:val="clear" w:color="auto" w:fill="auto"/>
            <w:vAlign w:val="center"/>
          </w:tcPr>
          <w:p w14:paraId="3778C04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c>
          <w:tcPr>
            <w:tcW w:w="972" w:type="pct"/>
            <w:tcBorders>
              <w:top w:val="nil"/>
              <w:left w:val="single" w:color="auto" w:sz="4" w:space="0"/>
              <w:bottom w:val="single" w:color="auto" w:sz="4" w:space="0"/>
              <w:right w:val="single" w:color="auto" w:sz="4" w:space="0"/>
            </w:tcBorders>
            <w:shd w:val="clear" w:color="auto" w:fill="auto"/>
            <w:vAlign w:val="center"/>
          </w:tcPr>
          <w:p w14:paraId="5AC7B4A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海报1</w:t>
            </w:r>
          </w:p>
        </w:tc>
        <w:tc>
          <w:tcPr>
            <w:tcW w:w="881" w:type="pct"/>
            <w:tcBorders>
              <w:top w:val="nil"/>
              <w:left w:val="nil"/>
              <w:bottom w:val="single" w:color="auto" w:sz="4" w:space="0"/>
              <w:right w:val="single" w:color="auto" w:sz="4" w:space="0"/>
            </w:tcBorders>
            <w:shd w:val="clear" w:color="auto" w:fill="auto"/>
            <w:vAlign w:val="center"/>
          </w:tcPr>
          <w:p w14:paraId="467E493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60*90cm</w:t>
            </w:r>
          </w:p>
        </w:tc>
        <w:tc>
          <w:tcPr>
            <w:tcW w:w="1392" w:type="pct"/>
            <w:tcBorders>
              <w:top w:val="nil"/>
              <w:left w:val="nil"/>
              <w:bottom w:val="single" w:color="auto" w:sz="4" w:space="0"/>
              <w:right w:val="single" w:color="auto" w:sz="4" w:space="0"/>
            </w:tcBorders>
            <w:shd w:val="clear" w:color="auto" w:fill="auto"/>
            <w:vAlign w:val="center"/>
          </w:tcPr>
          <w:p w14:paraId="481FDD4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高清海报覆哑膜</w:t>
            </w:r>
          </w:p>
        </w:tc>
        <w:tc>
          <w:tcPr>
            <w:tcW w:w="527" w:type="pct"/>
            <w:tcBorders>
              <w:top w:val="nil"/>
              <w:left w:val="nil"/>
              <w:bottom w:val="single" w:color="auto" w:sz="4" w:space="0"/>
              <w:right w:val="single" w:color="auto" w:sz="4" w:space="0"/>
            </w:tcBorders>
            <w:shd w:val="clear" w:color="auto" w:fill="auto"/>
            <w:vAlign w:val="center"/>
          </w:tcPr>
          <w:p w14:paraId="5A70CA1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nil"/>
              <w:left w:val="nil"/>
              <w:bottom w:val="single" w:color="auto" w:sz="4" w:space="0"/>
              <w:right w:val="single" w:color="auto" w:sz="4" w:space="0"/>
            </w:tcBorders>
            <w:shd w:val="clear" w:color="auto" w:fill="auto"/>
            <w:vAlign w:val="center"/>
          </w:tcPr>
          <w:p w14:paraId="5294DAC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30</w:t>
            </w:r>
          </w:p>
        </w:tc>
      </w:tr>
      <w:tr w14:paraId="4331B5B0">
        <w:tblPrEx>
          <w:tblCellMar>
            <w:top w:w="0" w:type="dxa"/>
            <w:left w:w="108" w:type="dxa"/>
            <w:bottom w:w="0" w:type="dxa"/>
            <w:right w:w="108" w:type="dxa"/>
          </w:tblCellMar>
        </w:tblPrEx>
        <w:trPr>
          <w:trHeight w:val="762" w:hRule="atLeast"/>
        </w:trPr>
        <w:tc>
          <w:tcPr>
            <w:tcW w:w="533" w:type="pct"/>
            <w:vMerge w:val="continue"/>
            <w:tcBorders>
              <w:top w:val="nil"/>
              <w:left w:val="single" w:color="auto" w:sz="4" w:space="0"/>
              <w:bottom w:val="single" w:color="auto" w:sz="4" w:space="0"/>
              <w:right w:val="single" w:color="auto" w:sz="4" w:space="0"/>
            </w:tcBorders>
            <w:vAlign w:val="center"/>
          </w:tcPr>
          <w:p w14:paraId="054681F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972" w:type="pct"/>
            <w:tcBorders>
              <w:top w:val="single" w:color="auto" w:sz="4" w:space="0"/>
              <w:left w:val="single" w:color="auto" w:sz="4" w:space="0"/>
              <w:bottom w:val="single" w:color="auto" w:sz="4" w:space="0"/>
              <w:right w:val="single" w:color="auto" w:sz="4" w:space="0"/>
            </w:tcBorders>
            <w:vAlign w:val="center"/>
          </w:tcPr>
          <w:p w14:paraId="053E82E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海报2</w:t>
            </w:r>
          </w:p>
        </w:tc>
        <w:tc>
          <w:tcPr>
            <w:tcW w:w="881" w:type="pct"/>
            <w:tcBorders>
              <w:top w:val="nil"/>
              <w:left w:val="nil"/>
              <w:bottom w:val="single" w:color="auto" w:sz="4" w:space="0"/>
              <w:right w:val="single" w:color="auto" w:sz="4" w:space="0"/>
            </w:tcBorders>
            <w:shd w:val="clear" w:color="auto" w:fill="auto"/>
            <w:vAlign w:val="center"/>
          </w:tcPr>
          <w:p w14:paraId="7703F49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120*240cm</w:t>
            </w:r>
          </w:p>
        </w:tc>
        <w:tc>
          <w:tcPr>
            <w:tcW w:w="1392" w:type="pct"/>
            <w:tcBorders>
              <w:top w:val="nil"/>
              <w:left w:val="nil"/>
              <w:bottom w:val="single" w:color="auto" w:sz="4" w:space="0"/>
              <w:right w:val="single" w:color="auto" w:sz="4" w:space="0"/>
            </w:tcBorders>
            <w:shd w:val="clear" w:color="auto" w:fill="auto"/>
            <w:vAlign w:val="center"/>
          </w:tcPr>
          <w:p w14:paraId="7D674B7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高清海报覆哑膜</w:t>
            </w:r>
          </w:p>
        </w:tc>
        <w:tc>
          <w:tcPr>
            <w:tcW w:w="527" w:type="pct"/>
            <w:tcBorders>
              <w:top w:val="nil"/>
              <w:left w:val="nil"/>
              <w:bottom w:val="single" w:color="auto" w:sz="4" w:space="0"/>
              <w:right w:val="single" w:color="auto" w:sz="4" w:space="0"/>
            </w:tcBorders>
            <w:shd w:val="clear" w:color="auto" w:fill="auto"/>
            <w:vAlign w:val="center"/>
          </w:tcPr>
          <w:p w14:paraId="7EFCA9C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nil"/>
              <w:left w:val="nil"/>
              <w:bottom w:val="single" w:color="auto" w:sz="4" w:space="0"/>
              <w:right w:val="single" w:color="auto" w:sz="4" w:space="0"/>
            </w:tcBorders>
            <w:shd w:val="clear" w:color="auto" w:fill="auto"/>
            <w:vAlign w:val="center"/>
          </w:tcPr>
          <w:p w14:paraId="321E69F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75</w:t>
            </w:r>
          </w:p>
        </w:tc>
      </w:tr>
      <w:tr w14:paraId="304ED0F6">
        <w:tblPrEx>
          <w:tblCellMar>
            <w:top w:w="0" w:type="dxa"/>
            <w:left w:w="108" w:type="dxa"/>
            <w:bottom w:w="0" w:type="dxa"/>
            <w:right w:w="108" w:type="dxa"/>
          </w:tblCellMar>
        </w:tblPrEx>
        <w:trPr>
          <w:trHeight w:val="762" w:hRule="atLeast"/>
        </w:trPr>
        <w:tc>
          <w:tcPr>
            <w:tcW w:w="533" w:type="pct"/>
            <w:vMerge w:val="continue"/>
            <w:tcBorders>
              <w:top w:val="nil"/>
              <w:left w:val="single" w:color="auto" w:sz="4" w:space="0"/>
              <w:bottom w:val="single" w:color="auto" w:sz="4" w:space="0"/>
              <w:right w:val="single" w:color="auto" w:sz="4" w:space="0"/>
            </w:tcBorders>
            <w:vAlign w:val="center"/>
          </w:tcPr>
          <w:p w14:paraId="62A8920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972" w:type="pct"/>
            <w:tcBorders>
              <w:top w:val="single" w:color="auto" w:sz="4" w:space="0"/>
              <w:left w:val="single" w:color="auto" w:sz="4" w:space="0"/>
              <w:bottom w:val="single" w:color="000000" w:sz="4" w:space="0"/>
              <w:right w:val="single" w:color="auto" w:sz="4" w:space="0"/>
            </w:tcBorders>
            <w:vAlign w:val="center"/>
          </w:tcPr>
          <w:p w14:paraId="38D003B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海报3</w:t>
            </w:r>
          </w:p>
        </w:tc>
        <w:tc>
          <w:tcPr>
            <w:tcW w:w="881" w:type="pct"/>
            <w:tcBorders>
              <w:top w:val="nil"/>
              <w:left w:val="nil"/>
              <w:bottom w:val="single" w:color="auto" w:sz="4" w:space="0"/>
              <w:right w:val="single" w:color="auto" w:sz="4" w:space="0"/>
            </w:tcBorders>
            <w:shd w:val="clear" w:color="auto" w:fill="auto"/>
            <w:vAlign w:val="center"/>
          </w:tcPr>
          <w:p w14:paraId="5BB833F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异形</w:t>
            </w:r>
          </w:p>
        </w:tc>
        <w:tc>
          <w:tcPr>
            <w:tcW w:w="1392" w:type="pct"/>
            <w:tcBorders>
              <w:top w:val="nil"/>
              <w:left w:val="nil"/>
              <w:bottom w:val="single" w:color="auto" w:sz="4" w:space="0"/>
              <w:right w:val="single" w:color="auto" w:sz="4" w:space="0"/>
            </w:tcBorders>
            <w:shd w:val="clear" w:color="auto" w:fill="auto"/>
            <w:vAlign w:val="center"/>
          </w:tcPr>
          <w:p w14:paraId="4F8FE33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高清海报覆哑膜</w:t>
            </w:r>
          </w:p>
        </w:tc>
        <w:tc>
          <w:tcPr>
            <w:tcW w:w="527" w:type="pct"/>
            <w:tcBorders>
              <w:top w:val="nil"/>
              <w:left w:val="nil"/>
              <w:bottom w:val="single" w:color="auto" w:sz="4" w:space="0"/>
              <w:right w:val="single" w:color="auto" w:sz="4" w:space="0"/>
            </w:tcBorders>
            <w:shd w:val="clear" w:color="auto" w:fill="auto"/>
            <w:vAlign w:val="center"/>
          </w:tcPr>
          <w:p w14:paraId="7266D36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平方米</w:t>
            </w:r>
          </w:p>
        </w:tc>
        <w:tc>
          <w:tcPr>
            <w:tcW w:w="692" w:type="pct"/>
            <w:tcBorders>
              <w:top w:val="nil"/>
              <w:left w:val="nil"/>
              <w:bottom w:val="single" w:color="auto" w:sz="4" w:space="0"/>
              <w:right w:val="single" w:color="auto" w:sz="4" w:space="0"/>
            </w:tcBorders>
            <w:shd w:val="clear" w:color="auto" w:fill="auto"/>
            <w:vAlign w:val="center"/>
          </w:tcPr>
          <w:p w14:paraId="17FDE0A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27</w:t>
            </w:r>
          </w:p>
        </w:tc>
      </w:tr>
      <w:tr w14:paraId="75C960DD">
        <w:tblPrEx>
          <w:tblCellMar>
            <w:top w:w="0" w:type="dxa"/>
            <w:left w:w="108" w:type="dxa"/>
            <w:bottom w:w="0" w:type="dxa"/>
            <w:right w:w="108" w:type="dxa"/>
          </w:tblCellMar>
        </w:tblPrEx>
        <w:trPr>
          <w:trHeight w:val="762" w:hRule="atLeast"/>
        </w:trPr>
        <w:tc>
          <w:tcPr>
            <w:tcW w:w="533" w:type="pct"/>
            <w:vMerge w:val="restart"/>
            <w:tcBorders>
              <w:top w:val="nil"/>
              <w:left w:val="single" w:color="auto" w:sz="4" w:space="0"/>
              <w:bottom w:val="single" w:color="auto" w:sz="4" w:space="0"/>
              <w:right w:val="single" w:color="auto" w:sz="4" w:space="0"/>
            </w:tcBorders>
            <w:shd w:val="clear" w:color="auto" w:fill="auto"/>
            <w:vAlign w:val="center"/>
          </w:tcPr>
          <w:p w14:paraId="53B3E36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972" w:type="pct"/>
            <w:tcBorders>
              <w:top w:val="nil"/>
              <w:left w:val="single" w:color="auto" w:sz="4" w:space="0"/>
              <w:bottom w:val="single" w:color="auto" w:sz="4" w:space="0"/>
              <w:right w:val="single" w:color="auto" w:sz="4" w:space="0"/>
            </w:tcBorders>
            <w:shd w:val="clear" w:color="auto" w:fill="auto"/>
            <w:vAlign w:val="center"/>
          </w:tcPr>
          <w:p w14:paraId="7757FB5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奖状1</w:t>
            </w:r>
          </w:p>
        </w:tc>
        <w:tc>
          <w:tcPr>
            <w:tcW w:w="881" w:type="pct"/>
            <w:tcBorders>
              <w:top w:val="nil"/>
              <w:left w:val="nil"/>
              <w:bottom w:val="single" w:color="auto" w:sz="4" w:space="0"/>
              <w:right w:val="single" w:color="auto" w:sz="4" w:space="0"/>
            </w:tcBorders>
            <w:shd w:val="clear" w:color="auto" w:fill="auto"/>
            <w:vAlign w:val="center"/>
          </w:tcPr>
          <w:p w14:paraId="2A0F8B2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A4</w:t>
            </w:r>
          </w:p>
        </w:tc>
        <w:tc>
          <w:tcPr>
            <w:tcW w:w="1392" w:type="pct"/>
            <w:tcBorders>
              <w:top w:val="nil"/>
              <w:left w:val="nil"/>
              <w:bottom w:val="single" w:color="auto" w:sz="4" w:space="0"/>
              <w:right w:val="single" w:color="auto" w:sz="4" w:space="0"/>
            </w:tcBorders>
            <w:shd w:val="clear" w:color="auto" w:fill="auto"/>
            <w:vAlign w:val="center"/>
          </w:tcPr>
          <w:p w14:paraId="52DCA20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快印</w:t>
            </w:r>
          </w:p>
        </w:tc>
        <w:tc>
          <w:tcPr>
            <w:tcW w:w="527" w:type="pct"/>
            <w:tcBorders>
              <w:top w:val="nil"/>
              <w:left w:val="nil"/>
              <w:bottom w:val="single" w:color="auto" w:sz="4" w:space="0"/>
              <w:right w:val="single" w:color="auto" w:sz="4" w:space="0"/>
            </w:tcBorders>
            <w:shd w:val="clear" w:color="auto" w:fill="auto"/>
            <w:vAlign w:val="center"/>
          </w:tcPr>
          <w:p w14:paraId="1784E60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nil"/>
              <w:left w:val="nil"/>
              <w:bottom w:val="single" w:color="auto" w:sz="4" w:space="0"/>
              <w:right w:val="single" w:color="auto" w:sz="4" w:space="0"/>
            </w:tcBorders>
            <w:shd w:val="clear" w:color="auto" w:fill="auto"/>
            <w:vAlign w:val="center"/>
          </w:tcPr>
          <w:p w14:paraId="3396757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w:t>
            </w:r>
          </w:p>
        </w:tc>
      </w:tr>
      <w:tr w14:paraId="0D1D7A95">
        <w:tblPrEx>
          <w:tblCellMar>
            <w:top w:w="0" w:type="dxa"/>
            <w:left w:w="108" w:type="dxa"/>
            <w:bottom w:w="0" w:type="dxa"/>
            <w:right w:w="108" w:type="dxa"/>
          </w:tblCellMar>
        </w:tblPrEx>
        <w:trPr>
          <w:trHeight w:val="762" w:hRule="atLeast"/>
        </w:trPr>
        <w:tc>
          <w:tcPr>
            <w:tcW w:w="533" w:type="pct"/>
            <w:vMerge w:val="continue"/>
            <w:tcBorders>
              <w:top w:val="single" w:color="auto" w:sz="4" w:space="0"/>
              <w:left w:val="single" w:color="auto" w:sz="4" w:space="0"/>
              <w:bottom w:val="single" w:color="auto" w:sz="4" w:space="0"/>
              <w:right w:val="single" w:color="auto" w:sz="4" w:space="0"/>
            </w:tcBorders>
            <w:vAlign w:val="center"/>
          </w:tcPr>
          <w:p w14:paraId="57CD1D8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972" w:type="pct"/>
            <w:tcBorders>
              <w:top w:val="single" w:color="auto" w:sz="4" w:space="0"/>
              <w:left w:val="single" w:color="auto" w:sz="4" w:space="0"/>
              <w:bottom w:val="single" w:color="auto" w:sz="4" w:space="0"/>
              <w:right w:val="single" w:color="auto" w:sz="4" w:space="0"/>
            </w:tcBorders>
            <w:vAlign w:val="center"/>
          </w:tcPr>
          <w:p w14:paraId="230E134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奖状2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3D14A11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A3</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695A7D8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快印</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19E421B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12002FD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w:t>
            </w:r>
          </w:p>
        </w:tc>
      </w:tr>
      <w:tr w14:paraId="29A4D8CB">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37A89BD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59C6CBC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喷绘</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477ACB2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6E1F3B3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520高精喷绘</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2080B05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63EF6A4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w:t>
            </w:r>
          </w:p>
        </w:tc>
      </w:tr>
      <w:tr w14:paraId="7ACEC50C">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051AF95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080D6C9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桁架</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047C1D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3m*5m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6039633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租用</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605962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天</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01D502E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245</w:t>
            </w:r>
          </w:p>
        </w:tc>
      </w:tr>
      <w:tr w14:paraId="6C43E522">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1DD7E87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1855ABA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证书1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7E97753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12K</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057B3DE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奖状纸快印+丝绒烫金外壳</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1E76AB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16424DF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w:t>
            </w:r>
          </w:p>
        </w:tc>
      </w:tr>
      <w:tr w14:paraId="2A0D3129">
        <w:tblPrEx>
          <w:tblCellMar>
            <w:top w:w="0" w:type="dxa"/>
            <w:left w:w="108" w:type="dxa"/>
            <w:bottom w:w="0" w:type="dxa"/>
            <w:right w:w="108" w:type="dxa"/>
          </w:tblCellMar>
        </w:tblPrEx>
        <w:trPr>
          <w:trHeight w:val="1056"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50D64C9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c>
          <w:tcPr>
            <w:tcW w:w="972" w:type="pct"/>
            <w:tcBorders>
              <w:top w:val="single" w:color="auto" w:sz="4" w:space="0"/>
              <w:left w:val="single" w:color="auto" w:sz="4" w:space="0"/>
              <w:bottom w:val="single" w:color="auto" w:sz="4" w:space="0"/>
              <w:right w:val="single" w:color="auto" w:sz="4" w:space="0"/>
            </w:tcBorders>
            <w:vAlign w:val="center"/>
          </w:tcPr>
          <w:p w14:paraId="673BF2D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证书2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7C4B127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8K</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3AE39CB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奖状纸快印+丝绒烫金外壳</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818A1E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35304D4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7.5</w:t>
            </w:r>
          </w:p>
        </w:tc>
      </w:tr>
      <w:tr w14:paraId="4E0FE9ED">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1BEEEC7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4BE200C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会务参会证1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BD741F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6*9cm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0358391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250g白卡单面</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EE1CCB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1C5E815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1.8</w:t>
            </w:r>
          </w:p>
        </w:tc>
      </w:tr>
      <w:tr w14:paraId="2FB52F98">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D93548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w:t>
            </w:r>
          </w:p>
        </w:tc>
        <w:tc>
          <w:tcPr>
            <w:tcW w:w="972" w:type="pct"/>
            <w:tcBorders>
              <w:top w:val="single" w:color="auto" w:sz="4" w:space="0"/>
              <w:left w:val="single" w:color="auto" w:sz="4" w:space="0"/>
              <w:bottom w:val="single" w:color="auto" w:sz="4" w:space="0"/>
              <w:right w:val="single" w:color="auto" w:sz="4" w:space="0"/>
            </w:tcBorders>
            <w:vAlign w:val="center"/>
          </w:tcPr>
          <w:p w14:paraId="0ED57D3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会务参会证2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6506BD7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6*9cm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3761B34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PVC卡</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0C1071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1191FE0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w:t>
            </w:r>
          </w:p>
        </w:tc>
      </w:tr>
      <w:tr w14:paraId="34508810">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CECE7D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w:t>
            </w:r>
          </w:p>
        </w:tc>
        <w:tc>
          <w:tcPr>
            <w:tcW w:w="972" w:type="pct"/>
            <w:tcBorders>
              <w:top w:val="single" w:color="auto" w:sz="4" w:space="0"/>
              <w:left w:val="single" w:color="auto" w:sz="4" w:space="0"/>
              <w:bottom w:val="single" w:color="auto" w:sz="4" w:space="0"/>
              <w:right w:val="single" w:color="auto" w:sz="4" w:space="0"/>
            </w:tcBorders>
            <w:vAlign w:val="center"/>
          </w:tcPr>
          <w:p w14:paraId="20A32B0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会务参会证3</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0ACB1B5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6*9cm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126056C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PVC卡+IC芯片</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3D9F89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0C744D8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6.5</w:t>
            </w:r>
          </w:p>
        </w:tc>
      </w:tr>
      <w:tr w14:paraId="7C39B945">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879411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70C9386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实木奖牌1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097D4B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30*40cm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06FA107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贴金箔/银箔+木底奖牌</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388F954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2CDF51D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23</w:t>
            </w:r>
          </w:p>
        </w:tc>
      </w:tr>
      <w:tr w14:paraId="73BCD0F3">
        <w:tblPrEx>
          <w:tblCellMar>
            <w:top w:w="0" w:type="dxa"/>
            <w:left w:w="108" w:type="dxa"/>
            <w:bottom w:w="0" w:type="dxa"/>
            <w:right w:w="108" w:type="dxa"/>
          </w:tblCellMar>
        </w:tblPrEx>
        <w:trPr>
          <w:trHeight w:val="1070"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620EF1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11</w:t>
            </w:r>
          </w:p>
        </w:tc>
        <w:tc>
          <w:tcPr>
            <w:tcW w:w="972" w:type="pct"/>
            <w:tcBorders>
              <w:top w:val="single" w:color="auto" w:sz="4" w:space="0"/>
              <w:left w:val="single" w:color="auto" w:sz="4" w:space="0"/>
              <w:bottom w:val="single" w:color="auto" w:sz="4" w:space="0"/>
              <w:right w:val="single" w:color="auto" w:sz="4" w:space="0"/>
            </w:tcBorders>
            <w:vAlign w:val="center"/>
          </w:tcPr>
          <w:p w14:paraId="0222CED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实木奖牌2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2780058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60*60cm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10EC274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贴金箔/银箔+木底奖牌</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02146AB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0CCDF61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42</w:t>
            </w:r>
          </w:p>
        </w:tc>
      </w:tr>
      <w:tr w14:paraId="5C242C40">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18D2C3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w:t>
            </w:r>
          </w:p>
        </w:tc>
        <w:tc>
          <w:tcPr>
            <w:tcW w:w="972" w:type="pct"/>
            <w:tcBorders>
              <w:top w:val="single" w:color="auto" w:sz="4" w:space="0"/>
              <w:left w:val="single" w:color="auto" w:sz="4" w:space="0"/>
              <w:bottom w:val="single" w:color="auto" w:sz="4" w:space="0"/>
              <w:right w:val="single" w:color="auto" w:sz="4" w:space="0"/>
            </w:tcBorders>
            <w:vAlign w:val="center"/>
          </w:tcPr>
          <w:p w14:paraId="793FFBD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实木奖牌3</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C199C7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50*35cm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65B2DDB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贴金箔/银箔+木底奖牌</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058B036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0149247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28</w:t>
            </w:r>
          </w:p>
        </w:tc>
      </w:tr>
      <w:tr w14:paraId="6FA08A3F">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EE6D17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13</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3C55F92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水晶奖杯</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4FA5BBB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定制</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196581F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定制水晶造型刻字奖杯</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9489C0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7C7D52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68</w:t>
            </w:r>
          </w:p>
        </w:tc>
      </w:tr>
      <w:tr w14:paraId="70DABA1E">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B66714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14</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6E04D43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冠军奖杯</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4165E8B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常规</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3EFEE69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金色底座贴金箔+金色杯身</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2DB2FD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2CCB59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52</w:t>
            </w:r>
          </w:p>
        </w:tc>
      </w:tr>
      <w:tr w14:paraId="0461E6C5">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9930D5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0304E5C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铜牌</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6E398FD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40*60cm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7894E16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钛金铜牌折压成型+汽车烤漆</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41167F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DE72DF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67</w:t>
            </w:r>
          </w:p>
        </w:tc>
      </w:tr>
      <w:tr w14:paraId="56236CF4">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51300AE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16</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6072D9E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锦旗1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4EA5934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60*90cm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2E4078F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锦旗布印字</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01537D0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面</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DB5081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28</w:t>
            </w:r>
          </w:p>
        </w:tc>
      </w:tr>
      <w:tr w14:paraId="73AD818F">
        <w:tblPrEx>
          <w:tblCellMar>
            <w:top w:w="0" w:type="dxa"/>
            <w:left w:w="108" w:type="dxa"/>
            <w:bottom w:w="0" w:type="dxa"/>
            <w:right w:w="108" w:type="dxa"/>
          </w:tblCellMar>
        </w:tblPrEx>
        <w:trPr>
          <w:trHeight w:val="1070"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30F677B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17</w:t>
            </w:r>
          </w:p>
        </w:tc>
        <w:tc>
          <w:tcPr>
            <w:tcW w:w="972" w:type="pct"/>
            <w:tcBorders>
              <w:top w:val="single" w:color="auto" w:sz="4" w:space="0"/>
              <w:left w:val="single" w:color="auto" w:sz="4" w:space="0"/>
              <w:bottom w:val="single" w:color="auto" w:sz="4" w:space="0"/>
              <w:right w:val="single" w:color="auto" w:sz="4" w:space="0"/>
            </w:tcBorders>
            <w:vAlign w:val="center"/>
          </w:tcPr>
          <w:p w14:paraId="0999139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锦旗2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2FC2E05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80*120cm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4EB4A63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锦旗布印字</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C26967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面</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6A2D6C1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43</w:t>
            </w:r>
          </w:p>
        </w:tc>
      </w:tr>
      <w:tr w14:paraId="7DA10E70">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07CA130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18</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223B65C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彩色旗帜</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0DA92CF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90*120cm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4586835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100g亚仿布单面印刷</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27A74D4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面</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2E8B592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16</w:t>
            </w:r>
          </w:p>
        </w:tc>
      </w:tr>
      <w:tr w14:paraId="01A50824">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48C9C5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19</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23AC65B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横幅1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0A42A70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宽度小于1m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2A85970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彩印横幅+打孔</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330BDEF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m</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0F1C702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14</w:t>
            </w:r>
          </w:p>
        </w:tc>
      </w:tr>
      <w:tr w14:paraId="6447A719">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20FF71A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w:t>
            </w:r>
          </w:p>
        </w:tc>
        <w:tc>
          <w:tcPr>
            <w:tcW w:w="972" w:type="pct"/>
            <w:tcBorders>
              <w:top w:val="single" w:color="auto" w:sz="4" w:space="0"/>
              <w:left w:val="single" w:color="auto" w:sz="4" w:space="0"/>
              <w:bottom w:val="single" w:color="auto" w:sz="4" w:space="0"/>
              <w:right w:val="single" w:color="auto" w:sz="4" w:space="0"/>
            </w:tcBorders>
            <w:vAlign w:val="center"/>
          </w:tcPr>
          <w:p w14:paraId="4257923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横幅2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7A8142D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宽度大于等于1m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7747D4C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彩印横幅+打孔</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946666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m</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2E17272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w:t>
            </w:r>
          </w:p>
        </w:tc>
      </w:tr>
      <w:tr w14:paraId="1529B66A">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3196773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21</w:t>
            </w:r>
          </w:p>
        </w:tc>
        <w:tc>
          <w:tcPr>
            <w:tcW w:w="972" w:type="pct"/>
            <w:tcBorders>
              <w:top w:val="single" w:color="auto" w:sz="4" w:space="0"/>
              <w:left w:val="single" w:color="auto" w:sz="4" w:space="0"/>
              <w:bottom w:val="single" w:color="auto" w:sz="4" w:space="0"/>
              <w:right w:val="single" w:color="auto" w:sz="4" w:space="0"/>
            </w:tcBorders>
            <w:vAlign w:val="center"/>
          </w:tcPr>
          <w:p w14:paraId="1DE8BBA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横幅3</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199FE0D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宽度小于1m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2843D6C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贡缎彩印横幅+打孔</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F78055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m</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55610A2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14.5</w:t>
            </w:r>
          </w:p>
        </w:tc>
      </w:tr>
      <w:tr w14:paraId="53F5839C">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3285B93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22</w:t>
            </w:r>
          </w:p>
        </w:tc>
        <w:tc>
          <w:tcPr>
            <w:tcW w:w="972" w:type="pct"/>
            <w:tcBorders>
              <w:top w:val="single" w:color="auto" w:sz="4" w:space="0"/>
              <w:left w:val="single" w:color="auto" w:sz="4" w:space="0"/>
              <w:bottom w:val="single" w:color="auto" w:sz="4" w:space="0"/>
              <w:right w:val="single" w:color="auto" w:sz="4" w:space="0"/>
            </w:tcBorders>
            <w:vAlign w:val="center"/>
          </w:tcPr>
          <w:p w14:paraId="5682B4B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横幅4</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46E888B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宽度大于等于1m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00A2D20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贡缎彩印横幅+打孔</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C8E61F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m</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0BA3C69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15.5</w:t>
            </w:r>
          </w:p>
        </w:tc>
      </w:tr>
      <w:tr w14:paraId="24409D26">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BD9CE2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23</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3A4B49E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宣传栏</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2E59843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宽度3.5cm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253228E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铝合金型材</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214F8DE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3B346C8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160</w:t>
            </w:r>
          </w:p>
        </w:tc>
      </w:tr>
      <w:tr w14:paraId="2F921614">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18FE055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24</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1601B2E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制度牌</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336BF54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底板1cm</w:t>
            </w:r>
          </w:p>
          <w:p w14:paraId="4C4973E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面板0.5cm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5BB3C4E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底板水晶板+面板水晶版+写真+镜钉</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2A26923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5611C2E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165</w:t>
            </w:r>
          </w:p>
        </w:tc>
      </w:tr>
      <w:tr w14:paraId="3A872C78">
        <w:tblPrEx>
          <w:tblCellMar>
            <w:top w:w="0" w:type="dxa"/>
            <w:left w:w="108" w:type="dxa"/>
            <w:bottom w:w="0" w:type="dxa"/>
            <w:right w:w="108" w:type="dxa"/>
          </w:tblCellMar>
        </w:tblPrEx>
        <w:trPr>
          <w:trHeight w:val="90"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35A74FA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25</w:t>
            </w:r>
          </w:p>
          <w:p w14:paraId="43BB530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6C54AFA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插牌</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7DC70E8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画面尺寸：120*80cm</w:t>
            </w:r>
          </w:p>
          <w:p w14:paraId="433E6AF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地面高度：120cm</w:t>
            </w:r>
          </w:p>
          <w:p w14:paraId="39FAF4C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预埋：50cm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68EC025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1.5cm全结皮PVC雕刻造型+高精度户外背胶覆膜+10cm木板支撑背架</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8B5025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7CDB8B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65</w:t>
            </w:r>
          </w:p>
        </w:tc>
      </w:tr>
      <w:tr w14:paraId="4141C95F">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386E306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26</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7590071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易拉宝</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1963C45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80*180cm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012AE1A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铝合金外框+PVC高清画面</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969466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664499C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48</w:t>
            </w:r>
          </w:p>
        </w:tc>
      </w:tr>
      <w:tr w14:paraId="2559FC95">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0B0B91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27</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572BB13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门型展架1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183027E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80*180cm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12BFFFE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金属烤漆底盘铁质</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B6BC90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20DCB01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48</w:t>
            </w:r>
          </w:p>
        </w:tc>
      </w:tr>
      <w:tr w14:paraId="05C86920">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1E0674B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28</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1929227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门型展架2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61E7BB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80*180cm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243F16C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屋外注水底座+贴纸立杆</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437D1E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2B5B825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56</w:t>
            </w:r>
          </w:p>
        </w:tc>
      </w:tr>
      <w:tr w14:paraId="4DF17D0F">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18B602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29</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51AA6EC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门型展架画面</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29E77C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80*180cm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51A6D59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PVC写真覆亮膜+画面（打孔、4+0色、720dpi）</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C6AD7A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6A6906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45</w:t>
            </w:r>
          </w:p>
        </w:tc>
      </w:tr>
      <w:tr w14:paraId="1DF6FC96">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39EC499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30</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78902C7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L型双面展架</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EEDD0E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80*200cm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3C84CA5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金属不锈钢展板双面＋KT板彩喷画面</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077D41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个</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8A9BEA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170</w:t>
            </w:r>
          </w:p>
        </w:tc>
      </w:tr>
      <w:tr w14:paraId="71D8EC3C">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5F7E4D2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31</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3037B9F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水牌1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7036E06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画面尺寸：60*80cm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22269D3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L型不锈钢水牌+高清户外背胶画面</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E1886E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746BEB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85</w:t>
            </w:r>
          </w:p>
        </w:tc>
      </w:tr>
      <w:tr w14:paraId="1A83DF21">
        <w:tblPrEx>
          <w:tblCellMar>
            <w:top w:w="0" w:type="dxa"/>
            <w:left w:w="108" w:type="dxa"/>
            <w:bottom w:w="0" w:type="dxa"/>
            <w:right w:w="108" w:type="dxa"/>
          </w:tblCellMar>
        </w:tblPrEx>
        <w:trPr>
          <w:trHeight w:val="390"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05EC16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32</w:t>
            </w:r>
          </w:p>
        </w:tc>
        <w:tc>
          <w:tcPr>
            <w:tcW w:w="972" w:type="pct"/>
            <w:tcBorders>
              <w:top w:val="single" w:color="auto" w:sz="4" w:space="0"/>
              <w:left w:val="single" w:color="auto" w:sz="4" w:space="0"/>
              <w:bottom w:val="single" w:color="auto" w:sz="4" w:space="0"/>
              <w:right w:val="single" w:color="auto" w:sz="4" w:space="0"/>
            </w:tcBorders>
            <w:vAlign w:val="center"/>
          </w:tcPr>
          <w:p w14:paraId="27A4D1B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水牌2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E50EBB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画面尺寸：</w:t>
            </w:r>
          </w:p>
          <w:p w14:paraId="5C7E535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60*90cm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08958F6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L型不锈钢水牌+高清户外背胶画面</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7A2E9DD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39B4F13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100</w:t>
            </w:r>
          </w:p>
        </w:tc>
      </w:tr>
      <w:tr w14:paraId="55B7F771">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A6DF98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33</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50BA453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指示牌1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054A59C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1.0mm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54F616C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双面定制不锈钢框架+双面晶彩反光膜</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316C865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347C257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150</w:t>
            </w:r>
          </w:p>
        </w:tc>
      </w:tr>
      <w:tr w14:paraId="0EA5A431">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17B95E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34</w:t>
            </w:r>
          </w:p>
        </w:tc>
        <w:tc>
          <w:tcPr>
            <w:tcW w:w="972" w:type="pct"/>
            <w:tcBorders>
              <w:top w:val="single" w:color="auto" w:sz="4" w:space="0"/>
              <w:left w:val="single" w:color="auto" w:sz="4" w:space="0"/>
              <w:bottom w:val="single" w:color="auto" w:sz="4" w:space="0"/>
              <w:right w:val="single" w:color="auto" w:sz="4" w:space="0"/>
            </w:tcBorders>
            <w:vAlign w:val="center"/>
          </w:tcPr>
          <w:p w14:paraId="6D25664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指示牌2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602411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1.0mm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28AA400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双面定制不锈钢框架+双面车贴覆膜画面</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D71C8D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114E682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127</w:t>
            </w:r>
          </w:p>
        </w:tc>
      </w:tr>
      <w:tr w14:paraId="397BEDF0">
        <w:tblPrEx>
          <w:tblCellMar>
            <w:top w:w="0" w:type="dxa"/>
            <w:left w:w="108" w:type="dxa"/>
            <w:bottom w:w="0" w:type="dxa"/>
            <w:right w:w="108" w:type="dxa"/>
          </w:tblCellMar>
        </w:tblPrEx>
        <w:trPr>
          <w:trHeight w:val="90"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3E1B8DC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35</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6DD03BC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不锈钢宣传立牌</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04A8074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1.0mm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7CBDCCF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5cm不锈钢圆管主骨+4cm不锈钢方管框架+1.5mm镀锌板底板+1cm钢板脚+高精度黑底车贴+覆哑膜</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0D1003F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2C69D87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290</w:t>
            </w:r>
          </w:p>
        </w:tc>
      </w:tr>
      <w:tr w14:paraId="662F6CBD">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B7FDD1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36</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41DF23A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移动展架</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18BD30F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120*240cm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5B03F84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铝合金+铸铁底座+挂画布</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2ADF0F8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1D7643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200</w:t>
            </w:r>
          </w:p>
        </w:tc>
      </w:tr>
      <w:tr w14:paraId="06852676">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11DAA9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37</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10AF2C7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喷漆模板1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7B0BD5C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大于1㎡尺寸</w:t>
            </w:r>
          </w:p>
        </w:tc>
        <w:tc>
          <w:tcPr>
            <w:tcW w:w="1392"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B0E8E6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0.5cm透明亚克力镂空雕刻</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015778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79B2AC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272</w:t>
            </w:r>
          </w:p>
        </w:tc>
      </w:tr>
      <w:tr w14:paraId="29E66A65">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2D5FBF7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38</w:t>
            </w:r>
          </w:p>
        </w:tc>
        <w:tc>
          <w:tcPr>
            <w:tcW w:w="972" w:type="pct"/>
            <w:tcBorders>
              <w:top w:val="single" w:color="auto" w:sz="4" w:space="0"/>
              <w:left w:val="single" w:color="auto" w:sz="4" w:space="0"/>
              <w:bottom w:val="single" w:color="auto" w:sz="4" w:space="0"/>
              <w:right w:val="single" w:color="auto" w:sz="4" w:space="0"/>
            </w:tcBorders>
            <w:vAlign w:val="center"/>
          </w:tcPr>
          <w:p w14:paraId="634B23B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喷漆模板2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0E2F3C1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小于1㎡尺寸</w:t>
            </w:r>
          </w:p>
        </w:tc>
        <w:tc>
          <w:tcPr>
            <w:tcW w:w="1392" w:type="pct"/>
            <w:vMerge w:val="continue"/>
            <w:tcBorders>
              <w:top w:val="single" w:color="auto" w:sz="4" w:space="0"/>
              <w:left w:val="single" w:color="auto" w:sz="4" w:space="0"/>
              <w:bottom w:val="single" w:color="auto" w:sz="4" w:space="0"/>
              <w:right w:val="single" w:color="auto" w:sz="4" w:space="0"/>
            </w:tcBorders>
            <w:vAlign w:val="center"/>
          </w:tcPr>
          <w:p w14:paraId="1B2D1C3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1D84CF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cm</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E607E0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1.3</w:t>
            </w:r>
          </w:p>
        </w:tc>
      </w:tr>
      <w:tr w14:paraId="1AFF4FDD">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08FDBA1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39</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3C53704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桌牌</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1FD8547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210*297mm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3742F51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强磁台签+157g铜板内页双面彩印</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2784F9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F336FB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23</w:t>
            </w:r>
          </w:p>
        </w:tc>
      </w:tr>
      <w:tr w14:paraId="3931C911">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5C9A3B5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40</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777A8C1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海报架1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088FE05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60*90cm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444B39C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铝合金海报架+KT板画面</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1CD7DA7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484456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48</w:t>
            </w:r>
          </w:p>
        </w:tc>
      </w:tr>
      <w:tr w14:paraId="3499A71B">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2EC04B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41</w:t>
            </w:r>
          </w:p>
        </w:tc>
        <w:tc>
          <w:tcPr>
            <w:tcW w:w="972" w:type="pct"/>
            <w:tcBorders>
              <w:top w:val="single" w:color="auto" w:sz="4" w:space="0"/>
              <w:left w:val="single" w:color="auto" w:sz="4" w:space="0"/>
              <w:bottom w:val="single" w:color="auto" w:sz="4" w:space="0"/>
              <w:right w:val="single" w:color="auto" w:sz="4" w:space="0"/>
            </w:tcBorders>
            <w:vAlign w:val="center"/>
          </w:tcPr>
          <w:p w14:paraId="6E8C119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海报架2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60665B0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80*120cm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7E41C5A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铝合金海报架+KT板画面</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A4AFC6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211D7B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80</w:t>
            </w:r>
          </w:p>
        </w:tc>
      </w:tr>
      <w:tr w14:paraId="2F41382D">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0599A03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42</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6F70560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PVC材质宣传物料1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4F296CA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厚度：1cm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2ABB312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PVC+高清写真</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3188F7B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372185D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95</w:t>
            </w:r>
          </w:p>
        </w:tc>
      </w:tr>
      <w:tr w14:paraId="49448BFD">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384EEF3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43</w:t>
            </w:r>
          </w:p>
        </w:tc>
        <w:tc>
          <w:tcPr>
            <w:tcW w:w="972" w:type="pct"/>
            <w:tcBorders>
              <w:top w:val="single" w:color="auto" w:sz="4" w:space="0"/>
              <w:left w:val="single" w:color="auto" w:sz="4" w:space="0"/>
              <w:bottom w:val="single" w:color="auto" w:sz="4" w:space="0"/>
              <w:right w:val="single" w:color="auto" w:sz="4" w:space="0"/>
            </w:tcBorders>
            <w:vAlign w:val="center"/>
          </w:tcPr>
          <w:p w14:paraId="7478165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PVC材质宣传物料2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4509EC6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厚度：0.5cm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1C43651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PVC+高清写真</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B3FCDA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5428CBA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85</w:t>
            </w:r>
          </w:p>
        </w:tc>
      </w:tr>
      <w:tr w14:paraId="4522D937">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5391AB8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44</w:t>
            </w:r>
          </w:p>
        </w:tc>
        <w:tc>
          <w:tcPr>
            <w:tcW w:w="972" w:type="pct"/>
            <w:tcBorders>
              <w:top w:val="single" w:color="auto" w:sz="4" w:space="0"/>
              <w:left w:val="single" w:color="auto" w:sz="4" w:space="0"/>
              <w:bottom w:val="single" w:color="auto" w:sz="4" w:space="0"/>
              <w:right w:val="single" w:color="auto" w:sz="4" w:space="0"/>
            </w:tcBorders>
            <w:vAlign w:val="center"/>
          </w:tcPr>
          <w:p w14:paraId="2CB8C53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PVC材质宣传物料3</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16D468E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厚度：0.3cm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109C794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PVC+高清写真</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3A37E0F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55DE828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35</w:t>
            </w:r>
          </w:p>
        </w:tc>
      </w:tr>
      <w:tr w14:paraId="63B91A66">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BE8FB6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45</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506A32B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亚克力材质宣传物料1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73CB97F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厚度：1cm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4CD72C5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透明亚克力+背喷（铺白）</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81D278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0214EB9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230</w:t>
            </w:r>
          </w:p>
        </w:tc>
      </w:tr>
      <w:tr w14:paraId="3B0CDC89">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1F76366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46</w:t>
            </w:r>
          </w:p>
        </w:tc>
        <w:tc>
          <w:tcPr>
            <w:tcW w:w="972" w:type="pct"/>
            <w:tcBorders>
              <w:top w:val="single" w:color="auto" w:sz="4" w:space="0"/>
              <w:left w:val="single" w:color="auto" w:sz="4" w:space="0"/>
              <w:bottom w:val="single" w:color="auto" w:sz="4" w:space="0"/>
              <w:right w:val="single" w:color="auto" w:sz="4" w:space="0"/>
            </w:tcBorders>
            <w:vAlign w:val="center"/>
          </w:tcPr>
          <w:p w14:paraId="6603F6D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亚克力材质宣传物料2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011E223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厚度：0.5cm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445AC47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透明亚克力+背喷（铺白）</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3E098FD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259F13F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210</w:t>
            </w:r>
          </w:p>
        </w:tc>
      </w:tr>
      <w:tr w14:paraId="102CF030">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9F0322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47</w:t>
            </w:r>
          </w:p>
        </w:tc>
        <w:tc>
          <w:tcPr>
            <w:tcW w:w="972" w:type="pct"/>
            <w:tcBorders>
              <w:top w:val="single" w:color="auto" w:sz="4" w:space="0"/>
              <w:left w:val="single" w:color="auto" w:sz="4" w:space="0"/>
              <w:bottom w:val="single" w:color="auto" w:sz="4" w:space="0"/>
              <w:right w:val="single" w:color="auto" w:sz="4" w:space="0"/>
            </w:tcBorders>
            <w:vAlign w:val="center"/>
          </w:tcPr>
          <w:p w14:paraId="3FDC95D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亚克力材质宣传物料3</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04C544A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厚度：0.3cm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6EB6681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透明亚克力+背喷（铺白）</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F61866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3A74E8F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185</w:t>
            </w:r>
          </w:p>
        </w:tc>
      </w:tr>
      <w:tr w14:paraId="413F5951">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379A84E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48</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01CC1EC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宣传KT板</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C7BC75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厚度：0.5cm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53AF2DC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高精度户外背胶覆亚膜+冷复合KT板</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C608A6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5D160FD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40</w:t>
            </w:r>
          </w:p>
        </w:tc>
      </w:tr>
      <w:tr w14:paraId="501F652E">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A8217A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49</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5EDF972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单透贴</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6A7C1BA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2E03B76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单透贴4色、720dpi及以上</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61237F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D20DEA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19</w:t>
            </w:r>
          </w:p>
        </w:tc>
      </w:tr>
      <w:tr w14:paraId="576400B8">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5C2F02E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50</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2317A08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车贴1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66638BA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0.5平米以下</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1E149EC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黑底车贴</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3471007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0A016A5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w:t>
            </w:r>
          </w:p>
        </w:tc>
      </w:tr>
      <w:tr w14:paraId="74F7A18B">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D2D135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51</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040A7A2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车贴2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13562DA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0.5平米以上</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098F862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黑底车贴</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1B5EED1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09448B1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30</w:t>
            </w:r>
          </w:p>
        </w:tc>
      </w:tr>
      <w:tr w14:paraId="2D9FC36C">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2D8761C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52</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3C317EC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磁性贴1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4A85EDE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厚度：2cm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5A158A8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PVC+磁铁+高清写真</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2A476FD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F26421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220</w:t>
            </w:r>
          </w:p>
        </w:tc>
      </w:tr>
      <w:tr w14:paraId="225A5896">
        <w:tblPrEx>
          <w:tblCellMar>
            <w:top w:w="0" w:type="dxa"/>
            <w:left w:w="108" w:type="dxa"/>
            <w:bottom w:w="0" w:type="dxa"/>
            <w:right w:w="108" w:type="dxa"/>
          </w:tblCellMar>
        </w:tblPrEx>
        <w:trPr>
          <w:trHeight w:val="865"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0AC7ABD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53</w:t>
            </w:r>
          </w:p>
        </w:tc>
        <w:tc>
          <w:tcPr>
            <w:tcW w:w="972" w:type="pct"/>
            <w:tcBorders>
              <w:top w:val="single" w:color="auto" w:sz="4" w:space="0"/>
              <w:left w:val="single" w:color="auto" w:sz="4" w:space="0"/>
              <w:bottom w:val="single" w:color="auto" w:sz="4" w:space="0"/>
              <w:right w:val="single" w:color="auto" w:sz="4" w:space="0"/>
            </w:tcBorders>
            <w:vAlign w:val="center"/>
          </w:tcPr>
          <w:p w14:paraId="5CD33F8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磁性贴2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B096B4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厚度：1cm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3C53CC4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PVC+磁铁+高清写真</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037BF24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CEE63A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180</w:t>
            </w:r>
          </w:p>
        </w:tc>
      </w:tr>
      <w:tr w14:paraId="0014F617">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3BFE39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54</w:t>
            </w:r>
          </w:p>
        </w:tc>
        <w:tc>
          <w:tcPr>
            <w:tcW w:w="972" w:type="pct"/>
            <w:tcBorders>
              <w:top w:val="single" w:color="auto" w:sz="4" w:space="0"/>
              <w:left w:val="single" w:color="auto" w:sz="4" w:space="0"/>
              <w:bottom w:val="single" w:color="auto" w:sz="4" w:space="0"/>
              <w:right w:val="single" w:color="auto" w:sz="4" w:space="0"/>
            </w:tcBorders>
            <w:vAlign w:val="center"/>
          </w:tcPr>
          <w:p w14:paraId="7802171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磁性贴3</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1945F15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厚度：0.5cm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225A7BA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PVC+磁铁+高清写真</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3DE266A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2BB2D1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155</w:t>
            </w:r>
          </w:p>
        </w:tc>
      </w:tr>
      <w:tr w14:paraId="292D2230">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8C9F60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55</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7C7E70A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宣传地贴</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20CCF02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089EB9A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斜纹膜地贴</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1671A1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180FDE6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50</w:t>
            </w:r>
          </w:p>
        </w:tc>
      </w:tr>
      <w:tr w14:paraId="34E6BF0A">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2A4FDEC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56</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29A6B06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金属造型</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3217611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1.0mm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33A101B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镀锌板立体造型+金属烤漆</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2A774DA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EF9DC4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260</w:t>
            </w:r>
          </w:p>
        </w:tc>
      </w:tr>
      <w:tr w14:paraId="648B8FE6">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F8C56C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57</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67B9202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墙面彩绘</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6B9DDB3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5441777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手绘+环保颜料+抗磨损保护漆</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42202E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FE01A6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100</w:t>
            </w:r>
          </w:p>
        </w:tc>
      </w:tr>
      <w:tr w14:paraId="6C406B13">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5D8CCD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58</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3E9B877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地坪彩绘</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0164254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50DF32E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手绘+环保颜料+抗磨损保护涂料</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6C98E91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E3A430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140</w:t>
            </w:r>
          </w:p>
        </w:tc>
      </w:tr>
      <w:tr w14:paraId="05DF5878">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284DA42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59</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2D6727A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立体字1</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018DBA0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1.5cm厚</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6A62A5D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金属字</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7E4BB01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cm</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1048DB5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w:t>
            </w:r>
          </w:p>
        </w:tc>
      </w:tr>
      <w:tr w14:paraId="1B7DB836">
        <w:tblPrEx>
          <w:tblCellMar>
            <w:top w:w="0" w:type="dxa"/>
            <w:left w:w="108" w:type="dxa"/>
            <w:bottom w:w="0" w:type="dxa"/>
            <w:right w:w="108" w:type="dxa"/>
          </w:tblCellMar>
        </w:tblPrEx>
        <w:trPr>
          <w:trHeight w:val="1070"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8A8608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60</w:t>
            </w:r>
          </w:p>
        </w:tc>
        <w:tc>
          <w:tcPr>
            <w:tcW w:w="972" w:type="pct"/>
            <w:tcBorders>
              <w:top w:val="single" w:color="auto" w:sz="4" w:space="0"/>
              <w:left w:val="single" w:color="auto" w:sz="4" w:space="0"/>
              <w:bottom w:val="single" w:color="auto" w:sz="4" w:space="0"/>
              <w:right w:val="single" w:color="auto" w:sz="4" w:space="0"/>
            </w:tcBorders>
            <w:vAlign w:val="center"/>
          </w:tcPr>
          <w:p w14:paraId="6C73BD7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立体字2</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6055385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1.5cm厚</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6918EFC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水晶字</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21C3C05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cm</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5702C09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2.5</w:t>
            </w:r>
          </w:p>
        </w:tc>
      </w:tr>
      <w:tr w14:paraId="104D9758">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0B8EE3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61</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681F7AB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不干胶</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0AD49D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8cm圆形</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17D6D01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可移不干胶</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01120F7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69C09F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0.4</w:t>
            </w:r>
          </w:p>
        </w:tc>
      </w:tr>
      <w:tr w14:paraId="09F046D0">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11B0984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62</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0D4CA7C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不干胶</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64B8834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10*10cm</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0C5257D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可移不干胶</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152C6EE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600A23C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0.8</w:t>
            </w:r>
          </w:p>
        </w:tc>
      </w:tr>
      <w:tr w14:paraId="26A7FD04">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E875CD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63</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3CB9923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快印</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49698B9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A4 157g</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7D5E614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铜版纸双面快印</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098334F">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18D46F3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0.95</w:t>
            </w:r>
          </w:p>
        </w:tc>
      </w:tr>
      <w:tr w14:paraId="7731E53A">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268C282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64</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4302D65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快印</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660C675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A3 157g</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1E2B47F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铜版纸双面快印</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F04EF0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3C82AA9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1.6</w:t>
            </w:r>
          </w:p>
        </w:tc>
      </w:tr>
      <w:tr w14:paraId="25D17F17">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7A727C9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65</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2908B5F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对折页</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71C96F88">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展开A4</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177E204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157g铜版纸双面快印+压痕</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D24139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426DDA0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1.6</w:t>
            </w:r>
          </w:p>
        </w:tc>
      </w:tr>
      <w:tr w14:paraId="6C8E056A">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BBD1FC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66</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6989626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对折页</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D4655B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展开A3</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18BD2B81">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157g铜版纸双面快印+压痕</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DAC2DD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张</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771967E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r>
      <w:tr w14:paraId="570D4DB3">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E7909B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67</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0FD1C1E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A4强磁台卡</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49E8E323">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210*148</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03D4616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内容用250克铜板双面四色打印，外夹亚克力座子</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5B65C68D">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2FA0222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28</w:t>
            </w:r>
          </w:p>
        </w:tc>
      </w:tr>
      <w:tr w14:paraId="57CF78D2">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383BF0A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68</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7953CFE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A5强磁台卡</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1BFE7D4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210*149</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645881D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内容用250克铜板双面四色打印，外夹亚克力座子</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3024BAC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27689C6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18</w:t>
            </w:r>
          </w:p>
        </w:tc>
      </w:tr>
      <w:tr w14:paraId="0A3068E3">
        <w:tblPrEx>
          <w:tblCellMar>
            <w:top w:w="0" w:type="dxa"/>
            <w:left w:w="108" w:type="dxa"/>
            <w:bottom w:w="0" w:type="dxa"/>
            <w:right w:w="108" w:type="dxa"/>
          </w:tblCellMar>
        </w:tblPrEx>
        <w:trPr>
          <w:trHeight w:val="762"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63C288D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69</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6F7F82C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画册</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C49704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A4</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7D4E037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设计、制作、印刷，普通纸张（封面铜版纸，内页双胶纸）</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53CE624">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页</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5BE772E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1.82</w:t>
            </w:r>
          </w:p>
        </w:tc>
      </w:tr>
      <w:tr w14:paraId="3993113C">
        <w:tblPrEx>
          <w:tblCellMar>
            <w:top w:w="0" w:type="dxa"/>
            <w:left w:w="108" w:type="dxa"/>
            <w:bottom w:w="0" w:type="dxa"/>
            <w:right w:w="108" w:type="dxa"/>
          </w:tblCellMar>
        </w:tblPrEx>
        <w:trPr>
          <w:trHeight w:val="2125" w:hRule="atLeast"/>
        </w:trPr>
        <w:tc>
          <w:tcPr>
            <w:tcW w:w="533" w:type="pct"/>
            <w:tcBorders>
              <w:top w:val="single" w:color="auto" w:sz="4" w:space="0"/>
              <w:left w:val="single" w:color="auto" w:sz="4" w:space="0"/>
              <w:bottom w:val="single" w:color="auto" w:sz="4" w:space="0"/>
              <w:right w:val="single" w:color="auto" w:sz="4" w:space="0"/>
            </w:tcBorders>
            <w:shd w:val="clear" w:color="auto" w:fill="auto"/>
            <w:vAlign w:val="center"/>
          </w:tcPr>
          <w:p w14:paraId="44EA722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70</w:t>
            </w:r>
          </w:p>
        </w:tc>
        <w:tc>
          <w:tcPr>
            <w:tcW w:w="972" w:type="pct"/>
            <w:tcBorders>
              <w:top w:val="single" w:color="auto" w:sz="4" w:space="0"/>
              <w:left w:val="single" w:color="auto" w:sz="4" w:space="0"/>
              <w:bottom w:val="single" w:color="auto" w:sz="4" w:space="0"/>
              <w:right w:val="single" w:color="auto" w:sz="4" w:space="0"/>
            </w:tcBorders>
            <w:shd w:val="clear" w:color="auto" w:fill="auto"/>
            <w:vAlign w:val="center"/>
          </w:tcPr>
          <w:p w14:paraId="5EFBBDC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画册</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451821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A4</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6B0B56F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设计、制作、印刷，特殊纸张（封面特种纸，内页铜版纸，特种纸）</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3DC85C5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页</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389100D0">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3.37</w:t>
            </w:r>
          </w:p>
        </w:tc>
      </w:tr>
      <w:tr w14:paraId="564F744E">
        <w:tblPrEx>
          <w:tblCellMar>
            <w:top w:w="0" w:type="dxa"/>
            <w:left w:w="108" w:type="dxa"/>
            <w:bottom w:w="0" w:type="dxa"/>
            <w:right w:w="108" w:type="dxa"/>
          </w:tblCellMar>
        </w:tblPrEx>
        <w:trPr>
          <w:trHeight w:val="2125" w:hRule="atLeast"/>
        </w:trPr>
        <w:tc>
          <w:tcPr>
            <w:tcW w:w="533" w:type="pct"/>
            <w:vMerge w:val="restart"/>
            <w:tcBorders>
              <w:top w:val="single" w:color="auto" w:sz="4" w:space="0"/>
              <w:left w:val="single" w:color="auto" w:sz="4" w:space="0"/>
              <w:right w:val="single" w:color="auto" w:sz="4" w:space="0"/>
            </w:tcBorders>
            <w:shd w:val="clear" w:color="auto" w:fill="auto"/>
            <w:vAlign w:val="center"/>
          </w:tcPr>
          <w:p w14:paraId="71A970E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71</w:t>
            </w:r>
          </w:p>
        </w:tc>
        <w:tc>
          <w:tcPr>
            <w:tcW w:w="972" w:type="pct"/>
            <w:vMerge w:val="restart"/>
            <w:tcBorders>
              <w:top w:val="single" w:color="auto" w:sz="4" w:space="0"/>
              <w:left w:val="single" w:color="auto" w:sz="4" w:space="0"/>
              <w:right w:val="single" w:color="auto" w:sz="4" w:space="0"/>
            </w:tcBorders>
            <w:shd w:val="clear" w:color="auto" w:fill="auto"/>
            <w:vAlign w:val="center"/>
          </w:tcPr>
          <w:p w14:paraId="105E6CFC">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基础类设计</w:t>
            </w: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76671447">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日常图文类设计</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4BF4B19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完全自主设计，非模板套用（仅设计）</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486244A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页</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62A48539">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107</w:t>
            </w:r>
          </w:p>
        </w:tc>
      </w:tr>
      <w:tr w14:paraId="70B72C30">
        <w:tblPrEx>
          <w:tblCellMar>
            <w:top w:w="0" w:type="dxa"/>
            <w:left w:w="108" w:type="dxa"/>
            <w:bottom w:w="0" w:type="dxa"/>
            <w:right w:w="108" w:type="dxa"/>
          </w:tblCellMar>
        </w:tblPrEx>
        <w:trPr>
          <w:trHeight w:val="2125" w:hRule="atLeast"/>
        </w:trPr>
        <w:tc>
          <w:tcPr>
            <w:tcW w:w="533" w:type="pct"/>
            <w:vMerge w:val="continue"/>
            <w:tcBorders>
              <w:left w:val="single" w:color="auto" w:sz="4" w:space="0"/>
              <w:bottom w:val="single" w:color="auto" w:sz="4" w:space="0"/>
              <w:right w:val="single" w:color="auto" w:sz="4" w:space="0"/>
            </w:tcBorders>
            <w:shd w:val="clear" w:color="auto" w:fill="auto"/>
            <w:vAlign w:val="center"/>
          </w:tcPr>
          <w:p w14:paraId="0C63F09A">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972" w:type="pct"/>
            <w:vMerge w:val="continue"/>
            <w:tcBorders>
              <w:left w:val="single" w:color="auto" w:sz="4" w:space="0"/>
              <w:bottom w:val="single" w:color="auto" w:sz="4" w:space="0"/>
              <w:right w:val="single" w:color="auto" w:sz="4" w:space="0"/>
            </w:tcBorders>
            <w:shd w:val="clear" w:color="auto" w:fill="auto"/>
            <w:vAlign w:val="center"/>
          </w:tcPr>
          <w:p w14:paraId="1A377AF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p>
        </w:tc>
        <w:tc>
          <w:tcPr>
            <w:tcW w:w="881" w:type="pct"/>
            <w:tcBorders>
              <w:top w:val="single" w:color="auto" w:sz="4" w:space="0"/>
              <w:left w:val="single" w:color="auto" w:sz="4" w:space="0"/>
              <w:bottom w:val="single" w:color="auto" w:sz="4" w:space="0"/>
              <w:right w:val="single" w:color="auto" w:sz="4" w:space="0"/>
            </w:tcBorders>
            <w:shd w:val="clear" w:color="auto" w:fill="auto"/>
            <w:vAlign w:val="center"/>
          </w:tcPr>
          <w:p w14:paraId="56732DF2">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主题/文化墙设计</w:t>
            </w:r>
          </w:p>
        </w:tc>
        <w:tc>
          <w:tcPr>
            <w:tcW w:w="1392" w:type="pct"/>
            <w:tcBorders>
              <w:top w:val="single" w:color="auto" w:sz="4" w:space="0"/>
              <w:left w:val="single" w:color="auto" w:sz="4" w:space="0"/>
              <w:bottom w:val="single" w:color="auto" w:sz="4" w:space="0"/>
              <w:right w:val="single" w:color="auto" w:sz="4" w:space="0"/>
            </w:tcBorders>
            <w:shd w:val="clear" w:color="auto" w:fill="auto"/>
            <w:vAlign w:val="center"/>
          </w:tcPr>
          <w:p w14:paraId="63A6DE5B">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完全自主设计，非模板套用（仅设计）</w:t>
            </w:r>
          </w:p>
        </w:tc>
        <w:tc>
          <w:tcPr>
            <w:tcW w:w="527" w:type="pct"/>
            <w:tcBorders>
              <w:top w:val="single" w:color="auto" w:sz="4" w:space="0"/>
              <w:left w:val="single" w:color="auto" w:sz="4" w:space="0"/>
              <w:bottom w:val="single" w:color="auto" w:sz="4" w:space="0"/>
              <w:right w:val="single" w:color="auto" w:sz="4" w:space="0"/>
            </w:tcBorders>
            <w:shd w:val="clear" w:color="auto" w:fill="auto"/>
            <w:vAlign w:val="center"/>
          </w:tcPr>
          <w:p w14:paraId="14AADD65">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平方米</w:t>
            </w:r>
          </w:p>
        </w:tc>
        <w:tc>
          <w:tcPr>
            <w:tcW w:w="692" w:type="pct"/>
            <w:tcBorders>
              <w:top w:val="single" w:color="auto" w:sz="4" w:space="0"/>
              <w:left w:val="single" w:color="auto" w:sz="4" w:space="0"/>
              <w:bottom w:val="single" w:color="auto" w:sz="4" w:space="0"/>
              <w:right w:val="single" w:color="auto" w:sz="4" w:space="0"/>
            </w:tcBorders>
            <w:shd w:val="clear" w:color="auto" w:fill="auto"/>
            <w:vAlign w:val="center"/>
          </w:tcPr>
          <w:p w14:paraId="21AE96B6">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400</w:t>
            </w:r>
          </w:p>
        </w:tc>
      </w:tr>
    </w:tbl>
    <w:p w14:paraId="1970AB28">
      <w:pPr>
        <w:pStyle w:val="16"/>
        <w:keepNext w:val="0"/>
        <w:keepLines w:val="0"/>
        <w:pageBreakBefore w:val="0"/>
        <w:widowControl w:val="0"/>
        <w:kinsoku/>
        <w:wordWrap/>
        <w:overflowPunct/>
        <w:topLinePunct w:val="0"/>
        <w:autoSpaceDE/>
        <w:autoSpaceDN/>
        <w:bidi w:val="0"/>
        <w:adjustRightInd/>
        <w:snapToGrid w:val="0"/>
        <w:spacing w:line="360" w:lineRule="auto"/>
        <w:ind w:left="480" w:leftChars="0" w:hanging="480" w:hanging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注：1—70报价包括设计制作安装费用</w:t>
      </w:r>
    </w:p>
    <w:p w14:paraId="10AB1593">
      <w:pPr>
        <w:pStyle w:val="16"/>
        <w:keepNext w:val="0"/>
        <w:keepLines w:val="0"/>
        <w:pageBreakBefore w:val="0"/>
        <w:widowControl w:val="0"/>
        <w:kinsoku/>
        <w:wordWrap/>
        <w:overflowPunct/>
        <w:topLinePunct w:val="0"/>
        <w:autoSpaceDE/>
        <w:autoSpaceDN/>
        <w:bidi w:val="0"/>
        <w:adjustRightInd/>
        <w:snapToGrid w:val="0"/>
        <w:spacing w:line="360" w:lineRule="auto"/>
        <w:ind w:left="482" w:leftChars="0" w:hanging="482" w:hangingChars="200"/>
        <w:textAlignment w:val="auto"/>
        <w:rPr>
          <w:rFonts w:hint="eastAsia" w:ascii="仿宋" w:hAnsi="仿宋" w:eastAsia="仿宋"/>
          <w:b/>
          <w:bCs/>
          <w:sz w:val="24"/>
          <w:szCs w:val="24"/>
        </w:rPr>
      </w:pPr>
      <w:r>
        <w:rPr>
          <w:rFonts w:hint="eastAsia" w:ascii="仿宋" w:hAnsi="仿宋" w:eastAsia="仿宋"/>
          <w:b/>
          <w:bCs/>
          <w:sz w:val="24"/>
          <w:szCs w:val="24"/>
        </w:rPr>
        <w:t>★</w:t>
      </w:r>
      <w:r>
        <w:rPr>
          <w:rFonts w:hint="eastAsia" w:ascii="仿宋" w:hAnsi="仿宋" w:eastAsia="仿宋"/>
          <w:b/>
          <w:bCs/>
          <w:sz w:val="24"/>
          <w:szCs w:val="24"/>
          <w:lang w:val="en-US" w:eastAsia="zh-CN"/>
        </w:rPr>
        <w:t>三</w:t>
      </w:r>
      <w:r>
        <w:rPr>
          <w:rFonts w:hint="eastAsia" w:ascii="仿宋" w:hAnsi="仿宋" w:eastAsia="仿宋"/>
          <w:b/>
          <w:bCs/>
          <w:sz w:val="24"/>
          <w:szCs w:val="24"/>
        </w:rPr>
        <w:t>、</w:t>
      </w:r>
      <w:r>
        <w:rPr>
          <w:rFonts w:hint="eastAsia" w:ascii="仿宋" w:hAnsi="仿宋" w:eastAsia="仿宋"/>
          <w:b/>
          <w:bCs/>
          <w:sz w:val="24"/>
          <w:szCs w:val="24"/>
          <w:lang w:val="en-US" w:eastAsia="zh-CN"/>
        </w:rPr>
        <w:t>服务内容及要求</w:t>
      </w:r>
    </w:p>
    <w:p w14:paraId="6722925D">
      <w:pPr>
        <w:pStyle w:val="4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1</w:t>
      </w:r>
      <w:r>
        <w:rPr>
          <w:rFonts w:hint="default" w:ascii="仿宋" w:hAnsi="仿宋" w:eastAsia="仿宋" w:cstheme="minorBidi"/>
          <w:kern w:val="2"/>
          <w:sz w:val="24"/>
          <w:szCs w:val="24"/>
          <w:lang w:val="en-US" w:eastAsia="zh-CN" w:bidi="ar-SA"/>
        </w:rPr>
        <w:t>.品质要求：所有广告物料须符合国家环保标准，材质、规格及色值须满足</w:t>
      </w:r>
      <w:r>
        <w:rPr>
          <w:rFonts w:hint="eastAsia" w:ascii="仿宋" w:hAnsi="仿宋" w:eastAsia="仿宋" w:cstheme="minorBidi"/>
          <w:kern w:val="2"/>
          <w:sz w:val="24"/>
          <w:szCs w:val="24"/>
          <w:lang w:val="en-US" w:eastAsia="zh-CN" w:bidi="ar-SA"/>
        </w:rPr>
        <w:t>采购人</w:t>
      </w:r>
      <w:r>
        <w:rPr>
          <w:rFonts w:hint="default" w:ascii="仿宋" w:hAnsi="仿宋" w:eastAsia="仿宋" w:cstheme="minorBidi"/>
          <w:kern w:val="2"/>
          <w:sz w:val="24"/>
          <w:szCs w:val="24"/>
          <w:lang w:val="en-US" w:eastAsia="zh-CN" w:bidi="ar-SA"/>
        </w:rPr>
        <w:t>实际要求。整体工艺要求精细，色彩还原准确，画面平整无瑕疵，结构牢固可靠，满足室内外不同场景的安装与使用需求。质保期内出现褪色、变形、开裂、脱落等质量问题，供应商须重做或更换，由此产生的费用由供应商承担，采购人不再另行支付。</w:t>
      </w:r>
      <w:r>
        <w:rPr>
          <w:rFonts w:hint="eastAsia" w:ascii="仿宋" w:hAnsi="仿宋" w:eastAsia="仿宋" w:cstheme="minorBidi"/>
          <w:kern w:val="2"/>
          <w:sz w:val="24"/>
          <w:szCs w:val="24"/>
          <w:lang w:val="en-US" w:eastAsia="zh-CN" w:bidi="ar-SA"/>
        </w:rPr>
        <w:t>供应商承诺提供物料质保服务，质保时间</w:t>
      </w:r>
      <w:r>
        <w:rPr>
          <w:rFonts w:hint="eastAsia" w:ascii="仿宋" w:hAnsi="仿宋" w:eastAsia="仿宋" w:cs="仿宋"/>
          <w:kern w:val="0"/>
          <w:sz w:val="24"/>
          <w:szCs w:val="24"/>
          <w:lang w:val="en-US" w:eastAsia="zh-CN" w:bidi="ar"/>
        </w:rPr>
        <w:t>1年及以上；质保期内响应时间：物料出现质量问题需24小时内到场处理</w:t>
      </w:r>
      <w:r>
        <w:rPr>
          <w:rFonts w:hint="eastAsia" w:ascii="仿宋" w:hAnsi="仿宋" w:eastAsia="仿宋" w:cstheme="minorBidi"/>
          <w:kern w:val="2"/>
          <w:sz w:val="24"/>
          <w:szCs w:val="24"/>
          <w:lang w:val="en-US" w:eastAsia="zh-CN" w:bidi="ar-SA"/>
        </w:rPr>
        <w:t>（提供承诺函并加盖供应商公章）。</w:t>
      </w:r>
    </w:p>
    <w:p w14:paraId="412145B8">
      <w:pPr>
        <w:pStyle w:val="4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2</w:t>
      </w:r>
      <w:r>
        <w:rPr>
          <w:rFonts w:hint="default" w:ascii="仿宋" w:hAnsi="仿宋" w:eastAsia="仿宋" w:cstheme="minorBidi"/>
          <w:kern w:val="2"/>
          <w:sz w:val="24"/>
          <w:szCs w:val="24"/>
          <w:lang w:val="en-US" w:eastAsia="zh-CN" w:bidi="ar-SA"/>
        </w:rPr>
        <w:t>.响应时效：服务期内，须设立专项服务团队和24小时服务电话，确保沟通畅通。因物料品类差异，具体交付时限不设统一天数。</w:t>
      </w:r>
      <w:r>
        <w:rPr>
          <w:rFonts w:hint="eastAsia" w:ascii="仿宋" w:hAnsi="仿宋" w:eastAsia="仿宋" w:cstheme="minorBidi"/>
          <w:kern w:val="2"/>
          <w:sz w:val="24"/>
          <w:szCs w:val="24"/>
          <w:lang w:val="en-US" w:eastAsia="zh-CN" w:bidi="ar-SA"/>
        </w:rPr>
        <w:t>供应商</w:t>
      </w:r>
      <w:r>
        <w:rPr>
          <w:rFonts w:hint="default" w:ascii="仿宋" w:hAnsi="仿宋" w:eastAsia="仿宋" w:cstheme="minorBidi"/>
          <w:kern w:val="2"/>
          <w:sz w:val="24"/>
          <w:szCs w:val="24"/>
          <w:lang w:val="en-US" w:eastAsia="zh-CN" w:bidi="ar-SA"/>
        </w:rPr>
        <w:t>须在接到采购订单后2个小时内，针对每批次物料的具体品类、数量及工艺，提交书面《生产排期表》供</w:t>
      </w:r>
      <w:r>
        <w:rPr>
          <w:rFonts w:hint="eastAsia" w:ascii="仿宋" w:hAnsi="仿宋" w:eastAsia="仿宋" w:cstheme="minorBidi"/>
          <w:kern w:val="2"/>
          <w:sz w:val="24"/>
          <w:szCs w:val="24"/>
          <w:lang w:val="en-US" w:eastAsia="zh-CN" w:bidi="ar-SA"/>
        </w:rPr>
        <w:t>采购人</w:t>
      </w:r>
      <w:r>
        <w:rPr>
          <w:rFonts w:hint="default" w:ascii="仿宋" w:hAnsi="仿宋" w:eastAsia="仿宋" w:cstheme="minorBidi"/>
          <w:kern w:val="2"/>
          <w:sz w:val="24"/>
          <w:szCs w:val="24"/>
          <w:lang w:val="en-US" w:eastAsia="zh-CN" w:bidi="ar-SA"/>
        </w:rPr>
        <w:t>确认，确认后的工期作为该批次交付依据。</w:t>
      </w:r>
      <w:r>
        <w:rPr>
          <w:rFonts w:hint="eastAsia" w:ascii="仿宋" w:hAnsi="仿宋" w:eastAsia="仿宋" w:cstheme="minorBidi"/>
          <w:kern w:val="2"/>
          <w:sz w:val="24"/>
          <w:szCs w:val="24"/>
          <w:lang w:val="en-US" w:eastAsia="zh-CN" w:bidi="ar-SA"/>
        </w:rPr>
        <w:t>供应商</w:t>
      </w:r>
      <w:r>
        <w:rPr>
          <w:rFonts w:hint="default" w:ascii="仿宋" w:hAnsi="仿宋" w:eastAsia="仿宋" w:cstheme="minorBidi"/>
          <w:kern w:val="2"/>
          <w:sz w:val="24"/>
          <w:szCs w:val="24"/>
          <w:lang w:val="en-US" w:eastAsia="zh-CN" w:bidi="ar-SA"/>
        </w:rPr>
        <w:t>须确保生产排期科学合理，不得无故拖延。遇紧急订单，须在1小时内到达现场，3小时内启动生产，并按双方协商的加急时限完成交付。延迟交付按合同约定承担违约责任。</w:t>
      </w:r>
    </w:p>
    <w:p w14:paraId="7908FCC7">
      <w:pPr>
        <w:pStyle w:val="4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w:t>
      </w:r>
      <w:r>
        <w:rPr>
          <w:rFonts w:hint="default" w:ascii="仿宋" w:hAnsi="仿宋" w:eastAsia="仿宋" w:cstheme="minorBidi"/>
          <w:kern w:val="2"/>
          <w:sz w:val="24"/>
          <w:szCs w:val="24"/>
          <w:lang w:val="en-US" w:eastAsia="zh-CN" w:bidi="ar-SA"/>
        </w:rPr>
        <w:t>.所有制作物品，未经授权不得另作他用或发送第三方。</w:t>
      </w:r>
    </w:p>
    <w:p w14:paraId="5DC9664F">
      <w:pPr>
        <w:pStyle w:val="4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w:t>
      </w:r>
      <w:r>
        <w:rPr>
          <w:rFonts w:hint="default" w:ascii="仿宋" w:hAnsi="仿宋" w:eastAsia="仿宋" w:cstheme="minorBidi"/>
          <w:kern w:val="2"/>
          <w:sz w:val="24"/>
          <w:szCs w:val="24"/>
          <w:lang w:val="en-US" w:eastAsia="zh-CN" w:bidi="ar-SA"/>
        </w:rPr>
        <w:t>.</w:t>
      </w:r>
      <w:r>
        <w:rPr>
          <w:rFonts w:hint="eastAsia" w:ascii="仿宋" w:hAnsi="仿宋" w:eastAsia="仿宋" w:cstheme="minorBidi"/>
          <w:kern w:val="2"/>
          <w:sz w:val="24"/>
          <w:szCs w:val="24"/>
          <w:lang w:val="en-US" w:eastAsia="zh-CN" w:bidi="ar-SA"/>
        </w:rPr>
        <w:t>供应商</w:t>
      </w:r>
      <w:r>
        <w:rPr>
          <w:rFonts w:hint="default" w:ascii="仿宋" w:hAnsi="仿宋" w:eastAsia="仿宋" w:cstheme="minorBidi"/>
          <w:kern w:val="2"/>
          <w:sz w:val="24"/>
          <w:szCs w:val="24"/>
          <w:lang w:val="en-US" w:eastAsia="zh-CN" w:bidi="ar-SA"/>
        </w:rPr>
        <w:t>应保证本项目使用的产品和服务（包括部分使用），不会产生因第三方提出侵犯专利权、商标权或其它知识产权而引起的法律纠纷和经济纠纷，若发生此类事件，由</w:t>
      </w:r>
      <w:r>
        <w:rPr>
          <w:rFonts w:hint="eastAsia" w:ascii="仿宋" w:hAnsi="仿宋" w:eastAsia="仿宋" w:cstheme="minorBidi"/>
          <w:kern w:val="2"/>
          <w:sz w:val="24"/>
          <w:szCs w:val="24"/>
          <w:lang w:val="en-US" w:eastAsia="zh-CN" w:bidi="ar-SA"/>
        </w:rPr>
        <w:t>供应商</w:t>
      </w:r>
      <w:r>
        <w:rPr>
          <w:rFonts w:hint="default" w:ascii="仿宋" w:hAnsi="仿宋" w:eastAsia="仿宋" w:cstheme="minorBidi"/>
          <w:kern w:val="2"/>
          <w:sz w:val="24"/>
          <w:szCs w:val="24"/>
          <w:lang w:val="en-US" w:eastAsia="zh-CN" w:bidi="ar-SA"/>
        </w:rPr>
        <w:t>承担所有相关责任。</w:t>
      </w:r>
    </w:p>
    <w:p w14:paraId="21B0F02C">
      <w:pPr>
        <w:pStyle w:val="4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5.供应商自有或租赁写真机、喷绘机、雕刻机、UV打印机等生产设备，每种设备各需4台。（注：设备为生产企业或供应商自有的提供购买发票扫描件及现场照片，设备为租赁的提供有效租赁合同扫描件及设备现场照片）。</w:t>
      </w:r>
    </w:p>
    <w:p w14:paraId="7EAA1D8D">
      <w:pPr>
        <w:pStyle w:val="4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6.供应商应保证安装规范平整、现场清理干净、无安全隐患。</w:t>
      </w:r>
    </w:p>
    <w:p w14:paraId="6571F9CE">
      <w:pPr>
        <w:pStyle w:val="16"/>
        <w:keepNext w:val="0"/>
        <w:keepLines w:val="0"/>
        <w:pageBreakBefore w:val="0"/>
        <w:widowControl w:val="0"/>
        <w:kinsoku/>
        <w:wordWrap/>
        <w:overflowPunct/>
        <w:topLinePunct w:val="0"/>
        <w:autoSpaceDE/>
        <w:autoSpaceDN/>
        <w:bidi w:val="0"/>
        <w:adjustRightInd/>
        <w:snapToGrid w:val="0"/>
        <w:spacing w:before="0" w:after="0" w:line="360" w:lineRule="auto"/>
        <w:ind w:left="482" w:leftChars="0" w:hanging="482" w:hangingChars="200"/>
        <w:textAlignment w:val="auto"/>
        <w:rPr>
          <w:rFonts w:hint="eastAsia" w:ascii="仿宋" w:hAnsi="仿宋" w:eastAsia="仿宋"/>
          <w:b/>
          <w:bCs/>
          <w:sz w:val="24"/>
          <w:szCs w:val="24"/>
          <w:lang w:val="en-US" w:eastAsia="zh-CN"/>
        </w:rPr>
      </w:pPr>
      <w:r>
        <w:rPr>
          <w:rFonts w:hint="eastAsia" w:ascii="仿宋" w:hAnsi="仿宋" w:eastAsia="仿宋"/>
          <w:b/>
          <w:bCs/>
          <w:sz w:val="24"/>
          <w:szCs w:val="24"/>
          <w:lang w:val="en-US" w:eastAsia="zh-CN"/>
        </w:rPr>
        <w:t>四、其他要求</w:t>
      </w:r>
    </w:p>
    <w:p w14:paraId="1718AD77">
      <w:pPr>
        <w:pStyle w:val="4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仿宋" w:hAnsi="仿宋" w:eastAsia="仿宋" w:cstheme="minorBidi"/>
          <w:color w:val="auto"/>
          <w:kern w:val="2"/>
          <w:sz w:val="24"/>
          <w:szCs w:val="24"/>
          <w:lang w:val="en-US" w:eastAsia="zh-CN" w:bidi="ar-SA"/>
        </w:rPr>
      </w:pPr>
      <w:r>
        <w:rPr>
          <w:rFonts w:hint="eastAsia" w:ascii="仿宋" w:hAnsi="仿宋" w:eastAsia="仿宋" w:cstheme="minorBidi"/>
          <w:kern w:val="2"/>
          <w:sz w:val="24"/>
          <w:szCs w:val="24"/>
          <w:lang w:val="en-US" w:eastAsia="zh-CN" w:bidi="ar-SA"/>
        </w:rPr>
        <w:t>1.供应商提供自2023年1月1日（含）以来类似项目业绩，类似项目业绩是指医疗卫生行业广</w:t>
      </w:r>
      <w:r>
        <w:rPr>
          <w:rFonts w:hint="eastAsia" w:ascii="仿宋" w:hAnsi="仿宋" w:eastAsia="仿宋" w:cstheme="minorBidi"/>
          <w:color w:val="auto"/>
          <w:kern w:val="2"/>
          <w:sz w:val="24"/>
          <w:szCs w:val="24"/>
          <w:lang w:val="en-US" w:eastAsia="zh-CN" w:bidi="ar-SA"/>
        </w:rPr>
        <w:t>告物料制作相关服务业绩。</w:t>
      </w:r>
    </w:p>
    <w:p w14:paraId="0B890155">
      <w:pPr>
        <w:pStyle w:val="4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color w:val="auto"/>
          <w:kern w:val="2"/>
          <w:sz w:val="24"/>
          <w:szCs w:val="24"/>
          <w:lang w:val="en-US" w:eastAsia="zh-CN" w:bidi="ar-SA"/>
        </w:rPr>
        <w:t>2.供应商在项目所在地（成都市）应设有备</w:t>
      </w:r>
      <w:r>
        <w:rPr>
          <w:rFonts w:hint="eastAsia" w:ascii="仿宋" w:hAnsi="仿宋" w:eastAsia="仿宋" w:cstheme="minorBidi"/>
          <w:kern w:val="2"/>
          <w:sz w:val="24"/>
          <w:szCs w:val="24"/>
          <w:lang w:val="en-US" w:eastAsia="zh-CN" w:bidi="ar-SA"/>
        </w:rPr>
        <w:t>品库（或承诺在合同签订后正式履约前在项目所在地设立备品库）。（已在项目所在地设有备品库的供应商提供备品清单及备品和备品库照片以及购房合同扫描件或房产证扫描件或房屋租赁合同扫描件；未在项目所在地设有备品库的供应商提供承诺函，格式自拟）。</w:t>
      </w:r>
    </w:p>
    <w:p w14:paraId="2877F9D8">
      <w:pPr>
        <w:pStyle w:val="4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default"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3.供应商为本项目应配备配送车辆（或承诺在合同签订后正式履约前为本项目配备配送车辆）（已配备配送车辆的，若为供应商自有车辆则提供有效的行驶证扫描件和购置发票扫描件，若为租赁，则提供有效的行驶证扫描件和租赁合同扫描件；尚未配备配送车辆的的供应商提供承诺函，格式自拟）。</w:t>
      </w:r>
      <w:r>
        <w:rPr>
          <w:rFonts w:hint="eastAsia" w:ascii="仿宋" w:hAnsi="仿宋" w:eastAsia="仿宋" w:cstheme="minorBidi"/>
          <w:kern w:val="2"/>
          <w:sz w:val="24"/>
          <w:szCs w:val="24"/>
          <w:lang w:val="en-US" w:eastAsia="zh-CN" w:bidi="ar-SA"/>
        </w:rPr>
        <w:tab/>
      </w:r>
    </w:p>
    <w:p w14:paraId="0063B792">
      <w:pPr>
        <w:pStyle w:val="4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auto"/>
        <w:ind w:left="0" w:right="0" w:firstLine="480" w:firstLineChars="200"/>
        <w:textAlignment w:val="auto"/>
        <w:rPr>
          <w:rFonts w:hint="eastAsia" w:ascii="仿宋" w:hAnsi="仿宋" w:eastAsia="仿宋" w:cstheme="minorBidi"/>
          <w:kern w:val="2"/>
          <w:sz w:val="24"/>
          <w:szCs w:val="24"/>
          <w:lang w:val="en-US" w:eastAsia="zh-CN" w:bidi="ar-SA"/>
        </w:rPr>
      </w:pPr>
      <w:r>
        <w:rPr>
          <w:rFonts w:hint="eastAsia" w:ascii="仿宋" w:hAnsi="仿宋" w:eastAsia="仿宋" w:cstheme="minorBidi"/>
          <w:kern w:val="2"/>
          <w:sz w:val="24"/>
          <w:szCs w:val="24"/>
          <w:lang w:val="en-US" w:eastAsia="zh-CN" w:bidi="ar-SA"/>
        </w:rPr>
        <w:t>4.供应商响应时需针对本项目提供服务方案，方案内容包括：①应急服务处理方案；②质量保障、维修更换措施；③供货周期、货源紧缺的处理方案、配送安装服务；④服务团队人员配置。</w:t>
      </w:r>
    </w:p>
    <w:p w14:paraId="0454432F">
      <w:pPr>
        <w:pStyle w:val="16"/>
        <w:keepNext w:val="0"/>
        <w:keepLines w:val="0"/>
        <w:pageBreakBefore w:val="0"/>
        <w:widowControl w:val="0"/>
        <w:kinsoku/>
        <w:wordWrap/>
        <w:overflowPunct/>
        <w:topLinePunct w:val="0"/>
        <w:autoSpaceDE/>
        <w:autoSpaceDN/>
        <w:bidi w:val="0"/>
        <w:adjustRightInd/>
        <w:snapToGrid w:val="0"/>
        <w:spacing w:line="360" w:lineRule="auto"/>
        <w:ind w:left="482" w:leftChars="0" w:hanging="482" w:hangingChars="200"/>
        <w:textAlignment w:val="auto"/>
        <w:rPr>
          <w:rFonts w:hint="eastAsia" w:ascii="仿宋" w:hAnsi="仿宋" w:eastAsia="仿宋"/>
          <w:b/>
          <w:bCs/>
          <w:sz w:val="24"/>
          <w:szCs w:val="24"/>
        </w:rPr>
      </w:pPr>
      <w:r>
        <w:rPr>
          <w:rFonts w:hint="eastAsia" w:ascii="仿宋" w:hAnsi="仿宋" w:eastAsia="仿宋"/>
          <w:b/>
          <w:bCs/>
          <w:sz w:val="24"/>
          <w:szCs w:val="24"/>
        </w:rPr>
        <w:t>★</w:t>
      </w:r>
      <w:r>
        <w:rPr>
          <w:rFonts w:hint="eastAsia" w:ascii="仿宋" w:hAnsi="仿宋" w:eastAsia="仿宋"/>
          <w:b/>
          <w:bCs/>
          <w:sz w:val="24"/>
          <w:szCs w:val="24"/>
          <w:lang w:val="en-US" w:eastAsia="zh-CN"/>
        </w:rPr>
        <w:t>五</w:t>
      </w:r>
      <w:r>
        <w:rPr>
          <w:rFonts w:hint="eastAsia" w:ascii="仿宋" w:hAnsi="仿宋" w:eastAsia="仿宋"/>
          <w:b/>
          <w:bCs/>
          <w:sz w:val="24"/>
          <w:szCs w:val="24"/>
        </w:rPr>
        <w:t>、商务要求：</w:t>
      </w:r>
    </w:p>
    <w:p w14:paraId="2906D84C">
      <w:pPr>
        <w:pStyle w:val="16"/>
        <w:keepNext w:val="0"/>
        <w:keepLines w:val="0"/>
        <w:pageBreakBefore w:val="0"/>
        <w:widowControl w:val="0"/>
        <w:numPr>
          <w:ilvl w:val="0"/>
          <w:numId w:val="12"/>
        </w:numPr>
        <w:kinsoku/>
        <w:wordWrap/>
        <w:overflowPunct/>
        <w:topLinePunct w:val="0"/>
        <w:autoSpaceDE/>
        <w:autoSpaceDN/>
        <w:bidi w:val="0"/>
        <w:adjustRightInd/>
        <w:snapToGrid w:val="0"/>
        <w:spacing w:before="0" w:after="0" w:line="360" w:lineRule="auto"/>
        <w:ind w:left="0" w:leftChars="0"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资金支付条款：服务期开始后每月结算一次费用。每月服务全部完成并经采购人验收合格后，供应商须向采购人提供结算费用清单进行确认，并在确认后5日内按清单金额向采购人提供合法有效票据及其他相关请款资料，采购人接到供应商请款资料后的55日内，向供应商全额支付上述结算费用。本项目支付上限49.5万元。供应商须在每次提供服务前核算已累计的结算金额，如发现继续提供服务将导致出现超过本项目支付上限的情形，应在继续提供服务前书面通知采购人，否则因此造成的超过支付上限的费用由供应商承担，采购人无需支付。</w:t>
      </w:r>
    </w:p>
    <w:p w14:paraId="539E7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如存在因考核等原因导致的扣款，应在支付前予以扣除。</w:t>
      </w:r>
    </w:p>
    <w:p w14:paraId="5717E6EF">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2" w:firstLineChars="0"/>
        <w:textAlignment w:val="auto"/>
        <w:rPr>
          <w:rFonts w:hint="eastAsia" w:ascii="仿宋" w:hAnsi="仿宋" w:eastAsia="仿宋"/>
          <w:sz w:val="24"/>
          <w:szCs w:val="24"/>
          <w:lang w:val="en-US" w:eastAsia="zh-CN"/>
        </w:rPr>
      </w:pPr>
      <w:r>
        <w:rPr>
          <w:rFonts w:hint="eastAsia" w:ascii="仿宋" w:hAnsi="仿宋" w:eastAsia="仿宋" w:cstheme="minorBidi"/>
          <w:kern w:val="2"/>
          <w:sz w:val="24"/>
          <w:szCs w:val="24"/>
          <w:lang w:val="en-US" w:eastAsia="zh-CN" w:bidi="ar-SA"/>
        </w:rPr>
        <w:t>2、</w:t>
      </w:r>
      <w:r>
        <w:rPr>
          <w:rFonts w:hint="eastAsia" w:ascii="仿宋" w:hAnsi="仿宋" w:eastAsia="仿宋"/>
          <w:sz w:val="24"/>
          <w:szCs w:val="24"/>
          <w:lang w:val="en-US" w:eastAsia="zh-CN"/>
        </w:rPr>
        <w:t>服务地点：四川省人民医院青羊院区、青羊院区草堂病区、青羊院区四道街病区、四川省精神医学中心、第三门诊部（高新门诊）、第五门诊部（东坡门诊）。</w:t>
      </w:r>
    </w:p>
    <w:p w14:paraId="3BC979E2">
      <w:pPr>
        <w:pStyle w:val="16"/>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3、服务期限：合同签订后12个月，或服务经费达到合同总金额，以先到达的作为服务期截止时间。</w:t>
      </w:r>
    </w:p>
    <w:p w14:paraId="5A7456B8">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4、验收方案：</w:t>
      </w:r>
    </w:p>
    <w:p w14:paraId="2FBB362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4.1验收时间：供应商完成每月的服务内容后，5日内通知采购人验收，采购人接供应商通知后10日内组织验收。</w:t>
      </w:r>
    </w:p>
    <w:p w14:paraId="5724284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 xml:space="preserve">4.2验收主体：采购人      </w:t>
      </w:r>
    </w:p>
    <w:p w14:paraId="7F415003">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4.3验收组织方式：自行验收</w:t>
      </w:r>
    </w:p>
    <w:p w14:paraId="3AB7B40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4.4验收方式：现场整体验收</w:t>
      </w:r>
    </w:p>
    <w:p w14:paraId="483AEC36">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4.5验收程序：分期/分段验收</w:t>
      </w:r>
    </w:p>
    <w:p w14:paraId="4DDCFCBC">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4.6验收内容：按照基于本项目采购需求编制的采购文件要求及供应商响应文件情况，由供应商向采购人提供的每月的全部服务内容。</w:t>
      </w:r>
    </w:p>
    <w:p w14:paraId="5777502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4.7验收标准：</w:t>
      </w:r>
    </w:p>
    <w:p w14:paraId="2329F09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4.7.1国家相关法律法规、行业标准、技术规范。</w:t>
      </w:r>
    </w:p>
    <w:p w14:paraId="16F36DD0">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4.7.2基于本项目采购需求编制的谈判文件相关技术、服务要求、成交供应商响应文件相关响应内容。</w:t>
      </w:r>
    </w:p>
    <w:p w14:paraId="2ED3087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4.7.3产品生产厂家出具的产品说明书、技术白皮书、医疗器械注册证或备案凭证等官方技术资料（如涉及）。</w:t>
      </w:r>
    </w:p>
    <w:p w14:paraId="787A152D">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4.7.4如验收时，采购人与供应商认为本项目验收标准中的技术指标、质量要求等内容存在相互抵触或对其理解存在异议，应按照其中更严格的要求、标准等进行验收。</w:t>
      </w:r>
    </w:p>
    <w:p w14:paraId="3F3607C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4.7.5参照《财政部关于进一步加强政府采购需求和履约验收管理的指导意见》（财库〔2016〕205号）的要求进行验收。</w:t>
      </w:r>
    </w:p>
    <w:p w14:paraId="14C5223F">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4.7.6其他验收标准：无</w:t>
      </w:r>
    </w:p>
    <w:p w14:paraId="16B077A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4.8其它验收要求：无</w:t>
      </w:r>
    </w:p>
    <w:p w14:paraId="31F8EE04">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4.9是否委托第三方机构验收：否</w:t>
      </w:r>
    </w:p>
    <w:p w14:paraId="37DEEF07">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4.10是否邀请本项目的其他供应商：否</w:t>
      </w:r>
    </w:p>
    <w:p w14:paraId="3379691B">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4.11是否邀请服务对象：否</w:t>
      </w:r>
    </w:p>
    <w:p w14:paraId="44A692B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r>
        <w:rPr>
          <w:rFonts w:hint="eastAsia" w:ascii="仿宋" w:hAnsi="仿宋" w:eastAsia="仿宋"/>
          <w:sz w:val="24"/>
          <w:szCs w:val="24"/>
          <w:lang w:val="en-US" w:eastAsia="zh-CN"/>
        </w:rPr>
        <w:t>4.12是否邀请专家：否</w:t>
      </w:r>
    </w:p>
    <w:p w14:paraId="06C0FCA5">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eastAsia" w:ascii="仿宋" w:hAnsi="仿宋" w:eastAsia="仿宋"/>
          <w:sz w:val="24"/>
          <w:szCs w:val="24"/>
          <w:lang w:val="en-US" w:eastAsia="zh-CN"/>
        </w:rPr>
      </w:pPr>
    </w:p>
    <w:p w14:paraId="23BA8962">
      <w:pPr>
        <w:pStyle w:val="16"/>
        <w:keepNext w:val="0"/>
        <w:keepLines w:val="0"/>
        <w:pageBreakBefore w:val="0"/>
        <w:widowControl w:val="0"/>
        <w:kinsoku/>
        <w:wordWrap/>
        <w:overflowPunct/>
        <w:topLinePunct w:val="0"/>
        <w:autoSpaceDE/>
        <w:autoSpaceDN/>
        <w:bidi w:val="0"/>
        <w:adjustRightInd/>
        <w:snapToGrid w:val="0"/>
        <w:spacing w:line="360" w:lineRule="auto"/>
        <w:ind w:firstLine="482"/>
        <w:textAlignment w:val="auto"/>
        <w:rPr>
          <w:rFonts w:hint="default" w:ascii="仿宋" w:hAnsi="仿宋" w:eastAsia="仿宋"/>
          <w:sz w:val="24"/>
          <w:szCs w:val="24"/>
          <w:lang w:val="en-US" w:eastAsia="zh-CN"/>
        </w:rPr>
      </w:pPr>
      <w:r>
        <w:rPr>
          <w:rFonts w:hint="eastAsia" w:ascii="仿宋" w:hAnsi="仿宋" w:eastAsia="仿宋"/>
          <w:sz w:val="24"/>
          <w:szCs w:val="24"/>
          <w:lang w:val="en-US" w:eastAsia="zh-CN"/>
        </w:rPr>
        <w:t>附件</w:t>
      </w:r>
    </w:p>
    <w:tbl>
      <w:tblPr>
        <w:tblStyle w:val="18"/>
        <w:tblW w:w="4742" w:type="pct"/>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3"/>
        <w:gridCol w:w="1727"/>
        <w:gridCol w:w="2143"/>
        <w:gridCol w:w="1716"/>
        <w:gridCol w:w="2503"/>
        <w:gridCol w:w="1039"/>
      </w:tblGrid>
      <w:tr w14:paraId="1A529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gridBefore w:val="1"/>
          <w:wBefore w:w="3" w:type="dxa"/>
          <w:trHeight w:val="710" w:hRule="atLeast"/>
        </w:trPr>
        <w:tc>
          <w:tcPr>
            <w:tcW w:w="8074" w:type="dxa"/>
            <w:gridSpan w:val="5"/>
            <w:shd w:val="clear" w:color="auto" w:fill="auto"/>
            <w:tcMar>
              <w:top w:w="0" w:type="dxa"/>
              <w:left w:w="105" w:type="dxa"/>
              <w:bottom w:w="0" w:type="dxa"/>
              <w:right w:w="105" w:type="dxa"/>
            </w:tcMar>
            <w:vAlign w:val="center"/>
          </w:tcPr>
          <w:p w14:paraId="212E18B0">
            <w:pPr>
              <w:pStyle w:val="45"/>
              <w:keepNext w:val="0"/>
              <w:keepLines w:val="0"/>
              <w:widowControl/>
              <w:suppressLineNumbers w:val="0"/>
              <w:jc w:val="center"/>
              <w:textAlignment w:val="center"/>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四川省人民医院广告服务考核表</w:t>
            </w:r>
            <w:r>
              <w:rPr>
                <w:rFonts w:hint="eastAsia" w:ascii="仿宋" w:hAnsi="仿宋" w:eastAsia="仿宋" w:cs="仿宋"/>
                <w:color w:val="auto"/>
                <w:kern w:val="0"/>
                <w:sz w:val="24"/>
                <w:szCs w:val="24"/>
              </w:rPr>
              <w:br w:type="textWrapping"/>
            </w:r>
            <w:r>
              <w:rPr>
                <w:rFonts w:hint="eastAsia" w:ascii="仿宋" w:hAnsi="仿宋" w:eastAsia="仿宋" w:cs="仿宋"/>
                <w:color w:val="auto"/>
                <w:kern w:val="0"/>
                <w:sz w:val="24"/>
                <w:szCs w:val="24"/>
                <w:lang w:val="en-US" w:eastAsia="zh-CN"/>
              </w:rPr>
              <w:t>(自服务期开始之日起，每月为一个考核月度，每个考核月度末进行百分制考核，考核结果与当期付款挂钩)</w:t>
            </w:r>
          </w:p>
        </w:tc>
      </w:tr>
      <w:tr w14:paraId="5CFD3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wBefore w:w="3" w:type="dxa"/>
          <w:trHeight w:val="360" w:hRule="atLeast"/>
        </w:trPr>
        <w:tc>
          <w:tcPr>
            <w:tcW w:w="1528" w:type="dxa"/>
            <w:shd w:val="clear" w:color="auto" w:fill="auto"/>
            <w:tcMar>
              <w:top w:w="0" w:type="dxa"/>
              <w:left w:w="105" w:type="dxa"/>
              <w:bottom w:w="0" w:type="dxa"/>
              <w:right w:w="105" w:type="dxa"/>
            </w:tcMar>
            <w:vAlign w:val="center"/>
          </w:tcPr>
          <w:p w14:paraId="15A0BCE5">
            <w:pPr>
              <w:pStyle w:val="45"/>
              <w:keepNext w:val="0"/>
              <w:keepLines w:val="0"/>
              <w:widowControl/>
              <w:suppressLineNumbers w:val="0"/>
              <w:jc w:val="center"/>
              <w:textAlignment w:val="center"/>
              <w:rPr>
                <w:rFonts w:hint="eastAsia" w:ascii="仿宋" w:hAnsi="仿宋" w:eastAsia="仿宋" w:cs="仿宋"/>
                <w:color w:val="auto"/>
                <w:kern w:val="0"/>
                <w:sz w:val="24"/>
                <w:szCs w:val="24"/>
              </w:rPr>
            </w:pPr>
            <w:r>
              <w:rPr>
                <w:rStyle w:val="46"/>
                <w:rFonts w:hint="eastAsia" w:ascii="仿宋" w:hAnsi="仿宋" w:eastAsia="仿宋" w:cs="仿宋"/>
                <w:b/>
                <w:bCs w:val="0"/>
                <w:color w:val="auto"/>
                <w:sz w:val="24"/>
                <w:szCs w:val="24"/>
              </w:rPr>
              <w:t>服务供应商</w:t>
            </w:r>
          </w:p>
        </w:tc>
        <w:tc>
          <w:tcPr>
            <w:tcW w:w="3414" w:type="dxa"/>
            <w:gridSpan w:val="2"/>
            <w:shd w:val="clear" w:color="auto" w:fill="auto"/>
            <w:tcMar>
              <w:top w:w="0" w:type="dxa"/>
              <w:left w:w="105" w:type="dxa"/>
              <w:bottom w:w="0" w:type="dxa"/>
              <w:right w:w="105" w:type="dxa"/>
            </w:tcMar>
            <w:vAlign w:val="center"/>
          </w:tcPr>
          <w:p w14:paraId="38A4B564">
            <w:pPr>
              <w:keepNext w:val="0"/>
              <w:keepLines w:val="0"/>
              <w:widowControl/>
              <w:suppressLineNumbers w:val="0"/>
              <w:jc w:val="left"/>
              <w:rPr>
                <w:rFonts w:hint="eastAsia" w:ascii="仿宋" w:hAnsi="仿宋" w:eastAsia="仿宋" w:cs="仿宋"/>
                <w:color w:val="auto"/>
                <w:kern w:val="0"/>
                <w:sz w:val="24"/>
                <w:szCs w:val="24"/>
              </w:rPr>
            </w:pPr>
          </w:p>
        </w:tc>
        <w:tc>
          <w:tcPr>
            <w:tcW w:w="3132" w:type="dxa"/>
            <w:gridSpan w:val="2"/>
            <w:shd w:val="clear" w:color="auto" w:fill="auto"/>
            <w:tcMar>
              <w:top w:w="0" w:type="dxa"/>
              <w:left w:w="105" w:type="dxa"/>
              <w:bottom w:w="0" w:type="dxa"/>
              <w:right w:w="105" w:type="dxa"/>
            </w:tcMar>
            <w:vAlign w:val="center"/>
          </w:tcPr>
          <w:p w14:paraId="2CD2349F">
            <w:pPr>
              <w:pStyle w:val="45"/>
              <w:keepNext w:val="0"/>
              <w:keepLines w:val="0"/>
              <w:widowControl/>
              <w:suppressLineNumbers w:val="0"/>
              <w:textAlignment w:val="center"/>
              <w:rPr>
                <w:rFonts w:hint="eastAsia" w:ascii="仿宋" w:hAnsi="仿宋" w:eastAsia="仿宋" w:cs="仿宋"/>
                <w:color w:val="auto"/>
                <w:kern w:val="0"/>
                <w:sz w:val="24"/>
                <w:szCs w:val="24"/>
              </w:rPr>
            </w:pPr>
            <w:r>
              <w:rPr>
                <w:rStyle w:val="46"/>
                <w:rFonts w:hint="eastAsia" w:ascii="仿宋" w:hAnsi="仿宋" w:eastAsia="仿宋" w:cs="仿宋"/>
                <w:b/>
                <w:bCs w:val="0"/>
                <w:color w:val="auto"/>
                <w:sz w:val="24"/>
                <w:szCs w:val="24"/>
              </w:rPr>
              <w:t>考核季度：第_____</w:t>
            </w:r>
            <w:r>
              <w:rPr>
                <w:rStyle w:val="46"/>
                <w:rFonts w:hint="eastAsia" w:ascii="仿宋" w:hAnsi="仿宋" w:eastAsia="仿宋" w:cs="仿宋"/>
                <w:b/>
                <w:bCs w:val="0"/>
                <w:color w:val="auto"/>
                <w:sz w:val="24"/>
                <w:szCs w:val="24"/>
                <w:lang w:val="en-US" w:eastAsia="zh-CN"/>
              </w:rPr>
              <w:t>考核月</w:t>
            </w:r>
            <w:r>
              <w:rPr>
                <w:rStyle w:val="46"/>
                <w:rFonts w:hint="eastAsia" w:ascii="仿宋" w:hAnsi="仿宋" w:eastAsia="仿宋" w:cs="仿宋"/>
                <w:b/>
                <w:bCs w:val="0"/>
                <w:color w:val="auto"/>
                <w:sz w:val="24"/>
                <w:szCs w:val="24"/>
              </w:rPr>
              <w:t>度</w:t>
            </w:r>
          </w:p>
        </w:tc>
      </w:tr>
      <w:tr w14:paraId="4CB3C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gridBefore w:val="1"/>
          <w:wBefore w:w="3" w:type="dxa"/>
          <w:trHeight w:val="360" w:hRule="atLeast"/>
        </w:trPr>
        <w:tc>
          <w:tcPr>
            <w:tcW w:w="1528" w:type="dxa"/>
            <w:shd w:val="clear" w:color="auto" w:fill="auto"/>
            <w:tcMar>
              <w:top w:w="0" w:type="dxa"/>
              <w:left w:w="105" w:type="dxa"/>
              <w:bottom w:w="0" w:type="dxa"/>
              <w:right w:w="105" w:type="dxa"/>
            </w:tcMar>
            <w:vAlign w:val="center"/>
          </w:tcPr>
          <w:p w14:paraId="2A0846C4">
            <w:pPr>
              <w:pStyle w:val="45"/>
              <w:keepNext w:val="0"/>
              <w:keepLines w:val="0"/>
              <w:widowControl/>
              <w:suppressLineNumbers w:val="0"/>
              <w:jc w:val="center"/>
              <w:textAlignment w:val="center"/>
              <w:rPr>
                <w:rFonts w:hint="eastAsia" w:ascii="仿宋" w:hAnsi="仿宋" w:eastAsia="仿宋" w:cs="仿宋"/>
                <w:color w:val="auto"/>
                <w:kern w:val="0"/>
                <w:sz w:val="24"/>
                <w:szCs w:val="24"/>
              </w:rPr>
            </w:pPr>
            <w:r>
              <w:rPr>
                <w:rStyle w:val="46"/>
                <w:rFonts w:hint="eastAsia" w:ascii="仿宋" w:hAnsi="仿宋" w:eastAsia="仿宋" w:cs="仿宋"/>
                <w:b/>
                <w:bCs w:val="0"/>
                <w:color w:val="auto"/>
                <w:sz w:val="24"/>
                <w:szCs w:val="24"/>
              </w:rPr>
              <w:t>考核周期</w:t>
            </w:r>
          </w:p>
        </w:tc>
        <w:tc>
          <w:tcPr>
            <w:tcW w:w="3414" w:type="dxa"/>
            <w:gridSpan w:val="2"/>
            <w:shd w:val="clear" w:color="auto" w:fill="auto"/>
            <w:tcMar>
              <w:top w:w="0" w:type="dxa"/>
              <w:left w:w="105" w:type="dxa"/>
              <w:bottom w:w="0" w:type="dxa"/>
              <w:right w:w="105" w:type="dxa"/>
            </w:tcMar>
            <w:vAlign w:val="center"/>
          </w:tcPr>
          <w:p w14:paraId="56EB59F3">
            <w:pPr>
              <w:keepNext w:val="0"/>
              <w:keepLines w:val="0"/>
              <w:widowControl/>
              <w:suppressLineNumbers w:val="0"/>
              <w:jc w:val="left"/>
              <w:rPr>
                <w:rFonts w:hint="eastAsia" w:ascii="仿宋" w:hAnsi="仿宋" w:eastAsia="仿宋" w:cs="仿宋"/>
                <w:color w:val="auto"/>
                <w:kern w:val="0"/>
                <w:sz w:val="24"/>
                <w:szCs w:val="24"/>
              </w:rPr>
            </w:pPr>
          </w:p>
        </w:tc>
        <w:tc>
          <w:tcPr>
            <w:tcW w:w="3132" w:type="dxa"/>
            <w:gridSpan w:val="2"/>
            <w:shd w:val="clear" w:color="auto" w:fill="auto"/>
            <w:tcMar>
              <w:top w:w="0" w:type="dxa"/>
              <w:left w:w="105" w:type="dxa"/>
              <w:bottom w:w="0" w:type="dxa"/>
              <w:right w:w="105" w:type="dxa"/>
            </w:tcMar>
            <w:vAlign w:val="center"/>
          </w:tcPr>
          <w:p w14:paraId="7F0FE2B3">
            <w:pPr>
              <w:pStyle w:val="45"/>
              <w:keepNext w:val="0"/>
              <w:keepLines w:val="0"/>
              <w:widowControl/>
              <w:suppressLineNumbers w:val="0"/>
              <w:textAlignment w:val="center"/>
              <w:rPr>
                <w:rFonts w:hint="eastAsia" w:ascii="仿宋" w:hAnsi="仿宋" w:eastAsia="仿宋" w:cs="仿宋"/>
                <w:color w:val="auto"/>
                <w:kern w:val="0"/>
                <w:sz w:val="24"/>
                <w:szCs w:val="24"/>
              </w:rPr>
            </w:pPr>
            <w:r>
              <w:rPr>
                <w:rStyle w:val="46"/>
                <w:rFonts w:hint="eastAsia" w:ascii="仿宋" w:hAnsi="仿宋" w:eastAsia="仿宋" w:cs="仿宋"/>
                <w:b/>
                <w:bCs w:val="0"/>
                <w:color w:val="auto"/>
                <w:sz w:val="24"/>
                <w:szCs w:val="24"/>
              </w:rPr>
              <w:t>填写日期______年___月___日</w:t>
            </w:r>
          </w:p>
        </w:tc>
      </w:tr>
      <w:tr w14:paraId="1C852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blHeader/>
        </w:trPr>
        <w:tc>
          <w:tcPr>
            <w:tcW w:w="153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1713AD">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考核维度</w:t>
            </w:r>
          </w:p>
        </w:tc>
        <w:tc>
          <w:tcPr>
            <w:tcW w:w="189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8367E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指标</w:t>
            </w:r>
            <w:r>
              <w:rPr>
                <w:rFonts w:hint="eastAsia" w:ascii="仿宋" w:hAnsi="仿宋" w:eastAsia="仿宋" w:cs="仿宋"/>
                <w:color w:val="auto"/>
                <w:kern w:val="0"/>
                <w:sz w:val="24"/>
                <w:szCs w:val="24"/>
                <w:lang w:val="en-US" w:eastAsia="zh-CN" w:bidi="ar"/>
              </w:rPr>
              <w:br w:type="textWrapping"/>
            </w:r>
            <w:r>
              <w:rPr>
                <w:rFonts w:hint="eastAsia" w:ascii="仿宋" w:hAnsi="仿宋" w:eastAsia="仿宋" w:cs="仿宋"/>
                <w:color w:val="auto"/>
                <w:kern w:val="0"/>
                <w:sz w:val="24"/>
                <w:szCs w:val="24"/>
                <w:lang w:val="en-US" w:eastAsia="zh-CN" w:bidi="ar"/>
              </w:rPr>
              <w:t>（权重）</w:t>
            </w:r>
          </w:p>
        </w:tc>
        <w:tc>
          <w:tcPr>
            <w:tcW w:w="373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C28145">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考核标准与计分方法</w:t>
            </w:r>
          </w:p>
        </w:tc>
        <w:tc>
          <w:tcPr>
            <w:tcW w:w="91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029296C">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得分</w:t>
            </w:r>
          </w:p>
        </w:tc>
      </w:tr>
      <w:tr w14:paraId="6CB22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blHeader/>
        </w:trPr>
        <w:tc>
          <w:tcPr>
            <w:tcW w:w="153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C72451">
            <w:pPr>
              <w:jc w:val="center"/>
              <w:rPr>
                <w:rFonts w:hint="eastAsia" w:ascii="仿宋" w:hAnsi="仿宋" w:eastAsia="仿宋" w:cs="仿宋"/>
                <w:color w:val="auto"/>
                <w:kern w:val="0"/>
                <w:sz w:val="24"/>
                <w:szCs w:val="24"/>
                <w:lang w:val="en-US" w:eastAsia="zh-CN" w:bidi="ar"/>
              </w:rPr>
            </w:pPr>
          </w:p>
        </w:tc>
        <w:tc>
          <w:tcPr>
            <w:tcW w:w="189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0FE835">
            <w:pPr>
              <w:jc w:val="center"/>
              <w:rPr>
                <w:rFonts w:hint="eastAsia" w:ascii="仿宋" w:hAnsi="仿宋" w:eastAsia="仿宋" w:cs="仿宋"/>
                <w:color w:val="auto"/>
                <w:kern w:val="0"/>
                <w:sz w:val="24"/>
                <w:szCs w:val="24"/>
                <w:lang w:val="en-US" w:eastAsia="zh-CN" w:bidi="ar"/>
              </w:rPr>
            </w:pPr>
          </w:p>
        </w:tc>
        <w:tc>
          <w:tcPr>
            <w:tcW w:w="373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0F0E66">
            <w:pPr>
              <w:jc w:val="center"/>
              <w:rPr>
                <w:rFonts w:hint="eastAsia" w:ascii="仿宋" w:hAnsi="仿宋" w:eastAsia="仿宋" w:cs="仿宋"/>
                <w:color w:val="auto"/>
                <w:kern w:val="0"/>
                <w:sz w:val="24"/>
                <w:szCs w:val="24"/>
                <w:lang w:val="en-US" w:eastAsia="zh-CN" w:bidi="ar"/>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1CC93">
            <w:pPr>
              <w:jc w:val="center"/>
              <w:rPr>
                <w:rFonts w:hint="eastAsia" w:ascii="仿宋" w:hAnsi="仿宋" w:eastAsia="仿宋" w:cs="仿宋"/>
                <w:color w:val="auto"/>
                <w:kern w:val="0"/>
                <w:sz w:val="24"/>
                <w:szCs w:val="24"/>
                <w:lang w:val="en-US" w:eastAsia="zh-CN" w:bidi="ar"/>
              </w:rPr>
            </w:pPr>
          </w:p>
        </w:tc>
      </w:tr>
      <w:tr w14:paraId="4571A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3" w:hRule="atLeast"/>
          <w:tblHeader/>
        </w:trPr>
        <w:tc>
          <w:tcPr>
            <w:tcW w:w="1531" w:type="dxa"/>
            <w:gridSpan w:val="2"/>
            <w:vMerge w:val="restart"/>
            <w:tcBorders>
              <w:top w:val="single" w:color="000000" w:sz="4" w:space="0"/>
              <w:left w:val="single" w:color="000000" w:sz="4" w:space="0"/>
              <w:right w:val="single" w:color="000000" w:sz="4" w:space="0"/>
            </w:tcBorders>
            <w:shd w:val="clear" w:color="auto" w:fill="auto"/>
            <w:vAlign w:val="center"/>
          </w:tcPr>
          <w:p w14:paraId="1F37B7CD">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物料质量</w:t>
            </w:r>
          </w:p>
          <w:p w14:paraId="4226EB3E">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（45分）</w:t>
            </w:r>
          </w:p>
          <w:p w14:paraId="3B03305C">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5CC1A">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材质与规格符合度</w:t>
            </w:r>
          </w:p>
          <w:p w14:paraId="48C56A60">
            <w:pPr>
              <w:keepNext w:val="0"/>
              <w:keepLines w:val="0"/>
              <w:widowControl/>
              <w:suppressLineNumbers w:val="0"/>
              <w:jc w:val="center"/>
              <w:textAlignment w:val="center"/>
              <w:rPr>
                <w:rFonts w:hint="default"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（15分）</w:t>
            </w:r>
          </w:p>
        </w:tc>
        <w:tc>
          <w:tcPr>
            <w:tcW w:w="37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057D8B">
            <w:pPr>
              <w:keepNext w:val="0"/>
              <w:keepLines w:val="0"/>
              <w:widowControl/>
              <w:suppressLineNumbers w:val="0"/>
              <w:jc w:val="both"/>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1.完全符合采购需求得15分；</w:t>
            </w:r>
          </w:p>
          <w:p w14:paraId="0DF77880">
            <w:pPr>
              <w:keepNext w:val="0"/>
              <w:keepLines w:val="0"/>
              <w:widowControl/>
              <w:suppressLineNumbers w:val="0"/>
              <w:jc w:val="both"/>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2.主要材质不符每项扣3分；</w:t>
            </w:r>
          </w:p>
          <w:p w14:paraId="6320AE1D">
            <w:pPr>
              <w:keepNext w:val="0"/>
              <w:keepLines w:val="0"/>
              <w:widowControl/>
              <w:suppressLineNumbers w:val="0"/>
              <w:jc w:val="both"/>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3.严重不符本项不得分</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02351">
            <w:pPr>
              <w:jc w:val="left"/>
              <w:rPr>
                <w:rFonts w:hint="eastAsia" w:ascii="仿宋" w:hAnsi="仿宋" w:eastAsia="仿宋" w:cs="仿宋"/>
                <w:color w:val="auto"/>
                <w:kern w:val="0"/>
                <w:sz w:val="24"/>
                <w:szCs w:val="24"/>
                <w:lang w:val="en-US" w:eastAsia="zh-CN" w:bidi="ar"/>
              </w:rPr>
            </w:pPr>
          </w:p>
        </w:tc>
      </w:tr>
      <w:tr w14:paraId="24E0C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blHeader/>
        </w:trPr>
        <w:tc>
          <w:tcPr>
            <w:tcW w:w="1531" w:type="dxa"/>
            <w:gridSpan w:val="2"/>
            <w:vMerge w:val="continue"/>
            <w:tcBorders>
              <w:left w:val="single" w:color="000000" w:sz="4" w:space="0"/>
              <w:right w:val="single" w:color="000000" w:sz="4" w:space="0"/>
            </w:tcBorders>
            <w:shd w:val="clear" w:color="auto" w:fill="auto"/>
            <w:vAlign w:val="center"/>
          </w:tcPr>
          <w:p w14:paraId="732FF4A2">
            <w:pPr>
              <w:jc w:val="center"/>
              <w:rPr>
                <w:rFonts w:hint="eastAsia" w:ascii="仿宋" w:hAnsi="仿宋" w:eastAsia="仿宋" w:cs="仿宋"/>
                <w:color w:val="auto"/>
                <w:kern w:val="0"/>
                <w:sz w:val="24"/>
                <w:szCs w:val="24"/>
                <w:lang w:val="en-US" w:eastAsia="zh-CN" w:bidi="ar"/>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B43BE">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制作工艺精细度</w:t>
            </w:r>
          </w:p>
          <w:p w14:paraId="69F2EB4D">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（15分）</w:t>
            </w:r>
          </w:p>
        </w:tc>
        <w:tc>
          <w:tcPr>
            <w:tcW w:w="3732" w:type="dxa"/>
            <w:gridSpan w:val="2"/>
            <w:tcBorders>
              <w:top w:val="single" w:color="000000" w:sz="4" w:space="0"/>
              <w:left w:val="single" w:color="000000" w:sz="4" w:space="0"/>
              <w:bottom w:val="nil"/>
              <w:right w:val="single" w:color="000000" w:sz="4" w:space="0"/>
            </w:tcBorders>
            <w:shd w:val="clear" w:color="auto" w:fill="auto"/>
            <w:vAlign w:val="center"/>
          </w:tcPr>
          <w:p w14:paraId="03956EDF">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1.工艺精细、接缝平整、彩印清晰得15分；</w:t>
            </w:r>
          </w:p>
          <w:p w14:paraId="751DB046">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2.有明显瑕疵每处扣3分；</w:t>
            </w:r>
          </w:p>
          <w:p w14:paraId="1D10B719">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3.粗糙不堪不得分</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D6D04">
            <w:pPr>
              <w:jc w:val="left"/>
              <w:rPr>
                <w:rFonts w:hint="eastAsia" w:ascii="仿宋" w:hAnsi="仿宋" w:eastAsia="仿宋" w:cs="仿宋"/>
                <w:color w:val="auto"/>
                <w:kern w:val="0"/>
                <w:sz w:val="24"/>
                <w:szCs w:val="24"/>
                <w:lang w:val="en-US" w:eastAsia="zh-CN" w:bidi="ar"/>
              </w:rPr>
            </w:pPr>
          </w:p>
        </w:tc>
      </w:tr>
      <w:tr w14:paraId="06F19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blHeader/>
        </w:trPr>
        <w:tc>
          <w:tcPr>
            <w:tcW w:w="1531" w:type="dxa"/>
            <w:gridSpan w:val="2"/>
            <w:vMerge w:val="continue"/>
            <w:tcBorders>
              <w:left w:val="single" w:color="000000" w:sz="4" w:space="0"/>
              <w:right w:val="single" w:color="000000" w:sz="4" w:space="0"/>
            </w:tcBorders>
            <w:shd w:val="clear" w:color="auto" w:fill="auto"/>
            <w:vAlign w:val="center"/>
          </w:tcPr>
          <w:p w14:paraId="464AB7AC">
            <w:pPr>
              <w:jc w:val="center"/>
              <w:rPr>
                <w:rFonts w:hint="eastAsia" w:ascii="仿宋" w:hAnsi="仿宋" w:eastAsia="仿宋" w:cs="仿宋"/>
                <w:color w:val="auto"/>
                <w:kern w:val="0"/>
                <w:sz w:val="24"/>
                <w:szCs w:val="24"/>
                <w:lang w:val="en-US" w:eastAsia="zh-CN" w:bidi="ar"/>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FDE4">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内容准确无误（15分）</w:t>
            </w:r>
          </w:p>
        </w:tc>
        <w:tc>
          <w:tcPr>
            <w:tcW w:w="37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D34E796">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1.文字、图案、尺寸与设计稿完全一致得15分；2.每处错误（错字、色差、尺寸偏差）扣3分</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A1282">
            <w:pPr>
              <w:jc w:val="left"/>
              <w:rPr>
                <w:rFonts w:hint="eastAsia" w:ascii="仿宋" w:hAnsi="仿宋" w:eastAsia="仿宋" w:cs="仿宋"/>
                <w:color w:val="auto"/>
                <w:kern w:val="0"/>
                <w:sz w:val="24"/>
                <w:szCs w:val="24"/>
                <w:lang w:val="en-US" w:eastAsia="zh-CN" w:bidi="ar"/>
              </w:rPr>
            </w:pPr>
          </w:p>
        </w:tc>
      </w:tr>
      <w:tr w14:paraId="3EF4A9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2" w:hRule="atLeast"/>
          <w:tblHeader/>
        </w:trPr>
        <w:tc>
          <w:tcPr>
            <w:tcW w:w="1531" w:type="dxa"/>
            <w:gridSpan w:val="2"/>
            <w:vMerge w:val="restart"/>
            <w:tcBorders>
              <w:top w:val="single" w:color="auto" w:sz="4" w:space="0"/>
              <w:left w:val="single" w:color="000000" w:sz="4" w:space="0"/>
              <w:right w:val="single" w:color="000000" w:sz="4" w:space="0"/>
            </w:tcBorders>
            <w:shd w:val="clear" w:color="auto" w:fill="auto"/>
            <w:vAlign w:val="center"/>
          </w:tcPr>
          <w:p w14:paraId="2AD6F466">
            <w:pPr>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交付准时率</w:t>
            </w:r>
          </w:p>
          <w:p w14:paraId="71C6E081">
            <w:pPr>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（35分）</w:t>
            </w:r>
          </w:p>
        </w:tc>
        <w:tc>
          <w:tcPr>
            <w:tcW w:w="1896" w:type="dxa"/>
            <w:tcBorders>
              <w:top w:val="single" w:color="auto" w:sz="4" w:space="0"/>
              <w:left w:val="single" w:color="000000" w:sz="4" w:space="0"/>
              <w:bottom w:val="single" w:color="000000" w:sz="4" w:space="0"/>
              <w:right w:val="single" w:color="000000" w:sz="4" w:space="0"/>
            </w:tcBorders>
            <w:shd w:val="clear" w:color="auto" w:fill="auto"/>
            <w:vAlign w:val="center"/>
          </w:tcPr>
          <w:p w14:paraId="77E8ADCB">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订单响应速度</w:t>
            </w:r>
          </w:p>
          <w:p w14:paraId="40526FEB">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（10分）</w:t>
            </w:r>
          </w:p>
        </w:tc>
        <w:tc>
          <w:tcPr>
            <w:tcW w:w="37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9A5A30">
            <w:pPr>
              <w:keepNext w:val="0"/>
              <w:keepLines w:val="0"/>
              <w:widowControl/>
              <w:numPr>
                <w:ilvl w:val="0"/>
                <w:numId w:val="13"/>
              </w:numPr>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接到需求后2小时内响应并给出排期得10分；</w:t>
            </w:r>
          </w:p>
          <w:p w14:paraId="35C11068">
            <w:pPr>
              <w:keepNext w:val="0"/>
              <w:keepLines w:val="0"/>
              <w:widowControl/>
              <w:numPr>
                <w:ilvl w:val="0"/>
                <w:numId w:val="13"/>
              </w:numPr>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2到4小时内响应并给出排期得6分；</w:t>
            </w:r>
          </w:p>
          <w:p w14:paraId="46CD3901">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3.超过4小时不得分</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9D6EC">
            <w:pPr>
              <w:jc w:val="left"/>
              <w:rPr>
                <w:rFonts w:hint="eastAsia" w:ascii="仿宋" w:hAnsi="仿宋" w:eastAsia="仿宋" w:cs="仿宋"/>
                <w:color w:val="auto"/>
                <w:kern w:val="0"/>
                <w:sz w:val="24"/>
                <w:szCs w:val="24"/>
                <w:lang w:val="en-US" w:eastAsia="zh-CN" w:bidi="ar"/>
              </w:rPr>
            </w:pPr>
          </w:p>
        </w:tc>
      </w:tr>
      <w:tr w14:paraId="5C336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1" w:hRule="atLeast"/>
          <w:tblHeader/>
        </w:trPr>
        <w:tc>
          <w:tcPr>
            <w:tcW w:w="1531" w:type="dxa"/>
            <w:gridSpan w:val="2"/>
            <w:vMerge w:val="continue"/>
            <w:tcBorders>
              <w:left w:val="single" w:color="000000" w:sz="4" w:space="0"/>
              <w:right w:val="single" w:color="000000" w:sz="4" w:space="0"/>
            </w:tcBorders>
            <w:shd w:val="clear" w:color="auto" w:fill="auto"/>
            <w:vAlign w:val="center"/>
          </w:tcPr>
          <w:p w14:paraId="69358924">
            <w:pPr>
              <w:jc w:val="center"/>
              <w:rPr>
                <w:rFonts w:hint="eastAsia" w:ascii="仿宋" w:hAnsi="仿宋" w:eastAsia="仿宋" w:cs="仿宋"/>
                <w:color w:val="auto"/>
                <w:kern w:val="0"/>
                <w:sz w:val="24"/>
                <w:szCs w:val="24"/>
                <w:lang w:val="en-US" w:eastAsia="zh-CN" w:bidi="ar"/>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DA026">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按时交付率</w:t>
            </w:r>
          </w:p>
          <w:p w14:paraId="3D5B7138">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（15分）</w:t>
            </w:r>
          </w:p>
        </w:tc>
        <w:tc>
          <w:tcPr>
            <w:tcW w:w="37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FA76B2">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1.当月按时交付率100%得15分；</w:t>
            </w:r>
          </w:p>
          <w:p w14:paraId="5878A5AD">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2.每延迟1单扣3分；</w:t>
            </w:r>
          </w:p>
          <w:p w14:paraId="0E5D87BC">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3.延迟3单及以上本项不得分</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9A6FD">
            <w:pPr>
              <w:jc w:val="both"/>
              <w:rPr>
                <w:rFonts w:hint="eastAsia" w:ascii="仿宋" w:hAnsi="仿宋" w:eastAsia="仿宋" w:cs="仿宋"/>
                <w:color w:val="auto"/>
                <w:kern w:val="0"/>
                <w:sz w:val="24"/>
                <w:szCs w:val="24"/>
                <w:lang w:val="en-US" w:eastAsia="zh-CN" w:bidi="ar"/>
              </w:rPr>
            </w:pPr>
          </w:p>
        </w:tc>
      </w:tr>
      <w:tr w14:paraId="17194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7" w:hRule="atLeast"/>
          <w:tblHeader/>
        </w:trPr>
        <w:tc>
          <w:tcPr>
            <w:tcW w:w="1531" w:type="dxa"/>
            <w:gridSpan w:val="2"/>
            <w:vMerge w:val="continue"/>
            <w:tcBorders>
              <w:left w:val="single" w:color="000000" w:sz="4" w:space="0"/>
              <w:bottom w:val="single" w:color="auto" w:sz="4" w:space="0"/>
              <w:right w:val="single" w:color="000000" w:sz="4" w:space="0"/>
            </w:tcBorders>
            <w:shd w:val="clear" w:color="auto" w:fill="auto"/>
            <w:vAlign w:val="center"/>
          </w:tcPr>
          <w:p w14:paraId="2891BEB9">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p>
        </w:tc>
        <w:tc>
          <w:tcPr>
            <w:tcW w:w="18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C705A">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紧急订单配合</w:t>
            </w:r>
          </w:p>
          <w:p w14:paraId="6FCF3A7C">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（10分）</w:t>
            </w:r>
          </w:p>
        </w:tc>
        <w:tc>
          <w:tcPr>
            <w:tcW w:w="373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06815D">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1.能加急完成得10分；</w:t>
            </w:r>
          </w:p>
          <w:p w14:paraId="2B5C49D4">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2.能配合但需延长工期得5分；</w:t>
            </w:r>
          </w:p>
          <w:p w14:paraId="52226CB9">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3.拒绝接单不得分</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73D20">
            <w:pPr>
              <w:jc w:val="both"/>
              <w:rPr>
                <w:rFonts w:hint="eastAsia" w:ascii="仿宋" w:hAnsi="仿宋" w:eastAsia="仿宋" w:cs="仿宋"/>
                <w:color w:val="auto"/>
                <w:kern w:val="0"/>
                <w:sz w:val="24"/>
                <w:szCs w:val="24"/>
                <w:lang w:val="en-US" w:eastAsia="zh-CN" w:bidi="ar"/>
              </w:rPr>
            </w:pPr>
          </w:p>
        </w:tc>
      </w:tr>
      <w:tr w14:paraId="32169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6" w:hRule="atLeast"/>
          <w:tblHeader/>
        </w:trPr>
        <w:tc>
          <w:tcPr>
            <w:tcW w:w="1531" w:type="dxa"/>
            <w:gridSpan w:val="2"/>
            <w:vMerge w:val="restart"/>
            <w:tcBorders>
              <w:top w:val="single" w:color="auto" w:sz="4" w:space="0"/>
              <w:left w:val="single" w:color="000000" w:sz="4" w:space="0"/>
              <w:right w:val="single" w:color="000000" w:sz="4" w:space="0"/>
            </w:tcBorders>
            <w:shd w:val="clear" w:color="auto" w:fill="auto"/>
            <w:vAlign w:val="center"/>
          </w:tcPr>
          <w:p w14:paraId="62343B45">
            <w:pPr>
              <w:jc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服务质量与配合</w:t>
            </w:r>
          </w:p>
          <w:p w14:paraId="1E94D604">
            <w:pPr>
              <w:jc w:val="center"/>
              <w:rPr>
                <w:rFonts w:hint="default"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20分</w:t>
            </w:r>
          </w:p>
        </w:tc>
        <w:tc>
          <w:tcPr>
            <w:tcW w:w="1896" w:type="dxa"/>
            <w:tcBorders>
              <w:top w:val="single" w:color="000000" w:sz="4" w:space="0"/>
              <w:left w:val="single" w:color="000000" w:sz="4" w:space="0"/>
              <w:right w:val="single" w:color="000000" w:sz="4" w:space="0"/>
            </w:tcBorders>
            <w:shd w:val="clear" w:color="auto" w:fill="auto"/>
            <w:vAlign w:val="center"/>
          </w:tcPr>
          <w:p w14:paraId="0C53923E">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沟通与配合</w:t>
            </w:r>
          </w:p>
          <w:p w14:paraId="3A0C732C">
            <w:pPr>
              <w:keepNext w:val="0"/>
              <w:keepLines w:val="0"/>
              <w:widowControl/>
              <w:suppressLineNumbers w:val="0"/>
              <w:jc w:val="center"/>
              <w:textAlignment w:val="center"/>
              <w:rPr>
                <w:rFonts w:hint="default"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（15分）</w:t>
            </w:r>
          </w:p>
        </w:tc>
        <w:tc>
          <w:tcPr>
            <w:tcW w:w="3732" w:type="dxa"/>
            <w:gridSpan w:val="2"/>
            <w:tcBorders>
              <w:top w:val="single" w:color="000000" w:sz="4" w:space="0"/>
              <w:left w:val="single" w:color="000000" w:sz="4" w:space="0"/>
              <w:right w:val="single" w:color="000000" w:sz="4" w:space="0"/>
            </w:tcBorders>
            <w:shd w:val="clear" w:color="auto" w:fill="auto"/>
            <w:vAlign w:val="center"/>
          </w:tcPr>
          <w:p w14:paraId="77D07458">
            <w:pPr>
              <w:keepNext w:val="0"/>
              <w:keepLines w:val="0"/>
              <w:widowControl/>
              <w:numPr>
                <w:ilvl w:val="0"/>
                <w:numId w:val="0"/>
              </w:numPr>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1.主动沟通需求、配合度高、响应及时得15分；</w:t>
            </w:r>
          </w:p>
          <w:p w14:paraId="1620D54A">
            <w:pPr>
              <w:keepNext w:val="0"/>
              <w:keepLines w:val="0"/>
              <w:widowControl/>
              <w:numPr>
                <w:ilvl w:val="0"/>
                <w:numId w:val="0"/>
              </w:numPr>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2.被动配合扣5分；</w:t>
            </w:r>
          </w:p>
          <w:p w14:paraId="4D50E8F5">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3.沟通不畅不得分</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9AD54">
            <w:pPr>
              <w:jc w:val="both"/>
              <w:rPr>
                <w:rFonts w:hint="eastAsia" w:ascii="仿宋" w:hAnsi="仿宋" w:eastAsia="仿宋" w:cs="仿宋"/>
                <w:color w:val="auto"/>
                <w:kern w:val="0"/>
                <w:sz w:val="24"/>
                <w:szCs w:val="24"/>
                <w:lang w:val="en-US" w:eastAsia="zh-CN" w:bidi="ar"/>
              </w:rPr>
            </w:pPr>
          </w:p>
        </w:tc>
      </w:tr>
      <w:tr w14:paraId="5670CF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30" w:hRule="atLeast"/>
          <w:tblHeader/>
        </w:trPr>
        <w:tc>
          <w:tcPr>
            <w:tcW w:w="1531" w:type="dxa"/>
            <w:gridSpan w:val="2"/>
            <w:vMerge w:val="continue"/>
            <w:tcBorders>
              <w:left w:val="single" w:color="000000" w:sz="4" w:space="0"/>
              <w:right w:val="single" w:color="000000" w:sz="4" w:space="0"/>
            </w:tcBorders>
            <w:shd w:val="clear" w:color="auto" w:fill="auto"/>
            <w:vAlign w:val="center"/>
          </w:tcPr>
          <w:p w14:paraId="10E918C1">
            <w:pPr>
              <w:jc w:val="center"/>
              <w:rPr>
                <w:rFonts w:hint="eastAsia" w:ascii="仿宋" w:hAnsi="仿宋" w:eastAsia="仿宋" w:cs="仿宋"/>
                <w:color w:val="auto"/>
                <w:kern w:val="0"/>
                <w:sz w:val="24"/>
                <w:szCs w:val="24"/>
                <w:lang w:val="en-US" w:eastAsia="zh-CN" w:bidi="ar"/>
              </w:rPr>
            </w:pPr>
          </w:p>
        </w:tc>
        <w:tc>
          <w:tcPr>
            <w:tcW w:w="1896" w:type="dxa"/>
            <w:vMerge w:val="restart"/>
            <w:tcBorders>
              <w:top w:val="single" w:color="000000" w:sz="4" w:space="0"/>
              <w:left w:val="single" w:color="000000" w:sz="4" w:space="0"/>
              <w:right w:val="single" w:color="000000" w:sz="4" w:space="0"/>
            </w:tcBorders>
            <w:shd w:val="clear" w:color="auto" w:fill="auto"/>
            <w:vAlign w:val="center"/>
          </w:tcPr>
          <w:p w14:paraId="2B6EA565">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安装与现场服务</w:t>
            </w:r>
          </w:p>
          <w:p w14:paraId="4698438E">
            <w:pPr>
              <w:keepNext w:val="0"/>
              <w:keepLines w:val="0"/>
              <w:widowControl/>
              <w:suppressLineNumbers w:val="0"/>
              <w:jc w:val="center"/>
              <w:textAlignment w:val="center"/>
              <w:rPr>
                <w:rFonts w:hint="default"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（5分）</w:t>
            </w:r>
          </w:p>
        </w:tc>
        <w:tc>
          <w:tcPr>
            <w:tcW w:w="3732" w:type="dxa"/>
            <w:gridSpan w:val="2"/>
            <w:vMerge w:val="restart"/>
            <w:tcBorders>
              <w:top w:val="single" w:color="000000" w:sz="4" w:space="0"/>
              <w:left w:val="single" w:color="000000" w:sz="4" w:space="0"/>
              <w:right w:val="single" w:color="000000" w:sz="4" w:space="0"/>
            </w:tcBorders>
            <w:shd w:val="clear" w:color="auto" w:fill="auto"/>
            <w:vAlign w:val="center"/>
          </w:tcPr>
          <w:p w14:paraId="496DC44A">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1.安装规范平整、现场清理干净、无安全隐患得5分；</w:t>
            </w:r>
          </w:p>
          <w:p w14:paraId="0C29FAA1">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2.安装不规范扣2分；</w:t>
            </w:r>
          </w:p>
          <w:p w14:paraId="7F897D00">
            <w:pPr>
              <w:keepNext w:val="0"/>
              <w:keepLines w:val="0"/>
              <w:widowControl/>
              <w:suppressLineNumbers w:val="0"/>
              <w:jc w:val="left"/>
              <w:textAlignment w:val="center"/>
              <w:rPr>
                <w:rFonts w:hint="default"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3.造成现场安全问题不得分</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8A95">
            <w:pPr>
              <w:jc w:val="both"/>
              <w:rPr>
                <w:rFonts w:hint="eastAsia" w:ascii="仿宋" w:hAnsi="仿宋" w:eastAsia="仿宋" w:cs="仿宋"/>
                <w:color w:val="auto"/>
                <w:kern w:val="0"/>
                <w:sz w:val="24"/>
                <w:szCs w:val="24"/>
                <w:lang w:val="en-US" w:eastAsia="zh-CN" w:bidi="ar"/>
              </w:rPr>
            </w:pPr>
          </w:p>
        </w:tc>
      </w:tr>
      <w:tr w14:paraId="78344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wBefore w:w="0" w:type="auto"/>
          <w:trHeight w:val="90" w:hRule="atLeast"/>
          <w:tblHeader/>
        </w:trPr>
        <w:tc>
          <w:tcPr>
            <w:tcW w:w="1531" w:type="dxa"/>
            <w:gridSpan w:val="2"/>
            <w:vMerge w:val="continue"/>
            <w:tcBorders>
              <w:left w:val="single" w:color="000000" w:sz="4" w:space="0"/>
              <w:bottom w:val="single" w:color="000000" w:sz="4" w:space="0"/>
              <w:right w:val="single" w:color="000000" w:sz="4" w:space="0"/>
            </w:tcBorders>
            <w:shd w:val="clear" w:color="auto" w:fill="auto"/>
            <w:vAlign w:val="center"/>
          </w:tcPr>
          <w:p w14:paraId="67FD83F3">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p>
        </w:tc>
        <w:tc>
          <w:tcPr>
            <w:tcW w:w="1896" w:type="dxa"/>
            <w:vMerge w:val="continue"/>
            <w:tcBorders>
              <w:left w:val="single" w:color="000000" w:sz="4" w:space="0"/>
              <w:bottom w:val="single" w:color="000000" w:sz="4" w:space="0"/>
              <w:right w:val="single" w:color="000000" w:sz="4" w:space="0"/>
            </w:tcBorders>
            <w:shd w:val="clear" w:color="auto" w:fill="auto"/>
            <w:vAlign w:val="center"/>
          </w:tcPr>
          <w:p w14:paraId="1D925D16">
            <w:pPr>
              <w:keepNext w:val="0"/>
              <w:keepLines w:val="0"/>
              <w:widowControl/>
              <w:suppressLineNumbers w:val="0"/>
              <w:jc w:val="center"/>
              <w:textAlignment w:val="center"/>
              <w:rPr>
                <w:rFonts w:hint="default" w:ascii="仿宋" w:hAnsi="仿宋" w:eastAsia="仿宋" w:cs="仿宋"/>
                <w:color w:val="auto"/>
                <w:kern w:val="0"/>
                <w:sz w:val="24"/>
                <w:szCs w:val="24"/>
                <w:lang w:val="en-US" w:eastAsia="zh-CN" w:bidi="ar"/>
              </w:rPr>
            </w:pPr>
          </w:p>
        </w:tc>
        <w:tc>
          <w:tcPr>
            <w:tcW w:w="3732" w:type="dxa"/>
            <w:gridSpan w:val="2"/>
            <w:vMerge w:val="continue"/>
            <w:tcBorders>
              <w:left w:val="single" w:color="000000" w:sz="4" w:space="0"/>
              <w:bottom w:val="single" w:color="000000" w:sz="4" w:space="0"/>
              <w:right w:val="single" w:color="000000" w:sz="4" w:space="0"/>
            </w:tcBorders>
            <w:shd w:val="clear" w:color="auto" w:fill="auto"/>
            <w:vAlign w:val="center"/>
          </w:tcPr>
          <w:p w14:paraId="560ADE76">
            <w:pPr>
              <w:keepNext w:val="0"/>
              <w:keepLines w:val="0"/>
              <w:widowControl/>
              <w:suppressLineNumbers w:val="0"/>
              <w:jc w:val="left"/>
              <w:textAlignment w:val="center"/>
              <w:rPr>
                <w:rFonts w:hint="default" w:ascii="仿宋" w:hAnsi="仿宋" w:eastAsia="仿宋" w:cs="仿宋"/>
                <w:color w:val="auto"/>
                <w:kern w:val="0"/>
                <w:sz w:val="24"/>
                <w:szCs w:val="24"/>
                <w:lang w:val="en-US" w:eastAsia="zh-CN" w:bidi="ar"/>
              </w:rPr>
            </w:pP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81043">
            <w:pPr>
              <w:jc w:val="left"/>
              <w:rPr>
                <w:rFonts w:hint="eastAsia" w:ascii="仿宋" w:hAnsi="仿宋" w:eastAsia="仿宋" w:cs="仿宋"/>
                <w:color w:val="auto"/>
                <w:kern w:val="0"/>
                <w:sz w:val="24"/>
                <w:szCs w:val="24"/>
                <w:lang w:val="en-US" w:eastAsia="zh-CN" w:bidi="ar"/>
              </w:rPr>
            </w:pPr>
          </w:p>
        </w:tc>
      </w:tr>
      <w:tr w14:paraId="5C3C8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6" w:hRule="atLeast"/>
          <w:tblHeader/>
        </w:trPr>
        <w:tc>
          <w:tcPr>
            <w:tcW w:w="153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39A4E5">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加分项</w:t>
            </w:r>
            <w:r>
              <w:rPr>
                <w:rFonts w:hint="eastAsia" w:ascii="仿宋" w:hAnsi="仿宋" w:eastAsia="仿宋" w:cs="仿宋"/>
                <w:color w:val="auto"/>
                <w:kern w:val="0"/>
                <w:sz w:val="24"/>
                <w:szCs w:val="24"/>
                <w:lang w:val="en-US" w:eastAsia="zh-CN" w:bidi="ar"/>
              </w:rPr>
              <w:br w:type="textWrapping"/>
            </w:r>
            <w:r>
              <w:rPr>
                <w:rFonts w:hint="eastAsia" w:ascii="仿宋" w:hAnsi="仿宋" w:eastAsia="仿宋" w:cs="仿宋"/>
                <w:color w:val="auto"/>
                <w:kern w:val="0"/>
                <w:sz w:val="24"/>
                <w:szCs w:val="24"/>
                <w:lang w:val="en-US" w:eastAsia="zh-CN" w:bidi="ar"/>
              </w:rPr>
              <w:t>(10分)</w:t>
            </w:r>
          </w:p>
        </w:tc>
        <w:tc>
          <w:tcPr>
            <w:tcW w:w="1896" w:type="dxa"/>
            <w:tcBorders>
              <w:top w:val="single" w:color="auto" w:sz="4" w:space="0"/>
              <w:left w:val="single" w:color="auto" w:sz="4" w:space="0"/>
              <w:bottom w:val="single" w:color="auto" w:sz="4" w:space="0"/>
              <w:right w:val="single" w:color="auto" w:sz="4" w:space="0"/>
            </w:tcBorders>
            <w:shd w:val="clear" w:color="auto" w:fill="auto"/>
            <w:vAlign w:val="center"/>
          </w:tcPr>
          <w:p w14:paraId="61A81B8B">
            <w:pPr>
              <w:keepNext w:val="0"/>
              <w:keepLines w:val="0"/>
              <w:widowControl/>
              <w:suppressLineNumbers w:val="0"/>
              <w:jc w:val="center"/>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加分项</w:t>
            </w:r>
          </w:p>
          <w:p w14:paraId="11AC10F7">
            <w:pPr>
              <w:keepNext w:val="0"/>
              <w:keepLines w:val="0"/>
              <w:widowControl/>
              <w:suppressLineNumbers w:val="0"/>
              <w:jc w:val="center"/>
              <w:textAlignment w:val="center"/>
              <w:rPr>
                <w:rFonts w:hint="default"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（10分）</w:t>
            </w:r>
          </w:p>
        </w:tc>
        <w:tc>
          <w:tcPr>
            <w:tcW w:w="3732" w:type="dxa"/>
            <w:gridSpan w:val="2"/>
            <w:tcBorders>
              <w:top w:val="single" w:color="auto" w:sz="4" w:space="0"/>
              <w:left w:val="single" w:color="auto" w:sz="4" w:space="0"/>
              <w:bottom w:val="single" w:color="auto" w:sz="4" w:space="0"/>
              <w:right w:val="single" w:color="000000" w:sz="4" w:space="0"/>
            </w:tcBorders>
            <w:shd w:val="clear" w:color="auto" w:fill="auto"/>
            <w:vAlign w:val="center"/>
          </w:tcPr>
          <w:p w14:paraId="5BB9E2BC">
            <w:pPr>
              <w:keepNext w:val="0"/>
              <w:keepLines w:val="0"/>
              <w:widowControl/>
              <w:suppressLineNumbers w:val="0"/>
              <w:jc w:val="left"/>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主动提出降本增效方案并被采纳10分</w:t>
            </w:r>
          </w:p>
        </w:tc>
        <w:tc>
          <w:tcPr>
            <w:tcW w:w="918" w:type="dxa"/>
            <w:tcBorders>
              <w:top w:val="single" w:color="auto" w:sz="4" w:space="0"/>
              <w:left w:val="single" w:color="000000" w:sz="4" w:space="0"/>
              <w:bottom w:val="single" w:color="auto" w:sz="4" w:space="0"/>
              <w:right w:val="single" w:color="auto" w:sz="4" w:space="0"/>
            </w:tcBorders>
            <w:shd w:val="clear" w:color="auto" w:fill="auto"/>
            <w:vAlign w:val="center"/>
          </w:tcPr>
          <w:p w14:paraId="1CC1D87C">
            <w:pPr>
              <w:rPr>
                <w:rFonts w:hint="eastAsia" w:ascii="仿宋" w:hAnsi="仿宋" w:eastAsia="仿宋" w:cs="仿宋"/>
                <w:color w:val="auto"/>
                <w:kern w:val="0"/>
                <w:sz w:val="24"/>
                <w:szCs w:val="24"/>
                <w:lang w:val="en-US" w:eastAsia="zh-CN" w:bidi="ar"/>
              </w:rPr>
            </w:pPr>
          </w:p>
        </w:tc>
      </w:tr>
      <w:tr w14:paraId="2B7E1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blHeader/>
        </w:trPr>
        <w:tc>
          <w:tcPr>
            <w:tcW w:w="153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15A138">
            <w:pPr>
              <w:keepNext w:val="0"/>
              <w:keepLines w:val="0"/>
              <w:widowControl/>
              <w:suppressLineNumbers w:val="0"/>
              <w:jc w:val="both"/>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评分人签字：</w:t>
            </w:r>
          </w:p>
        </w:tc>
        <w:tc>
          <w:tcPr>
            <w:tcW w:w="654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6DBED04F">
            <w:pPr>
              <w:jc w:val="center"/>
              <w:rPr>
                <w:rFonts w:hint="eastAsia" w:ascii="仿宋" w:hAnsi="仿宋" w:eastAsia="仿宋" w:cs="仿宋"/>
                <w:color w:val="auto"/>
                <w:kern w:val="0"/>
                <w:sz w:val="24"/>
                <w:szCs w:val="24"/>
                <w:lang w:val="en-US" w:eastAsia="zh-CN" w:bidi="ar"/>
              </w:rPr>
            </w:pPr>
          </w:p>
        </w:tc>
      </w:tr>
      <w:tr w14:paraId="707EE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blHeader/>
        </w:trPr>
        <w:tc>
          <w:tcPr>
            <w:tcW w:w="153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D4F6F1">
            <w:pPr>
              <w:keepNext w:val="0"/>
              <w:keepLines w:val="0"/>
              <w:widowControl/>
              <w:suppressLineNumbers w:val="0"/>
              <w:jc w:val="both"/>
              <w:textAlignment w:val="center"/>
              <w:rPr>
                <w:rFonts w:hint="eastAsia" w:ascii="仿宋" w:hAnsi="仿宋" w:eastAsia="仿宋" w:cs="仿宋"/>
                <w:color w:val="auto"/>
                <w:kern w:val="0"/>
                <w:sz w:val="24"/>
                <w:szCs w:val="24"/>
                <w:lang w:val="en-US" w:eastAsia="zh-CN" w:bidi="ar"/>
              </w:rPr>
            </w:pPr>
            <w:r>
              <w:rPr>
                <w:rFonts w:hint="eastAsia" w:ascii="仿宋" w:hAnsi="仿宋" w:eastAsia="仿宋" w:cs="仿宋"/>
                <w:color w:val="auto"/>
                <w:kern w:val="0"/>
                <w:sz w:val="24"/>
                <w:szCs w:val="24"/>
                <w:lang w:val="en-US" w:eastAsia="zh-CN" w:bidi="ar"/>
              </w:rPr>
              <w:t>部门负责人签字：</w:t>
            </w:r>
          </w:p>
        </w:tc>
        <w:tc>
          <w:tcPr>
            <w:tcW w:w="6546"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40140FD0">
            <w:pPr>
              <w:jc w:val="center"/>
              <w:rPr>
                <w:rFonts w:hint="eastAsia" w:ascii="仿宋" w:hAnsi="仿宋" w:eastAsia="仿宋" w:cs="仿宋"/>
                <w:color w:val="auto"/>
                <w:kern w:val="0"/>
                <w:sz w:val="24"/>
                <w:szCs w:val="24"/>
                <w:lang w:val="en-US" w:eastAsia="zh-CN" w:bidi="ar"/>
              </w:rPr>
            </w:pPr>
          </w:p>
        </w:tc>
      </w:tr>
    </w:tbl>
    <w:p w14:paraId="69126D31">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hint="default" w:ascii="仿宋" w:hAnsi="仿宋" w:eastAsia="仿宋" w:cs="仿宋"/>
          <w:b w:val="0"/>
          <w:bCs w:val="0"/>
          <w:sz w:val="21"/>
          <w:szCs w:val="21"/>
          <w:lang w:val="en-US" w:eastAsia="zh-CN"/>
        </w:rPr>
      </w:pPr>
    </w:p>
    <w:p w14:paraId="65103380">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hint="default" w:ascii="仿宋" w:hAnsi="仿宋" w:eastAsia="仿宋" w:cs="仿宋"/>
          <w:b w:val="0"/>
          <w:bCs w:val="0"/>
          <w:sz w:val="24"/>
          <w:szCs w:val="24"/>
          <w:lang w:val="en-US" w:eastAsia="zh-CN"/>
        </w:rPr>
      </w:pPr>
      <w:r>
        <w:rPr>
          <w:rFonts w:hint="default" w:ascii="仿宋" w:hAnsi="仿宋" w:eastAsia="仿宋" w:cs="仿宋"/>
          <w:b w:val="0"/>
          <w:bCs w:val="0"/>
          <w:sz w:val="24"/>
          <w:szCs w:val="24"/>
          <w:lang w:val="en-US" w:eastAsia="zh-CN"/>
        </w:rPr>
        <w:t>备注：1.考核达到90分以上，足额付款；2.考核达到70-89分，支付70%</w:t>
      </w:r>
      <w:r>
        <w:rPr>
          <w:rFonts w:hint="eastAsia" w:ascii="仿宋" w:hAnsi="仿宋" w:eastAsia="仿宋" w:cs="仿宋"/>
          <w:b w:val="0"/>
          <w:bCs w:val="0"/>
          <w:sz w:val="24"/>
          <w:szCs w:val="24"/>
          <w:lang w:val="en-US" w:eastAsia="zh-CN"/>
        </w:rPr>
        <w:t>；</w:t>
      </w:r>
      <w:r>
        <w:rPr>
          <w:rFonts w:hint="default" w:ascii="仿宋" w:hAnsi="仿宋" w:eastAsia="仿宋" w:cs="仿宋"/>
          <w:b w:val="0"/>
          <w:bCs w:val="0"/>
          <w:sz w:val="24"/>
          <w:szCs w:val="24"/>
          <w:lang w:val="en-US" w:eastAsia="zh-CN"/>
        </w:rPr>
        <w:t>3.考核70分以下，视整改情况进行支付。</w:t>
      </w:r>
    </w:p>
    <w:p w14:paraId="550AF9A6">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hint="default" w:ascii="仿宋" w:hAnsi="仿宋" w:eastAsia="仿宋" w:cs="仿宋"/>
          <w:b w:val="0"/>
          <w:bCs w:val="0"/>
          <w:sz w:val="21"/>
          <w:szCs w:val="21"/>
          <w:lang w:val="en-US" w:eastAsia="zh-CN"/>
        </w:rPr>
      </w:pPr>
    </w:p>
    <w:p w14:paraId="725FBFAD">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r>
        <w:rPr>
          <w:rFonts w:ascii="Times New Roman" w:hAnsi="Times New Roman" w:eastAsia="仿宋" w:cs="Times New Roman"/>
          <w:b/>
          <w:bCs/>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b/>
          <w:bCs/>
          <w:sz w:val="24"/>
          <w:szCs w:val="24"/>
        </w:rPr>
        <w:t>”的条款为实质性要求，不满足将被作为无效响应处理。</w:t>
      </w:r>
    </w:p>
    <w:p w14:paraId="476325FA">
      <w:pPr>
        <w:rPr>
          <w:rFonts w:ascii="Times New Roman" w:hAnsi="Times New Roman" w:eastAsia="仿宋" w:cs="Times New Roman"/>
          <w:b/>
          <w:bCs/>
          <w:sz w:val="24"/>
          <w:szCs w:val="24"/>
        </w:rPr>
      </w:pPr>
      <w:r>
        <w:rPr>
          <w:rFonts w:ascii="Times New Roman" w:hAnsi="Times New Roman" w:eastAsia="仿宋" w:cs="Times New Roman"/>
          <w:b/>
          <w:bCs/>
          <w:sz w:val="24"/>
          <w:szCs w:val="24"/>
        </w:rPr>
        <w:br w:type="page"/>
      </w:r>
    </w:p>
    <w:p w14:paraId="3AA4C784">
      <w:pPr>
        <w:pStyle w:val="16"/>
        <w:keepNext w:val="0"/>
        <w:keepLines w:val="0"/>
        <w:pageBreakBefore w:val="0"/>
        <w:widowControl w:val="0"/>
        <w:kinsoku/>
        <w:wordWrap/>
        <w:overflowPunct/>
        <w:topLinePunct w:val="0"/>
        <w:autoSpaceDE/>
        <w:autoSpaceDN/>
        <w:bidi w:val="0"/>
        <w:adjustRightInd/>
        <w:snapToGrid w:val="0"/>
        <w:spacing w:line="360" w:lineRule="auto"/>
        <w:ind w:firstLine="0"/>
        <w:textAlignment w:val="auto"/>
        <w:rPr>
          <w:rFonts w:ascii="Times New Roman" w:hAnsi="Times New Roman" w:eastAsia="仿宋" w:cs="Times New Roman"/>
          <w:b/>
          <w:bCs/>
          <w:sz w:val="24"/>
          <w:szCs w:val="24"/>
        </w:rPr>
      </w:pPr>
    </w:p>
    <w:p w14:paraId="1E53B04C">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7E701686">
      <w:pPr>
        <w:rPr>
          <w:rFonts w:ascii="Times New Roman" w:hAnsi="Times New Roman" w:cs="Times New Roman"/>
        </w:rPr>
      </w:pPr>
    </w:p>
    <w:tbl>
      <w:tblPr>
        <w:tblStyle w:val="18"/>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
        <w:gridCol w:w="1384"/>
        <w:gridCol w:w="709"/>
        <w:gridCol w:w="6520"/>
      </w:tblGrid>
      <w:tr w14:paraId="42DA9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596" w:type="dxa"/>
            <w:noWrap/>
            <w:vAlign w:val="center"/>
          </w:tcPr>
          <w:p w14:paraId="41B90DE8">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宋体"/>
                <w:b/>
                <w:bCs/>
                <w:sz w:val="24"/>
              </w:rPr>
            </w:pPr>
            <w:r>
              <w:br w:type="page"/>
            </w:r>
            <w:r>
              <w:rPr>
                <w:rFonts w:hint="eastAsia" w:ascii="仿宋" w:hAnsi="仿宋" w:eastAsia="仿宋" w:cs="宋体"/>
                <w:b/>
                <w:bCs/>
                <w:sz w:val="24"/>
              </w:rPr>
              <w:t>序号</w:t>
            </w:r>
          </w:p>
        </w:tc>
        <w:tc>
          <w:tcPr>
            <w:tcW w:w="1384" w:type="dxa"/>
            <w:noWrap/>
            <w:vAlign w:val="center"/>
          </w:tcPr>
          <w:p w14:paraId="01A9A92C">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评分因素</w:t>
            </w:r>
          </w:p>
          <w:p w14:paraId="665F26E1">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及权重</w:t>
            </w:r>
          </w:p>
        </w:tc>
        <w:tc>
          <w:tcPr>
            <w:tcW w:w="709" w:type="dxa"/>
            <w:noWrap/>
            <w:vAlign w:val="center"/>
          </w:tcPr>
          <w:p w14:paraId="150C2DD4">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分值</w:t>
            </w:r>
          </w:p>
        </w:tc>
        <w:tc>
          <w:tcPr>
            <w:tcW w:w="6520" w:type="dxa"/>
            <w:noWrap/>
            <w:vAlign w:val="center"/>
          </w:tcPr>
          <w:p w14:paraId="4FFA1065">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b/>
                <w:bCs/>
                <w:sz w:val="24"/>
              </w:rPr>
            </w:pPr>
            <w:r>
              <w:rPr>
                <w:rFonts w:hint="eastAsia" w:ascii="仿宋" w:hAnsi="仿宋" w:eastAsia="仿宋" w:cs="宋体"/>
                <w:b/>
                <w:bCs/>
                <w:sz w:val="24"/>
              </w:rPr>
              <w:t>评分标准</w:t>
            </w:r>
          </w:p>
        </w:tc>
      </w:tr>
      <w:tr w14:paraId="5D83E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596" w:type="dxa"/>
            <w:noWrap/>
            <w:vAlign w:val="center"/>
          </w:tcPr>
          <w:p w14:paraId="0128B59B">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sz w:val="24"/>
              </w:rPr>
            </w:pPr>
            <w:r>
              <w:rPr>
                <w:rFonts w:hint="eastAsia" w:ascii="仿宋" w:hAnsi="仿宋" w:eastAsia="仿宋" w:cs="宋体"/>
                <w:sz w:val="24"/>
              </w:rPr>
              <w:t>1</w:t>
            </w:r>
          </w:p>
        </w:tc>
        <w:tc>
          <w:tcPr>
            <w:tcW w:w="1384" w:type="dxa"/>
            <w:noWrap/>
            <w:vAlign w:val="center"/>
          </w:tcPr>
          <w:p w14:paraId="7C973AB2">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sz w:val="24"/>
              </w:rPr>
            </w:pPr>
            <w:r>
              <w:rPr>
                <w:rFonts w:hint="eastAsia" w:ascii="仿宋" w:hAnsi="仿宋" w:eastAsia="仿宋" w:cs="宋体"/>
                <w:sz w:val="24"/>
              </w:rPr>
              <w:t>报价</w:t>
            </w:r>
          </w:p>
          <w:p w14:paraId="3FAFF793">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ascii="仿宋" w:hAnsi="仿宋" w:eastAsia="仿宋" w:cs="宋体"/>
                <w:sz w:val="24"/>
              </w:rPr>
            </w:pPr>
            <w:r>
              <w:rPr>
                <w:rFonts w:hint="eastAsia" w:ascii="仿宋" w:hAnsi="仿宋" w:eastAsia="仿宋" w:cs="宋体"/>
                <w:sz w:val="24"/>
                <w:lang w:val="en-US" w:eastAsia="zh-CN"/>
              </w:rPr>
              <w:t>10</w:t>
            </w:r>
            <w:r>
              <w:rPr>
                <w:rFonts w:hint="eastAsia" w:ascii="仿宋" w:hAnsi="仿宋" w:eastAsia="仿宋" w:cs="宋体"/>
                <w:sz w:val="24"/>
              </w:rPr>
              <w:t>%</w:t>
            </w:r>
          </w:p>
        </w:tc>
        <w:tc>
          <w:tcPr>
            <w:tcW w:w="709" w:type="dxa"/>
            <w:noWrap/>
            <w:vAlign w:val="center"/>
          </w:tcPr>
          <w:p w14:paraId="4B85BED6">
            <w:pPr>
              <w:keepNext w:val="0"/>
              <w:keepLines w:val="0"/>
              <w:pageBreakBefore w:val="0"/>
              <w:kinsoku/>
              <w:wordWrap/>
              <w:overflowPunct/>
              <w:topLinePunct w:val="0"/>
              <w:autoSpaceDE/>
              <w:autoSpaceDN/>
              <w:bidi w:val="0"/>
              <w:adjustRightInd/>
              <w:snapToGrid/>
              <w:spacing w:line="360" w:lineRule="auto"/>
              <w:ind w:firstLine="28"/>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10</w:t>
            </w:r>
          </w:p>
        </w:tc>
        <w:tc>
          <w:tcPr>
            <w:tcW w:w="6520" w:type="dxa"/>
            <w:noWrap/>
            <w:vAlign w:val="center"/>
          </w:tcPr>
          <w:p w14:paraId="05C1EED2">
            <w:pPr>
              <w:keepNext w:val="0"/>
              <w:keepLines w:val="0"/>
              <w:pageBreakBefore w:val="0"/>
              <w:kinsoku/>
              <w:wordWrap/>
              <w:overflowPunct/>
              <w:topLinePunct w:val="0"/>
              <w:autoSpaceDE/>
              <w:autoSpaceDN/>
              <w:bidi w:val="0"/>
              <w:adjustRightInd/>
              <w:snapToGrid/>
              <w:spacing w:line="360" w:lineRule="auto"/>
              <w:textAlignment w:val="auto"/>
              <w:rPr>
                <w:rFonts w:ascii="仿宋" w:hAnsi="仿宋" w:eastAsia="仿宋" w:cs="宋体"/>
                <w:sz w:val="24"/>
              </w:rPr>
            </w:pPr>
            <w:r>
              <w:rPr>
                <w:rFonts w:hint="eastAsia" w:ascii="仿宋" w:hAnsi="仿宋" w:eastAsia="仿宋" w:cs="宋体"/>
                <w:sz w:val="24"/>
                <w:lang w:val="en-US" w:eastAsia="zh-CN"/>
              </w:rPr>
              <w:t>以满足谈判文件要求且有效下浮率最高的为评审基准价，其价格分为满分。其他供应商的报价得分按照下列公式计算：报价得分= (1-基准价）／（1-下浮率)*10。</w:t>
            </w:r>
          </w:p>
        </w:tc>
      </w:tr>
      <w:tr w14:paraId="5F63F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96" w:type="dxa"/>
            <w:noWrap/>
            <w:vAlign w:val="center"/>
          </w:tcPr>
          <w:p w14:paraId="2E328059">
            <w:pPr>
              <w:keepNext w:val="0"/>
              <w:keepLines w:val="0"/>
              <w:pageBreakBefore w:val="0"/>
              <w:kinsoku/>
              <w:wordWrap/>
              <w:overflowPunct/>
              <w:topLinePunct w:val="0"/>
              <w:autoSpaceDE/>
              <w:autoSpaceDN/>
              <w:bidi w:val="0"/>
              <w:adjustRightInd/>
              <w:snapToGrid/>
              <w:spacing w:line="360" w:lineRule="auto"/>
              <w:jc w:val="center"/>
              <w:textAlignment w:val="auto"/>
              <w:rPr>
                <w:rFonts w:ascii="仿宋" w:hAnsi="仿宋" w:eastAsia="仿宋" w:cs="宋体"/>
                <w:sz w:val="24"/>
              </w:rPr>
            </w:pPr>
            <w:r>
              <w:rPr>
                <w:rFonts w:hint="eastAsia" w:ascii="仿宋" w:hAnsi="仿宋" w:eastAsia="仿宋"/>
                <w:sz w:val="24"/>
              </w:rPr>
              <w:t>2</w:t>
            </w:r>
          </w:p>
        </w:tc>
        <w:tc>
          <w:tcPr>
            <w:tcW w:w="1384" w:type="dxa"/>
            <w:shd w:val="clear" w:color="auto" w:fill="auto"/>
            <w:noWrap/>
            <w:vAlign w:val="center"/>
          </w:tcPr>
          <w:p w14:paraId="1DB2C513">
            <w:pPr>
              <w:pStyle w:val="41"/>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供应商综合实力</w:t>
            </w:r>
          </w:p>
        </w:tc>
        <w:tc>
          <w:tcPr>
            <w:tcW w:w="709" w:type="dxa"/>
            <w:shd w:val="clear" w:color="auto" w:fill="auto"/>
            <w:noWrap/>
            <w:vAlign w:val="center"/>
          </w:tcPr>
          <w:p w14:paraId="300E1AE8">
            <w:pPr>
              <w:pStyle w:val="41"/>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30</w:t>
            </w:r>
          </w:p>
        </w:tc>
        <w:tc>
          <w:tcPr>
            <w:tcW w:w="6520" w:type="dxa"/>
            <w:shd w:val="clear" w:color="auto" w:fill="auto"/>
            <w:noWrap/>
            <w:vAlign w:val="top"/>
          </w:tcPr>
          <w:p w14:paraId="548F07A9">
            <w:pPr>
              <w:pStyle w:val="41"/>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kern w:val="0"/>
                <w:sz w:val="24"/>
                <w:szCs w:val="24"/>
                <w:lang w:val="en-US" w:eastAsia="zh-CN" w:bidi="ar-SA"/>
                <w14:textFill>
                  <w14:solidFill>
                    <w14:schemeClr w14:val="tx1"/>
                  </w14:solidFill>
                </w14:textFill>
              </w:rPr>
              <w:t>1、</w:t>
            </w:r>
            <w:r>
              <w:rPr>
                <w:rFonts w:hint="eastAsia" w:ascii="仿宋" w:hAnsi="仿宋" w:eastAsia="仿宋" w:cs="仿宋"/>
                <w:color w:val="000000" w:themeColor="text1"/>
                <w14:textFill>
                  <w14:solidFill>
                    <w14:schemeClr w14:val="tx1"/>
                  </w14:solidFill>
                </w14:textFill>
              </w:rPr>
              <w:t>供应商在项目所在地应设有备品库（或承诺在合同签订后正式履约前在项目所在地设立备品库）的得</w:t>
            </w:r>
            <w:r>
              <w:rPr>
                <w:rFonts w:hint="eastAsia" w:ascii="仿宋" w:hAnsi="仿宋" w:eastAsia="仿宋" w:cs="仿宋"/>
                <w:color w:val="000000" w:themeColor="text1"/>
                <w:lang w:val="en-US" w:eastAsia="zh-CN"/>
                <w14:textFill>
                  <w14:solidFill>
                    <w14:schemeClr w14:val="tx1"/>
                  </w14:solidFill>
                </w14:textFill>
              </w:rPr>
              <w:t>15</w:t>
            </w:r>
            <w:r>
              <w:rPr>
                <w:rFonts w:hint="eastAsia" w:ascii="仿宋" w:hAnsi="仿宋" w:eastAsia="仿宋" w:cs="仿宋"/>
                <w:color w:val="000000" w:themeColor="text1"/>
                <w14:textFill>
                  <w14:solidFill>
                    <w14:schemeClr w14:val="tx1"/>
                  </w14:solidFill>
                </w14:textFill>
              </w:rPr>
              <w:t xml:space="preserve"> 分，不提供不得分</w:t>
            </w:r>
            <w:r>
              <w:rPr>
                <w:rFonts w:hint="eastAsia" w:ascii="仿宋" w:hAnsi="仿宋" w:eastAsia="仿宋" w:cs="仿宋"/>
                <w:color w:val="000000" w:themeColor="text1"/>
                <w:lang w:val="en-US" w:eastAsia="zh-CN"/>
                <w14:textFill>
                  <w14:solidFill>
                    <w14:schemeClr w14:val="tx1"/>
                  </w14:solidFill>
                </w14:textFill>
              </w:rPr>
              <w:t>（已在项目所在地设有备品库的供应商提供备品清单及备品和备品库照片以及购房合同扫描件或房产证扫描件或房屋租赁合同扫描件；未在项目所在地设有备品库的供应商提供承诺函，格式自拟）</w:t>
            </w:r>
            <w:r>
              <w:rPr>
                <w:rFonts w:hint="eastAsia" w:ascii="仿宋" w:hAnsi="仿宋" w:eastAsia="仿宋" w:cs="仿宋"/>
                <w:color w:val="000000" w:themeColor="text1"/>
                <w14:textFill>
                  <w14:solidFill>
                    <w14:schemeClr w14:val="tx1"/>
                  </w14:solidFill>
                </w14:textFill>
              </w:rPr>
              <w:t>。</w:t>
            </w:r>
          </w:p>
          <w:p w14:paraId="4C7EACD0">
            <w:pPr>
              <w:pStyle w:val="41"/>
              <w:keepNext w:val="0"/>
              <w:keepLines w:val="0"/>
              <w:pageBreakBefore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000000" w:themeColor="text1"/>
                <w:kern w:val="0"/>
                <w:sz w:val="24"/>
                <w:szCs w:val="24"/>
                <w:lang w:val="en-US" w:eastAsia="zh-CN" w:bidi="ar-SA"/>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 xml:space="preserve"> 2、</w:t>
            </w:r>
            <w:r>
              <w:rPr>
                <w:rFonts w:hint="eastAsia" w:ascii="仿宋" w:hAnsi="仿宋" w:eastAsia="仿宋" w:cstheme="minorBidi"/>
                <w:kern w:val="2"/>
                <w:sz w:val="24"/>
                <w:szCs w:val="24"/>
                <w:lang w:val="en-US" w:eastAsia="zh-CN" w:bidi="ar-SA"/>
              </w:rPr>
              <w:t>供应商为本项目应配备配送车辆（或承诺在合同签订后正式履约前为本项目配备配送车辆）</w:t>
            </w:r>
            <w:r>
              <w:rPr>
                <w:rFonts w:hint="eastAsia" w:ascii="仿宋" w:hAnsi="仿宋" w:eastAsia="仿宋" w:cs="仿宋"/>
                <w:color w:val="000000" w:themeColor="text1"/>
                <w14:textFill>
                  <w14:solidFill>
                    <w14:schemeClr w14:val="tx1"/>
                  </w14:solidFill>
                </w14:textFill>
              </w:rPr>
              <w:t>，每提供1 辆得</w:t>
            </w:r>
            <w:r>
              <w:rPr>
                <w:rFonts w:hint="eastAsia" w:ascii="仿宋" w:hAnsi="仿宋" w:eastAsia="仿宋" w:cs="仿宋"/>
                <w:color w:val="000000" w:themeColor="text1"/>
                <w:lang w:val="en-US" w:eastAsia="zh-CN"/>
                <w14:textFill>
                  <w14:solidFill>
                    <w14:schemeClr w14:val="tx1"/>
                  </w14:solidFill>
                </w14:textFill>
              </w:rPr>
              <w:t>5</w:t>
            </w:r>
            <w:r>
              <w:rPr>
                <w:rFonts w:hint="eastAsia" w:ascii="仿宋" w:hAnsi="仿宋" w:eastAsia="仿宋" w:cs="仿宋"/>
                <w:color w:val="000000" w:themeColor="text1"/>
                <w14:textFill>
                  <w14:solidFill>
                    <w14:schemeClr w14:val="tx1"/>
                  </w14:solidFill>
                </w14:textFill>
              </w:rPr>
              <w:t>分，最多得</w:t>
            </w:r>
            <w:r>
              <w:rPr>
                <w:rFonts w:hint="eastAsia" w:ascii="仿宋" w:hAnsi="仿宋" w:eastAsia="仿宋" w:cs="仿宋"/>
                <w:color w:val="000000" w:themeColor="text1"/>
                <w:lang w:val="en-US" w:eastAsia="zh-CN"/>
                <w14:textFill>
                  <w14:solidFill>
                    <w14:schemeClr w14:val="tx1"/>
                  </w14:solidFill>
                </w14:textFill>
              </w:rPr>
              <w:t>15</w:t>
            </w:r>
            <w:r>
              <w:rPr>
                <w:rFonts w:hint="eastAsia" w:ascii="仿宋" w:hAnsi="仿宋" w:eastAsia="仿宋" w:cs="仿宋"/>
                <w:color w:val="000000" w:themeColor="text1"/>
                <w14:textFill>
                  <w14:solidFill>
                    <w14:schemeClr w14:val="tx1"/>
                  </w14:solidFill>
                </w14:textFill>
              </w:rPr>
              <w:t>分。（</w:t>
            </w:r>
            <w:r>
              <w:rPr>
                <w:rFonts w:hint="eastAsia" w:ascii="仿宋" w:hAnsi="仿宋" w:eastAsia="仿宋" w:cs="仿宋"/>
                <w:color w:val="000000" w:themeColor="text1"/>
                <w:lang w:val="en-US" w:eastAsia="zh-CN"/>
                <w14:textFill>
                  <w14:solidFill>
                    <w14:schemeClr w14:val="tx1"/>
                  </w14:solidFill>
                </w14:textFill>
              </w:rPr>
              <w:t>已配备配送车辆的，若为供应商自有车辆则提供有效的行驶证扫描件和购置发票扫描件，若为租赁，则提供有效的行驶证扫描件和租赁合同扫描件；尚未配备配送车辆的的供应商提供承诺函，格式自拟</w:t>
            </w:r>
            <w:r>
              <w:rPr>
                <w:rFonts w:hint="eastAsia" w:ascii="仿宋" w:hAnsi="仿宋" w:eastAsia="仿宋" w:cs="仿宋"/>
                <w:color w:val="000000" w:themeColor="text1"/>
                <w14:textFill>
                  <w14:solidFill>
                    <w14:schemeClr w14:val="tx1"/>
                  </w14:solidFill>
                </w14:textFill>
              </w:rPr>
              <w:t xml:space="preserve">）。 </w:t>
            </w:r>
          </w:p>
        </w:tc>
      </w:tr>
      <w:tr w14:paraId="6FED5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596" w:type="dxa"/>
            <w:noWrap/>
            <w:vAlign w:val="center"/>
          </w:tcPr>
          <w:p w14:paraId="65A931F5">
            <w:pPr>
              <w:keepNext w:val="0"/>
              <w:keepLines w:val="0"/>
              <w:pageBreakBefore w:val="0"/>
              <w:kinsoku/>
              <w:wordWrap/>
              <w:overflowPunct/>
              <w:topLinePunct w:val="0"/>
              <w:autoSpaceDE/>
              <w:autoSpaceDN/>
              <w:bidi w:val="0"/>
              <w:adjustRightInd/>
              <w:snapToGrid/>
              <w:spacing w:after="120" w:afterLines="50" w:line="360" w:lineRule="auto"/>
              <w:ind w:firstLine="28"/>
              <w:jc w:val="center"/>
              <w:textAlignment w:val="auto"/>
              <w:rPr>
                <w:rFonts w:ascii="仿宋" w:hAnsi="仿宋" w:eastAsia="仿宋" w:cs="宋体"/>
                <w:sz w:val="24"/>
              </w:rPr>
            </w:pPr>
            <w:r>
              <w:rPr>
                <w:rFonts w:hint="eastAsia" w:ascii="仿宋" w:hAnsi="仿宋" w:eastAsia="仿宋" w:cs="宋体"/>
                <w:sz w:val="24"/>
              </w:rPr>
              <w:t>3</w:t>
            </w:r>
          </w:p>
        </w:tc>
        <w:tc>
          <w:tcPr>
            <w:tcW w:w="1384" w:type="dxa"/>
            <w:noWrap/>
            <w:vAlign w:val="center"/>
          </w:tcPr>
          <w:p w14:paraId="4EE35F8A">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eastAsia" w:ascii="仿宋" w:hAnsi="仿宋" w:eastAsia="仿宋" w:cs="宋体"/>
                <w:sz w:val="24"/>
                <w:lang w:val="en-US" w:eastAsia="zh-CN"/>
              </w:rPr>
            </w:pPr>
            <w:r>
              <w:rPr>
                <w:rFonts w:hint="eastAsia" w:ascii="仿宋" w:hAnsi="仿宋" w:eastAsia="仿宋" w:cs="宋体"/>
                <w:sz w:val="24"/>
                <w:lang w:val="en-US" w:eastAsia="zh-CN"/>
              </w:rPr>
              <w:t>服务方案</w:t>
            </w:r>
          </w:p>
        </w:tc>
        <w:tc>
          <w:tcPr>
            <w:tcW w:w="709" w:type="dxa"/>
            <w:noWrap/>
            <w:vAlign w:val="center"/>
          </w:tcPr>
          <w:p w14:paraId="48EBD06A">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12</w:t>
            </w:r>
          </w:p>
        </w:tc>
        <w:tc>
          <w:tcPr>
            <w:tcW w:w="6520" w:type="dxa"/>
            <w:shd w:val="clear" w:color="auto" w:fill="auto"/>
            <w:noWrap/>
            <w:vAlign w:val="top"/>
          </w:tcPr>
          <w:p w14:paraId="14B7CA30">
            <w:pPr>
              <w:pStyle w:val="41"/>
              <w:keepNext w:val="0"/>
              <w:keepLines w:val="0"/>
              <w:pageBreakBefore w:val="0"/>
              <w:kinsoku/>
              <w:wordWrap/>
              <w:overflowPunct/>
              <w:topLinePunct w:val="0"/>
              <w:autoSpaceDE/>
              <w:autoSpaceDN/>
              <w:bidi w:val="0"/>
              <w:adjustRightInd/>
              <w:snapToGrid/>
              <w:spacing w:line="360" w:lineRule="auto"/>
              <w:jc w:val="left"/>
              <w:textAlignment w:val="auto"/>
              <w:rPr>
                <w:rFonts w:ascii="仿宋_GB2312" w:hAnsi="仿宋_GB2312" w:eastAsia="仿宋_GB2312" w:cs="仿宋_GB2312"/>
                <w:color w:val="000000" w:themeColor="text1"/>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根据供应商针对本项目提供的服务方案进行评审，方案内容包括：①应急服务处理方案</w:t>
            </w:r>
            <w:r>
              <w:rPr>
                <w:rFonts w:hint="eastAsia" w:ascii="仿宋_GB2312" w:hAnsi="仿宋_GB2312" w:eastAsia="仿宋_GB2312" w:cs="仿宋_GB2312"/>
                <w:color w:val="000000" w:themeColor="text1"/>
                <w:lang w:eastAsia="zh-CN"/>
                <w14:textFill>
                  <w14:solidFill>
                    <w14:schemeClr w14:val="tx1"/>
                  </w14:solidFill>
                </w14:textFill>
              </w:rPr>
              <w:t>；</w:t>
            </w:r>
            <w:r>
              <w:rPr>
                <w:rFonts w:ascii="仿宋_GB2312" w:hAnsi="仿宋_GB2312" w:eastAsia="仿宋_GB2312" w:cs="仿宋_GB2312"/>
                <w:color w:val="000000" w:themeColor="text1"/>
                <w14:textFill>
                  <w14:solidFill>
                    <w14:schemeClr w14:val="tx1"/>
                  </w14:solidFill>
                </w14:textFill>
              </w:rPr>
              <w:t>②质量保障</w:t>
            </w:r>
            <w:r>
              <w:rPr>
                <w:rFonts w:hint="eastAsia" w:ascii="仿宋_GB2312" w:hAnsi="仿宋_GB2312" w:eastAsia="仿宋_GB2312" w:cs="仿宋_GB2312"/>
                <w:color w:val="000000" w:themeColor="text1"/>
                <w:lang w:eastAsia="zh-CN"/>
                <w14:textFill>
                  <w14:solidFill>
                    <w14:schemeClr w14:val="tx1"/>
                  </w14:solidFill>
                </w14:textFill>
              </w:rPr>
              <w:t>、</w:t>
            </w:r>
            <w:r>
              <w:rPr>
                <w:rFonts w:hint="eastAsia" w:ascii="仿宋_GB2312" w:hAnsi="仿宋_GB2312" w:eastAsia="仿宋_GB2312" w:cs="仿宋_GB2312"/>
                <w:color w:val="000000" w:themeColor="text1"/>
                <w:lang w:val="en-US" w:eastAsia="zh-CN"/>
                <w14:textFill>
                  <w14:solidFill>
                    <w14:schemeClr w14:val="tx1"/>
                  </w14:solidFill>
                </w14:textFill>
              </w:rPr>
              <w:t>维修更换</w:t>
            </w:r>
            <w:r>
              <w:rPr>
                <w:rFonts w:ascii="仿宋_GB2312" w:hAnsi="仿宋_GB2312" w:eastAsia="仿宋_GB2312" w:cs="仿宋_GB2312"/>
                <w:color w:val="000000" w:themeColor="text1"/>
                <w14:textFill>
                  <w14:solidFill>
                    <w14:schemeClr w14:val="tx1"/>
                  </w14:solidFill>
                </w14:textFill>
              </w:rPr>
              <w:t>措施</w:t>
            </w:r>
            <w:r>
              <w:rPr>
                <w:rFonts w:hint="eastAsia" w:ascii="仿宋_GB2312" w:hAnsi="仿宋_GB2312" w:eastAsia="仿宋_GB2312" w:cs="仿宋_GB2312"/>
                <w:color w:val="000000" w:themeColor="text1"/>
                <w:lang w:eastAsia="zh-CN"/>
                <w14:textFill>
                  <w14:solidFill>
                    <w14:schemeClr w14:val="tx1"/>
                  </w14:solidFill>
                </w14:textFill>
              </w:rPr>
              <w:t>；</w:t>
            </w:r>
            <w:r>
              <w:rPr>
                <w:rFonts w:ascii="仿宋_GB2312" w:hAnsi="仿宋_GB2312" w:eastAsia="仿宋_GB2312" w:cs="仿宋_GB2312"/>
                <w:color w:val="000000" w:themeColor="text1"/>
                <w14:textFill>
                  <w14:solidFill>
                    <w14:schemeClr w14:val="tx1"/>
                  </w14:solidFill>
                </w14:textFill>
              </w:rPr>
              <w:t>③</w:t>
            </w:r>
            <w:r>
              <w:rPr>
                <w:rFonts w:hint="eastAsia" w:ascii="仿宋_GB2312" w:hAnsi="仿宋_GB2312" w:eastAsia="仿宋_GB2312" w:cs="仿宋_GB2312"/>
                <w:color w:val="000000" w:themeColor="text1"/>
                <w:lang w:val="en-US" w:eastAsia="zh-CN"/>
                <w14:textFill>
                  <w14:solidFill>
                    <w14:schemeClr w14:val="tx1"/>
                  </w14:solidFill>
                </w14:textFill>
              </w:rPr>
              <w:t>供货周期、</w:t>
            </w:r>
            <w:r>
              <w:rPr>
                <w:rFonts w:ascii="仿宋_GB2312" w:hAnsi="仿宋_GB2312" w:eastAsia="仿宋_GB2312" w:cs="仿宋_GB2312"/>
                <w:color w:val="000000" w:themeColor="text1"/>
                <w14:textFill>
                  <w14:solidFill>
                    <w14:schemeClr w14:val="tx1"/>
                  </w14:solidFill>
                </w14:textFill>
              </w:rPr>
              <w:t>货源紧缺的处理方案、配送</w:t>
            </w:r>
            <w:r>
              <w:rPr>
                <w:rFonts w:hint="eastAsia" w:ascii="仿宋_GB2312" w:hAnsi="仿宋_GB2312" w:eastAsia="仿宋_GB2312" w:cs="仿宋_GB2312"/>
                <w:color w:val="000000" w:themeColor="text1"/>
                <w:lang w:val="en-US" w:eastAsia="zh-CN"/>
                <w14:textFill>
                  <w14:solidFill>
                    <w14:schemeClr w14:val="tx1"/>
                  </w14:solidFill>
                </w14:textFill>
              </w:rPr>
              <w:t>安装</w:t>
            </w:r>
            <w:r>
              <w:rPr>
                <w:rFonts w:ascii="仿宋_GB2312" w:hAnsi="仿宋_GB2312" w:eastAsia="仿宋_GB2312" w:cs="仿宋_GB2312"/>
                <w:color w:val="000000" w:themeColor="text1"/>
                <w14:textFill>
                  <w14:solidFill>
                    <w14:schemeClr w14:val="tx1"/>
                  </w14:solidFill>
                </w14:textFill>
              </w:rPr>
              <w:t>服务</w:t>
            </w:r>
            <w:r>
              <w:rPr>
                <w:rFonts w:hint="eastAsia" w:ascii="仿宋_GB2312" w:hAnsi="仿宋_GB2312" w:eastAsia="仿宋_GB2312" w:cs="仿宋_GB2312"/>
                <w:color w:val="000000" w:themeColor="text1"/>
                <w:lang w:eastAsia="zh-CN"/>
                <w14:textFill>
                  <w14:solidFill>
                    <w14:schemeClr w14:val="tx1"/>
                  </w14:solidFill>
                </w14:textFill>
              </w:rPr>
              <w:t>；</w:t>
            </w:r>
            <w:r>
              <w:rPr>
                <w:rFonts w:ascii="仿宋_GB2312" w:hAnsi="仿宋_GB2312" w:eastAsia="仿宋_GB2312" w:cs="仿宋_GB2312"/>
                <w:color w:val="000000" w:themeColor="text1"/>
                <w14:textFill>
                  <w14:solidFill>
                    <w14:schemeClr w14:val="tx1"/>
                  </w14:solidFill>
                </w14:textFill>
              </w:rPr>
              <w:t>④</w:t>
            </w:r>
            <w:r>
              <w:rPr>
                <w:rFonts w:hint="eastAsia" w:ascii="仿宋_GB2312" w:hAnsi="仿宋_GB2312" w:eastAsia="仿宋_GB2312" w:cs="仿宋_GB2312"/>
                <w:color w:val="000000" w:themeColor="text1"/>
                <w:lang w:val="en-US" w:eastAsia="zh-CN"/>
                <w14:textFill>
                  <w14:solidFill>
                    <w14:schemeClr w14:val="tx1"/>
                  </w14:solidFill>
                </w14:textFill>
              </w:rPr>
              <w:t>服务团队人员配置，</w:t>
            </w:r>
            <w:r>
              <w:rPr>
                <w:rFonts w:ascii="仿宋_GB2312" w:hAnsi="仿宋_GB2312" w:eastAsia="仿宋_GB2312" w:cs="仿宋_GB2312"/>
                <w:color w:val="000000" w:themeColor="text1"/>
                <w14:textFill>
                  <w14:solidFill>
                    <w14:schemeClr w14:val="tx1"/>
                  </w14:solidFill>
                </w14:textFill>
              </w:rPr>
              <w:t xml:space="preserve">提供完整（共4项）得12分，每有一项内容未提供的扣3分，最多扣12分；每项中每有一处内容存在缺陷的扣1.5分，每项最多扣3分。 </w:t>
            </w:r>
          </w:p>
          <w:p w14:paraId="1B75DE77">
            <w:pPr>
              <w:pStyle w:val="41"/>
              <w:keepNext w:val="0"/>
              <w:keepLines w:val="0"/>
              <w:pageBreakBefore w:val="0"/>
              <w:kinsoku/>
              <w:wordWrap/>
              <w:overflowPunct/>
              <w:topLinePunct w:val="0"/>
              <w:autoSpaceDE/>
              <w:autoSpaceDN/>
              <w:bidi w:val="0"/>
              <w:adjustRightInd/>
              <w:snapToGrid/>
              <w:spacing w:line="360" w:lineRule="auto"/>
              <w:jc w:val="left"/>
              <w:textAlignment w:val="auto"/>
              <w:rPr>
                <w:rFonts w:hint="default" w:asciiTheme="minorHAnsi" w:hAnsiTheme="minorHAnsi" w:eastAsiaTheme="minorEastAsia" w:cstheme="minorBidi"/>
                <w:color w:val="000000" w:themeColor="text1"/>
                <w:kern w:val="0"/>
                <w:sz w:val="24"/>
                <w:szCs w:val="24"/>
                <w:lang w:val="en-US" w:eastAsia="zh-CN" w:bidi="ar-SA"/>
                <w14:textFill>
                  <w14:solidFill>
                    <w14:schemeClr w14:val="tx1"/>
                  </w14:solidFill>
                </w14:textFill>
              </w:rPr>
            </w:pPr>
            <w:r>
              <w:rPr>
                <w:rFonts w:ascii="仿宋_GB2312" w:hAnsi="仿宋_GB2312" w:eastAsia="仿宋_GB2312" w:cs="仿宋_GB2312"/>
                <w:color w:val="000000" w:themeColor="text1"/>
                <w14:textFill>
                  <w14:solidFill>
                    <w14:schemeClr w14:val="tx1"/>
                  </w14:solidFill>
                </w14:textFill>
              </w:rPr>
              <w:t>注：缺陷是指存在项目名称错误、地点区域错误、内容与本项目需求无关、适用的标准（方法）错误、明显复制其他项目内容任意一种情形。</w:t>
            </w:r>
          </w:p>
        </w:tc>
      </w:tr>
      <w:tr w14:paraId="406D2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596" w:type="dxa"/>
            <w:noWrap/>
            <w:vAlign w:val="center"/>
          </w:tcPr>
          <w:p w14:paraId="3A1F9608">
            <w:pPr>
              <w:keepNext w:val="0"/>
              <w:keepLines w:val="0"/>
              <w:pageBreakBefore w:val="0"/>
              <w:kinsoku/>
              <w:wordWrap/>
              <w:overflowPunct/>
              <w:topLinePunct w:val="0"/>
              <w:autoSpaceDE/>
              <w:autoSpaceDN/>
              <w:bidi w:val="0"/>
              <w:adjustRightInd/>
              <w:snapToGrid/>
              <w:spacing w:after="120" w:afterLines="50" w:line="360" w:lineRule="auto"/>
              <w:ind w:firstLine="28"/>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4</w:t>
            </w:r>
          </w:p>
        </w:tc>
        <w:tc>
          <w:tcPr>
            <w:tcW w:w="1384" w:type="dxa"/>
            <w:noWrap/>
            <w:vAlign w:val="center"/>
          </w:tcPr>
          <w:p w14:paraId="2889DEEB">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质保服务</w:t>
            </w:r>
          </w:p>
        </w:tc>
        <w:tc>
          <w:tcPr>
            <w:tcW w:w="709" w:type="dxa"/>
            <w:noWrap/>
            <w:vAlign w:val="center"/>
          </w:tcPr>
          <w:p w14:paraId="29AC0C72">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_GB2312" w:hAnsi="仿宋_GB2312" w:eastAsia="仿宋_GB2312" w:cs="仿宋_GB2312"/>
                <w:color w:val="000000" w:themeColor="text1"/>
                <w:kern w:val="0"/>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SA"/>
                <w14:textFill>
                  <w14:solidFill>
                    <w14:schemeClr w14:val="tx1"/>
                  </w14:solidFill>
                </w14:textFill>
              </w:rPr>
              <w:t>8</w:t>
            </w:r>
          </w:p>
        </w:tc>
        <w:tc>
          <w:tcPr>
            <w:tcW w:w="6520" w:type="dxa"/>
            <w:shd w:val="clear" w:color="auto" w:fill="auto"/>
            <w:noWrap/>
            <w:vAlign w:val="top"/>
          </w:tcPr>
          <w:p w14:paraId="658FE310">
            <w:pPr>
              <w:pStyle w:val="41"/>
              <w:keepNext w:val="0"/>
              <w:keepLines w:val="0"/>
              <w:pageBreakBefore w:val="0"/>
              <w:kinsoku/>
              <w:wordWrap/>
              <w:overflowPunct/>
              <w:topLinePunct w:val="0"/>
              <w:autoSpaceDE/>
              <w:autoSpaceDN/>
              <w:bidi w:val="0"/>
              <w:adjustRightInd/>
              <w:snapToGrid/>
              <w:spacing w:line="360" w:lineRule="auto"/>
              <w:jc w:val="left"/>
              <w:textAlignment w:val="auto"/>
              <w:rPr>
                <w:rFonts w:hint="default" w:ascii="仿宋" w:hAnsi="仿宋" w:eastAsia="仿宋" w:cs="仿宋"/>
                <w:kern w:val="0"/>
                <w:sz w:val="24"/>
                <w:szCs w:val="24"/>
                <w:lang w:val="en-US" w:eastAsia="zh-CN" w:bidi="ar"/>
              </w:rPr>
            </w:pPr>
            <w:r>
              <w:rPr>
                <w:rFonts w:hint="eastAsia" w:ascii="仿宋" w:hAnsi="仿宋" w:eastAsia="仿宋" w:cstheme="minorBidi"/>
                <w:kern w:val="2"/>
                <w:sz w:val="24"/>
                <w:szCs w:val="24"/>
                <w:lang w:val="en-US" w:eastAsia="zh-CN" w:bidi="ar-SA"/>
              </w:rPr>
              <w:t>供应商承诺提供物料质保服务，质保时间在满足1年的基础上，每增加半年得4分，本项最多得8分</w:t>
            </w:r>
          </w:p>
          <w:p w14:paraId="365C9CDB">
            <w:pPr>
              <w:pStyle w:val="41"/>
              <w:keepNext w:val="0"/>
              <w:keepLines w:val="0"/>
              <w:pageBreakBefore w:val="0"/>
              <w:kinsoku/>
              <w:wordWrap/>
              <w:overflowPunct/>
              <w:topLinePunct w:val="0"/>
              <w:autoSpaceDE/>
              <w:autoSpaceDN/>
              <w:bidi w:val="0"/>
              <w:adjustRightInd/>
              <w:snapToGrid/>
              <w:spacing w:line="360" w:lineRule="auto"/>
              <w:jc w:val="left"/>
              <w:textAlignment w:val="auto"/>
              <w:rPr>
                <w:rFonts w:hint="default" w:ascii="仿宋_GB2312" w:hAnsi="仿宋_GB2312" w:eastAsia="仿宋_GB2312" w:cs="仿宋_GB2312"/>
                <w:color w:val="000000" w:themeColor="text1"/>
                <w:kern w:val="0"/>
                <w:sz w:val="24"/>
                <w:szCs w:val="24"/>
                <w:lang w:val="en-US" w:eastAsia="zh-CN" w:bidi="ar-SA"/>
                <w14:textFill>
                  <w14:solidFill>
                    <w14:schemeClr w14:val="tx1"/>
                  </w14:solidFill>
                </w14:textFill>
              </w:rPr>
            </w:pPr>
            <w:r>
              <w:rPr>
                <w:rFonts w:hint="eastAsia" w:ascii="仿宋_GB2312" w:hAnsi="仿宋_GB2312" w:eastAsia="仿宋_GB2312" w:cs="仿宋_GB2312"/>
                <w:color w:val="000000" w:themeColor="text1"/>
                <w:kern w:val="0"/>
                <w:sz w:val="24"/>
                <w:szCs w:val="24"/>
                <w:lang w:val="en-US" w:eastAsia="zh-CN" w:bidi="ar-SA"/>
                <w14:textFill>
                  <w14:solidFill>
                    <w14:schemeClr w14:val="tx1"/>
                  </w14:solidFill>
                </w14:textFill>
              </w:rPr>
              <w:t>注：提供承诺函并加盖供应商公章。</w:t>
            </w:r>
          </w:p>
        </w:tc>
      </w:tr>
      <w:tr w14:paraId="2D00C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96" w:type="dxa"/>
            <w:noWrap/>
            <w:vAlign w:val="center"/>
          </w:tcPr>
          <w:p w14:paraId="43656B5F">
            <w:pPr>
              <w:keepNext w:val="0"/>
              <w:keepLines w:val="0"/>
              <w:pageBreakBefore w:val="0"/>
              <w:kinsoku/>
              <w:wordWrap/>
              <w:overflowPunct/>
              <w:topLinePunct w:val="0"/>
              <w:autoSpaceDE/>
              <w:autoSpaceDN/>
              <w:bidi w:val="0"/>
              <w:adjustRightInd/>
              <w:snapToGrid/>
              <w:spacing w:after="120" w:afterLines="50" w:line="360" w:lineRule="auto"/>
              <w:ind w:firstLine="28"/>
              <w:jc w:val="center"/>
              <w:textAlignment w:val="auto"/>
              <w:rPr>
                <w:rFonts w:hint="eastAsia" w:ascii="仿宋" w:hAnsi="仿宋" w:eastAsia="仿宋" w:cs="宋体"/>
                <w:sz w:val="24"/>
                <w:lang w:val="en-US" w:eastAsia="zh-CN"/>
              </w:rPr>
            </w:pPr>
            <w:r>
              <w:rPr>
                <w:rFonts w:hint="eastAsia" w:ascii="仿宋" w:hAnsi="仿宋" w:eastAsia="仿宋" w:cs="宋体"/>
                <w:sz w:val="24"/>
                <w:lang w:val="en-US" w:eastAsia="zh-CN"/>
              </w:rPr>
              <w:t>5</w:t>
            </w:r>
          </w:p>
        </w:tc>
        <w:tc>
          <w:tcPr>
            <w:tcW w:w="1384" w:type="dxa"/>
            <w:noWrap/>
            <w:vAlign w:val="center"/>
          </w:tcPr>
          <w:p w14:paraId="0A455A0B">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业绩</w:t>
            </w:r>
          </w:p>
        </w:tc>
        <w:tc>
          <w:tcPr>
            <w:tcW w:w="709" w:type="dxa"/>
            <w:noWrap/>
            <w:vAlign w:val="center"/>
          </w:tcPr>
          <w:p w14:paraId="0486775E">
            <w:pPr>
              <w:keepNext w:val="0"/>
              <w:keepLines w:val="0"/>
              <w:pageBreakBefore w:val="0"/>
              <w:kinsoku/>
              <w:wordWrap/>
              <w:overflowPunct/>
              <w:topLinePunct w:val="0"/>
              <w:autoSpaceDE/>
              <w:autoSpaceDN/>
              <w:bidi w:val="0"/>
              <w:adjustRightInd/>
              <w:snapToGrid/>
              <w:spacing w:after="120" w:afterLines="50" w:line="360" w:lineRule="auto"/>
              <w:jc w:val="center"/>
              <w:textAlignment w:val="auto"/>
              <w:rPr>
                <w:rFonts w:hint="default" w:ascii="仿宋" w:hAnsi="仿宋" w:eastAsia="仿宋" w:cs="宋体"/>
                <w:sz w:val="24"/>
                <w:lang w:val="en-US" w:eastAsia="zh-CN"/>
              </w:rPr>
            </w:pPr>
            <w:r>
              <w:rPr>
                <w:rFonts w:hint="eastAsia" w:ascii="仿宋" w:hAnsi="仿宋" w:eastAsia="仿宋" w:cs="宋体"/>
                <w:sz w:val="24"/>
                <w:lang w:val="en-US" w:eastAsia="zh-CN"/>
              </w:rPr>
              <w:t>40</w:t>
            </w:r>
          </w:p>
        </w:tc>
        <w:tc>
          <w:tcPr>
            <w:tcW w:w="6520" w:type="dxa"/>
            <w:noWrap/>
            <w:vAlign w:val="center"/>
          </w:tcPr>
          <w:p w14:paraId="3D668BFD">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val="en-US" w:eastAsia="zh-CN"/>
              </w:rPr>
            </w:pPr>
            <w:r>
              <w:rPr>
                <w:rFonts w:hint="default" w:ascii="仿宋" w:hAnsi="仿宋" w:eastAsia="仿宋" w:cs="仿宋"/>
                <w:sz w:val="24"/>
                <w:szCs w:val="24"/>
                <w:lang w:val="en-US" w:eastAsia="zh-CN"/>
              </w:rPr>
              <w:t>供应商提供自2023年1月1日（含）以来类似项目业绩，类似项目业绩是指医疗卫生行业广告物料制作相关服务业绩。</w:t>
            </w:r>
            <w:r>
              <w:rPr>
                <w:rFonts w:hint="eastAsia" w:ascii="仿宋" w:hAnsi="仿宋" w:eastAsia="仿宋" w:cs="仿宋"/>
                <w:sz w:val="24"/>
                <w:szCs w:val="24"/>
                <w:lang w:val="en-US" w:eastAsia="zh-CN"/>
              </w:rPr>
              <w:t>每提供1个得4分，本项最多得40分。</w:t>
            </w:r>
          </w:p>
          <w:p w14:paraId="2019CCE6">
            <w:pPr>
              <w:keepNext w:val="0"/>
              <w:keepLines w:val="0"/>
              <w:pageBreakBefore w:val="0"/>
              <w:kinsoku/>
              <w:wordWrap/>
              <w:overflowPunct/>
              <w:topLinePunct w:val="0"/>
              <w:autoSpaceDE/>
              <w:autoSpaceDN/>
              <w:bidi w:val="0"/>
              <w:adjustRightInd/>
              <w:snapToGrid/>
              <w:spacing w:line="360" w:lineRule="auto"/>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注：提供中标（成交）通知书或合同复印件并加盖供应商公章</w:t>
            </w:r>
          </w:p>
        </w:tc>
      </w:tr>
    </w:tbl>
    <w:p w14:paraId="7DAE9004">
      <w:pPr>
        <w:rPr>
          <w:rFonts w:hint="default" w:eastAsiaTheme="minorEastAsia"/>
          <w:lang w:val="en-US" w:eastAsia="zh-CN"/>
        </w:rPr>
      </w:pPr>
      <w:r>
        <w:rPr>
          <w:rFonts w:hint="default" w:eastAsiaTheme="minorEastAsia"/>
          <w:lang w:val="en-US" w:eastAsia="zh-CN"/>
        </w:rPr>
        <w:br w:type="page"/>
      </w:r>
    </w:p>
    <w:p w14:paraId="0B7A9893">
      <w:pPr>
        <w:jc w:val="center"/>
        <w:rPr>
          <w:rFonts w:hint="default" w:eastAsiaTheme="minorEastAsia"/>
          <w:lang w:val="en-US" w:eastAsia="zh-CN"/>
        </w:rPr>
      </w:pPr>
    </w:p>
    <w:p w14:paraId="0B9F1C4B">
      <w:pPr>
        <w:pStyle w:val="2"/>
        <w:rPr>
          <w:rFonts w:ascii="Times New Roman" w:hAnsi="Times New Roman" w:cs="Times New Roman"/>
        </w:rPr>
      </w:pPr>
      <w:bookmarkStart w:id="18" w:name="_Toc3094"/>
      <w:bookmarkStart w:id="19" w:name="_Toc28171"/>
      <w:bookmarkStart w:id="20" w:name="_Toc22827"/>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4097"/>
      <w:bookmarkStart w:id="31" w:name="_Toc21472"/>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7163"/>
      <w:bookmarkStart w:id="33" w:name="_Toc32749"/>
      <w:bookmarkStart w:id="34" w:name="_Toc1690"/>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6803"/>
      <w:bookmarkStart w:id="37" w:name="_Toc3558"/>
      <w:bookmarkStart w:id="38" w:name="_Toc24123"/>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27135"/>
      <w:bookmarkStart w:id="41" w:name="_Toc5996"/>
      <w:bookmarkStart w:id="42" w:name="_Toc2989"/>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19987"/>
      <w:bookmarkStart w:id="45" w:name="_Toc5056"/>
      <w:bookmarkStart w:id="46" w:name="_Toc2031"/>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3023"/>
      <w:bookmarkStart w:id="49" w:name="_Toc14829"/>
      <w:bookmarkStart w:id="50" w:name="_Toc11352"/>
      <w:bookmarkStart w:id="51" w:name="_Toc6482"/>
      <w:bookmarkStart w:id="52" w:name="_Toc21519"/>
      <w:bookmarkStart w:id="53" w:name="_Toc16029"/>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17857"/>
      <w:bookmarkStart w:id="55" w:name="_Toc30971"/>
      <w:bookmarkStart w:id="56" w:name="_Toc4305"/>
      <w:bookmarkStart w:id="57" w:name="_Toc31838"/>
      <w:bookmarkStart w:id="58" w:name="_Toc22676"/>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13904"/>
      <w:bookmarkStart w:id="64" w:name="_Toc25357"/>
    </w:p>
    <w:p w14:paraId="76B8A196">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25638"/>
      <w:bookmarkStart w:id="68" w:name="_Toc12015"/>
      <w:bookmarkStart w:id="69" w:name="_Toc15526"/>
      <w:bookmarkStart w:id="70" w:name="_Toc11351"/>
      <w:bookmarkStart w:id="71" w:name="_Toc27661"/>
      <w:bookmarkStart w:id="72" w:name="_Toc20589"/>
      <w:r>
        <w:rPr>
          <w:rStyle w:val="40"/>
          <w:b/>
        </w:rPr>
        <w:t>法定代表人身份证明书</w:t>
      </w:r>
      <w:bookmarkEnd w:id="67"/>
      <w:bookmarkEnd w:id="68"/>
      <w:bookmarkEnd w:id="69"/>
      <w:bookmarkEnd w:id="70"/>
      <w:bookmarkEnd w:id="71"/>
      <w:bookmarkEnd w:id="72"/>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23967"/>
      <w:bookmarkStart w:id="74" w:name="_Toc16435"/>
      <w:bookmarkStart w:id="75" w:name="_Toc26969"/>
      <w:bookmarkStart w:id="76" w:name="_Toc2041"/>
      <w:bookmarkStart w:id="77" w:name="_Toc1074"/>
      <w:bookmarkStart w:id="78" w:name="_Toc12967"/>
      <w:r>
        <w:rPr>
          <w:rStyle w:val="40"/>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31686"/>
      <w:bookmarkStart w:id="80" w:name="_Toc1369"/>
      <w:bookmarkStart w:id="81" w:name="_Toc24806"/>
      <w:bookmarkStart w:id="82" w:name="_Toc28634"/>
      <w:bookmarkStart w:id="83" w:name="_Toc26839"/>
      <w:bookmarkStart w:id="84" w:name="_Toc21082"/>
      <w:r>
        <w:rPr>
          <w:rStyle w:val="40"/>
          <w:b/>
        </w:rPr>
        <w:t>评分需要提供的证明材料</w:t>
      </w:r>
      <w:bookmarkEnd w:id="79"/>
      <w:bookmarkEnd w:id="80"/>
      <w:bookmarkEnd w:id="81"/>
      <w:bookmarkEnd w:id="82"/>
      <w:bookmarkEnd w:id="83"/>
      <w:bookmarkEnd w:id="84"/>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871"/>
      <w:bookmarkStart w:id="87" w:name="_Toc32605"/>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4"/>
        <w:gridCol w:w="2795"/>
        <w:gridCol w:w="1997"/>
        <w:gridCol w:w="2024"/>
        <w:gridCol w:w="2024"/>
      </w:tblGrid>
      <w:tr w14:paraId="6A81B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5" w:hRule="atLeast"/>
          <w:jc w:val="center"/>
        </w:trPr>
        <w:tc>
          <w:tcPr>
            <w:tcW w:w="407" w:type="pct"/>
            <w:vAlign w:val="center"/>
          </w:tcPr>
          <w:p w14:paraId="3E795A10">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1451" w:type="pct"/>
            <w:vAlign w:val="center"/>
          </w:tcPr>
          <w:p w14:paraId="0DC726A8">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采购标的名称</w:t>
            </w:r>
          </w:p>
        </w:tc>
        <w:tc>
          <w:tcPr>
            <w:tcW w:w="1037" w:type="pct"/>
            <w:vAlign w:val="center"/>
          </w:tcPr>
          <w:p w14:paraId="572EFFB4">
            <w:pPr>
              <w:pStyle w:val="7"/>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下浮率</w:t>
            </w:r>
          </w:p>
        </w:tc>
        <w:tc>
          <w:tcPr>
            <w:tcW w:w="1051" w:type="pct"/>
            <w:vAlign w:val="center"/>
          </w:tcPr>
          <w:p w14:paraId="4F773F70">
            <w:pPr>
              <w:pStyle w:val="7"/>
              <w:pBdr>
                <w:top w:val="none" w:color="auto" w:sz="0" w:space="0"/>
                <w:left w:val="none" w:color="auto" w:sz="0" w:space="0"/>
                <w:bottom w:val="none" w:color="auto" w:sz="0" w:space="0"/>
                <w:right w:val="none" w:color="auto" w:sz="0" w:space="0"/>
                <w:between w:val="none" w:color="auto" w:sz="0" w:space="0"/>
              </w:pBdr>
              <w:jc w:val="center"/>
              <w:rPr>
                <w:rFonts w:hint="default" w:ascii="仿宋" w:hAnsi="仿宋" w:eastAsia="仿宋" w:cs="仿宋"/>
                <w:b/>
                <w:bCs/>
                <w:kern w:val="0"/>
                <w:sz w:val="24"/>
                <w:szCs w:val="24"/>
                <w:lang w:val="en-US" w:eastAsia="zh-CN"/>
              </w:rPr>
            </w:pPr>
            <w:r>
              <w:rPr>
                <w:rFonts w:hint="eastAsia" w:ascii="仿宋" w:hAnsi="仿宋" w:eastAsia="仿宋" w:cs="仿宋"/>
                <w:b/>
                <w:bCs/>
                <w:kern w:val="0"/>
                <w:sz w:val="24"/>
                <w:szCs w:val="24"/>
                <w:lang w:val="en-US" w:eastAsia="zh-CN"/>
              </w:rPr>
              <w:t>质保期</w:t>
            </w:r>
          </w:p>
        </w:tc>
        <w:tc>
          <w:tcPr>
            <w:tcW w:w="1051" w:type="pct"/>
            <w:vAlign w:val="center"/>
          </w:tcPr>
          <w:p w14:paraId="33CC70B7">
            <w:pPr>
              <w:spacing w:line="360" w:lineRule="auto"/>
              <w:jc w:val="center"/>
              <w:rPr>
                <w:rFonts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备注</w:t>
            </w:r>
          </w:p>
        </w:tc>
      </w:tr>
      <w:tr w14:paraId="518B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407" w:type="pct"/>
            <w:vAlign w:val="center"/>
          </w:tcPr>
          <w:p w14:paraId="1026F3E0">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451" w:type="pct"/>
            <w:vAlign w:val="center"/>
          </w:tcPr>
          <w:p w14:paraId="0E75681C">
            <w:pPr>
              <w:pStyle w:val="7"/>
              <w:spacing w:after="0" w:line="360" w:lineRule="auto"/>
              <w:jc w:val="center"/>
              <w:rPr>
                <w:rFonts w:ascii="仿宋" w:hAnsi="仿宋" w:eastAsia="仿宋" w:cs="仿宋"/>
                <w:sz w:val="24"/>
                <w:szCs w:val="24"/>
              </w:rPr>
            </w:pPr>
            <w:r>
              <w:rPr>
                <w:rFonts w:hint="eastAsia" w:ascii="仿宋" w:hAnsi="仿宋" w:eastAsia="仿宋" w:cs="仿宋"/>
                <w:sz w:val="24"/>
                <w:szCs w:val="24"/>
                <w:lang w:eastAsia="zh-CN"/>
              </w:rPr>
              <w:t>四川省人民医院2026年广告物料制作服务</w:t>
            </w:r>
          </w:p>
        </w:tc>
        <w:tc>
          <w:tcPr>
            <w:tcW w:w="1037" w:type="pct"/>
            <w:vAlign w:val="center"/>
          </w:tcPr>
          <w:p w14:paraId="67B1645D">
            <w:pPr>
              <w:pStyle w:val="7"/>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w:t>
            </w:r>
          </w:p>
        </w:tc>
        <w:tc>
          <w:tcPr>
            <w:tcW w:w="1051" w:type="pct"/>
            <w:vAlign w:val="center"/>
          </w:tcPr>
          <w:p w14:paraId="76F99FDF">
            <w:pPr>
              <w:pStyle w:val="7"/>
              <w:pBdr>
                <w:top w:val="none" w:color="auto" w:sz="0" w:space="0"/>
                <w:left w:val="none" w:color="auto" w:sz="0" w:space="0"/>
                <w:bottom w:val="none" w:color="auto" w:sz="0" w:space="0"/>
                <w:right w:val="none" w:color="auto" w:sz="0" w:space="0"/>
                <w:between w:val="none" w:color="auto" w:sz="0" w:space="0"/>
              </w:pBdr>
              <w:jc w:val="center"/>
              <w:rPr>
                <w:rFonts w:hint="eastAsia" w:ascii="仿宋" w:hAnsi="仿宋" w:eastAsia="仿宋" w:cs="仿宋"/>
                <w:b/>
                <w:bCs/>
                <w:sz w:val="24"/>
                <w:szCs w:val="24"/>
                <w:lang w:val="en-US" w:eastAsia="zh-CN"/>
              </w:rPr>
            </w:pPr>
          </w:p>
        </w:tc>
        <w:tc>
          <w:tcPr>
            <w:tcW w:w="1051" w:type="pct"/>
            <w:vAlign w:val="center"/>
          </w:tcPr>
          <w:p w14:paraId="0523631D">
            <w:pPr>
              <w:pStyle w:val="7"/>
              <w:spacing w:after="0" w:line="360" w:lineRule="auto"/>
              <w:jc w:val="center"/>
              <w:rPr>
                <w:rFonts w:ascii="仿宋" w:hAnsi="仿宋" w:eastAsia="仿宋" w:cs="仿宋"/>
                <w:sz w:val="24"/>
                <w:szCs w:val="24"/>
              </w:rPr>
            </w:pPr>
          </w:p>
        </w:tc>
      </w:tr>
    </w:tbl>
    <w:p w14:paraId="273FD11C">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tbl>
      <w:tblPr>
        <w:tblStyle w:val="18"/>
        <w:tblW w:w="5000" w:type="pct"/>
        <w:jc w:val="center"/>
        <w:tblLayout w:type="autofit"/>
        <w:tblCellMar>
          <w:top w:w="0" w:type="dxa"/>
          <w:left w:w="0" w:type="dxa"/>
          <w:bottom w:w="0" w:type="dxa"/>
          <w:right w:w="0" w:type="dxa"/>
        </w:tblCellMar>
      </w:tblPr>
      <w:tblGrid>
        <w:gridCol w:w="4688"/>
        <w:gridCol w:w="4950"/>
      </w:tblGrid>
      <w:tr w14:paraId="53E544C7">
        <w:tblPrEx>
          <w:tblCellMar>
            <w:top w:w="0" w:type="dxa"/>
            <w:left w:w="0" w:type="dxa"/>
            <w:bottom w:w="0" w:type="dxa"/>
            <w:right w:w="0" w:type="dxa"/>
          </w:tblCellMar>
        </w:tblPrEx>
        <w:trPr>
          <w:trHeight w:val="767" w:hRule="atLeast"/>
          <w:jc w:val="center"/>
        </w:trPr>
        <w:tc>
          <w:tcPr>
            <w:tcW w:w="10204" w:type="dxa"/>
            <w:gridSpan w:val="2"/>
          </w:tcPr>
          <w:p w14:paraId="2272F69E">
            <w:pPr>
              <w:contextualSpacing/>
              <w:rPr>
                <w:color w:val="000000"/>
                <w:szCs w:val="21"/>
              </w:rPr>
            </w:pPr>
            <w:r>
              <w:rPr>
                <w:b/>
                <w:bCs/>
                <w:color w:val="000000"/>
                <w:szCs w:val="21"/>
              </w:rPr>
              <w:t>合同编号</w:t>
            </w:r>
            <w:r>
              <w:rPr>
                <w:color w:val="000000"/>
                <w:szCs w:val="21"/>
              </w:rPr>
              <w:t>：CGZX-***</w:t>
            </w:r>
          </w:p>
          <w:p w14:paraId="2F6BC159">
            <w:pPr>
              <w:contextualSpacing/>
              <w:rPr>
                <w:color w:val="000000"/>
                <w:szCs w:val="21"/>
              </w:rPr>
            </w:pPr>
            <w:r>
              <w:rPr>
                <w:b/>
                <w:bCs/>
                <w:color w:val="000000"/>
                <w:szCs w:val="21"/>
              </w:rPr>
              <w:t>签订地点</w:t>
            </w:r>
            <w:r>
              <w:rPr>
                <w:color w:val="000000"/>
                <w:szCs w:val="21"/>
              </w:rPr>
              <w:t>：四川省人民医院</w:t>
            </w:r>
          </w:p>
        </w:tc>
      </w:tr>
      <w:tr w14:paraId="0D99C533">
        <w:tblPrEx>
          <w:tblCellMar>
            <w:top w:w="0" w:type="dxa"/>
            <w:left w:w="0" w:type="dxa"/>
            <w:bottom w:w="0" w:type="dxa"/>
            <w:right w:w="0" w:type="dxa"/>
          </w:tblCellMar>
        </w:tblPrEx>
        <w:trPr>
          <w:jc w:val="center"/>
        </w:trPr>
        <w:tc>
          <w:tcPr>
            <w:tcW w:w="4962" w:type="dxa"/>
          </w:tcPr>
          <w:p w14:paraId="1D8C7125">
            <w:pPr>
              <w:rPr>
                <w:szCs w:val="21"/>
              </w:rPr>
            </w:pPr>
            <w:r>
              <w:rPr>
                <w:b/>
                <w:bCs/>
                <w:szCs w:val="21"/>
              </w:rPr>
              <w:t>采购人（以下简称甲方）</w:t>
            </w:r>
            <w:r>
              <w:rPr>
                <w:szCs w:val="21"/>
              </w:rPr>
              <w:t>：四川省人民医院</w:t>
            </w:r>
          </w:p>
          <w:p w14:paraId="2FDD4CAB">
            <w:pPr>
              <w:rPr>
                <w:szCs w:val="21"/>
              </w:rPr>
            </w:pPr>
            <w:r>
              <w:rPr>
                <w:b/>
                <w:bCs/>
                <w:szCs w:val="21"/>
              </w:rPr>
              <w:t>地址</w:t>
            </w:r>
            <w:r>
              <w:rPr>
                <w:szCs w:val="21"/>
              </w:rPr>
              <w:t>：四川省成都市一环路西二段32号</w:t>
            </w:r>
          </w:p>
          <w:p w14:paraId="57D306C0">
            <w:pPr>
              <w:rPr>
                <w:szCs w:val="21"/>
              </w:rPr>
            </w:pPr>
            <w:r>
              <w:rPr>
                <w:b/>
                <w:bCs/>
                <w:szCs w:val="21"/>
              </w:rPr>
              <w:t>项目联系人</w:t>
            </w:r>
            <w:r>
              <w:rPr>
                <w:szCs w:val="21"/>
              </w:rPr>
              <w:t xml:space="preserve">：*** </w:t>
            </w:r>
            <w:r>
              <w:rPr>
                <w:b/>
                <w:bCs/>
                <w:szCs w:val="21"/>
              </w:rPr>
              <w:t>电话</w:t>
            </w:r>
            <w:r>
              <w:rPr>
                <w:szCs w:val="21"/>
              </w:rPr>
              <w:t>：***</w:t>
            </w:r>
          </w:p>
          <w:p w14:paraId="55B6CA4B">
            <w:r>
              <w:rPr>
                <w:rFonts w:hint="eastAsia"/>
                <w:b/>
                <w:bCs/>
                <w:szCs w:val="21"/>
              </w:rPr>
              <w:t>电子邮件：</w:t>
            </w:r>
            <w:r>
              <w:rPr>
                <w:rFonts w:hint="eastAsia"/>
                <w:szCs w:val="21"/>
              </w:rPr>
              <w:t>*</w:t>
            </w:r>
            <w:r>
              <w:rPr>
                <w:szCs w:val="21"/>
              </w:rPr>
              <w:t>**</w:t>
            </w:r>
          </w:p>
        </w:tc>
        <w:tc>
          <w:tcPr>
            <w:tcW w:w="5242" w:type="dxa"/>
          </w:tcPr>
          <w:p w14:paraId="607B7137">
            <w:pPr>
              <w:rPr>
                <w:b/>
                <w:bCs/>
                <w:szCs w:val="21"/>
              </w:rPr>
            </w:pPr>
            <w:r>
              <w:rPr>
                <w:b/>
                <w:bCs/>
                <w:szCs w:val="21"/>
              </w:rPr>
              <w:t>供应商（以下简称乙方）：***</w:t>
            </w:r>
          </w:p>
          <w:p w14:paraId="7AB3403D">
            <w:pPr>
              <w:rPr>
                <w:b/>
                <w:bCs/>
                <w:szCs w:val="21"/>
              </w:rPr>
            </w:pPr>
            <w:r>
              <w:rPr>
                <w:b/>
                <w:bCs/>
                <w:szCs w:val="21"/>
              </w:rPr>
              <w:t>地址：***</w:t>
            </w:r>
          </w:p>
          <w:p w14:paraId="49B46EA1">
            <w:pPr>
              <w:rPr>
                <w:b/>
                <w:bCs/>
                <w:szCs w:val="21"/>
              </w:rPr>
            </w:pPr>
            <w:r>
              <w:rPr>
                <w:b/>
                <w:bCs/>
                <w:szCs w:val="21"/>
              </w:rPr>
              <w:t>移动电话：***</w:t>
            </w:r>
          </w:p>
          <w:p w14:paraId="2A04E3BE">
            <w:pPr>
              <w:contextualSpacing/>
              <w:rPr>
                <w:b/>
                <w:bCs/>
                <w:szCs w:val="21"/>
              </w:rPr>
            </w:pPr>
            <w:r>
              <w:rPr>
                <w:b/>
                <w:bCs/>
                <w:szCs w:val="21"/>
              </w:rPr>
              <w:t>联系人：***</w:t>
            </w:r>
          </w:p>
          <w:p w14:paraId="18A1ADEB">
            <w:pPr>
              <w:rPr>
                <w:bCs/>
                <w:szCs w:val="21"/>
              </w:rPr>
            </w:pPr>
            <w:r>
              <w:rPr>
                <w:rFonts w:hint="eastAsia"/>
                <w:b/>
                <w:bCs/>
                <w:szCs w:val="21"/>
              </w:rPr>
              <w:t>电子邮件：</w:t>
            </w:r>
            <w:r>
              <w:rPr>
                <w:rFonts w:hint="eastAsia"/>
                <w:szCs w:val="21"/>
              </w:rPr>
              <w:t>*</w:t>
            </w:r>
            <w:r>
              <w:rPr>
                <w:szCs w:val="21"/>
              </w:rPr>
              <w:t>**</w:t>
            </w:r>
          </w:p>
        </w:tc>
      </w:tr>
    </w:tbl>
    <w:p w14:paraId="5F2EEB2D">
      <w:pPr>
        <w:ind w:firstLine="420" w:firstLineChars="200"/>
        <w:contextualSpacing/>
        <w:jc w:val="left"/>
        <w:rPr>
          <w:color w:val="000000"/>
          <w:szCs w:val="21"/>
        </w:rPr>
      </w:pPr>
    </w:p>
    <w:p w14:paraId="2600F949">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0" w:edGrp="everyone"/>
      <w:r>
        <w:rPr>
          <w:color w:val="000000"/>
          <w:szCs w:val="21"/>
        </w:rPr>
        <w:t>：</w:t>
      </w:r>
      <w:r>
        <w:rPr>
          <w:szCs w:val="21"/>
        </w:rPr>
        <w:t>***</w:t>
      </w:r>
      <w:permEnd w:id="0"/>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0E683A7E">
      <w:pPr>
        <w:contextualSpacing/>
        <w:jc w:val="left"/>
        <w:rPr>
          <w:b/>
          <w:szCs w:val="21"/>
        </w:rPr>
      </w:pPr>
    </w:p>
    <w:p w14:paraId="4F98A680">
      <w:pPr>
        <w:pStyle w:val="29"/>
        <w:numPr>
          <w:ilvl w:val="0"/>
          <w:numId w:val="14"/>
        </w:numPr>
        <w:ind w:left="0" w:firstLine="0" w:firstLineChars="0"/>
        <w:contextualSpacing/>
        <w:jc w:val="left"/>
        <w:rPr>
          <w:b/>
          <w:szCs w:val="21"/>
        </w:rPr>
      </w:pPr>
      <w:r>
        <w:rPr>
          <w:b/>
          <w:szCs w:val="21"/>
        </w:rPr>
        <w:t>合同标的</w:t>
      </w:r>
    </w:p>
    <w:p w14:paraId="2E385537">
      <w:pPr>
        <w:pStyle w:val="9"/>
        <w:numPr>
          <w:ilvl w:val="0"/>
          <w:numId w:val="15"/>
        </w:numPr>
        <w:spacing w:after="0" w:line="240" w:lineRule="auto"/>
        <w:ind w:left="210" w:leftChars="0" w:hanging="210" w:hangingChars="100"/>
        <w:contextualSpacing/>
        <w:jc w:val="left"/>
        <w:rPr>
          <w:szCs w:val="21"/>
        </w:rPr>
      </w:pPr>
      <w:r>
        <w:rPr>
          <w:szCs w:val="21"/>
        </w:rPr>
        <w:t>标的名称：</w:t>
      </w:r>
      <w:permStart w:id="1" w:edGrp="everyone"/>
      <w:r>
        <w:rPr>
          <w:szCs w:val="21"/>
        </w:rPr>
        <w:t>***</w:t>
      </w:r>
      <w:permEnd w:id="1"/>
      <w:r>
        <w:rPr>
          <w:szCs w:val="21"/>
        </w:rPr>
        <w:t>。</w:t>
      </w:r>
    </w:p>
    <w:p w14:paraId="4229FB38">
      <w:pPr>
        <w:pStyle w:val="9"/>
        <w:numPr>
          <w:ilvl w:val="0"/>
          <w:numId w:val="15"/>
        </w:numPr>
        <w:spacing w:after="0" w:line="240" w:lineRule="auto"/>
        <w:ind w:left="210" w:leftChars="0" w:hanging="210" w:hangingChars="100"/>
        <w:contextualSpacing/>
        <w:jc w:val="left"/>
        <w:rPr>
          <w:szCs w:val="21"/>
        </w:rPr>
      </w:pPr>
      <w:r>
        <w:rPr>
          <w:rFonts w:hint="eastAsia"/>
          <w:szCs w:val="21"/>
        </w:rPr>
        <w:t>乙方向甲方提供服务的主要内容：*</w:t>
      </w:r>
      <w:r>
        <w:rPr>
          <w:szCs w:val="21"/>
        </w:rPr>
        <w:t>**</w:t>
      </w:r>
      <w:r>
        <w:rPr>
          <w:rFonts w:hint="eastAsia"/>
          <w:szCs w:val="21"/>
        </w:rPr>
        <w:t>。</w:t>
      </w:r>
    </w:p>
    <w:p w14:paraId="5F975DD2">
      <w:pPr>
        <w:pStyle w:val="9"/>
        <w:numPr>
          <w:ilvl w:val="0"/>
          <w:numId w:val="15"/>
        </w:numPr>
        <w:spacing w:after="0" w:line="240" w:lineRule="auto"/>
        <w:ind w:left="210" w:leftChars="0" w:hanging="210" w:hangingChars="100"/>
        <w:contextualSpacing/>
        <w:jc w:val="left"/>
        <w:rPr>
          <w:szCs w:val="21"/>
        </w:rPr>
      </w:pPr>
      <w:r>
        <w:rPr>
          <w:rFonts w:hint="eastAsia"/>
          <w:szCs w:val="21"/>
        </w:rPr>
        <w:t>服务分项明细：</w:t>
      </w:r>
      <w:r>
        <w:rPr>
          <w:rFonts w:hint="eastAsia"/>
          <w:i/>
          <w:iCs/>
          <w:color w:val="000000"/>
          <w:szCs w:val="21"/>
          <w:highlight w:val="yellow"/>
          <w:lang w:val="zh-CN"/>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48"/>
        <w:gridCol w:w="2796"/>
        <w:gridCol w:w="3458"/>
        <w:gridCol w:w="928"/>
        <w:gridCol w:w="1898"/>
      </w:tblGrid>
      <w:tr w14:paraId="28200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4CF73042">
            <w:pPr>
              <w:pStyle w:val="29"/>
              <w:ind w:firstLine="0" w:firstLineChars="0"/>
              <w:jc w:val="center"/>
              <w:rPr>
                <w:color w:val="000000"/>
                <w:szCs w:val="21"/>
              </w:rPr>
            </w:pPr>
            <w:r>
              <w:rPr>
                <w:color w:val="000000"/>
                <w:szCs w:val="21"/>
              </w:rPr>
              <w:t>序号</w:t>
            </w:r>
          </w:p>
        </w:tc>
        <w:tc>
          <w:tcPr>
            <w:tcW w:w="2977" w:type="dxa"/>
            <w:vAlign w:val="center"/>
          </w:tcPr>
          <w:p w14:paraId="42032E31">
            <w:pPr>
              <w:pStyle w:val="29"/>
              <w:ind w:firstLine="0" w:firstLineChars="0"/>
              <w:jc w:val="center"/>
              <w:rPr>
                <w:color w:val="000000"/>
                <w:szCs w:val="21"/>
              </w:rPr>
            </w:pPr>
            <w:r>
              <w:rPr>
                <w:color w:val="000000"/>
                <w:szCs w:val="21"/>
              </w:rPr>
              <w:t>分项</w:t>
            </w:r>
            <w:r>
              <w:rPr>
                <w:rFonts w:hint="eastAsia"/>
                <w:color w:val="000000"/>
                <w:szCs w:val="21"/>
              </w:rPr>
              <w:t>服务</w:t>
            </w:r>
            <w:r>
              <w:rPr>
                <w:color w:val="000000"/>
                <w:szCs w:val="21"/>
              </w:rPr>
              <w:t>名称</w:t>
            </w:r>
          </w:p>
        </w:tc>
        <w:tc>
          <w:tcPr>
            <w:tcW w:w="3686" w:type="dxa"/>
            <w:vAlign w:val="center"/>
          </w:tcPr>
          <w:p w14:paraId="0F0FDBF4">
            <w:pPr>
              <w:pStyle w:val="29"/>
              <w:ind w:firstLine="0" w:firstLineChars="0"/>
              <w:jc w:val="center"/>
              <w:rPr>
                <w:color w:val="000000"/>
                <w:szCs w:val="21"/>
              </w:rPr>
            </w:pPr>
            <w:r>
              <w:rPr>
                <w:color w:val="000000"/>
                <w:szCs w:val="21"/>
              </w:rPr>
              <w:t>具体内容</w:t>
            </w:r>
          </w:p>
        </w:tc>
        <w:tc>
          <w:tcPr>
            <w:tcW w:w="963" w:type="dxa"/>
            <w:vAlign w:val="center"/>
          </w:tcPr>
          <w:p w14:paraId="6E75E46C">
            <w:pPr>
              <w:pStyle w:val="29"/>
              <w:ind w:firstLine="0" w:firstLineChars="0"/>
              <w:jc w:val="center"/>
              <w:rPr>
                <w:color w:val="000000"/>
                <w:szCs w:val="21"/>
              </w:rPr>
            </w:pPr>
            <w:r>
              <w:rPr>
                <w:color w:val="000000"/>
                <w:szCs w:val="21"/>
              </w:rPr>
              <w:t>分项价格（万元）</w:t>
            </w:r>
          </w:p>
        </w:tc>
        <w:tc>
          <w:tcPr>
            <w:tcW w:w="2016" w:type="dxa"/>
          </w:tcPr>
          <w:p w14:paraId="3BC8F9B2">
            <w:pPr>
              <w:pStyle w:val="29"/>
              <w:ind w:firstLine="0" w:firstLineChars="0"/>
              <w:jc w:val="center"/>
              <w:rPr>
                <w:color w:val="000000"/>
                <w:szCs w:val="21"/>
              </w:rPr>
            </w:pPr>
            <w:r>
              <w:rPr>
                <w:color w:val="000000"/>
                <w:szCs w:val="21"/>
              </w:rPr>
              <w:t>备注</w:t>
            </w:r>
          </w:p>
        </w:tc>
      </w:tr>
      <w:tr w14:paraId="51E84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F0309E5">
            <w:pPr>
              <w:pStyle w:val="29"/>
              <w:ind w:firstLine="0" w:firstLineChars="0"/>
              <w:jc w:val="center"/>
              <w:rPr>
                <w:color w:val="000000"/>
                <w:szCs w:val="21"/>
              </w:rPr>
            </w:pPr>
            <w:r>
              <w:rPr>
                <w:rFonts w:hint="eastAsia"/>
                <w:color w:val="000000"/>
                <w:szCs w:val="21"/>
              </w:rPr>
              <w:t>1</w:t>
            </w:r>
          </w:p>
        </w:tc>
        <w:tc>
          <w:tcPr>
            <w:tcW w:w="2977" w:type="dxa"/>
            <w:vAlign w:val="center"/>
          </w:tcPr>
          <w:p w14:paraId="629F7C51">
            <w:pPr>
              <w:pStyle w:val="29"/>
              <w:ind w:firstLine="0" w:firstLineChars="0"/>
              <w:rPr>
                <w:color w:val="000000"/>
                <w:szCs w:val="21"/>
              </w:rPr>
            </w:pPr>
          </w:p>
        </w:tc>
        <w:tc>
          <w:tcPr>
            <w:tcW w:w="3686" w:type="dxa"/>
            <w:vAlign w:val="center"/>
          </w:tcPr>
          <w:p w14:paraId="1B711F72">
            <w:pPr>
              <w:pStyle w:val="29"/>
              <w:ind w:firstLine="0" w:firstLineChars="0"/>
              <w:rPr>
                <w:color w:val="000000"/>
                <w:szCs w:val="21"/>
              </w:rPr>
            </w:pPr>
          </w:p>
        </w:tc>
        <w:tc>
          <w:tcPr>
            <w:tcW w:w="963" w:type="dxa"/>
            <w:vAlign w:val="center"/>
          </w:tcPr>
          <w:p w14:paraId="5DD02118">
            <w:pPr>
              <w:pStyle w:val="29"/>
              <w:ind w:firstLine="0" w:firstLineChars="0"/>
              <w:jc w:val="center"/>
              <w:rPr>
                <w:color w:val="000000"/>
                <w:szCs w:val="21"/>
              </w:rPr>
            </w:pPr>
          </w:p>
        </w:tc>
        <w:tc>
          <w:tcPr>
            <w:tcW w:w="2016" w:type="dxa"/>
          </w:tcPr>
          <w:p w14:paraId="149276E7">
            <w:pPr>
              <w:pStyle w:val="29"/>
              <w:ind w:firstLine="0" w:firstLineChars="0"/>
              <w:rPr>
                <w:color w:val="000000"/>
                <w:szCs w:val="21"/>
              </w:rPr>
            </w:pPr>
          </w:p>
        </w:tc>
      </w:tr>
      <w:tr w14:paraId="24E0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6D0406F">
            <w:pPr>
              <w:pStyle w:val="29"/>
              <w:ind w:firstLine="0" w:firstLineChars="0"/>
              <w:jc w:val="center"/>
              <w:rPr>
                <w:color w:val="000000"/>
                <w:szCs w:val="21"/>
              </w:rPr>
            </w:pPr>
            <w:r>
              <w:rPr>
                <w:rFonts w:hint="eastAsia"/>
                <w:color w:val="000000"/>
                <w:szCs w:val="21"/>
              </w:rPr>
              <w:t>2</w:t>
            </w:r>
          </w:p>
        </w:tc>
        <w:tc>
          <w:tcPr>
            <w:tcW w:w="2977" w:type="dxa"/>
            <w:vAlign w:val="center"/>
          </w:tcPr>
          <w:p w14:paraId="0E44D544">
            <w:pPr>
              <w:pStyle w:val="29"/>
              <w:ind w:firstLine="0" w:firstLineChars="0"/>
              <w:rPr>
                <w:color w:val="000000"/>
                <w:szCs w:val="21"/>
              </w:rPr>
            </w:pPr>
          </w:p>
        </w:tc>
        <w:tc>
          <w:tcPr>
            <w:tcW w:w="3686" w:type="dxa"/>
            <w:vAlign w:val="center"/>
          </w:tcPr>
          <w:p w14:paraId="01B65D9C">
            <w:pPr>
              <w:pStyle w:val="29"/>
              <w:ind w:firstLine="0" w:firstLineChars="0"/>
              <w:rPr>
                <w:color w:val="000000"/>
                <w:szCs w:val="21"/>
              </w:rPr>
            </w:pPr>
          </w:p>
        </w:tc>
        <w:tc>
          <w:tcPr>
            <w:tcW w:w="963" w:type="dxa"/>
            <w:vAlign w:val="center"/>
          </w:tcPr>
          <w:p w14:paraId="4C31DD39">
            <w:pPr>
              <w:pStyle w:val="29"/>
              <w:ind w:firstLine="0" w:firstLineChars="0"/>
              <w:jc w:val="center"/>
              <w:rPr>
                <w:color w:val="000000"/>
                <w:szCs w:val="21"/>
              </w:rPr>
            </w:pPr>
          </w:p>
        </w:tc>
        <w:tc>
          <w:tcPr>
            <w:tcW w:w="2016" w:type="dxa"/>
          </w:tcPr>
          <w:p w14:paraId="3000AC5A">
            <w:pPr>
              <w:pStyle w:val="29"/>
              <w:ind w:firstLine="0" w:firstLineChars="0"/>
              <w:rPr>
                <w:color w:val="000000"/>
                <w:szCs w:val="21"/>
              </w:rPr>
            </w:pPr>
          </w:p>
        </w:tc>
      </w:tr>
      <w:tr w14:paraId="1A74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CFD05D7">
            <w:pPr>
              <w:pStyle w:val="29"/>
              <w:ind w:firstLine="0" w:firstLineChars="0"/>
              <w:jc w:val="center"/>
              <w:rPr>
                <w:color w:val="000000"/>
                <w:szCs w:val="21"/>
              </w:rPr>
            </w:pPr>
            <w:r>
              <w:rPr>
                <w:rFonts w:hint="eastAsia"/>
                <w:color w:val="000000"/>
                <w:szCs w:val="21"/>
              </w:rPr>
              <w:t>3</w:t>
            </w:r>
          </w:p>
        </w:tc>
        <w:tc>
          <w:tcPr>
            <w:tcW w:w="2977" w:type="dxa"/>
            <w:vAlign w:val="center"/>
          </w:tcPr>
          <w:p w14:paraId="71D5F885">
            <w:pPr>
              <w:pStyle w:val="29"/>
              <w:ind w:firstLine="0" w:firstLineChars="0"/>
              <w:rPr>
                <w:color w:val="000000"/>
                <w:szCs w:val="21"/>
              </w:rPr>
            </w:pPr>
          </w:p>
        </w:tc>
        <w:tc>
          <w:tcPr>
            <w:tcW w:w="3686" w:type="dxa"/>
            <w:vAlign w:val="center"/>
          </w:tcPr>
          <w:p w14:paraId="38AC0A57">
            <w:pPr>
              <w:pStyle w:val="29"/>
              <w:ind w:firstLine="0" w:firstLineChars="0"/>
              <w:rPr>
                <w:color w:val="000000"/>
                <w:szCs w:val="21"/>
              </w:rPr>
            </w:pPr>
          </w:p>
        </w:tc>
        <w:tc>
          <w:tcPr>
            <w:tcW w:w="963" w:type="dxa"/>
            <w:vAlign w:val="center"/>
          </w:tcPr>
          <w:p w14:paraId="3B158765">
            <w:pPr>
              <w:pStyle w:val="29"/>
              <w:ind w:firstLine="0" w:firstLineChars="0"/>
              <w:jc w:val="center"/>
              <w:rPr>
                <w:color w:val="000000"/>
                <w:szCs w:val="21"/>
              </w:rPr>
            </w:pPr>
          </w:p>
        </w:tc>
        <w:tc>
          <w:tcPr>
            <w:tcW w:w="2016" w:type="dxa"/>
          </w:tcPr>
          <w:p w14:paraId="43F7F4B9">
            <w:pPr>
              <w:pStyle w:val="29"/>
              <w:ind w:firstLine="0" w:firstLineChars="0"/>
              <w:rPr>
                <w:color w:val="000000"/>
                <w:szCs w:val="21"/>
              </w:rPr>
            </w:pPr>
          </w:p>
        </w:tc>
      </w:tr>
      <w:tr w14:paraId="6E89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8900C18">
            <w:pPr>
              <w:pStyle w:val="29"/>
              <w:ind w:firstLine="0" w:firstLineChars="0"/>
              <w:jc w:val="center"/>
              <w:rPr>
                <w:color w:val="000000"/>
                <w:szCs w:val="21"/>
              </w:rPr>
            </w:pPr>
            <w:r>
              <w:rPr>
                <w:color w:val="000000"/>
                <w:szCs w:val="21"/>
              </w:rPr>
              <w:t>…</w:t>
            </w:r>
          </w:p>
        </w:tc>
        <w:tc>
          <w:tcPr>
            <w:tcW w:w="2977" w:type="dxa"/>
            <w:vAlign w:val="center"/>
          </w:tcPr>
          <w:p w14:paraId="492CFE5D">
            <w:pPr>
              <w:pStyle w:val="29"/>
              <w:ind w:firstLine="0" w:firstLineChars="0"/>
              <w:rPr>
                <w:color w:val="000000"/>
                <w:szCs w:val="21"/>
              </w:rPr>
            </w:pPr>
          </w:p>
        </w:tc>
        <w:tc>
          <w:tcPr>
            <w:tcW w:w="3686" w:type="dxa"/>
            <w:vAlign w:val="center"/>
          </w:tcPr>
          <w:p w14:paraId="5E27032F">
            <w:pPr>
              <w:pStyle w:val="29"/>
              <w:ind w:firstLine="0" w:firstLineChars="0"/>
              <w:rPr>
                <w:color w:val="000000"/>
                <w:szCs w:val="21"/>
              </w:rPr>
            </w:pPr>
          </w:p>
        </w:tc>
        <w:tc>
          <w:tcPr>
            <w:tcW w:w="963" w:type="dxa"/>
            <w:vAlign w:val="center"/>
          </w:tcPr>
          <w:p w14:paraId="19B21445">
            <w:pPr>
              <w:pStyle w:val="29"/>
              <w:ind w:firstLine="0" w:firstLineChars="0"/>
              <w:jc w:val="center"/>
              <w:rPr>
                <w:color w:val="000000"/>
                <w:szCs w:val="21"/>
              </w:rPr>
            </w:pPr>
          </w:p>
        </w:tc>
        <w:tc>
          <w:tcPr>
            <w:tcW w:w="2016" w:type="dxa"/>
          </w:tcPr>
          <w:p w14:paraId="5FC047A6">
            <w:pPr>
              <w:pStyle w:val="29"/>
              <w:ind w:firstLine="0" w:firstLineChars="0"/>
              <w:rPr>
                <w:color w:val="000000"/>
                <w:szCs w:val="21"/>
              </w:rPr>
            </w:pPr>
          </w:p>
        </w:tc>
      </w:tr>
    </w:tbl>
    <w:p w14:paraId="2D35C912">
      <w:pPr>
        <w:pStyle w:val="29"/>
        <w:numPr>
          <w:ilvl w:val="0"/>
          <w:numId w:val="14"/>
        </w:numPr>
        <w:ind w:firstLineChars="0"/>
        <w:jc w:val="left"/>
        <w:rPr>
          <w:b/>
          <w:szCs w:val="21"/>
        </w:rPr>
      </w:pPr>
      <w:r>
        <w:rPr>
          <w:b/>
          <w:szCs w:val="21"/>
        </w:rPr>
        <w:t>合同</w:t>
      </w:r>
      <w:r>
        <w:rPr>
          <w:rFonts w:hint="eastAsia"/>
          <w:b/>
          <w:szCs w:val="21"/>
        </w:rPr>
        <w:t>价款</w:t>
      </w:r>
    </w:p>
    <w:p w14:paraId="036F89BD">
      <w:pPr>
        <w:ind w:firstLine="480"/>
        <w:contextualSpacing/>
        <w:jc w:val="left"/>
        <w:rPr>
          <w:szCs w:val="21"/>
        </w:rPr>
      </w:pPr>
      <w:bookmarkStart w:id="95" w:name="OLE_LINK2"/>
      <w:bookmarkStart w:id="96" w:name="OLE_LINK1"/>
      <w:r>
        <w:rPr>
          <w:color w:val="000000"/>
          <w:szCs w:val="21"/>
        </w:rPr>
        <w:sym w:font="Wingdings 2" w:char="F052"/>
      </w:r>
      <w:r>
        <w:rPr>
          <w:rFonts w:hint="eastAsia"/>
          <w:szCs w:val="21"/>
        </w:rPr>
        <w:t>全包服务</w:t>
      </w:r>
    </w:p>
    <w:p w14:paraId="6903D519">
      <w:pPr>
        <w:ind w:left="420" w:leftChars="200" w:firstLine="420" w:firstLineChars="200"/>
        <w:contextualSpacing/>
        <w:jc w:val="left"/>
        <w:rPr>
          <w:szCs w:val="21"/>
        </w:rPr>
      </w:pPr>
      <w:r>
        <w:rPr>
          <w:szCs w:val="21"/>
        </w:rPr>
        <w:t>合同总价（含税）为人民币大写：*** 圆整，即RMB *** 元</w:t>
      </w:r>
      <w:r>
        <w:rPr>
          <w:rFonts w:hint="eastAsia"/>
          <w:szCs w:val="21"/>
        </w:rPr>
        <w:t>，</w:t>
      </w:r>
      <w:r>
        <w:rPr>
          <w:szCs w:val="21"/>
        </w:rPr>
        <w:t>该合同总价已包括本合同标的所涉及的所有相关费用（包括但不限于技术服务、差旅</w:t>
      </w:r>
      <w:r>
        <w:rPr>
          <w:rFonts w:hint="eastAsia"/>
          <w:szCs w:val="21"/>
        </w:rPr>
        <w:t>交通</w:t>
      </w:r>
      <w:r>
        <w:rPr>
          <w:szCs w:val="21"/>
        </w:rPr>
        <w:t>、</w:t>
      </w:r>
      <w:r>
        <w:rPr>
          <w:rFonts w:hint="eastAsia"/>
          <w:szCs w:val="21"/>
        </w:rPr>
        <w:t>原材料、备品备件及</w:t>
      </w:r>
      <w:r>
        <w:rPr>
          <w:szCs w:val="21"/>
        </w:rPr>
        <w:t>税费</w:t>
      </w:r>
      <w:r>
        <w:rPr>
          <w:rFonts w:hint="eastAsia"/>
          <w:szCs w:val="21"/>
        </w:rPr>
        <w:t>等在内</w:t>
      </w:r>
      <w:r>
        <w:rPr>
          <w:szCs w:val="21"/>
        </w:rPr>
        <w:t>的全部含税费用）。本合同执行期间合同总价不变，甲方无须另向乙方支付本合同规定之外的其他任何费用。</w:t>
      </w:r>
    </w:p>
    <w:p w14:paraId="53131E2F">
      <w:pPr>
        <w:ind w:firstLine="480"/>
        <w:contextualSpacing/>
        <w:jc w:val="left"/>
      </w:pPr>
      <w:r>
        <w:rPr>
          <w:color w:val="000000"/>
          <w:szCs w:val="21"/>
          <w:shd w:val="clear" w:color="auto" w:fill="FFFFFF"/>
        </w:rPr>
        <w:sym w:font="Wingdings" w:char="F0A8"/>
      </w:r>
      <w:r>
        <w:rPr>
          <w:rFonts w:hint="eastAsia"/>
        </w:rPr>
        <w:t>半包服务</w:t>
      </w:r>
    </w:p>
    <w:p w14:paraId="1F79E5D1">
      <w:pPr>
        <w:ind w:left="420" w:leftChars="200" w:firstLine="420" w:firstLineChars="200"/>
        <w:contextualSpacing/>
        <w:jc w:val="left"/>
        <w:rPr>
          <w:szCs w:val="21"/>
        </w:rPr>
      </w:pPr>
      <w:r>
        <w:rPr>
          <w:rFonts w:hint="eastAsia"/>
          <w:szCs w:val="21"/>
        </w:rPr>
        <w:t>1</w:t>
      </w:r>
      <w:r>
        <w:rPr>
          <w:szCs w:val="21"/>
        </w:rPr>
        <w:t>.</w:t>
      </w:r>
      <w:r>
        <w:rPr>
          <w:rFonts w:hint="eastAsia"/>
          <w:szCs w:val="21"/>
        </w:rPr>
        <w:t>本合同固定部分价款为</w:t>
      </w:r>
      <w:bookmarkStart w:id="97" w:name="OLE_LINK28"/>
      <w:r>
        <w:rPr>
          <w:szCs w:val="21"/>
        </w:rPr>
        <w:t>人民币大写：*** 圆整，即RMB *** 元</w:t>
      </w:r>
      <w:bookmarkEnd w:id="97"/>
      <w:r>
        <w:rPr>
          <w:rFonts w:hint="eastAsia"/>
          <w:szCs w:val="21"/>
        </w:rPr>
        <w:t>，</w:t>
      </w:r>
      <w:r>
        <w:rPr>
          <w:szCs w:val="21"/>
        </w:rPr>
        <w:t>该</w:t>
      </w:r>
      <w:r>
        <w:rPr>
          <w:rFonts w:hint="eastAsia"/>
          <w:szCs w:val="21"/>
        </w:rPr>
        <w:t>部分价款</w:t>
      </w:r>
      <w:r>
        <w:rPr>
          <w:szCs w:val="21"/>
        </w:rPr>
        <w:t>已包括</w:t>
      </w:r>
      <w:r>
        <w:rPr>
          <w:rFonts w:hint="eastAsia"/>
          <w:szCs w:val="21"/>
        </w:rPr>
        <w:t>*</w:t>
      </w:r>
      <w:r>
        <w:rPr>
          <w:szCs w:val="21"/>
        </w:rPr>
        <w:t>**</w:t>
      </w:r>
      <w:r>
        <w:rPr>
          <w:rFonts w:hint="eastAsia"/>
          <w:szCs w:val="21"/>
        </w:rPr>
        <w:t>及</w:t>
      </w:r>
      <w:r>
        <w:rPr>
          <w:szCs w:val="21"/>
        </w:rPr>
        <w:t>税费</w:t>
      </w:r>
      <w:r>
        <w:rPr>
          <w:rFonts w:hint="eastAsia"/>
          <w:szCs w:val="21"/>
        </w:rPr>
        <w:t>在内</w:t>
      </w:r>
      <w:r>
        <w:rPr>
          <w:szCs w:val="21"/>
        </w:rPr>
        <w:t>的全部含税费用。本合同执行期间</w:t>
      </w:r>
      <w:r>
        <w:rPr>
          <w:rFonts w:hint="eastAsia"/>
          <w:szCs w:val="21"/>
        </w:rPr>
        <w:t>该部分</w:t>
      </w:r>
      <w:r>
        <w:rPr>
          <w:szCs w:val="21"/>
        </w:rPr>
        <w:t>合同</w:t>
      </w:r>
      <w:r>
        <w:rPr>
          <w:rFonts w:hint="eastAsia"/>
          <w:szCs w:val="21"/>
        </w:rPr>
        <w:t>价款</w:t>
      </w:r>
      <w:r>
        <w:rPr>
          <w:szCs w:val="21"/>
        </w:rPr>
        <w:t>不变，甲方无须向乙方支付本合同规定之外的其他任何费用。</w:t>
      </w:r>
    </w:p>
    <w:p w14:paraId="22723641">
      <w:pPr>
        <w:ind w:left="420" w:leftChars="200" w:firstLine="420" w:firstLineChars="200"/>
        <w:contextualSpacing/>
        <w:jc w:val="left"/>
        <w:rPr>
          <w:szCs w:val="21"/>
        </w:rPr>
      </w:pPr>
      <w:r>
        <w:rPr>
          <w:rFonts w:hint="eastAsia"/>
          <w:szCs w:val="21"/>
        </w:rPr>
        <w:t>2</w:t>
      </w:r>
      <w:r>
        <w:rPr>
          <w:szCs w:val="21"/>
        </w:rPr>
        <w:t>.</w:t>
      </w:r>
      <w:r>
        <w:rPr>
          <w:rFonts w:hint="eastAsia"/>
          <w:szCs w:val="21"/>
        </w:rPr>
        <w:t>本合同按实结算部分支付总额不超过</w:t>
      </w:r>
      <w:r>
        <w:rPr>
          <w:szCs w:val="21"/>
        </w:rPr>
        <w:t>人民币大写：*** 圆整，即RMB *** 元</w:t>
      </w:r>
      <w:r>
        <w:rPr>
          <w:rFonts w:hint="eastAsia"/>
          <w:szCs w:val="21"/>
        </w:rPr>
        <w:t>，依据本合同单价进行结算，结算依据及标准为：*</w:t>
      </w:r>
      <w:r>
        <w:rPr>
          <w:szCs w:val="21"/>
        </w:rPr>
        <w:t>**</w:t>
      </w:r>
      <w:r>
        <w:rPr>
          <w:rFonts w:hint="eastAsia"/>
          <w:szCs w:val="21"/>
        </w:rPr>
        <w:t>，结算单价详见附件1《结算单价清单》。</w:t>
      </w:r>
      <w:r>
        <w:rPr>
          <w:i/>
          <w:iCs/>
          <w:szCs w:val="21"/>
          <w:highlight w:val="yellow"/>
        </w:rPr>
        <w:t>&lt;根据项目实际情况</w:t>
      </w:r>
      <w:r>
        <w:rPr>
          <w:rFonts w:hint="eastAsia"/>
          <w:i/>
          <w:iCs/>
          <w:szCs w:val="21"/>
          <w:highlight w:val="yellow"/>
        </w:rPr>
        <w:t>编制结算依据、标准等必要内容</w:t>
      </w:r>
      <w:r>
        <w:rPr>
          <w:i/>
          <w:iCs/>
          <w:szCs w:val="21"/>
          <w:highlight w:val="yellow"/>
        </w:rPr>
        <w:t>&gt;</w:t>
      </w:r>
    </w:p>
    <w:p w14:paraId="12981F5A">
      <w:pPr>
        <w:ind w:firstLine="480"/>
        <w:contextualSpacing/>
        <w:jc w:val="left"/>
      </w:pPr>
      <w:r>
        <w:rPr>
          <w:color w:val="000000"/>
          <w:szCs w:val="21"/>
          <w:shd w:val="clear" w:color="auto" w:fill="FFFFFF"/>
        </w:rPr>
        <w:sym w:font="Wingdings" w:char="F0A8"/>
      </w:r>
      <w:r>
        <w:rPr>
          <w:rFonts w:hint="eastAsia"/>
        </w:rPr>
        <w:t>按实结算</w:t>
      </w:r>
    </w:p>
    <w:p w14:paraId="70F77AF6">
      <w:pPr>
        <w:ind w:left="420" w:leftChars="200" w:firstLine="420" w:firstLineChars="200"/>
        <w:contextualSpacing/>
        <w:jc w:val="left"/>
        <w:rPr>
          <w:szCs w:val="21"/>
        </w:rPr>
      </w:pPr>
      <w:r>
        <w:rPr>
          <w:rFonts w:hint="eastAsia"/>
          <w:szCs w:val="21"/>
        </w:rPr>
        <w:t>本合同支付总额不超过</w:t>
      </w:r>
      <w:r>
        <w:rPr>
          <w:szCs w:val="21"/>
        </w:rPr>
        <w:t>人民币大写：*** 圆整，即RMB *** 元</w:t>
      </w:r>
      <w:r>
        <w:rPr>
          <w:rFonts w:hint="eastAsia"/>
          <w:szCs w:val="21"/>
        </w:rPr>
        <w:t>，依据本合同单价进行结算，结算单价详见附件1《结算单价清单》。</w:t>
      </w:r>
    </w:p>
    <w:bookmarkEnd w:id="95"/>
    <w:bookmarkEnd w:id="96"/>
    <w:p w14:paraId="61352334">
      <w:pPr>
        <w:pStyle w:val="29"/>
        <w:numPr>
          <w:ilvl w:val="0"/>
          <w:numId w:val="14"/>
        </w:numPr>
        <w:ind w:left="0" w:firstLine="0" w:firstLineChars="0"/>
        <w:jc w:val="left"/>
        <w:rPr>
          <w:b/>
          <w:szCs w:val="21"/>
        </w:rPr>
      </w:pPr>
      <w:r>
        <w:rPr>
          <w:b/>
          <w:szCs w:val="21"/>
        </w:rPr>
        <w:t>服务期限</w:t>
      </w:r>
      <w:r>
        <w:rPr>
          <w:i/>
          <w:iCs/>
          <w:szCs w:val="21"/>
          <w:highlight w:val="yellow"/>
        </w:rPr>
        <w:t>&lt;根据项目实际情况选择&gt;</w:t>
      </w:r>
    </w:p>
    <w:p w14:paraId="4E947B0D">
      <w:pPr>
        <w:pStyle w:val="29"/>
        <w:jc w:val="left"/>
        <w:rPr>
          <w:bCs/>
          <w:szCs w:val="21"/>
        </w:rPr>
      </w:pPr>
      <w:r>
        <w:rPr>
          <w:color w:val="000000"/>
          <w:szCs w:val="21"/>
        </w:rPr>
        <w:sym w:font="Wingdings 2" w:char="F052"/>
      </w:r>
      <w:r>
        <w:rPr>
          <w:rFonts w:hint="eastAsia"/>
          <w:color w:val="000000"/>
          <w:szCs w:val="21"/>
        </w:rPr>
        <w:t>本</w:t>
      </w:r>
      <w:r>
        <w:rPr>
          <w:bCs/>
          <w:szCs w:val="21"/>
        </w:rPr>
        <w:t>合同服务期限为 *** 年，自 202* 年 *** 月 *** 日起至 202* 年 *** 月 *** 日。</w:t>
      </w:r>
    </w:p>
    <w:p w14:paraId="3141708C">
      <w:pPr>
        <w:pStyle w:val="29"/>
        <w:jc w:val="left"/>
        <w:rPr>
          <w:bCs/>
          <w:szCs w:val="21"/>
        </w:rPr>
      </w:pPr>
    </w:p>
    <w:p w14:paraId="368787FF">
      <w:pPr>
        <w:pStyle w:val="29"/>
        <w:jc w:val="left"/>
        <w:rPr>
          <w:bCs/>
          <w:szCs w:val="21"/>
        </w:rPr>
      </w:pPr>
      <w:r>
        <w:rPr>
          <w:color w:val="000000"/>
          <w:szCs w:val="21"/>
        </w:rPr>
        <w:sym w:font="Wingdings 2" w:char="F052"/>
      </w:r>
      <w:r>
        <w:rPr>
          <w:bCs/>
          <w:szCs w:val="21"/>
        </w:rPr>
        <w:t>本合同服务期限为</w:t>
      </w:r>
      <w:r>
        <w:rPr>
          <w:rFonts w:hint="eastAsia"/>
          <w:bCs/>
          <w:szCs w:val="21"/>
        </w:rPr>
        <w:t xml:space="preserve">双方签字盖章生效之日起 </w:t>
      </w:r>
      <w:r>
        <w:rPr>
          <w:bCs/>
          <w:szCs w:val="21"/>
        </w:rPr>
        <w:t>*** 年，</w:t>
      </w:r>
      <w:r>
        <w:rPr>
          <w:rFonts w:hint="eastAsia"/>
          <w:bCs/>
          <w:szCs w:val="21"/>
        </w:rPr>
        <w:t>即</w:t>
      </w:r>
      <w:r>
        <w:rPr>
          <w:bCs/>
          <w:szCs w:val="21"/>
        </w:rPr>
        <w:t>自 202* 年 *** 月 *** 日起至 202* 年 *** 月 *** 日。</w:t>
      </w:r>
    </w:p>
    <w:p w14:paraId="08791303">
      <w:pPr>
        <w:pStyle w:val="29"/>
        <w:jc w:val="left"/>
        <w:rPr>
          <w:bCs/>
          <w:szCs w:val="21"/>
        </w:rPr>
      </w:pPr>
    </w:p>
    <w:p w14:paraId="27DB179C">
      <w:pPr>
        <w:pStyle w:val="29"/>
        <w:ind w:left="105" w:leftChars="50" w:firstLine="315" w:firstLineChars="150"/>
        <w:jc w:val="left"/>
        <w:rPr>
          <w:b/>
          <w:szCs w:val="21"/>
        </w:rPr>
      </w:pPr>
      <w:r>
        <w:rPr>
          <w:color w:val="000000"/>
          <w:szCs w:val="21"/>
        </w:rPr>
        <w:sym w:font="Wingdings 2" w:char="F052"/>
      </w:r>
      <w:r>
        <w:rPr>
          <w:bCs/>
          <w:szCs w:val="21"/>
        </w:rPr>
        <w:t>本项目服务期为</w:t>
      </w:r>
      <w:r>
        <w:rPr>
          <w:bCs/>
          <w:szCs w:val="21"/>
          <w:u w:val="single"/>
        </w:rPr>
        <w:t>叁</w:t>
      </w:r>
      <w:r>
        <w:rPr>
          <w:bCs/>
          <w:szCs w:val="21"/>
        </w:rPr>
        <w:t>年（自202*年**月**日到202*年**月**日），合同一年一签，每年服务费为人民币 *** 元（大写：*** 圆整）。本合同为第***期，服务期为自202*年***月***日至202*年**月**日</w:t>
      </w:r>
      <w:r>
        <w:rPr>
          <w:bCs/>
          <w:szCs w:val="21"/>
          <w:u w:val="single"/>
        </w:rPr>
        <w:t>，经甲方考核合格后续签下一年合同</w:t>
      </w:r>
      <w:bookmarkStart w:id="98" w:name="OLE_LINK29"/>
      <w:r>
        <w:rPr>
          <w:rFonts w:hint="eastAsia"/>
          <w:bCs/>
          <w:szCs w:val="21"/>
        </w:rPr>
        <w:t>，考核标准详见附件</w:t>
      </w:r>
      <w:r>
        <w:rPr>
          <w:rFonts w:hint="eastAsia"/>
          <w:bCs/>
          <w:szCs w:val="21"/>
          <w:u w:val="single"/>
        </w:rPr>
        <w:t>2</w:t>
      </w:r>
      <w:r>
        <w:rPr>
          <w:rFonts w:hint="eastAsia"/>
          <w:bCs/>
          <w:szCs w:val="21"/>
        </w:rPr>
        <w:t>《考核标准》</w:t>
      </w:r>
      <w:bookmarkEnd w:id="98"/>
      <w:r>
        <w:rPr>
          <w:bCs/>
          <w:szCs w:val="21"/>
        </w:rPr>
        <w:t>。</w:t>
      </w:r>
    </w:p>
    <w:p w14:paraId="1B257405">
      <w:pPr>
        <w:pStyle w:val="29"/>
        <w:numPr>
          <w:ilvl w:val="0"/>
          <w:numId w:val="14"/>
        </w:numPr>
        <w:ind w:left="0" w:firstLine="0" w:firstLineChars="0"/>
        <w:contextualSpacing/>
        <w:jc w:val="left"/>
        <w:rPr>
          <w:b/>
          <w:szCs w:val="21"/>
        </w:rPr>
      </w:pPr>
      <w:r>
        <w:rPr>
          <w:b/>
          <w:szCs w:val="21"/>
        </w:rPr>
        <w:t>服务</w:t>
      </w:r>
      <w:r>
        <w:rPr>
          <w:rFonts w:hint="eastAsia"/>
          <w:b/>
          <w:szCs w:val="21"/>
        </w:rPr>
        <w:t>方案</w:t>
      </w:r>
    </w:p>
    <w:p w14:paraId="06E0AE13">
      <w:pPr>
        <w:ind w:firstLine="420" w:firstLineChars="200"/>
        <w:contextualSpacing/>
        <w:jc w:val="left"/>
        <w:rPr>
          <w:szCs w:val="21"/>
        </w:rPr>
      </w:pPr>
      <w:r>
        <w:rPr>
          <w:rFonts w:hint="eastAsia"/>
          <w:bCs/>
          <w:szCs w:val="21"/>
        </w:rPr>
        <w:t>乙方应严格按照本合同服务方案和甲方要求提供服务，服务方案</w:t>
      </w:r>
      <w:r>
        <w:rPr>
          <w:bCs/>
          <w:szCs w:val="21"/>
        </w:rPr>
        <w:t>详见附件3《服务</w:t>
      </w:r>
      <w:r>
        <w:rPr>
          <w:rFonts w:hint="eastAsia"/>
          <w:bCs/>
          <w:szCs w:val="21"/>
        </w:rPr>
        <w:t>方案</w:t>
      </w:r>
      <w:r>
        <w:rPr>
          <w:bCs/>
          <w:szCs w:val="21"/>
        </w:rPr>
        <w:t>》</w:t>
      </w:r>
      <w:r>
        <w:rPr>
          <w:rFonts w:hint="eastAsia"/>
          <w:bCs/>
          <w:szCs w:val="21"/>
        </w:rPr>
        <w:t>。</w:t>
      </w:r>
    </w:p>
    <w:p w14:paraId="7482C29A">
      <w:pPr>
        <w:pStyle w:val="29"/>
        <w:numPr>
          <w:ilvl w:val="0"/>
          <w:numId w:val="14"/>
        </w:numPr>
        <w:ind w:left="0" w:firstLine="0" w:firstLineChars="0"/>
        <w:contextualSpacing/>
        <w:jc w:val="left"/>
        <w:rPr>
          <w:b/>
          <w:szCs w:val="21"/>
        </w:rPr>
      </w:pPr>
      <w:r>
        <w:rPr>
          <w:b/>
          <w:szCs w:val="21"/>
        </w:rPr>
        <w:t>验收</w:t>
      </w:r>
    </w:p>
    <w:p w14:paraId="57707485">
      <w:pPr>
        <w:pStyle w:val="29"/>
        <w:numPr>
          <w:ilvl w:val="0"/>
          <w:numId w:val="16"/>
        </w:numPr>
        <w:ind w:left="0" w:firstLine="0" w:firstLineChars="0"/>
        <w:contextualSpacing/>
        <w:rPr>
          <w:szCs w:val="21"/>
        </w:rPr>
      </w:pPr>
      <w:r>
        <w:rPr>
          <w:szCs w:val="21"/>
        </w:rPr>
        <w:t>甲、乙双方确定，按照本合同约定的验收方案对乙方按本合同约定所提供的服务进行验收。</w:t>
      </w:r>
    </w:p>
    <w:p w14:paraId="103305C9">
      <w:pPr>
        <w:pStyle w:val="29"/>
        <w:numPr>
          <w:ilvl w:val="0"/>
          <w:numId w:val="16"/>
        </w:numPr>
        <w:ind w:left="0" w:firstLine="0" w:firstLineChars="0"/>
        <w:contextualSpacing/>
        <w:rPr>
          <w:szCs w:val="21"/>
        </w:rPr>
      </w:pPr>
      <w:r>
        <w:rPr>
          <w:szCs w:val="21"/>
        </w:rPr>
        <w:t>验收方案：</w:t>
      </w:r>
    </w:p>
    <w:p w14:paraId="10719FFA">
      <w:pPr>
        <w:pStyle w:val="29"/>
        <w:numPr>
          <w:ilvl w:val="0"/>
          <w:numId w:val="17"/>
        </w:numPr>
        <w:ind w:firstLineChars="0"/>
        <w:contextualSpacing/>
        <w:rPr>
          <w:color w:val="000000"/>
          <w:szCs w:val="21"/>
        </w:rPr>
      </w:pPr>
      <w:r>
        <w:rPr>
          <w:rFonts w:hint="eastAsia"/>
          <w:color w:val="000000"/>
          <w:szCs w:val="21"/>
        </w:rPr>
        <w:t>验收主体：甲方</w:t>
      </w:r>
    </w:p>
    <w:p w14:paraId="7212F6E2">
      <w:pPr>
        <w:pStyle w:val="29"/>
        <w:numPr>
          <w:ilvl w:val="0"/>
          <w:numId w:val="17"/>
        </w:numPr>
        <w:ind w:firstLineChars="0"/>
        <w:contextualSpacing/>
        <w:rPr>
          <w:color w:val="000000"/>
          <w:szCs w:val="21"/>
        </w:rPr>
      </w:pPr>
      <w:r>
        <w:rPr>
          <w:rFonts w:hint="eastAsia"/>
          <w:color w:val="000000"/>
          <w:szCs w:val="21"/>
        </w:rPr>
        <w:t>验收组织方式：自行验收</w:t>
      </w:r>
    </w:p>
    <w:p w14:paraId="5C963DBA">
      <w:pPr>
        <w:pStyle w:val="29"/>
        <w:numPr>
          <w:ilvl w:val="0"/>
          <w:numId w:val="17"/>
        </w:numPr>
        <w:ind w:firstLineChars="0"/>
        <w:contextualSpacing/>
        <w:rPr>
          <w:color w:val="000000"/>
          <w:szCs w:val="21"/>
        </w:rPr>
      </w:pPr>
      <w:r>
        <w:rPr>
          <w:color w:val="000000"/>
          <w:szCs w:val="21"/>
        </w:rPr>
        <w:t>验收程序：</w:t>
      </w:r>
      <w:r>
        <w:rPr/>
        <w:sym w:font="Wingdings 2" w:char="F052"/>
      </w:r>
      <w:r>
        <w:rPr>
          <w:rFonts w:hint="eastAsia"/>
          <w:color w:val="000000"/>
          <w:szCs w:val="21"/>
        </w:rPr>
        <w:t>一次性验收</w:t>
      </w:r>
      <w:r>
        <w:rPr>
          <w:color w:val="000000"/>
          <w:szCs w:val="21"/>
        </w:rPr>
        <w:t xml:space="preserve">   </w:t>
      </w:r>
      <w:r>
        <w:rPr/>
        <w:sym w:font="Wingdings" w:char="F0A8"/>
      </w:r>
      <w:r>
        <w:rPr>
          <w:rFonts w:hint="eastAsia"/>
          <w:color w:val="000000"/>
          <w:szCs w:val="21"/>
        </w:rPr>
        <w:t>分段</w:t>
      </w:r>
      <w:r>
        <w:rPr>
          <w:color w:val="000000"/>
          <w:szCs w:val="21"/>
        </w:rPr>
        <w:t>/</w:t>
      </w:r>
      <w:r>
        <w:rPr>
          <w:rFonts w:hint="eastAsia"/>
          <w:color w:val="000000"/>
          <w:szCs w:val="21"/>
        </w:rPr>
        <w:t>分期验收</w:t>
      </w:r>
    </w:p>
    <w:p w14:paraId="0ACAEB8E">
      <w:pPr>
        <w:pStyle w:val="29"/>
        <w:numPr>
          <w:ilvl w:val="0"/>
          <w:numId w:val="17"/>
        </w:numPr>
        <w:ind w:firstLineChars="0"/>
        <w:contextualSpacing/>
        <w:rPr>
          <w:color w:val="000000"/>
          <w:szCs w:val="21"/>
        </w:rPr>
      </w:pPr>
      <w:r>
        <w:rPr>
          <w:color w:val="000000"/>
          <w:szCs w:val="21"/>
        </w:rPr>
        <w:t>验收方式：</w:t>
      </w:r>
      <w:r>
        <w:rPr>
          <w:color w:val="000000"/>
        </w:rPr>
        <w:sym w:font="Wingdings 2" w:char="F052"/>
      </w:r>
      <w:r>
        <w:rPr>
          <w:rFonts w:hint="eastAsia"/>
          <w:color w:val="000000"/>
        </w:rPr>
        <w:t>现场整体验收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考核验收</w:t>
      </w:r>
      <w:r>
        <w:rPr>
          <w:color w:val="000000"/>
          <w:kern w:val="0"/>
          <w:szCs w:val="21"/>
          <w:shd w:val="clear" w:color="auto" w:fill="FFFFFF"/>
        </w:rPr>
        <w:t xml:space="preserve">   </w:t>
      </w:r>
      <w:r>
        <w:rPr>
          <w:color w:val="000000"/>
          <w:shd w:val="clear" w:color="auto" w:fill="FFFFFF"/>
        </w:rPr>
        <w:sym w:font="Wingdings" w:char="F0A8"/>
      </w:r>
      <w:r>
        <w:rPr>
          <w:rFonts w:hint="eastAsia"/>
          <w:color w:val="000000"/>
          <w:shd w:val="clear" w:color="auto" w:fill="FFFFFF"/>
        </w:rPr>
        <w:t>其它验收方式：</w:t>
      </w:r>
      <w:r>
        <w:rPr>
          <w:color w:val="000000"/>
          <w:u w:val="single"/>
          <w:shd w:val="clear" w:color="auto" w:fill="FFFFFF"/>
        </w:rPr>
        <w:t>***</w:t>
      </w:r>
    </w:p>
    <w:p w14:paraId="25BB580A">
      <w:pPr>
        <w:pStyle w:val="29"/>
        <w:numPr>
          <w:ilvl w:val="0"/>
          <w:numId w:val="17"/>
        </w:numPr>
        <w:ind w:firstLineChars="0"/>
        <w:contextualSpacing/>
        <w:rPr>
          <w:szCs w:val="21"/>
        </w:rPr>
      </w:pPr>
      <w:r>
        <w:rPr>
          <w:rFonts w:hint="eastAsia"/>
          <w:szCs w:val="21"/>
        </w:rPr>
        <w:t>履约</w:t>
      </w:r>
      <w:r>
        <w:rPr>
          <w:szCs w:val="21"/>
        </w:rPr>
        <w:t>验收内容：</w:t>
      </w:r>
      <w:r>
        <w:rPr>
          <w:rFonts w:hint="eastAsia"/>
          <w:szCs w:val="21"/>
        </w:rPr>
        <w:t>按照甲方的采购文件要求及乙方响应文件响应情况，由乙方向甲方提供的</w:t>
      </w:r>
      <w:r>
        <w:rPr>
          <w:rFonts w:hint="eastAsia"/>
          <w:szCs w:val="21"/>
          <w:u w:val="single"/>
        </w:rPr>
        <w:t>全部服务</w:t>
      </w:r>
      <w:r>
        <w:rPr>
          <w:rFonts w:hint="eastAsia"/>
          <w:szCs w:val="21"/>
        </w:rPr>
        <w:t>的履约情况。</w:t>
      </w:r>
    </w:p>
    <w:p w14:paraId="1F2D4CFA">
      <w:pPr>
        <w:pStyle w:val="29"/>
        <w:numPr>
          <w:ilvl w:val="0"/>
          <w:numId w:val="17"/>
        </w:numPr>
        <w:ind w:firstLineChars="0"/>
        <w:contextualSpacing/>
        <w:rPr>
          <w:color w:val="000000"/>
          <w:szCs w:val="21"/>
        </w:rPr>
      </w:pPr>
      <w:r>
        <w:rPr>
          <w:rFonts w:hint="eastAsia"/>
          <w:color w:val="000000"/>
          <w:szCs w:val="21"/>
        </w:rPr>
        <w:t>履约</w:t>
      </w:r>
      <w:r>
        <w:rPr>
          <w:color w:val="000000"/>
          <w:szCs w:val="21"/>
        </w:rPr>
        <w:t>验收时间：</w:t>
      </w:r>
    </w:p>
    <w:p w14:paraId="27EEE864">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服务期满且</w:t>
      </w:r>
      <w:r>
        <w:rPr>
          <w:rFonts w:hint="eastAsia" w:ascii="Times New Roman" w:hAnsi="Times New Roman"/>
          <w:color w:val="000000"/>
          <w:szCs w:val="21"/>
        </w:rPr>
        <w:t>乙方</w:t>
      </w:r>
      <w:r>
        <w:rPr>
          <w:rFonts w:ascii="Times New Roman" w:hAnsi="Times New Roman"/>
          <w:color w:val="000000"/>
          <w:szCs w:val="21"/>
        </w:rPr>
        <w:t>完成所有服务内容后X日内通知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13560871">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w:t>
      </w:r>
      <w:r>
        <w:rPr>
          <w:rFonts w:ascii="Times New Roman" w:hAnsi="Times New Roman"/>
          <w:color w:val="000000"/>
          <w:szCs w:val="21"/>
        </w:rPr>
        <w:t>完成每一阶段或轮次服务内容后X日内通知</w:t>
      </w:r>
      <w:r>
        <w:rPr>
          <w:rFonts w:hint="eastAsia" w:ascii="Times New Roman" w:hAnsi="Times New Roman"/>
          <w:color w:val="000000"/>
          <w:szCs w:val="21"/>
        </w:rPr>
        <w:t>甲方</w:t>
      </w:r>
      <w:r>
        <w:rPr>
          <w:rFonts w:ascii="Times New Roman" w:hAnsi="Times New Roman"/>
          <w:color w:val="000000"/>
          <w:szCs w:val="21"/>
        </w:rPr>
        <w:t>验收，</w:t>
      </w:r>
      <w:r>
        <w:rPr>
          <w:rFonts w:hint="eastAsia" w:ascii="Times New Roman" w:hAnsi="Times New Roman"/>
          <w:color w:val="000000"/>
          <w:szCs w:val="21"/>
        </w:rPr>
        <w:t>甲方</w:t>
      </w:r>
      <w:r>
        <w:rPr>
          <w:rFonts w:ascii="Times New Roman" w:hAnsi="Times New Roman"/>
          <w:color w:val="000000"/>
          <w:szCs w:val="21"/>
        </w:rPr>
        <w:t>接</w:t>
      </w:r>
      <w:r>
        <w:rPr>
          <w:rFonts w:hint="eastAsia" w:ascii="Times New Roman" w:hAnsi="Times New Roman"/>
          <w:color w:val="000000"/>
          <w:szCs w:val="21"/>
        </w:rPr>
        <w:t>乙方</w:t>
      </w:r>
      <w:r>
        <w:rPr>
          <w:rFonts w:ascii="Times New Roman" w:hAnsi="Times New Roman"/>
          <w:color w:val="000000"/>
          <w:szCs w:val="21"/>
        </w:rPr>
        <w:t>通知后X日内组织验收</w:t>
      </w:r>
    </w:p>
    <w:p w14:paraId="668E8EC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甲</w:t>
      </w:r>
      <w:r>
        <w:rPr>
          <w:rFonts w:hint="eastAsia" w:ascii="Times New Roman" w:hAnsi="Times New Roman"/>
          <w:color w:val="000000"/>
          <w:szCs w:val="21"/>
        </w:rPr>
        <w:t>方</w:t>
      </w:r>
      <w:r>
        <w:rPr>
          <w:rFonts w:ascii="Times New Roman" w:hAnsi="Times New Roman"/>
          <w:color w:val="000000"/>
          <w:szCs w:val="21"/>
        </w:rPr>
        <w:t>完成考核后X日内组织验收</w:t>
      </w:r>
    </w:p>
    <w:p w14:paraId="06090759">
      <w:pPr>
        <w:pStyle w:val="16"/>
        <w:spacing w:after="0"/>
        <w:ind w:left="420" w:leftChars="200" w:firstLine="0"/>
        <w:contextualSpacing/>
        <w:rPr>
          <w:rFonts w:ascii="Times New Roman" w:hAnsi="Times New Roman"/>
          <w:color w:val="000000"/>
          <w:szCs w:val="21"/>
          <w:shd w:val="clear" w:color="auto" w:fill="FFFFFF"/>
        </w:rPr>
      </w:pPr>
      <w:r>
        <w:rPr>
          <w:rFonts w:ascii="Times New Roman" w:hAnsi="Times New Roman"/>
          <w:color w:val="000000"/>
          <w:szCs w:val="21"/>
        </w:rPr>
        <w:sym w:font="Wingdings" w:char="F0A8"/>
      </w:r>
      <w:r>
        <w:rPr>
          <w:rFonts w:ascii="Times New Roman" w:hAnsi="Times New Roman"/>
          <w:color w:val="000000"/>
          <w:szCs w:val="21"/>
        </w:rPr>
        <w:t xml:space="preserve">其它验收时间：            </w:t>
      </w:r>
    </w:p>
    <w:p w14:paraId="0A943DA8">
      <w:pPr>
        <w:pStyle w:val="29"/>
        <w:numPr>
          <w:ilvl w:val="0"/>
          <w:numId w:val="17"/>
        </w:numPr>
        <w:ind w:firstLineChars="0"/>
        <w:contextualSpacing/>
        <w:rPr>
          <w:szCs w:val="21"/>
        </w:rPr>
      </w:pPr>
      <w:r>
        <w:rPr>
          <w:rFonts w:hint="eastAsia"/>
          <w:szCs w:val="21"/>
        </w:rPr>
        <w:t xml:space="preserve">是否邀请本项目的其他供应商：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740E083B">
      <w:pPr>
        <w:pStyle w:val="29"/>
        <w:numPr>
          <w:ilvl w:val="0"/>
          <w:numId w:val="17"/>
        </w:numPr>
        <w:ind w:firstLineChars="0"/>
        <w:contextualSpacing/>
        <w:rPr>
          <w:szCs w:val="21"/>
        </w:rPr>
      </w:pPr>
      <w:r>
        <w:rPr>
          <w:rFonts w:hint="eastAsia"/>
          <w:szCs w:val="21"/>
        </w:rPr>
        <w:t xml:space="preserve">是否邀请专家：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595EB419">
      <w:pPr>
        <w:pStyle w:val="29"/>
        <w:numPr>
          <w:ilvl w:val="0"/>
          <w:numId w:val="17"/>
        </w:numPr>
        <w:ind w:firstLineChars="0"/>
        <w:contextualSpacing/>
        <w:rPr>
          <w:szCs w:val="21"/>
        </w:rPr>
      </w:pPr>
      <w:r>
        <w:rPr>
          <w:rFonts w:hint="eastAsia"/>
          <w:szCs w:val="21"/>
        </w:rPr>
        <w:t xml:space="preserve">是否邀请服务对象：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212FF5E1">
      <w:pPr>
        <w:pStyle w:val="29"/>
        <w:numPr>
          <w:ilvl w:val="0"/>
          <w:numId w:val="17"/>
        </w:numPr>
        <w:ind w:firstLineChars="0"/>
        <w:contextualSpacing/>
        <w:rPr>
          <w:szCs w:val="21"/>
        </w:rPr>
      </w:pPr>
      <w:r>
        <w:rPr>
          <w:szCs w:val="21"/>
        </w:rPr>
        <w:t>是否</w:t>
      </w:r>
      <w:r>
        <w:rPr>
          <w:rFonts w:hint="eastAsia"/>
          <w:szCs w:val="21"/>
        </w:rPr>
        <w:t>邀请</w:t>
      </w:r>
      <w:r>
        <w:rPr>
          <w:szCs w:val="21"/>
        </w:rPr>
        <w:t>第三方检测机构：</w:t>
      </w:r>
      <w:r>
        <w:rPr>
          <w:kern w:val="0"/>
          <w:shd w:val="clear" w:color="auto" w:fill="FFFFFF"/>
        </w:rPr>
        <w:t xml:space="preserve"> </w:t>
      </w:r>
      <w:r>
        <w:rPr>
          <w:kern w:val="0"/>
          <w:shd w:val="clear" w:color="auto" w:fill="FFFFFF"/>
        </w:rPr>
        <w:sym w:font="Wingdings" w:char="F0A8"/>
      </w:r>
      <w:r>
        <w:rPr>
          <w:szCs w:val="21"/>
          <w:shd w:val="clear" w:color="auto" w:fill="FFFFFF"/>
        </w:rPr>
        <w:t xml:space="preserve">是   </w:t>
      </w:r>
      <w:r>
        <w:rPr>
          <w:kern w:val="0"/>
        </w:rPr>
        <w:sym w:font="Wingdings 2" w:char="F052"/>
      </w:r>
      <w:r>
        <w:rPr>
          <w:szCs w:val="21"/>
          <w:shd w:val="clear" w:color="auto" w:fill="FFFFFF"/>
        </w:rPr>
        <w:t>否</w:t>
      </w:r>
    </w:p>
    <w:p w14:paraId="47F88790">
      <w:pPr>
        <w:pStyle w:val="29"/>
        <w:numPr>
          <w:ilvl w:val="0"/>
          <w:numId w:val="17"/>
        </w:numPr>
        <w:ind w:firstLineChars="0"/>
        <w:contextualSpacing/>
        <w:rPr>
          <w:szCs w:val="21"/>
        </w:rPr>
      </w:pPr>
      <w:r>
        <w:rPr>
          <w:szCs w:val="21"/>
        </w:rPr>
        <w:t>验收标准：</w:t>
      </w:r>
    </w:p>
    <w:p w14:paraId="24757C73">
      <w:pPr>
        <w:pStyle w:val="16"/>
        <w:numPr>
          <w:ilvl w:val="0"/>
          <w:numId w:val="18"/>
        </w:numPr>
        <w:spacing w:after="0"/>
        <w:contextualSpacing/>
        <w:rPr>
          <w:rFonts w:ascii="Times New Roman" w:hAnsi="Times New Roman"/>
          <w:szCs w:val="21"/>
        </w:rPr>
      </w:pPr>
      <w:bookmarkStart w:id="99" w:name="OLE_LINK4"/>
      <w:r>
        <w:rPr>
          <w:rFonts w:ascii="Times New Roman" w:hAnsi="Times New Roman"/>
          <w:szCs w:val="21"/>
          <w:shd w:val="clear" w:color="auto" w:fill="FFFFFF"/>
        </w:rPr>
        <w:t>国家相关法律法规、行业标准、技术规范。</w:t>
      </w:r>
    </w:p>
    <w:p w14:paraId="4A341926">
      <w:pPr>
        <w:pStyle w:val="16"/>
        <w:numPr>
          <w:ilvl w:val="0"/>
          <w:numId w:val="18"/>
        </w:numPr>
        <w:spacing w:after="0"/>
        <w:contextualSpacing/>
        <w:rPr>
          <w:rFonts w:ascii="Times New Roman" w:hAnsi="Times New Roman"/>
          <w:szCs w:val="21"/>
        </w:rPr>
      </w:pPr>
      <w:r>
        <w:rPr>
          <w:rFonts w:hint="eastAsia" w:ascii="Times New Roman" w:hAnsi="Times New Roman"/>
          <w:szCs w:val="21"/>
        </w:rPr>
        <w:t>甲方采购</w:t>
      </w:r>
      <w:r>
        <w:rPr>
          <w:rFonts w:ascii="Times New Roman" w:hAnsi="Times New Roman"/>
          <w:szCs w:val="21"/>
        </w:rPr>
        <w:t>文件相关技术、服务要求、</w:t>
      </w:r>
      <w:r>
        <w:rPr>
          <w:rFonts w:hint="eastAsia" w:ascii="Times New Roman" w:hAnsi="Times New Roman"/>
          <w:szCs w:val="21"/>
        </w:rPr>
        <w:t>乙方响应</w:t>
      </w:r>
      <w:r>
        <w:rPr>
          <w:rFonts w:ascii="Times New Roman" w:hAnsi="Times New Roman"/>
          <w:szCs w:val="21"/>
        </w:rPr>
        <w:t>文件相关响应内容。</w:t>
      </w:r>
    </w:p>
    <w:p w14:paraId="4BB5AAAF">
      <w:pPr>
        <w:pStyle w:val="16"/>
        <w:numPr>
          <w:ilvl w:val="0"/>
          <w:numId w:val="18"/>
        </w:numPr>
        <w:spacing w:after="0"/>
        <w:contextualSpacing/>
        <w:rPr>
          <w:rFonts w:ascii="Times New Roman" w:hAnsi="Times New Roman"/>
          <w:szCs w:val="21"/>
        </w:rPr>
      </w:pPr>
      <w:r>
        <w:rPr>
          <w:rFonts w:ascii="Times New Roman" w:hAnsi="Times New Roman"/>
          <w:szCs w:val="21"/>
        </w:rPr>
        <w:t>如本项目验收方式为考核验收，则考核结果须为合格。</w:t>
      </w:r>
    </w:p>
    <w:bookmarkEnd w:id="99"/>
    <w:p w14:paraId="2BFFECC6">
      <w:pPr>
        <w:pStyle w:val="16"/>
        <w:numPr>
          <w:ilvl w:val="0"/>
          <w:numId w:val="18"/>
        </w:numPr>
        <w:spacing w:after="0"/>
        <w:contextualSpacing/>
        <w:rPr>
          <w:rFonts w:ascii="Times New Roman" w:hAnsi="Times New Roman"/>
          <w:szCs w:val="21"/>
        </w:rPr>
      </w:pPr>
      <w:r>
        <w:rPr>
          <w:rFonts w:ascii="Times New Roman" w:hAnsi="Times New Roman"/>
          <w:szCs w:val="21"/>
        </w:rPr>
        <w:t>如验收时，</w:t>
      </w:r>
      <w:r>
        <w:rPr>
          <w:rFonts w:hint="eastAsia" w:ascii="Times New Roman" w:hAnsi="Times New Roman"/>
          <w:szCs w:val="21"/>
        </w:rPr>
        <w:t>甲方</w:t>
      </w:r>
      <w:r>
        <w:rPr>
          <w:rFonts w:ascii="Times New Roman" w:hAnsi="Times New Roman"/>
          <w:szCs w:val="21"/>
        </w:rPr>
        <w:t>与</w:t>
      </w:r>
      <w:r>
        <w:rPr>
          <w:rFonts w:hint="eastAsia" w:ascii="Times New Roman" w:hAnsi="Times New Roman"/>
          <w:szCs w:val="21"/>
        </w:rPr>
        <w:t>乙方</w:t>
      </w:r>
      <w:r>
        <w:rPr>
          <w:rFonts w:ascii="Times New Roman" w:hAnsi="Times New Roman"/>
          <w:szCs w:val="21"/>
        </w:rPr>
        <w:t>认为本项目验收标准中的技术指标、质量要求等内容存在相互抵触或对其理解存在异议，应按照其中更严格的要求、标准等进行验收。</w:t>
      </w:r>
    </w:p>
    <w:p w14:paraId="142B41FF">
      <w:pPr>
        <w:pStyle w:val="16"/>
        <w:numPr>
          <w:ilvl w:val="0"/>
          <w:numId w:val="18"/>
        </w:numPr>
        <w:spacing w:after="0"/>
        <w:contextualSpacing/>
        <w:rPr>
          <w:rFonts w:ascii="Times New Roman" w:hAnsi="Times New Roman"/>
          <w:szCs w:val="21"/>
        </w:rPr>
      </w:pPr>
      <w:r>
        <w:rPr>
          <w:rFonts w:hint="eastAsia" w:ascii="Times New Roman" w:hAnsi="Times New Roman"/>
          <w:szCs w:val="21"/>
        </w:rPr>
        <w:t>参照</w:t>
      </w:r>
      <w:r>
        <w:rPr>
          <w:rFonts w:ascii="Times New Roman" w:hAnsi="Times New Roman"/>
          <w:szCs w:val="21"/>
        </w:rPr>
        <w:t>《财政部关于进一步加强政府采购需求和履约验收管理的指导意见》（财库〔2016〕205号）的要求进行验收。</w:t>
      </w:r>
    </w:p>
    <w:p w14:paraId="5A8F93D9">
      <w:pPr>
        <w:pStyle w:val="16"/>
        <w:numPr>
          <w:ilvl w:val="0"/>
          <w:numId w:val="18"/>
        </w:numPr>
        <w:spacing w:after="0"/>
        <w:contextualSpacing/>
        <w:rPr>
          <w:rFonts w:ascii="Times New Roman" w:hAnsi="Times New Roman"/>
          <w:szCs w:val="21"/>
        </w:rPr>
      </w:pPr>
      <w:r>
        <w:rPr>
          <w:rFonts w:hint="eastAsia" w:ascii="Times New Roman" w:hAnsi="Times New Roman"/>
          <w:szCs w:val="21"/>
        </w:rPr>
        <w:t>其它标准：</w:t>
      </w:r>
      <w:r>
        <w:rPr>
          <w:rFonts w:hint="eastAsia" w:ascii="Times New Roman" w:hAnsi="Times New Roman"/>
          <w:szCs w:val="21"/>
          <w:u w:val="single"/>
        </w:rPr>
        <w:t>无。</w:t>
      </w:r>
    </w:p>
    <w:p w14:paraId="5FCD4D1B">
      <w:pPr>
        <w:pStyle w:val="29"/>
        <w:numPr>
          <w:ilvl w:val="0"/>
          <w:numId w:val="17"/>
        </w:numPr>
        <w:ind w:firstLineChars="0"/>
        <w:contextualSpacing/>
        <w:rPr>
          <w:szCs w:val="21"/>
        </w:rPr>
      </w:pPr>
      <w:r>
        <w:rPr>
          <w:szCs w:val="21"/>
        </w:rPr>
        <w:t>其它验收要求：</w:t>
      </w:r>
      <w:r>
        <w:rPr>
          <w:color w:val="000000"/>
          <w:kern w:val="0"/>
          <w:szCs w:val="21"/>
          <w:u w:val="single"/>
        </w:rPr>
        <w:t>无</w:t>
      </w:r>
      <w:r>
        <w:rPr>
          <w:i/>
          <w:iCs/>
          <w:color w:val="000000"/>
          <w:kern w:val="0"/>
          <w:szCs w:val="21"/>
          <w:highlight w:val="yellow"/>
        </w:rPr>
        <w:t>&lt;如有请填写</w:t>
      </w:r>
      <w:r>
        <w:rPr>
          <w:i/>
          <w:iCs/>
          <w:color w:val="000000"/>
          <w:kern w:val="0"/>
          <w:szCs w:val="21"/>
        </w:rPr>
        <w:t>&gt;</w:t>
      </w:r>
    </w:p>
    <w:p w14:paraId="6213DBF3">
      <w:pPr>
        <w:pStyle w:val="29"/>
        <w:numPr>
          <w:ilvl w:val="0"/>
          <w:numId w:val="16"/>
        </w:numPr>
        <w:ind w:left="0" w:firstLine="0" w:firstLineChars="0"/>
        <w:rPr>
          <w:szCs w:val="21"/>
        </w:rPr>
      </w:pPr>
      <w:r>
        <w:rPr>
          <w:szCs w:val="21"/>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szCs w:val="21"/>
        </w:rPr>
        <w:t>10</w:t>
      </w:r>
      <w:r>
        <w:rPr>
          <w:szCs w:val="21"/>
        </w:rPr>
        <w:t>%的违约金给甲方，违约金不能弥补甲方损失的，乙方应全额赔偿。</w:t>
      </w:r>
    </w:p>
    <w:p w14:paraId="2EE9DCA2">
      <w:pPr>
        <w:pStyle w:val="29"/>
        <w:numPr>
          <w:ilvl w:val="0"/>
          <w:numId w:val="14"/>
        </w:numPr>
        <w:ind w:left="0" w:firstLine="0" w:firstLineChars="0"/>
        <w:contextualSpacing/>
        <w:jc w:val="left"/>
        <w:rPr>
          <w:b/>
          <w:szCs w:val="21"/>
        </w:rPr>
      </w:pPr>
      <w:r>
        <w:rPr>
          <w:b/>
          <w:szCs w:val="21"/>
        </w:rPr>
        <w:t>付款方式</w:t>
      </w:r>
    </w:p>
    <w:p w14:paraId="5CC20725">
      <w:pPr>
        <w:pStyle w:val="9"/>
        <w:numPr>
          <w:ilvl w:val="0"/>
          <w:numId w:val="19"/>
        </w:numPr>
        <w:spacing w:after="0" w:line="240" w:lineRule="auto"/>
        <w:ind w:left="227" w:leftChars="0" w:hanging="227"/>
        <w:contextualSpacing/>
        <w:jc w:val="left"/>
        <w:rPr>
          <w:szCs w:val="21"/>
        </w:rPr>
      </w:pPr>
      <w:r>
        <w:rPr>
          <w:szCs w:val="21"/>
        </w:rPr>
        <w:t>履约保证金：</w:t>
      </w:r>
    </w:p>
    <w:p w14:paraId="1A98FD8C">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w:t>
      </w:r>
      <w:r>
        <w:rPr>
          <w:rFonts w:ascii="Times New Roman" w:hAnsi="Times New Roman"/>
          <w:color w:val="000000"/>
          <w:szCs w:val="21"/>
          <w:u w:val="single"/>
        </w:rPr>
        <w:t>***</w:t>
      </w:r>
      <w:r>
        <w:rPr>
          <w:rFonts w:ascii="Times New Roman" w:hAnsi="Times New Roman"/>
          <w:color w:val="000000"/>
          <w:szCs w:val="21"/>
        </w:rPr>
        <w:t>个工作日内，按合同总价</w:t>
      </w:r>
      <w:r>
        <w:rPr>
          <w:rFonts w:ascii="Times New Roman" w:hAnsi="Times New Roman"/>
          <w:color w:val="000000"/>
          <w:szCs w:val="21"/>
          <w:u w:val="single"/>
        </w:rPr>
        <w:t>***</w:t>
      </w:r>
      <w:r>
        <w:rPr>
          <w:rFonts w:ascii="Times New Roman" w:hAnsi="Times New Roman"/>
          <w:color w:val="000000"/>
          <w:szCs w:val="21"/>
        </w:rPr>
        <w:t>%支付履约保证金；本合同</w:t>
      </w:r>
      <w:r>
        <w:rPr>
          <w:rFonts w:hint="eastAsia" w:ascii="Times New Roman" w:hAnsi="Times New Roman"/>
          <w:color w:val="000000"/>
          <w:szCs w:val="21"/>
        </w:rPr>
        <w:t>服务期满且验收合格</w:t>
      </w:r>
      <w:r>
        <w:rPr>
          <w:rFonts w:ascii="Times New Roman" w:hAnsi="Times New Roman"/>
          <w:color w:val="000000"/>
          <w:szCs w:val="21"/>
        </w:rPr>
        <w:t>后，甲方接到乙方付款申请后</w:t>
      </w:r>
      <w:r>
        <w:rPr>
          <w:rFonts w:ascii="Times New Roman" w:hAnsi="Times New Roman"/>
          <w:color w:val="000000"/>
          <w:szCs w:val="21"/>
          <w:u w:val="single"/>
        </w:rPr>
        <w:t>30</w:t>
      </w:r>
      <w:r>
        <w:rPr>
          <w:rFonts w:ascii="Times New Roman" w:hAnsi="Times New Roman"/>
          <w:color w:val="000000"/>
          <w:szCs w:val="21"/>
        </w:rPr>
        <w:t>个工作日内，甲方一次性无息退还乙方的履约保证金；经验收后乙方履约不合格的，履约保证金不予退还。</w:t>
      </w:r>
    </w:p>
    <w:p w14:paraId="7A4394EF">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本合同不涉及履约保证金。</w:t>
      </w:r>
    </w:p>
    <w:p w14:paraId="0DB5940E">
      <w:pPr>
        <w:pStyle w:val="9"/>
        <w:numPr>
          <w:ilvl w:val="0"/>
          <w:numId w:val="19"/>
        </w:numPr>
        <w:spacing w:after="0" w:line="240" w:lineRule="auto"/>
        <w:ind w:left="227" w:leftChars="0" w:hanging="227"/>
        <w:contextualSpacing/>
        <w:jc w:val="left"/>
        <w:rPr>
          <w:szCs w:val="21"/>
        </w:rPr>
      </w:pPr>
      <w:r>
        <w:rPr>
          <w:szCs w:val="21"/>
        </w:rPr>
        <w:t>本</w:t>
      </w:r>
      <w:r>
        <w:rPr>
          <w:rFonts w:hint="eastAsia"/>
          <w:szCs w:val="21"/>
        </w:rPr>
        <w:t>合同</w:t>
      </w:r>
      <w:r>
        <w:rPr>
          <w:szCs w:val="21"/>
        </w:rPr>
        <w:t>价款采用以下方式支付，以人民币结算：</w:t>
      </w:r>
    </w:p>
    <w:p w14:paraId="09FDA0E6">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一次性支付：</w:t>
      </w:r>
    </w:p>
    <w:p w14:paraId="621259CA">
      <w:pPr>
        <w:pStyle w:val="16"/>
        <w:spacing w:after="0"/>
        <w:ind w:left="840" w:leftChars="400" w:firstLine="420" w:firstLineChars="200"/>
        <w:contextualSpacing/>
        <w:rPr>
          <w:rFonts w:ascii="Times New Roman" w:hAnsi="Times New Roman"/>
          <w:color w:val="000000"/>
          <w:szCs w:val="21"/>
        </w:rPr>
      </w:pP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u w:val="single"/>
        </w:rPr>
        <w:t>5</w:t>
      </w:r>
      <w:r>
        <w:rPr>
          <w:rFonts w:ascii="Times New Roman" w:hAnsi="Times New Roman"/>
          <w:szCs w:val="21"/>
        </w:rPr>
        <w:t>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w:t>
      </w:r>
      <w:r>
        <w:rPr>
          <w:rFonts w:ascii="Times New Roman" w:hAnsi="Times New Roman"/>
          <w:color w:val="000000"/>
          <w:szCs w:val="21"/>
          <w:u w:val="single"/>
        </w:rPr>
        <w:t>55</w:t>
      </w:r>
      <w:r>
        <w:rPr>
          <w:rFonts w:ascii="Times New Roman" w:hAnsi="Times New Roman"/>
          <w:color w:val="000000"/>
          <w:szCs w:val="21"/>
        </w:rPr>
        <w:t>日内支付合同总价100%的</w:t>
      </w:r>
      <w:r>
        <w:rPr>
          <w:rFonts w:hint="eastAsia" w:ascii="Times New Roman" w:hAnsi="Times New Roman"/>
          <w:color w:val="000000"/>
          <w:szCs w:val="21"/>
        </w:rPr>
        <w:t>金额</w:t>
      </w:r>
      <w:r>
        <w:rPr>
          <w:rFonts w:ascii="Times New Roman" w:hAnsi="Times New Roman"/>
          <w:color w:val="000000"/>
          <w:szCs w:val="21"/>
        </w:rPr>
        <w:t>给乙方。</w:t>
      </w:r>
    </w:p>
    <w:p w14:paraId="750B8A19">
      <w:pPr>
        <w:pStyle w:val="16"/>
        <w:spacing w:after="0"/>
        <w:ind w:left="420" w:leftChars="200" w:firstLine="0"/>
        <w:contextualSpacing/>
        <w:rPr>
          <w:rFonts w:ascii="Times New Roman" w:hAnsi="Times New Roman"/>
          <w:color w:val="000000"/>
          <w:szCs w:val="21"/>
        </w:rPr>
      </w:pPr>
      <w:r>
        <w:rPr>
          <w:rFonts w:ascii="Times New Roman" w:hAnsi="Times New Roman"/>
          <w:color w:val="000000"/>
          <w:szCs w:val="21"/>
        </w:rPr>
        <w:sym w:font="Wingdings" w:char="F0A8"/>
      </w:r>
      <w:r>
        <w:rPr>
          <w:rFonts w:ascii="Times New Roman" w:hAnsi="Times New Roman"/>
          <w:color w:val="000000"/>
          <w:szCs w:val="21"/>
        </w:rPr>
        <w:t>分阶段支付，支付期限</w:t>
      </w:r>
      <w:r>
        <w:rPr>
          <w:rFonts w:hint="eastAsia" w:ascii="Times New Roman" w:hAnsi="Times New Roman"/>
          <w:color w:val="000000"/>
          <w:szCs w:val="21"/>
        </w:rPr>
        <w:t>、方式</w:t>
      </w:r>
      <w:r>
        <w:rPr>
          <w:rFonts w:ascii="Times New Roman" w:hAnsi="Times New Roman"/>
          <w:color w:val="000000"/>
          <w:szCs w:val="21"/>
        </w:rPr>
        <w:t>及额度如下：</w:t>
      </w:r>
    </w:p>
    <w:p w14:paraId="56BDDA9D">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（1）</w:t>
      </w:r>
      <w:bookmarkStart w:id="100" w:name="OLE_LINK30"/>
      <w:r>
        <w:rPr>
          <w:rFonts w:hint="eastAsia"/>
          <w:szCs w:val="21"/>
        </w:rPr>
        <w:t>固定部分价款</w:t>
      </w:r>
      <w:bookmarkEnd w:id="100"/>
      <w:r>
        <w:rPr>
          <w:rFonts w:ascii="Times New Roman" w:hAnsi="Times New Roman"/>
          <w:color w:val="000000"/>
          <w:szCs w:val="21"/>
        </w:rPr>
        <w:t>：</w:t>
      </w:r>
      <w:r>
        <w:rPr>
          <w:rFonts w:ascii="Times New Roman" w:hAnsi="Times New Roman"/>
          <w:szCs w:val="21"/>
        </w:rPr>
        <w:t>本合同</w:t>
      </w:r>
      <w:r>
        <w:rPr>
          <w:rFonts w:hint="eastAsia" w:ascii="Times New Roman" w:hAnsi="Times New Roman"/>
          <w:szCs w:val="21"/>
        </w:rPr>
        <w:t>服务期满且经甲方验收合格后</w:t>
      </w:r>
      <w:r>
        <w:rPr>
          <w:rFonts w:ascii="Times New Roman" w:hAnsi="Times New Roman"/>
          <w:szCs w:val="21"/>
        </w:rPr>
        <w:t>5日内</w:t>
      </w:r>
      <w:r>
        <w:rPr>
          <w:rFonts w:ascii="Times New Roman" w:hAnsi="Times New Roman"/>
          <w:color w:val="000000"/>
          <w:szCs w:val="21"/>
        </w:rPr>
        <w:t>，乙方须向甲方</w:t>
      </w:r>
      <w:r>
        <w:rPr>
          <w:rFonts w:hint="eastAsia" w:ascii="Times New Roman" w:hAnsi="Times New Roman"/>
          <w:color w:val="000000"/>
          <w:szCs w:val="21"/>
        </w:rPr>
        <w:t>提供合法有效票据及其他相关请款资料</w:t>
      </w:r>
      <w:r>
        <w:rPr>
          <w:rFonts w:ascii="Times New Roman" w:hAnsi="Times New Roman"/>
          <w:color w:val="000000"/>
          <w:szCs w:val="21"/>
        </w:rPr>
        <w:t>，甲方自收到</w:t>
      </w:r>
      <w:r>
        <w:rPr>
          <w:rFonts w:hint="eastAsia" w:ascii="Times New Roman" w:hAnsi="Times New Roman"/>
          <w:color w:val="000000"/>
          <w:szCs w:val="21"/>
        </w:rPr>
        <w:t>乙方请款</w:t>
      </w:r>
      <w:r>
        <w:rPr>
          <w:rFonts w:ascii="Times New Roman" w:hAnsi="Times New Roman"/>
          <w:color w:val="000000"/>
          <w:szCs w:val="21"/>
        </w:rPr>
        <w:t>资料后55日内</w:t>
      </w:r>
      <w:r>
        <w:rPr>
          <w:rFonts w:hint="eastAsia" w:ascii="Times New Roman" w:hAnsi="Times New Roman"/>
          <w:color w:val="000000"/>
          <w:szCs w:val="21"/>
        </w:rPr>
        <w:t>向乙方</w:t>
      </w:r>
      <w:r>
        <w:rPr>
          <w:rFonts w:ascii="Times New Roman" w:hAnsi="Times New Roman"/>
          <w:color w:val="000000"/>
          <w:szCs w:val="21"/>
        </w:rPr>
        <w:t>支付</w:t>
      </w:r>
      <w:r>
        <w:rPr>
          <w:rFonts w:hint="eastAsia" w:ascii="Times New Roman" w:hAnsi="Times New Roman"/>
          <w:color w:val="000000"/>
          <w:szCs w:val="21"/>
        </w:rPr>
        <w:t>本合同</w:t>
      </w:r>
      <w:r>
        <w:rPr>
          <w:rFonts w:hint="eastAsia" w:ascii="Times New Roman" w:hAnsi="Times New Roman"/>
          <w:color w:val="000000"/>
          <w:szCs w:val="21"/>
          <w:u w:val="single"/>
        </w:rPr>
        <w:t>第二条</w:t>
      </w:r>
      <w:r>
        <w:rPr>
          <w:rFonts w:hint="eastAsia" w:ascii="Times New Roman" w:hAnsi="Times New Roman"/>
          <w:color w:val="000000"/>
          <w:szCs w:val="21"/>
        </w:rPr>
        <w:t>写明的全部</w:t>
      </w:r>
      <w:r>
        <w:rPr>
          <w:rFonts w:hint="eastAsia"/>
          <w:szCs w:val="21"/>
        </w:rPr>
        <w:t>固定部分价款</w:t>
      </w:r>
      <w:r>
        <w:rPr>
          <w:rFonts w:ascii="Times New Roman" w:hAnsi="Times New Roman"/>
          <w:color w:val="000000"/>
          <w:szCs w:val="21"/>
        </w:rPr>
        <w:t>。</w:t>
      </w:r>
    </w:p>
    <w:p w14:paraId="4C3983EC">
      <w:pPr>
        <w:pStyle w:val="16"/>
        <w:spacing w:after="0"/>
        <w:ind w:left="840" w:leftChars="400" w:firstLine="420" w:firstLineChars="200"/>
        <w:contextualSpacing/>
        <w:rPr>
          <w:rFonts w:ascii="Times New Roman" w:hAnsi="Times New Roman"/>
          <w:color w:val="000000"/>
          <w:szCs w:val="21"/>
        </w:rPr>
      </w:pPr>
      <w:r>
        <w:rPr>
          <w:rFonts w:ascii="Times New Roman" w:hAnsi="Times New Roman"/>
          <w:color w:val="000000"/>
          <w:szCs w:val="21"/>
        </w:rPr>
        <w:t>（2）</w:t>
      </w:r>
      <w:r>
        <w:rPr>
          <w:rFonts w:hint="eastAsia" w:ascii="Times New Roman" w:hAnsi="Times New Roman"/>
          <w:color w:val="000000"/>
          <w:szCs w:val="21"/>
        </w:rPr>
        <w:t>按实结算部分：每</w:t>
      </w:r>
      <w:r>
        <w:rPr>
          <w:rFonts w:hint="eastAsia" w:ascii="Times New Roman" w:hAnsi="Times New Roman"/>
          <w:color w:val="000000"/>
          <w:szCs w:val="21"/>
          <w:u w:val="single"/>
        </w:rPr>
        <w:t>XX</w:t>
      </w:r>
      <w:r>
        <w:rPr>
          <w:rFonts w:ascii="Times New Roman" w:hAnsi="Times New Roman"/>
          <w:i/>
          <w:iCs/>
          <w:szCs w:val="21"/>
          <w:highlight w:val="yellow"/>
        </w:rPr>
        <w:t>&lt;</w:t>
      </w:r>
      <w:r>
        <w:rPr>
          <w:rFonts w:hint="eastAsia" w:ascii="Times New Roman" w:hAnsi="Times New Roman"/>
          <w:i/>
          <w:iCs/>
          <w:szCs w:val="21"/>
          <w:highlight w:val="yellow"/>
        </w:rPr>
        <w:t>约定按固定周期支付的（如每季度），</w:t>
      </w:r>
      <w:r>
        <w:rPr>
          <w:rFonts w:ascii="Times New Roman" w:hAnsi="Times New Roman"/>
          <w:i/>
          <w:iCs/>
          <w:szCs w:val="21"/>
          <w:highlight w:val="yellow"/>
        </w:rPr>
        <w:t>可根据项目具体情况编制</w:t>
      </w:r>
      <w:r>
        <w:rPr>
          <w:rFonts w:hint="eastAsia" w:ascii="Times New Roman" w:hAnsi="Times New Roman"/>
          <w:i/>
          <w:iCs/>
          <w:szCs w:val="21"/>
          <w:highlight w:val="yellow"/>
        </w:rPr>
        <w:t>本条款</w:t>
      </w:r>
      <w:r>
        <w:rPr>
          <w:rFonts w:ascii="Times New Roman" w:hAnsi="Times New Roman"/>
          <w:i/>
          <w:iCs/>
          <w:szCs w:val="21"/>
          <w:highlight w:val="yellow"/>
        </w:rPr>
        <w:t>&gt;</w:t>
      </w:r>
      <w:r>
        <w:rPr>
          <w:rFonts w:hint="eastAsia" w:ascii="Times New Roman" w:hAnsi="Times New Roman"/>
          <w:color w:val="000000"/>
          <w:szCs w:val="21"/>
        </w:rPr>
        <w:t>结算一次费用，结算单价以</w:t>
      </w:r>
      <w:r>
        <w:rPr>
          <w:rFonts w:hint="eastAsia"/>
          <w:szCs w:val="21"/>
        </w:rPr>
        <w:t>《结算单价清单》</w:t>
      </w:r>
      <w:r>
        <w:rPr>
          <w:rFonts w:hint="eastAsia" w:ascii="Times New Roman" w:hAnsi="Times New Roman"/>
          <w:color w:val="000000"/>
          <w:szCs w:val="21"/>
        </w:rPr>
        <w:t>为准。</w:t>
      </w:r>
      <w:r>
        <w:rPr>
          <w:rFonts w:hint="eastAsia"/>
          <w:lang w:bidi="ar"/>
        </w:rPr>
        <w:t>结算前，乙方须向甲方提供结算费用清单进行确认，并在确认后 5 日内按清单金额向甲方提供合法有效票据及其他相关请款资料，甲方接到乙方请款资料后的</w:t>
      </w:r>
      <w:r>
        <w:rPr>
          <w:rFonts w:hint="eastAsia"/>
          <w:u w:val="single"/>
          <w:lang w:bidi="ar"/>
        </w:rPr>
        <w:t>55</w:t>
      </w:r>
      <w:r>
        <w:rPr>
          <w:rFonts w:hint="eastAsia"/>
          <w:lang w:bidi="ar"/>
        </w:rPr>
        <w:t>日内，向乙方全额支付上述结算费用。</w:t>
      </w:r>
    </w:p>
    <w:p w14:paraId="5586C7FB">
      <w:pPr>
        <w:pStyle w:val="9"/>
        <w:numPr>
          <w:ilvl w:val="0"/>
          <w:numId w:val="19"/>
        </w:numPr>
        <w:spacing w:after="0" w:line="240" w:lineRule="auto"/>
        <w:ind w:left="227" w:leftChars="0" w:hanging="227"/>
        <w:contextualSpacing/>
        <w:jc w:val="left"/>
        <w:rPr>
          <w:szCs w:val="21"/>
        </w:rPr>
      </w:pPr>
      <w:r>
        <w:rPr>
          <w:szCs w:val="21"/>
        </w:rPr>
        <w:t>甲方付款前，乙方需</w:t>
      </w:r>
      <w:r>
        <w:rPr>
          <w:rFonts w:hint="eastAsia"/>
          <w:lang w:bidi="ar"/>
        </w:rPr>
        <w:t>提供合法有效票据及其他相关请款资料</w:t>
      </w:r>
      <w:r>
        <w:rPr>
          <w:szCs w:val="21"/>
        </w:rPr>
        <w:t>，否则甲方有权拒绝支付且不承担任何违约责任，且乙方不得因此停止</w:t>
      </w:r>
      <w:r>
        <w:rPr>
          <w:rFonts w:hint="eastAsia"/>
          <w:szCs w:val="21"/>
        </w:rPr>
        <w:t>服务</w:t>
      </w:r>
      <w:r>
        <w:rPr>
          <w:szCs w:val="21"/>
        </w:rPr>
        <w:t>。</w:t>
      </w:r>
    </w:p>
    <w:p w14:paraId="2EB2BA75">
      <w:pPr>
        <w:pStyle w:val="9"/>
        <w:numPr>
          <w:ilvl w:val="0"/>
          <w:numId w:val="19"/>
        </w:numPr>
        <w:spacing w:after="0" w:line="240" w:lineRule="auto"/>
        <w:ind w:left="227" w:leftChars="0" w:hanging="227"/>
        <w:contextualSpacing/>
        <w:jc w:val="left"/>
        <w:rPr>
          <w:szCs w:val="21"/>
        </w:rPr>
      </w:pPr>
      <w:r>
        <w:rPr>
          <w:szCs w:val="21"/>
        </w:rPr>
        <w:t>乙方开票信息应与合同预留账户信息一致。如有变更，乙方应当在变更后3日内通知甲方。否则，由此造成的损失由乙方自行承担。</w:t>
      </w:r>
    </w:p>
    <w:p w14:paraId="19A7DEEB">
      <w:pPr>
        <w:pStyle w:val="29"/>
        <w:numPr>
          <w:ilvl w:val="0"/>
          <w:numId w:val="14"/>
        </w:numPr>
        <w:ind w:left="0" w:firstLine="0" w:firstLineChars="0"/>
        <w:contextualSpacing/>
        <w:jc w:val="left"/>
        <w:rPr>
          <w:b/>
          <w:szCs w:val="21"/>
        </w:rPr>
      </w:pPr>
      <w:r>
        <w:rPr>
          <w:b/>
          <w:szCs w:val="21"/>
        </w:rPr>
        <w:t>双方权利与义务</w:t>
      </w:r>
    </w:p>
    <w:p w14:paraId="581F8AA0">
      <w:pPr>
        <w:pStyle w:val="9"/>
        <w:numPr>
          <w:ilvl w:val="0"/>
          <w:numId w:val="20"/>
        </w:numPr>
        <w:spacing w:after="0" w:line="240" w:lineRule="auto"/>
        <w:ind w:left="227" w:leftChars="0" w:hanging="227"/>
        <w:contextualSpacing/>
        <w:jc w:val="left"/>
        <w:rPr>
          <w:szCs w:val="21"/>
        </w:rPr>
      </w:pPr>
      <w:r>
        <w:rPr>
          <w:szCs w:val="21"/>
        </w:rPr>
        <w:t>甲方权利与义务</w:t>
      </w:r>
    </w:p>
    <w:p w14:paraId="4D16113D">
      <w:pPr>
        <w:pStyle w:val="29"/>
        <w:numPr>
          <w:ilvl w:val="0"/>
          <w:numId w:val="21"/>
        </w:numPr>
        <w:adjustRightInd w:val="0"/>
        <w:ind w:left="525" w:hanging="525" w:hangingChars="250"/>
        <w:contextualSpacing/>
        <w:jc w:val="left"/>
        <w:rPr>
          <w:szCs w:val="21"/>
        </w:rPr>
      </w:pPr>
      <w:r>
        <w:rPr>
          <w:szCs w:val="21"/>
        </w:rPr>
        <w:t>按合同约定向乙方支付费用。</w:t>
      </w:r>
    </w:p>
    <w:p w14:paraId="62A02753">
      <w:pPr>
        <w:pStyle w:val="29"/>
        <w:numPr>
          <w:ilvl w:val="0"/>
          <w:numId w:val="21"/>
        </w:numPr>
        <w:adjustRightInd w:val="0"/>
        <w:ind w:left="525" w:hanging="525" w:hangingChars="250"/>
        <w:contextualSpacing/>
        <w:jc w:val="left"/>
        <w:rPr>
          <w:szCs w:val="21"/>
        </w:rPr>
      </w:pPr>
      <w:r>
        <w:rPr>
          <w:szCs w:val="21"/>
        </w:rPr>
        <w:t>保证乙方实施服务所必须的外部条件如电源、水源的正常供应及开启、关闭等。</w:t>
      </w:r>
    </w:p>
    <w:p w14:paraId="35119703">
      <w:pPr>
        <w:pStyle w:val="29"/>
        <w:numPr>
          <w:ilvl w:val="0"/>
          <w:numId w:val="21"/>
        </w:numPr>
        <w:adjustRightInd w:val="0"/>
        <w:ind w:left="525" w:hanging="525" w:hangingChars="250"/>
        <w:contextualSpacing/>
        <w:jc w:val="left"/>
        <w:rPr>
          <w:szCs w:val="21"/>
        </w:rPr>
      </w:pPr>
      <w:r>
        <w:rPr>
          <w:szCs w:val="21"/>
        </w:rPr>
        <w:t>对于乙方在提供</w:t>
      </w:r>
      <w:r>
        <w:rPr>
          <w:rFonts w:hint="eastAsia"/>
          <w:szCs w:val="21"/>
        </w:rPr>
        <w:t>服务</w:t>
      </w:r>
      <w:r>
        <w:rPr>
          <w:szCs w:val="21"/>
        </w:rPr>
        <w:t>期间所提供的信息，甲方应予保密，未经乙方书面同意，甲方不得擅自使用或透露给第三方。</w:t>
      </w:r>
    </w:p>
    <w:p w14:paraId="7EDB0B3A">
      <w:pPr>
        <w:pStyle w:val="29"/>
        <w:numPr>
          <w:ilvl w:val="0"/>
          <w:numId w:val="21"/>
        </w:numPr>
        <w:adjustRightInd w:val="0"/>
        <w:ind w:left="525" w:hanging="525" w:hangingChars="250"/>
        <w:contextualSpacing/>
        <w:jc w:val="left"/>
        <w:rPr>
          <w:szCs w:val="21"/>
        </w:rPr>
      </w:pPr>
      <w:r>
        <w:rPr>
          <w:rFonts w:hint="eastAsia"/>
          <w:szCs w:val="21"/>
        </w:rPr>
        <w:t>甲方对服务人员不满意的，有权要求乙方在7日内更换相关服务人员。</w:t>
      </w:r>
    </w:p>
    <w:p w14:paraId="344AB8AA">
      <w:pPr>
        <w:pStyle w:val="9"/>
        <w:numPr>
          <w:ilvl w:val="0"/>
          <w:numId w:val="20"/>
        </w:numPr>
        <w:spacing w:after="0" w:line="240" w:lineRule="auto"/>
        <w:ind w:left="227" w:leftChars="0" w:hanging="227"/>
        <w:contextualSpacing/>
        <w:jc w:val="left"/>
        <w:rPr>
          <w:szCs w:val="21"/>
        </w:rPr>
      </w:pPr>
      <w:r>
        <w:rPr>
          <w:szCs w:val="21"/>
        </w:rPr>
        <w:t>乙方权利与义务</w:t>
      </w:r>
    </w:p>
    <w:p w14:paraId="319B30B1">
      <w:pPr>
        <w:pStyle w:val="9"/>
        <w:numPr>
          <w:ilvl w:val="0"/>
          <w:numId w:val="22"/>
        </w:numPr>
        <w:spacing w:after="0" w:line="240" w:lineRule="auto"/>
        <w:ind w:left="525" w:leftChars="0" w:hanging="525" w:hangingChars="250"/>
        <w:contextualSpacing/>
        <w:jc w:val="left"/>
        <w:rPr>
          <w:szCs w:val="21"/>
        </w:rPr>
      </w:pPr>
      <w:r>
        <w:rPr>
          <w:szCs w:val="21"/>
        </w:rPr>
        <w:t>按本合同约定向甲方提供服务</w:t>
      </w:r>
      <w:r>
        <w:rPr>
          <w:rFonts w:hint="eastAsia"/>
          <w:szCs w:val="21"/>
        </w:rPr>
        <w:t>。</w:t>
      </w:r>
    </w:p>
    <w:p w14:paraId="29A7D576">
      <w:pPr>
        <w:pStyle w:val="9"/>
        <w:numPr>
          <w:ilvl w:val="0"/>
          <w:numId w:val="22"/>
        </w:numPr>
        <w:spacing w:after="0" w:line="240" w:lineRule="auto"/>
        <w:ind w:left="525" w:leftChars="0" w:hanging="525" w:hangingChars="250"/>
        <w:contextualSpacing/>
        <w:jc w:val="left"/>
        <w:rPr>
          <w:szCs w:val="21"/>
        </w:rPr>
      </w:pPr>
      <w:r>
        <w:rPr>
          <w:rFonts w:hint="eastAsia"/>
          <w:szCs w:val="21"/>
        </w:rPr>
        <w:t>乙方应保证提供的服务人员具备相应的服务能力和服务资质（如涉及）</w:t>
      </w:r>
      <w:r>
        <w:rPr>
          <w:szCs w:val="21"/>
        </w:rPr>
        <w:t>。</w:t>
      </w:r>
    </w:p>
    <w:p w14:paraId="26B4DD92">
      <w:pPr>
        <w:pStyle w:val="9"/>
        <w:numPr>
          <w:ilvl w:val="0"/>
          <w:numId w:val="22"/>
        </w:numPr>
        <w:spacing w:after="0" w:line="240" w:lineRule="auto"/>
        <w:ind w:left="525" w:leftChars="0" w:hanging="525" w:hangingChars="250"/>
        <w:contextualSpacing/>
        <w:jc w:val="left"/>
        <w:rPr>
          <w:szCs w:val="21"/>
        </w:rPr>
      </w:pPr>
      <w:r>
        <w:rPr>
          <w:rFonts w:hint="eastAsia"/>
          <w:szCs w:val="21"/>
        </w:rPr>
        <w:t>如服务涉及更换备品备件、材料等，</w:t>
      </w:r>
      <w:r>
        <w:rPr>
          <w:szCs w:val="21"/>
        </w:rPr>
        <w:t>乙方应保证服务中更换的</w:t>
      </w:r>
      <w:r>
        <w:rPr>
          <w:rFonts w:hint="eastAsia"/>
          <w:szCs w:val="21"/>
        </w:rPr>
        <w:t>备品</w:t>
      </w:r>
      <w:r>
        <w:rPr>
          <w:szCs w:val="21"/>
        </w:rPr>
        <w:t>备件、材料</w:t>
      </w:r>
      <w:r>
        <w:rPr>
          <w:rFonts w:hint="eastAsia"/>
          <w:szCs w:val="21"/>
        </w:rPr>
        <w:t>达到本项目采购文件及乙方响应文件中的技术要求和质量标准，</w:t>
      </w:r>
      <w:r>
        <w:rPr>
          <w:szCs w:val="21"/>
        </w:rPr>
        <w:t>符合或优于国家（行业）标准，并保证所更换的</w:t>
      </w:r>
      <w:r>
        <w:rPr>
          <w:rFonts w:hint="eastAsia"/>
          <w:szCs w:val="21"/>
        </w:rPr>
        <w:t>备品</w:t>
      </w:r>
      <w:r>
        <w:rPr>
          <w:szCs w:val="21"/>
        </w:rPr>
        <w:t>备件、</w:t>
      </w:r>
      <w:r>
        <w:rPr>
          <w:rFonts w:hint="eastAsia"/>
          <w:szCs w:val="21"/>
        </w:rPr>
        <w:t>原</w:t>
      </w:r>
      <w:r>
        <w:rPr>
          <w:szCs w:val="21"/>
        </w:rPr>
        <w:t>材料在正确安装及正常使用和保养条件下，于其使用寿命期内性能</w:t>
      </w:r>
      <w:r>
        <w:rPr>
          <w:rFonts w:hint="eastAsia"/>
          <w:szCs w:val="21"/>
        </w:rPr>
        <w:t>满足甲方需求</w:t>
      </w:r>
      <w:r>
        <w:rPr>
          <w:szCs w:val="21"/>
        </w:rPr>
        <w:t>。</w:t>
      </w:r>
    </w:p>
    <w:p w14:paraId="03A4EB61">
      <w:pPr>
        <w:pStyle w:val="9"/>
        <w:numPr>
          <w:ilvl w:val="0"/>
          <w:numId w:val="22"/>
        </w:numPr>
        <w:spacing w:after="0" w:line="240" w:lineRule="auto"/>
        <w:ind w:left="525" w:leftChars="0" w:hanging="525" w:hangingChars="250"/>
        <w:contextualSpacing/>
        <w:jc w:val="left"/>
        <w:rPr>
          <w:szCs w:val="21"/>
        </w:rPr>
      </w:pPr>
      <w:r>
        <w:rPr>
          <w:szCs w:val="21"/>
        </w:rPr>
        <w:t>如服务涉及计算机软件产品的，乙方须承诺在服务中设备安装的软件已获得软件厂商的正规授权。</w:t>
      </w:r>
    </w:p>
    <w:p w14:paraId="68E6AAB3">
      <w:pPr>
        <w:pStyle w:val="9"/>
        <w:numPr>
          <w:ilvl w:val="0"/>
          <w:numId w:val="22"/>
        </w:numPr>
        <w:spacing w:after="0" w:line="240" w:lineRule="auto"/>
        <w:ind w:left="525" w:leftChars="0" w:hanging="525" w:hangingChars="250"/>
        <w:contextualSpacing/>
        <w:jc w:val="left"/>
        <w:rPr>
          <w:szCs w:val="21"/>
        </w:rPr>
      </w:pPr>
      <w:r>
        <w:rPr>
          <w:szCs w:val="21"/>
        </w:rPr>
        <w:t>乙方对在按本合同约定向甲方提供服务过程中所获得的所有数据、商业秘密或其它技术及经营信息负有保密的义务，不得向任何第三方透露或泄露。</w:t>
      </w:r>
    </w:p>
    <w:p w14:paraId="742F7349">
      <w:pPr>
        <w:pStyle w:val="29"/>
        <w:numPr>
          <w:ilvl w:val="0"/>
          <w:numId w:val="14"/>
        </w:numPr>
        <w:ind w:left="0" w:firstLine="0" w:firstLineChars="0"/>
        <w:contextualSpacing/>
        <w:jc w:val="left"/>
        <w:rPr>
          <w:b/>
          <w:szCs w:val="21"/>
        </w:rPr>
      </w:pPr>
      <w:r>
        <w:rPr>
          <w:b/>
          <w:szCs w:val="21"/>
        </w:rPr>
        <w:t>违约责任</w:t>
      </w:r>
      <w:r>
        <w:rPr>
          <w:bCs/>
          <w:i/>
          <w:iCs/>
          <w:szCs w:val="21"/>
          <w:highlight w:val="yellow"/>
        </w:rPr>
        <w:t>&lt;本条款中违约金比例可根据项目实际情况确定</w:t>
      </w:r>
      <w:r>
        <w:rPr>
          <w:rFonts w:hint="eastAsia"/>
          <w:bCs/>
          <w:i/>
          <w:iCs/>
          <w:szCs w:val="21"/>
          <w:highlight w:val="yellow"/>
        </w:rPr>
        <w:t>，如合同无固定总金额的，请按实际需求调整表述</w:t>
      </w:r>
      <w:r>
        <w:rPr>
          <w:bCs/>
          <w:i/>
          <w:iCs/>
          <w:szCs w:val="21"/>
          <w:highlight w:val="yellow"/>
        </w:rPr>
        <w:t>&gt;</w:t>
      </w:r>
    </w:p>
    <w:p w14:paraId="5B66A4B0">
      <w:pPr>
        <w:pStyle w:val="9"/>
        <w:numPr>
          <w:ilvl w:val="0"/>
          <w:numId w:val="23"/>
        </w:numPr>
        <w:spacing w:after="0" w:line="240" w:lineRule="auto"/>
        <w:ind w:left="227" w:leftChars="0" w:hanging="227"/>
        <w:contextualSpacing/>
        <w:jc w:val="left"/>
        <w:rPr>
          <w:szCs w:val="21"/>
        </w:rPr>
      </w:pPr>
      <w:r>
        <w:rPr>
          <w:szCs w:val="21"/>
        </w:rPr>
        <w:t>甲方违约责任：甲方无正当理由拒绝乙方按本合同约定提供服务的，甲方应偿付合同总</w:t>
      </w:r>
      <w:r>
        <w:rPr>
          <w:rFonts w:hint="eastAsia"/>
          <w:szCs w:val="21"/>
        </w:rPr>
        <w:t>金额的</w:t>
      </w:r>
      <w:r>
        <w:rPr>
          <w:szCs w:val="21"/>
          <w:u w:val="single"/>
        </w:rPr>
        <w:t>10%</w:t>
      </w:r>
      <w:r>
        <w:rPr>
          <w:rFonts w:hint="eastAsia"/>
          <w:szCs w:val="21"/>
        </w:rPr>
        <w:t>作为</w:t>
      </w:r>
      <w:r>
        <w:rPr>
          <w:szCs w:val="21"/>
        </w:rPr>
        <w:t>违约金。</w:t>
      </w:r>
    </w:p>
    <w:p w14:paraId="0BC8E6CE">
      <w:pPr>
        <w:pStyle w:val="29"/>
        <w:numPr>
          <w:ilvl w:val="0"/>
          <w:numId w:val="23"/>
        </w:numPr>
        <w:ind w:left="0" w:firstLine="0" w:firstLineChars="0"/>
        <w:rPr>
          <w:szCs w:val="21"/>
        </w:rPr>
      </w:pPr>
      <w:r>
        <w:rPr>
          <w:szCs w:val="21"/>
        </w:rPr>
        <w:t>乙方违约责任：</w:t>
      </w:r>
    </w:p>
    <w:p w14:paraId="354B31C5">
      <w:pPr>
        <w:pStyle w:val="9"/>
        <w:numPr>
          <w:ilvl w:val="0"/>
          <w:numId w:val="24"/>
        </w:numPr>
        <w:spacing w:after="0" w:line="240" w:lineRule="auto"/>
        <w:ind w:left="525" w:leftChars="0" w:hanging="525" w:hangingChars="250"/>
        <w:contextualSpacing/>
        <w:jc w:val="left"/>
        <w:rPr>
          <w:szCs w:val="21"/>
        </w:rPr>
      </w:pPr>
      <w:bookmarkStart w:id="101" w:name="OLE_LINK17"/>
      <w:bookmarkStart w:id="102" w:name="OLE_LINK18"/>
      <w:r>
        <w:rPr>
          <w:szCs w:val="21"/>
        </w:rPr>
        <w:t>乙方应派遣具备相关资质的技术人员为甲方提供服务，服务过程中，乙方技术人员因操作不当、未采取必要的安全防范措施等原因导致安全责任事故的，由乙方承担由此造成的全部法律责任。</w:t>
      </w:r>
    </w:p>
    <w:p w14:paraId="20C1309B">
      <w:pPr>
        <w:pStyle w:val="9"/>
        <w:numPr>
          <w:ilvl w:val="0"/>
          <w:numId w:val="24"/>
        </w:numPr>
        <w:spacing w:after="0" w:line="240" w:lineRule="auto"/>
        <w:ind w:left="525" w:leftChars="0" w:hanging="525" w:hangingChars="250"/>
        <w:contextualSpacing/>
        <w:jc w:val="left"/>
        <w:rPr>
          <w:szCs w:val="21"/>
        </w:rPr>
      </w:pPr>
      <w:r>
        <w:rPr>
          <w:szCs w:val="21"/>
        </w:rPr>
        <w:t>因乙方在服务中更换的</w:t>
      </w:r>
      <w:r>
        <w:rPr>
          <w:rFonts w:hint="eastAsia"/>
          <w:szCs w:val="21"/>
        </w:rPr>
        <w:t>备品</w:t>
      </w:r>
      <w:r>
        <w:rPr>
          <w:szCs w:val="21"/>
        </w:rPr>
        <w:t>备件</w:t>
      </w:r>
      <w:r>
        <w:rPr>
          <w:rFonts w:hint="eastAsia"/>
          <w:szCs w:val="21"/>
        </w:rPr>
        <w:t>或原</w:t>
      </w:r>
      <w:r>
        <w:rPr>
          <w:szCs w:val="21"/>
        </w:rPr>
        <w:t>材料在质保期内并在正常使用情况下出现质量原因导致甲方或第三方财产或人身损害的，由乙方承担赔偿责任。</w:t>
      </w:r>
    </w:p>
    <w:p w14:paraId="2E725C36">
      <w:pPr>
        <w:pStyle w:val="9"/>
        <w:numPr>
          <w:ilvl w:val="0"/>
          <w:numId w:val="24"/>
        </w:numPr>
        <w:spacing w:after="0" w:line="240" w:lineRule="auto"/>
        <w:ind w:left="525" w:leftChars="0" w:hanging="525" w:hangingChars="250"/>
        <w:contextualSpacing/>
        <w:jc w:val="left"/>
        <w:rPr>
          <w:szCs w:val="21"/>
        </w:rPr>
      </w:pPr>
      <w:r>
        <w:rPr>
          <w:szCs w:val="21"/>
        </w:rPr>
        <w:t>在本合同的履行中，</w:t>
      </w:r>
      <w:r>
        <w:rPr>
          <w:rFonts w:hint="eastAsia"/>
          <w:szCs w:val="21"/>
        </w:rPr>
        <w:t>如</w:t>
      </w:r>
      <w:r>
        <w:rPr>
          <w:szCs w:val="21"/>
        </w:rPr>
        <w:t>乙方提供的服务存在设计、工艺或材料缺陷（包括潜在缺陷），乙方应当对由于上述缺陷造成的损失负责。</w:t>
      </w:r>
    </w:p>
    <w:p w14:paraId="74485C68">
      <w:pPr>
        <w:pStyle w:val="9"/>
        <w:numPr>
          <w:ilvl w:val="0"/>
          <w:numId w:val="24"/>
        </w:numPr>
        <w:spacing w:after="0" w:line="240" w:lineRule="auto"/>
        <w:ind w:left="525" w:leftChars="0" w:hanging="525" w:hangingChars="250"/>
        <w:contextualSpacing/>
        <w:jc w:val="left"/>
        <w:rPr>
          <w:szCs w:val="21"/>
        </w:rPr>
      </w:pPr>
      <w:r>
        <w:rPr>
          <w:szCs w:val="21"/>
        </w:rPr>
        <w:t>在本合同履行中，</w:t>
      </w:r>
      <w:r>
        <w:rPr>
          <w:rFonts w:hint="eastAsia"/>
          <w:szCs w:val="21"/>
        </w:rPr>
        <w:t>如</w:t>
      </w:r>
      <w:r>
        <w:rPr>
          <w:szCs w:val="21"/>
        </w:rPr>
        <w:t>乙方</w:t>
      </w:r>
      <w:r>
        <w:rPr>
          <w:rFonts w:hint="eastAsia"/>
          <w:szCs w:val="21"/>
        </w:rPr>
        <w:t>未按本合同约定及时向甲方提供服务</w:t>
      </w:r>
      <w:r>
        <w:rPr>
          <w:szCs w:val="21"/>
        </w:rPr>
        <w:t>，每发生一次，乙方应按</w:t>
      </w:r>
      <w:r>
        <w:rPr>
          <w:rFonts w:hint="eastAsia"/>
          <w:szCs w:val="21"/>
          <w:u w:val="single"/>
        </w:rPr>
        <w:t>合同总金额</w:t>
      </w:r>
      <w:r>
        <w:rPr>
          <w:szCs w:val="21"/>
        </w:rPr>
        <w:t>的</w:t>
      </w:r>
      <w:r>
        <w:rPr>
          <w:rFonts w:hint="eastAsia"/>
          <w:szCs w:val="21"/>
          <w:u w:val="single"/>
        </w:rPr>
        <w:t>***</w:t>
      </w:r>
      <w:r>
        <w:rPr>
          <w:rFonts w:hint="eastAsia"/>
          <w:szCs w:val="21"/>
        </w:rPr>
        <w:t>‰</w:t>
      </w:r>
      <w:r>
        <w:rPr>
          <w:szCs w:val="21"/>
        </w:rPr>
        <w:t>向甲方支付违约金。甲方可采取必要的补救措施，但由此而产生的风险责任和费用将由乙方负担，甲方根据合同规定对乙方行使的其他权利不受影响。</w:t>
      </w:r>
    </w:p>
    <w:p w14:paraId="170DE4FD">
      <w:pPr>
        <w:pStyle w:val="9"/>
        <w:numPr>
          <w:ilvl w:val="0"/>
          <w:numId w:val="24"/>
        </w:numPr>
        <w:spacing w:after="0" w:line="240" w:lineRule="auto"/>
        <w:ind w:left="525" w:leftChars="0" w:hanging="525" w:hangingChars="250"/>
        <w:contextualSpacing/>
        <w:jc w:val="left"/>
        <w:rPr>
          <w:szCs w:val="21"/>
        </w:rPr>
      </w:pPr>
      <w:r>
        <w:rPr>
          <w:szCs w:val="21"/>
        </w:rPr>
        <w:t>乙方在</w:t>
      </w:r>
      <w:r>
        <w:rPr>
          <w:rFonts w:hint="eastAsia"/>
          <w:szCs w:val="21"/>
        </w:rPr>
        <w:t>提供服务</w:t>
      </w:r>
      <w:r>
        <w:rPr>
          <w:szCs w:val="21"/>
        </w:rPr>
        <w:t>过程</w:t>
      </w:r>
      <w:r>
        <w:rPr>
          <w:rFonts w:hint="eastAsia"/>
          <w:szCs w:val="21"/>
        </w:rPr>
        <w:t>中</w:t>
      </w:r>
      <w:r>
        <w:rPr>
          <w:szCs w:val="21"/>
        </w:rPr>
        <w:t>侵犯他人知识产权，甲方有权单方解除合同，并要求乙方赔偿所造成的损失，同时甲方有权要求对方按照</w:t>
      </w:r>
      <w:r>
        <w:rPr>
          <w:szCs w:val="21"/>
          <w:u w:val="single"/>
        </w:rPr>
        <w:t>合同总金额</w:t>
      </w:r>
      <w:r>
        <w:rPr>
          <w:szCs w:val="21"/>
        </w:rPr>
        <w:t>的</w:t>
      </w:r>
      <w:r>
        <w:rPr>
          <w:szCs w:val="21"/>
          <w:u w:val="single"/>
        </w:rPr>
        <w:t>10</w:t>
      </w:r>
      <w:r>
        <w:rPr>
          <w:szCs w:val="21"/>
        </w:rPr>
        <w:t>%</w:t>
      </w:r>
      <w:r>
        <w:rPr>
          <w:rFonts w:hint="eastAsia"/>
          <w:szCs w:val="21"/>
        </w:rPr>
        <w:t>支付</w:t>
      </w:r>
      <w:r>
        <w:rPr>
          <w:szCs w:val="21"/>
        </w:rPr>
        <w:t>违约金。</w:t>
      </w:r>
    </w:p>
    <w:p w14:paraId="0B168445">
      <w:pPr>
        <w:pStyle w:val="9"/>
        <w:numPr>
          <w:ilvl w:val="0"/>
          <w:numId w:val="24"/>
        </w:numPr>
        <w:spacing w:after="0" w:line="240" w:lineRule="auto"/>
        <w:ind w:left="525" w:leftChars="0" w:hanging="525" w:hangingChars="250"/>
        <w:contextualSpacing/>
        <w:jc w:val="left"/>
        <w:rPr>
          <w:szCs w:val="21"/>
        </w:rPr>
      </w:pPr>
      <w:r>
        <w:rPr>
          <w:szCs w:val="21"/>
        </w:rPr>
        <w:t>乙方违反保密义务，甲方有权单方解除合同，乙方应按甲方实际损失向甲方进行赔偿并向甲方支付</w:t>
      </w:r>
      <w:r>
        <w:rPr>
          <w:rFonts w:hint="eastAsia"/>
          <w:szCs w:val="21"/>
          <w:u w:val="single"/>
        </w:rPr>
        <w:t>合同总金额</w:t>
      </w:r>
      <w:r>
        <w:rPr>
          <w:rFonts w:hint="eastAsia"/>
          <w:szCs w:val="21"/>
        </w:rPr>
        <w:t>的</w:t>
      </w:r>
      <w:r>
        <w:rPr>
          <w:szCs w:val="21"/>
          <w:u w:val="single"/>
        </w:rPr>
        <w:t>10</w:t>
      </w:r>
      <w:r>
        <w:rPr>
          <w:szCs w:val="21"/>
        </w:rPr>
        <w:t>%</w:t>
      </w:r>
      <w:r>
        <w:rPr>
          <w:rFonts w:hint="eastAsia"/>
          <w:szCs w:val="21"/>
        </w:rPr>
        <w:t>作为</w:t>
      </w:r>
      <w:r>
        <w:rPr>
          <w:szCs w:val="21"/>
        </w:rPr>
        <w:t>违约金。</w:t>
      </w:r>
    </w:p>
    <w:bookmarkEnd w:id="101"/>
    <w:bookmarkEnd w:id="102"/>
    <w:p w14:paraId="79DD140B">
      <w:pPr>
        <w:pStyle w:val="9"/>
        <w:numPr>
          <w:ilvl w:val="0"/>
          <w:numId w:val="24"/>
        </w:numPr>
        <w:spacing w:after="0" w:line="240" w:lineRule="auto"/>
        <w:ind w:left="525" w:leftChars="0" w:hanging="525" w:hangingChars="250"/>
        <w:contextualSpacing/>
        <w:jc w:val="left"/>
        <w:rPr>
          <w:szCs w:val="21"/>
        </w:rPr>
      </w:pPr>
      <w:r>
        <w:rPr>
          <w:szCs w:val="21"/>
        </w:rPr>
        <w:t>乙方偿付的违约金不足以弥补甲方损失的，还应按甲方损失尚未弥补的部分，支付赔偿金给甲方。</w:t>
      </w:r>
    </w:p>
    <w:p w14:paraId="3156E70D">
      <w:pPr>
        <w:pStyle w:val="9"/>
        <w:numPr>
          <w:ilvl w:val="0"/>
          <w:numId w:val="24"/>
        </w:numPr>
        <w:spacing w:after="0" w:line="240" w:lineRule="auto"/>
        <w:ind w:left="525" w:leftChars="0" w:hanging="525" w:hangingChars="250"/>
        <w:contextualSpacing/>
        <w:jc w:val="left"/>
        <w:rPr>
          <w:szCs w:val="21"/>
        </w:rPr>
      </w:pPr>
      <w:r>
        <w:rPr>
          <w:szCs w:val="21"/>
        </w:rPr>
        <w:t>乙方未按照本合同约定的时限提供合法发票或提供发票瑕疵（包括但不限于发票种类有误、发票金额有误等），甲方付款时限相应顺延并不承担任何延期支付的违约责任。</w:t>
      </w:r>
    </w:p>
    <w:p w14:paraId="6DEABDB4">
      <w:pPr>
        <w:pStyle w:val="9"/>
        <w:numPr>
          <w:ilvl w:val="0"/>
          <w:numId w:val="24"/>
        </w:numPr>
        <w:snapToGrid w:val="0"/>
        <w:spacing w:after="0" w:line="240" w:lineRule="auto"/>
        <w:ind w:left="525" w:leftChars="0" w:hanging="525" w:hangingChars="250"/>
        <w:contextualSpacing/>
        <w:jc w:val="left"/>
        <w:rPr>
          <w:szCs w:val="21"/>
        </w:rPr>
      </w:pPr>
      <w:r>
        <w:rPr>
          <w:szCs w:val="21"/>
        </w:rPr>
        <w:t>如本</w:t>
      </w:r>
      <w:r>
        <w:rPr>
          <w:rFonts w:ascii="宋体" w:hAnsi="宋体" w:cs="微软雅黑"/>
          <w:szCs w:val="21"/>
        </w:rPr>
        <w:t>合同</w:t>
      </w:r>
      <w:r>
        <w:rPr>
          <w:rFonts w:hint="cs" w:ascii="宋体" w:hAnsi="宋体"/>
          <w:szCs w:val="21"/>
        </w:rPr>
        <w:t>要</w:t>
      </w:r>
      <w:r>
        <w:rPr>
          <w:szCs w:val="21"/>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3A1E7FA">
      <w:pPr>
        <w:pStyle w:val="9"/>
        <w:spacing w:after="0" w:line="240" w:lineRule="auto"/>
        <w:ind w:left="0" w:leftChars="0"/>
        <w:contextualSpacing/>
        <w:jc w:val="left"/>
        <w:rPr>
          <w:szCs w:val="21"/>
        </w:rPr>
      </w:pPr>
      <w:r>
        <w:rPr>
          <w:szCs w:val="21"/>
        </w:rPr>
        <w:t>3.本合同履行中如有任何一方违约，那么守约方为保障自己合法权益而产生的律师费、诉讼费、差旅费、公告费等，均由违约方承担。</w:t>
      </w:r>
    </w:p>
    <w:p w14:paraId="754D0209">
      <w:pPr>
        <w:pStyle w:val="29"/>
        <w:numPr>
          <w:ilvl w:val="0"/>
          <w:numId w:val="14"/>
        </w:numPr>
        <w:ind w:left="0" w:firstLine="0" w:firstLineChars="0"/>
        <w:contextualSpacing/>
        <w:jc w:val="left"/>
        <w:rPr>
          <w:b/>
          <w:szCs w:val="21"/>
        </w:rPr>
      </w:pPr>
      <w:r>
        <w:rPr>
          <w:b/>
          <w:szCs w:val="21"/>
        </w:rPr>
        <w:t>不可抗力</w:t>
      </w:r>
    </w:p>
    <w:p w14:paraId="26541785">
      <w:pPr>
        <w:pStyle w:val="29"/>
        <w:snapToGrid w:val="0"/>
        <w:rPr>
          <w:bCs/>
          <w:szCs w:val="21"/>
        </w:rPr>
      </w:pPr>
      <w:r>
        <w:rPr>
          <w:bCs/>
          <w:szCs w:val="21"/>
        </w:rPr>
        <w:t>如果遇到自然灾害和灾难及其他不可抗力事件而影响合同履行时，乙方应在三个工作日内以书面形式通知甲方。若不可抗力原因影响本合同执行时间超过***</w:t>
      </w:r>
      <w:r>
        <w:rPr>
          <w:rFonts w:hint="eastAsia"/>
          <w:bCs/>
          <w:szCs w:val="21"/>
        </w:rPr>
        <w:t>日</w:t>
      </w:r>
      <w:r>
        <w:rPr>
          <w:bCs/>
          <w:szCs w:val="21"/>
        </w:rPr>
        <w:t>，甲方有权解除合同，双方互不承担违约责任。</w:t>
      </w:r>
    </w:p>
    <w:p w14:paraId="031713B9">
      <w:pPr>
        <w:pStyle w:val="29"/>
        <w:numPr>
          <w:ilvl w:val="0"/>
          <w:numId w:val="14"/>
        </w:numPr>
        <w:ind w:left="0" w:firstLine="0" w:firstLineChars="0"/>
        <w:contextualSpacing/>
        <w:jc w:val="left"/>
        <w:rPr>
          <w:b/>
          <w:szCs w:val="21"/>
        </w:rPr>
      </w:pPr>
      <w:r>
        <w:rPr>
          <w:b/>
          <w:szCs w:val="21"/>
        </w:rPr>
        <w:t>合同终止及解除</w:t>
      </w:r>
    </w:p>
    <w:p w14:paraId="275C61D9">
      <w:pPr>
        <w:pStyle w:val="29"/>
        <w:numPr>
          <w:ilvl w:val="0"/>
          <w:numId w:val="25"/>
        </w:numPr>
        <w:ind w:left="0" w:firstLine="0" w:firstLineChars="0"/>
        <w:rPr>
          <w:szCs w:val="21"/>
        </w:rPr>
      </w:pPr>
      <w:r>
        <w:rPr>
          <w:szCs w:val="21"/>
        </w:rPr>
        <w:t>合同一方发现可能致使本合同无法按约定继续履行的情形时，应当及时通知另一方并采取适当措施减少损失；没有及时通知并采取适当措施，致使损失扩大的，应当就扩大的损失承担责任。</w:t>
      </w:r>
    </w:p>
    <w:p w14:paraId="1E2279CF">
      <w:pPr>
        <w:pStyle w:val="29"/>
        <w:numPr>
          <w:ilvl w:val="0"/>
          <w:numId w:val="25"/>
        </w:numPr>
        <w:ind w:left="0" w:firstLine="0" w:firstLineChars="0"/>
        <w:rPr>
          <w:szCs w:val="21"/>
        </w:rPr>
      </w:pPr>
      <w:r>
        <w:rPr>
          <w:szCs w:val="21"/>
        </w:rPr>
        <w:t>在甲、乙任何一方有严重违约行为时，另一方有权单方解除合同。</w:t>
      </w:r>
    </w:p>
    <w:p w14:paraId="2BA7B89E">
      <w:pPr>
        <w:pStyle w:val="29"/>
        <w:numPr>
          <w:ilvl w:val="0"/>
          <w:numId w:val="14"/>
        </w:numPr>
        <w:ind w:left="0" w:firstLine="0" w:firstLineChars="0"/>
        <w:contextualSpacing/>
        <w:jc w:val="left"/>
        <w:rPr>
          <w:b/>
          <w:szCs w:val="21"/>
        </w:rPr>
      </w:pPr>
      <w:r>
        <w:rPr>
          <w:b/>
          <w:szCs w:val="21"/>
        </w:rPr>
        <w:t>争议解决办法</w:t>
      </w:r>
    </w:p>
    <w:p w14:paraId="5C6244A3">
      <w:pPr>
        <w:pStyle w:val="29"/>
        <w:numPr>
          <w:ilvl w:val="0"/>
          <w:numId w:val="26"/>
        </w:numPr>
        <w:ind w:left="0" w:firstLine="0" w:firstLineChars="0"/>
        <w:rPr>
          <w:szCs w:val="21"/>
        </w:rPr>
      </w:pPr>
      <w:r>
        <w:rPr>
          <w:szCs w:val="21"/>
        </w:rPr>
        <w:t>因服务质量问题发生争议，由质量技术监督部门或其指定的质量鉴定机构进行质量鉴定，结果符合标准的，鉴定费由甲方承担；不符合标准的，鉴定费由乙方承担。</w:t>
      </w:r>
    </w:p>
    <w:p w14:paraId="40F006BE">
      <w:pPr>
        <w:pStyle w:val="29"/>
        <w:numPr>
          <w:ilvl w:val="0"/>
          <w:numId w:val="26"/>
        </w:numPr>
        <w:ind w:left="0" w:firstLine="0" w:firstLineChars="0"/>
        <w:rPr>
          <w:szCs w:val="21"/>
        </w:rPr>
      </w:pPr>
      <w:r>
        <w:rPr>
          <w:szCs w:val="21"/>
        </w:rPr>
        <w:t>合同履行期间,若双方发生争议，可协商或由有关部门调解解决，协商或调解不成的，任何一方均有权向甲方所在地具有管辖权的人民法院起诉。</w:t>
      </w:r>
    </w:p>
    <w:p w14:paraId="533F8595">
      <w:pPr>
        <w:pStyle w:val="29"/>
        <w:numPr>
          <w:ilvl w:val="0"/>
          <w:numId w:val="14"/>
        </w:numPr>
        <w:ind w:left="0" w:firstLine="0" w:firstLineChars="0"/>
        <w:contextualSpacing/>
        <w:jc w:val="left"/>
        <w:rPr>
          <w:b/>
          <w:szCs w:val="21"/>
        </w:rPr>
      </w:pPr>
      <w:r>
        <w:rPr>
          <w:b/>
          <w:szCs w:val="21"/>
        </w:rPr>
        <w:t>送达（送达地址是司法机关、执法机关和仲裁机关将法律文书送达给当事人的收件地址）</w:t>
      </w:r>
    </w:p>
    <w:p w14:paraId="46F487CF">
      <w:pPr>
        <w:pStyle w:val="34"/>
        <w:numPr>
          <w:ilvl w:val="0"/>
          <w:numId w:val="27"/>
        </w:numPr>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2E0AF282">
      <w:pPr>
        <w:pStyle w:val="34"/>
        <w:numPr>
          <w:ilvl w:val="0"/>
          <w:numId w:val="27"/>
        </w:numPr>
        <w:ind w:left="0" w:firstLine="0"/>
        <w:rPr>
          <w:rFonts w:hAnsi="Times New Roman" w:eastAsia="宋体" w:cs="Times New Roman"/>
          <w:color w:val="auto"/>
        </w:rPr>
      </w:pPr>
      <w:r>
        <w:rPr>
          <w:rFonts w:hAnsi="Times New Roman" w:eastAsia="宋体" w:cs="Times New Roman"/>
          <w:color w:val="auto"/>
        </w:rPr>
        <w:t>乙方送达地址：***</w:t>
      </w:r>
    </w:p>
    <w:p w14:paraId="750624B0">
      <w:pPr>
        <w:pStyle w:val="34"/>
        <w:numPr>
          <w:ilvl w:val="0"/>
          <w:numId w:val="27"/>
        </w:numPr>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07BA6E60">
      <w:pPr>
        <w:pStyle w:val="29"/>
        <w:numPr>
          <w:ilvl w:val="0"/>
          <w:numId w:val="14"/>
        </w:numPr>
        <w:ind w:left="0" w:firstLine="0" w:firstLineChars="0"/>
        <w:contextualSpacing/>
        <w:jc w:val="left"/>
        <w:rPr>
          <w:b/>
          <w:szCs w:val="21"/>
        </w:rPr>
      </w:pPr>
      <w:r>
        <w:rPr>
          <w:b/>
          <w:szCs w:val="21"/>
        </w:rPr>
        <w:t>其他</w:t>
      </w:r>
    </w:p>
    <w:p w14:paraId="162904B6">
      <w:pPr>
        <w:pStyle w:val="29"/>
        <w:numPr>
          <w:ilvl w:val="0"/>
          <w:numId w:val="28"/>
        </w:numPr>
        <w:ind w:left="0" w:firstLine="0" w:firstLineChars="0"/>
        <w:rPr>
          <w:szCs w:val="21"/>
        </w:rPr>
      </w:pPr>
      <w:r>
        <w:rPr>
          <w:szCs w:val="21"/>
        </w:rPr>
        <w:t>如有未尽事宜，由双方依法订立补充合同。补充合同及本合同附件均为本合同的组成部分，与本合同具有同等法律效力。</w:t>
      </w:r>
    </w:p>
    <w:p w14:paraId="3EA6778F">
      <w:pPr>
        <w:pStyle w:val="29"/>
        <w:numPr>
          <w:ilvl w:val="0"/>
          <w:numId w:val="28"/>
        </w:numPr>
        <w:ind w:left="0" w:firstLine="0" w:firstLineChars="0"/>
        <w:rPr>
          <w:szCs w:val="21"/>
        </w:rPr>
      </w:pPr>
      <w:r>
        <w:rPr>
          <w:szCs w:val="21"/>
        </w:rPr>
        <w:t>本合同一式四份，自双方</w:t>
      </w:r>
      <w:r>
        <w:rPr>
          <w:rFonts w:hint="eastAsia"/>
          <w:szCs w:val="21"/>
        </w:rPr>
        <w:t>签字且盖章之</w:t>
      </w:r>
      <w:r>
        <w:rPr>
          <w:szCs w:val="21"/>
        </w:rPr>
        <w:t>日起生效。甲方三份，乙方一份。</w:t>
      </w:r>
    </w:p>
    <w:p w14:paraId="134580B1">
      <w:pPr>
        <w:pStyle w:val="29"/>
        <w:numPr>
          <w:ilvl w:val="0"/>
          <w:numId w:val="14"/>
        </w:numPr>
        <w:ind w:left="0" w:firstLine="0" w:firstLineChars="0"/>
        <w:contextualSpacing/>
        <w:jc w:val="left"/>
        <w:rPr>
          <w:b/>
          <w:szCs w:val="21"/>
        </w:rPr>
      </w:pPr>
      <w:r>
        <w:rPr>
          <w:b/>
          <w:szCs w:val="21"/>
        </w:rPr>
        <w:t>合同附件</w:t>
      </w:r>
    </w:p>
    <w:p w14:paraId="6C66D4AC">
      <w:pPr>
        <w:rPr>
          <w:szCs w:val="21"/>
        </w:rPr>
      </w:pPr>
      <w:r>
        <w:rPr>
          <w:szCs w:val="21"/>
        </w:rPr>
        <w:t>本合同为</w:t>
      </w:r>
      <w:r>
        <w:rPr>
          <w:rFonts w:hint="eastAsia"/>
          <w:szCs w:val="21"/>
          <w:u w:val="single"/>
        </w:rPr>
        <w:t>有</w:t>
      </w:r>
      <w:r>
        <w:rPr>
          <w:szCs w:val="21"/>
        </w:rPr>
        <w:t>附件合同</w:t>
      </w:r>
      <w:r>
        <w:rPr>
          <w:rFonts w:hint="eastAsia"/>
          <w:szCs w:val="21"/>
        </w:rPr>
        <w:t>，附件如下：</w:t>
      </w:r>
      <w:r>
        <w:rPr>
          <w:i/>
          <w:iCs/>
          <w:szCs w:val="21"/>
          <w:highlight w:val="yellow"/>
        </w:rPr>
        <w:t>&lt;根据项目实际情况编制&gt;</w:t>
      </w:r>
    </w:p>
    <w:p w14:paraId="3FF9CA8A">
      <w:pPr>
        <w:jc w:val="left"/>
        <w:outlineLvl w:val="0"/>
        <w:rPr>
          <w:szCs w:val="21"/>
        </w:rPr>
      </w:pPr>
      <w:r>
        <w:rPr>
          <w:rFonts w:hint="eastAsia"/>
          <w:szCs w:val="21"/>
        </w:rPr>
        <w:t>附件1《</w:t>
      </w:r>
      <w:bookmarkStart w:id="103" w:name="OLE_LINK32"/>
      <w:r>
        <w:rPr>
          <w:rFonts w:hint="eastAsia"/>
          <w:szCs w:val="21"/>
        </w:rPr>
        <w:t>结算单价清单</w:t>
      </w:r>
      <w:bookmarkEnd w:id="103"/>
      <w:r>
        <w:rPr>
          <w:rFonts w:hint="eastAsia"/>
          <w:szCs w:val="21"/>
        </w:rPr>
        <w:t>》</w:t>
      </w:r>
    </w:p>
    <w:p w14:paraId="6CDBD3F1">
      <w:pPr>
        <w:jc w:val="left"/>
        <w:outlineLvl w:val="0"/>
        <w:rPr>
          <w:szCs w:val="21"/>
        </w:rPr>
      </w:pPr>
      <w:r>
        <w:rPr>
          <w:rFonts w:hint="eastAsia"/>
          <w:szCs w:val="21"/>
        </w:rPr>
        <w:t>附件2《考核标准》</w:t>
      </w:r>
    </w:p>
    <w:p w14:paraId="485EAD27">
      <w:pPr>
        <w:jc w:val="left"/>
        <w:outlineLvl w:val="0"/>
        <w:rPr>
          <w:szCs w:val="21"/>
        </w:rPr>
      </w:pPr>
      <w:r>
        <w:rPr>
          <w:szCs w:val="21"/>
        </w:rPr>
        <w:t>附件3《服务</w:t>
      </w:r>
      <w:r>
        <w:rPr>
          <w:rFonts w:hint="eastAsia"/>
          <w:szCs w:val="21"/>
        </w:rPr>
        <w:t>方案</w:t>
      </w:r>
      <w:r>
        <w:rPr>
          <w:szCs w:val="21"/>
        </w:rPr>
        <w:t>》</w:t>
      </w:r>
    </w:p>
    <w:p w14:paraId="73257A85">
      <w:pPr>
        <w:jc w:val="center"/>
        <w:rPr>
          <w:szCs w:val="21"/>
        </w:rPr>
      </w:pPr>
      <w:r>
        <w:rPr>
          <w:szCs w:val="21"/>
        </w:rPr>
        <w:t>——</w:t>
      </w:r>
      <w:r>
        <w:rPr>
          <w:sz w:val="18"/>
          <w:szCs w:val="18"/>
        </w:rPr>
        <w:t>以下无正文</w:t>
      </w:r>
      <w:r>
        <w:rPr>
          <w:szCs w:val="21"/>
        </w:rPr>
        <w:t>——</w:t>
      </w:r>
    </w:p>
    <w:tbl>
      <w:tblPr>
        <w:tblStyle w:val="18"/>
        <w:tblW w:w="5000" w:type="pct"/>
        <w:jc w:val="center"/>
        <w:tblLayout w:type="autofit"/>
        <w:tblCellMar>
          <w:top w:w="0" w:type="dxa"/>
          <w:left w:w="0" w:type="dxa"/>
          <w:bottom w:w="0" w:type="dxa"/>
          <w:right w:w="0" w:type="dxa"/>
        </w:tblCellMar>
      </w:tblPr>
      <w:tblGrid>
        <w:gridCol w:w="4688"/>
        <w:gridCol w:w="4950"/>
      </w:tblGrid>
      <w:tr w14:paraId="71EA2B7F">
        <w:tblPrEx>
          <w:tblCellMar>
            <w:top w:w="0" w:type="dxa"/>
            <w:left w:w="0" w:type="dxa"/>
            <w:bottom w:w="0" w:type="dxa"/>
            <w:right w:w="0" w:type="dxa"/>
          </w:tblCellMar>
        </w:tblPrEx>
        <w:trPr>
          <w:trHeight w:val="519" w:hRule="atLeast"/>
          <w:jc w:val="center"/>
        </w:trPr>
        <w:tc>
          <w:tcPr>
            <w:tcW w:w="10214" w:type="dxa"/>
            <w:gridSpan w:val="2"/>
          </w:tcPr>
          <w:p w14:paraId="7FDA39D9">
            <w:pPr>
              <w:rPr>
                <w:szCs w:val="21"/>
              </w:rPr>
            </w:pPr>
            <w:r>
              <w:rPr>
                <w:szCs w:val="21"/>
              </w:rPr>
              <w:t>签订时间：</w:t>
            </w:r>
            <w:r>
              <w:t>202*</w:t>
            </w:r>
            <w:r>
              <w:rPr>
                <w:szCs w:val="21"/>
              </w:rPr>
              <w:t>年***月***日</w:t>
            </w:r>
          </w:p>
        </w:tc>
      </w:tr>
      <w:tr w14:paraId="106C5796">
        <w:tblPrEx>
          <w:tblCellMar>
            <w:top w:w="0" w:type="dxa"/>
            <w:left w:w="0" w:type="dxa"/>
            <w:bottom w:w="0" w:type="dxa"/>
            <w:right w:w="0" w:type="dxa"/>
          </w:tblCellMar>
        </w:tblPrEx>
        <w:trPr>
          <w:jc w:val="center"/>
        </w:trPr>
        <w:tc>
          <w:tcPr>
            <w:tcW w:w="4967" w:type="dxa"/>
          </w:tcPr>
          <w:p w14:paraId="3F93961B">
            <w:pPr>
              <w:rPr>
                <w:szCs w:val="21"/>
              </w:rPr>
            </w:pPr>
            <w:r>
              <w:rPr>
                <w:szCs w:val="21"/>
              </w:rPr>
              <w:t>甲方：四川省人民医院（盖章）</w:t>
            </w:r>
          </w:p>
          <w:p w14:paraId="1BF2641A">
            <w:pPr>
              <w:rPr>
                <w:szCs w:val="21"/>
              </w:rPr>
            </w:pPr>
            <w:r>
              <w:rPr>
                <w:szCs w:val="21"/>
              </w:rPr>
              <w:t>法定代表人（授权代表签字）：</w:t>
            </w:r>
          </w:p>
          <w:p w14:paraId="3CF6E833">
            <w:pPr>
              <w:rPr>
                <w:szCs w:val="21"/>
              </w:rPr>
            </w:pPr>
            <w:r>
              <w:rPr>
                <w:szCs w:val="21"/>
              </w:rPr>
              <w:t>地    址：四川省成都市一环路西二段32号</w:t>
            </w:r>
          </w:p>
          <w:p w14:paraId="6736D38D">
            <w:pPr>
              <w:rPr>
                <w:szCs w:val="21"/>
              </w:rPr>
            </w:pPr>
            <w:r>
              <w:rPr>
                <w:szCs w:val="21"/>
              </w:rPr>
              <w:t>开户银行：建设银行成都青羊支行</w:t>
            </w:r>
          </w:p>
          <w:p w14:paraId="3D5EBF0F">
            <w:pPr>
              <w:rPr>
                <w:szCs w:val="21"/>
              </w:rPr>
            </w:pPr>
            <w:r>
              <w:rPr>
                <w:szCs w:val="21"/>
              </w:rPr>
              <w:t>账号：5100 1446 4360 5037 4282</w:t>
            </w:r>
          </w:p>
        </w:tc>
        <w:tc>
          <w:tcPr>
            <w:tcW w:w="5247" w:type="dxa"/>
          </w:tcPr>
          <w:p w14:paraId="76D47F6F">
            <w:pPr>
              <w:rPr>
                <w:szCs w:val="21"/>
              </w:rPr>
            </w:pPr>
            <w:r>
              <w:rPr>
                <w:szCs w:val="21"/>
              </w:rPr>
              <w:t>乙方：</w:t>
            </w:r>
            <w:permStart w:id="2" w:edGrp="everyone"/>
            <w:r>
              <w:rPr>
                <w:szCs w:val="21"/>
              </w:rPr>
              <w:t>***</w:t>
            </w:r>
            <w:permEnd w:id="2"/>
            <w:r>
              <w:rPr>
                <w:szCs w:val="21"/>
              </w:rPr>
              <w:t>（盖章）</w:t>
            </w:r>
          </w:p>
          <w:p w14:paraId="5129AF1F">
            <w:pPr>
              <w:rPr>
                <w:szCs w:val="21"/>
              </w:rPr>
            </w:pPr>
            <w:r>
              <w:rPr>
                <w:szCs w:val="21"/>
              </w:rPr>
              <w:t>法定代表人（授权代表签字）：</w:t>
            </w:r>
          </w:p>
          <w:p w14:paraId="47302462">
            <w:pPr>
              <w:rPr>
                <w:szCs w:val="21"/>
              </w:rPr>
            </w:pPr>
            <w:r>
              <w:rPr>
                <w:szCs w:val="21"/>
              </w:rPr>
              <w:t>地址：</w:t>
            </w:r>
            <w:permStart w:id="3" w:edGrp="everyone"/>
            <w:r>
              <w:rPr>
                <w:szCs w:val="21"/>
              </w:rPr>
              <w:t>***</w:t>
            </w:r>
            <w:permEnd w:id="3"/>
          </w:p>
          <w:p w14:paraId="1CF0A190">
            <w:pPr>
              <w:rPr>
                <w:szCs w:val="21"/>
              </w:rPr>
            </w:pPr>
            <w:r>
              <w:rPr>
                <w:szCs w:val="21"/>
              </w:rPr>
              <w:t>开户银行：</w:t>
            </w:r>
            <w:permStart w:id="4" w:edGrp="everyone"/>
            <w:r>
              <w:rPr>
                <w:szCs w:val="21"/>
              </w:rPr>
              <w:t>***</w:t>
            </w:r>
          </w:p>
          <w:permEnd w:id="4"/>
          <w:p w14:paraId="5672E29C">
            <w:pPr>
              <w:widowControl/>
              <w:jc w:val="left"/>
            </w:pPr>
            <w:r>
              <w:rPr>
                <w:szCs w:val="21"/>
              </w:rPr>
              <w:t>账号：</w:t>
            </w:r>
            <w:permStart w:id="5" w:edGrp="everyone"/>
            <w:r>
              <w:rPr>
                <w:szCs w:val="21"/>
              </w:rPr>
              <w:t>***</w:t>
            </w:r>
            <w:permEnd w:id="5"/>
          </w:p>
        </w:tc>
      </w:tr>
    </w:tbl>
    <w:p w14:paraId="4225AEC9">
      <w:pPr>
        <w:rPr>
          <w:b/>
          <w:bCs/>
          <w:szCs w:val="21"/>
        </w:rPr>
      </w:pPr>
      <w:r>
        <w:rPr>
          <w:b/>
          <w:bCs/>
          <w:szCs w:val="21"/>
        </w:rPr>
        <w:br w:type="page"/>
      </w:r>
    </w:p>
    <w:p w14:paraId="0D97F379">
      <w:pPr>
        <w:widowControl/>
        <w:jc w:val="left"/>
        <w:rPr>
          <w:b/>
          <w:bCs/>
          <w:szCs w:val="21"/>
        </w:rPr>
      </w:pPr>
      <w:r>
        <w:rPr>
          <w:b/>
          <w:bCs/>
          <w:szCs w:val="21"/>
        </w:rPr>
        <w:t>附件</w:t>
      </w:r>
      <w:r>
        <w:rPr>
          <w:rFonts w:hint="eastAsia"/>
          <w:b/>
          <w:bCs/>
          <w:szCs w:val="21"/>
        </w:rPr>
        <w:t>1</w:t>
      </w:r>
      <w:r>
        <w:rPr>
          <w:b/>
          <w:bCs/>
          <w:szCs w:val="21"/>
        </w:rPr>
        <w:t>：</w:t>
      </w:r>
      <w:r>
        <w:rPr>
          <w:rFonts w:hint="eastAsia"/>
          <w:b/>
          <w:bCs/>
          <w:szCs w:val="21"/>
        </w:rPr>
        <w:t>结算单价清单（人民币：元）</w:t>
      </w:r>
      <w:r>
        <w:rPr>
          <w:rFonts w:hint="eastAsia"/>
          <w:b/>
          <w:bCs/>
          <w:i/>
          <w:iCs/>
          <w:szCs w:val="21"/>
          <w:highlight w:val="yellow"/>
        </w:rPr>
        <w:t>&lt;根据项目实际情况编制</w:t>
      </w:r>
      <w:r>
        <w:rPr>
          <w:b/>
          <w:bCs/>
          <w:i/>
          <w:iCs/>
          <w:szCs w:val="21"/>
          <w:highlight w:val="yellow"/>
        </w:rPr>
        <w:t>&gt;</w:t>
      </w:r>
    </w:p>
    <w:p w14:paraId="332FDDDB">
      <w:pPr>
        <w:widowControl/>
        <w:jc w:val="left"/>
        <w:rPr>
          <w:szCs w:val="21"/>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2E43D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6F5C2A7">
            <w:pPr>
              <w:widowControl/>
              <w:jc w:val="center"/>
              <w:rPr>
                <w:b/>
                <w:bCs/>
                <w:szCs w:val="21"/>
              </w:rPr>
            </w:pPr>
            <w:r>
              <w:rPr>
                <w:rFonts w:hint="eastAsia"/>
                <w:b/>
                <w:bCs/>
                <w:szCs w:val="21"/>
              </w:rPr>
              <w:t>序号</w:t>
            </w:r>
          </w:p>
        </w:tc>
        <w:tc>
          <w:tcPr>
            <w:tcW w:w="3686" w:type="dxa"/>
            <w:vAlign w:val="center"/>
          </w:tcPr>
          <w:p w14:paraId="6138C8A7">
            <w:pPr>
              <w:widowControl/>
              <w:jc w:val="center"/>
              <w:rPr>
                <w:b/>
                <w:bCs/>
                <w:szCs w:val="21"/>
              </w:rPr>
            </w:pPr>
            <w:r>
              <w:rPr>
                <w:rFonts w:hint="eastAsia"/>
                <w:b/>
                <w:bCs/>
                <w:szCs w:val="21"/>
              </w:rPr>
              <w:t>结算项目名称</w:t>
            </w:r>
          </w:p>
        </w:tc>
        <w:tc>
          <w:tcPr>
            <w:tcW w:w="3402" w:type="dxa"/>
            <w:vAlign w:val="center"/>
          </w:tcPr>
          <w:p w14:paraId="6B7CC3B9">
            <w:pPr>
              <w:widowControl/>
              <w:jc w:val="center"/>
              <w:rPr>
                <w:b/>
                <w:bCs/>
                <w:i/>
                <w:iCs/>
                <w:szCs w:val="21"/>
              </w:rPr>
            </w:pPr>
            <w:r>
              <w:rPr>
                <w:rFonts w:hint="eastAsia"/>
                <w:b/>
                <w:bCs/>
                <w:szCs w:val="21"/>
              </w:rPr>
              <w:t>项目信息</w:t>
            </w:r>
            <w:r>
              <w:rPr>
                <w:rFonts w:hint="eastAsia"/>
                <w:b/>
                <w:bCs/>
                <w:i/>
                <w:iCs/>
                <w:szCs w:val="21"/>
                <w:highlight w:val="yellow"/>
              </w:rPr>
              <w:t>&lt;生产厂商、品牌、型号规格等</w:t>
            </w:r>
            <w:r>
              <w:rPr>
                <w:b/>
                <w:bCs/>
                <w:i/>
                <w:iCs/>
                <w:szCs w:val="21"/>
                <w:highlight w:val="yellow"/>
              </w:rPr>
              <w:t>&gt;</w:t>
            </w:r>
          </w:p>
        </w:tc>
        <w:tc>
          <w:tcPr>
            <w:tcW w:w="992" w:type="dxa"/>
            <w:vAlign w:val="center"/>
          </w:tcPr>
          <w:p w14:paraId="67185156">
            <w:pPr>
              <w:widowControl/>
              <w:jc w:val="center"/>
              <w:rPr>
                <w:b/>
                <w:bCs/>
                <w:szCs w:val="21"/>
              </w:rPr>
            </w:pPr>
            <w:r>
              <w:rPr>
                <w:rFonts w:hint="eastAsia"/>
                <w:b/>
                <w:bCs/>
                <w:szCs w:val="21"/>
              </w:rPr>
              <w:t>结算单位</w:t>
            </w:r>
            <w:r>
              <w:rPr>
                <w:rFonts w:hint="eastAsia"/>
                <w:b/>
                <w:bCs/>
                <w:i/>
                <w:iCs/>
                <w:szCs w:val="21"/>
                <w:highlight w:val="yellow"/>
              </w:rPr>
              <w:t>&lt;指货物的单位</w:t>
            </w:r>
            <w:r>
              <w:rPr>
                <w:b/>
                <w:bCs/>
                <w:i/>
                <w:iCs/>
                <w:szCs w:val="21"/>
                <w:highlight w:val="yellow"/>
              </w:rPr>
              <w:t>&gt;</w:t>
            </w:r>
          </w:p>
        </w:tc>
        <w:tc>
          <w:tcPr>
            <w:tcW w:w="986" w:type="dxa"/>
            <w:vAlign w:val="center"/>
          </w:tcPr>
          <w:p w14:paraId="274144BB">
            <w:pPr>
              <w:widowControl/>
              <w:jc w:val="center"/>
              <w:rPr>
                <w:b/>
                <w:bCs/>
                <w:szCs w:val="21"/>
              </w:rPr>
            </w:pPr>
            <w:r>
              <w:rPr>
                <w:rFonts w:hint="eastAsia"/>
                <w:b/>
                <w:bCs/>
                <w:szCs w:val="21"/>
              </w:rPr>
              <w:t>结算单价</w:t>
            </w:r>
          </w:p>
        </w:tc>
      </w:tr>
      <w:tr w14:paraId="02C1C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356BCD53">
            <w:pPr>
              <w:widowControl/>
              <w:jc w:val="center"/>
              <w:rPr>
                <w:szCs w:val="21"/>
              </w:rPr>
            </w:pPr>
            <w:r>
              <w:rPr>
                <w:rFonts w:hint="eastAsia"/>
                <w:szCs w:val="21"/>
              </w:rPr>
              <w:t>1</w:t>
            </w:r>
          </w:p>
        </w:tc>
        <w:tc>
          <w:tcPr>
            <w:tcW w:w="3686" w:type="dxa"/>
            <w:vAlign w:val="center"/>
          </w:tcPr>
          <w:p w14:paraId="466C56FF">
            <w:pPr>
              <w:widowControl/>
              <w:jc w:val="left"/>
              <w:rPr>
                <w:szCs w:val="21"/>
              </w:rPr>
            </w:pPr>
          </w:p>
        </w:tc>
        <w:tc>
          <w:tcPr>
            <w:tcW w:w="3402" w:type="dxa"/>
            <w:vAlign w:val="center"/>
          </w:tcPr>
          <w:p w14:paraId="3BC0C217">
            <w:pPr>
              <w:widowControl/>
              <w:jc w:val="left"/>
              <w:rPr>
                <w:szCs w:val="21"/>
              </w:rPr>
            </w:pPr>
          </w:p>
        </w:tc>
        <w:tc>
          <w:tcPr>
            <w:tcW w:w="992" w:type="dxa"/>
            <w:vAlign w:val="center"/>
          </w:tcPr>
          <w:p w14:paraId="1338F166">
            <w:pPr>
              <w:widowControl/>
              <w:jc w:val="center"/>
              <w:rPr>
                <w:szCs w:val="21"/>
              </w:rPr>
            </w:pPr>
          </w:p>
        </w:tc>
        <w:tc>
          <w:tcPr>
            <w:tcW w:w="986" w:type="dxa"/>
            <w:vAlign w:val="center"/>
          </w:tcPr>
          <w:p w14:paraId="32755B64">
            <w:pPr>
              <w:widowControl/>
              <w:jc w:val="center"/>
              <w:rPr>
                <w:szCs w:val="21"/>
              </w:rPr>
            </w:pPr>
          </w:p>
        </w:tc>
      </w:tr>
      <w:tr w14:paraId="03DD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2F21EF6E">
            <w:pPr>
              <w:widowControl/>
              <w:jc w:val="center"/>
              <w:rPr>
                <w:szCs w:val="21"/>
              </w:rPr>
            </w:pPr>
            <w:r>
              <w:rPr>
                <w:rFonts w:hint="eastAsia"/>
                <w:szCs w:val="21"/>
              </w:rPr>
              <w:t>2</w:t>
            </w:r>
          </w:p>
        </w:tc>
        <w:tc>
          <w:tcPr>
            <w:tcW w:w="3686" w:type="dxa"/>
            <w:vAlign w:val="center"/>
          </w:tcPr>
          <w:p w14:paraId="638D463C">
            <w:pPr>
              <w:widowControl/>
              <w:jc w:val="left"/>
              <w:rPr>
                <w:szCs w:val="21"/>
              </w:rPr>
            </w:pPr>
          </w:p>
        </w:tc>
        <w:tc>
          <w:tcPr>
            <w:tcW w:w="3402" w:type="dxa"/>
            <w:vAlign w:val="center"/>
          </w:tcPr>
          <w:p w14:paraId="1E1EDFDE">
            <w:pPr>
              <w:widowControl/>
              <w:jc w:val="left"/>
              <w:rPr>
                <w:szCs w:val="21"/>
              </w:rPr>
            </w:pPr>
          </w:p>
        </w:tc>
        <w:tc>
          <w:tcPr>
            <w:tcW w:w="992" w:type="dxa"/>
            <w:vAlign w:val="center"/>
          </w:tcPr>
          <w:p w14:paraId="3C44F2A1">
            <w:pPr>
              <w:widowControl/>
              <w:jc w:val="center"/>
              <w:rPr>
                <w:szCs w:val="21"/>
              </w:rPr>
            </w:pPr>
          </w:p>
        </w:tc>
        <w:tc>
          <w:tcPr>
            <w:tcW w:w="986" w:type="dxa"/>
            <w:vAlign w:val="center"/>
          </w:tcPr>
          <w:p w14:paraId="4AFD23BD">
            <w:pPr>
              <w:widowControl/>
              <w:jc w:val="center"/>
              <w:rPr>
                <w:szCs w:val="21"/>
              </w:rPr>
            </w:pPr>
          </w:p>
        </w:tc>
      </w:tr>
      <w:tr w14:paraId="1BA19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9356817">
            <w:pPr>
              <w:widowControl/>
              <w:jc w:val="center"/>
              <w:rPr>
                <w:szCs w:val="21"/>
              </w:rPr>
            </w:pPr>
            <w:r>
              <w:rPr>
                <w:szCs w:val="21"/>
              </w:rPr>
              <w:t>…</w:t>
            </w:r>
          </w:p>
        </w:tc>
        <w:tc>
          <w:tcPr>
            <w:tcW w:w="3686" w:type="dxa"/>
            <w:vAlign w:val="center"/>
          </w:tcPr>
          <w:p w14:paraId="670196F7">
            <w:pPr>
              <w:widowControl/>
              <w:jc w:val="left"/>
              <w:rPr>
                <w:szCs w:val="21"/>
              </w:rPr>
            </w:pPr>
          </w:p>
        </w:tc>
        <w:tc>
          <w:tcPr>
            <w:tcW w:w="3402" w:type="dxa"/>
            <w:vAlign w:val="center"/>
          </w:tcPr>
          <w:p w14:paraId="5104BE78">
            <w:pPr>
              <w:widowControl/>
              <w:jc w:val="left"/>
              <w:rPr>
                <w:szCs w:val="21"/>
              </w:rPr>
            </w:pPr>
          </w:p>
        </w:tc>
        <w:tc>
          <w:tcPr>
            <w:tcW w:w="992" w:type="dxa"/>
            <w:vAlign w:val="center"/>
          </w:tcPr>
          <w:p w14:paraId="22F4BD02">
            <w:pPr>
              <w:widowControl/>
              <w:jc w:val="center"/>
              <w:rPr>
                <w:szCs w:val="21"/>
              </w:rPr>
            </w:pPr>
          </w:p>
        </w:tc>
        <w:tc>
          <w:tcPr>
            <w:tcW w:w="986" w:type="dxa"/>
            <w:vAlign w:val="center"/>
          </w:tcPr>
          <w:p w14:paraId="7897A3E9">
            <w:pPr>
              <w:widowControl/>
              <w:jc w:val="center"/>
              <w:rPr>
                <w:szCs w:val="21"/>
              </w:rPr>
            </w:pPr>
          </w:p>
        </w:tc>
      </w:tr>
    </w:tbl>
    <w:p w14:paraId="78319B83">
      <w:pPr>
        <w:widowControl/>
        <w:jc w:val="left"/>
        <w:rPr>
          <w:szCs w:val="21"/>
        </w:rPr>
        <w:sectPr>
          <w:footerReference r:id="rId6" w:type="default"/>
          <w:pgSz w:w="11906" w:h="16838"/>
          <w:pgMar w:top="851" w:right="1134" w:bottom="851" w:left="1134" w:header="0" w:footer="567" w:gutter="0"/>
          <w:pgNumType w:start="1"/>
          <w:cols w:space="720" w:num="1"/>
          <w:docGrid w:linePitch="312" w:charSpace="0"/>
        </w:sectPr>
      </w:pPr>
      <w:r>
        <w:rPr>
          <w:szCs w:val="21"/>
        </w:rPr>
        <w:br w:type="page"/>
      </w:r>
    </w:p>
    <w:p w14:paraId="7C0E56F4">
      <w:pPr>
        <w:widowControl/>
        <w:jc w:val="left"/>
        <w:outlineLvl w:val="0"/>
        <w:rPr>
          <w:rFonts w:ascii="宋体" w:hAnsi="宋体"/>
          <w:b/>
          <w:bCs/>
          <w:szCs w:val="21"/>
        </w:rPr>
      </w:pPr>
      <w:r>
        <w:rPr>
          <w:rFonts w:hint="eastAsia" w:ascii="宋体" w:hAnsi="宋体"/>
          <w:b/>
          <w:bCs/>
          <w:szCs w:val="21"/>
        </w:rPr>
        <w:t>附件2：考核标准</w:t>
      </w:r>
    </w:p>
    <w:p w14:paraId="2C21E9B8"/>
    <w:p w14:paraId="5BF6043E">
      <w:r>
        <w:rPr>
          <w:rFonts w:hint="eastAsia"/>
        </w:rPr>
        <w:t>*</w:t>
      </w:r>
      <w:r>
        <w:t>**</w:t>
      </w:r>
    </w:p>
    <w:p w14:paraId="05CB4E39">
      <w:pPr>
        <w:pStyle w:val="7"/>
        <w:rPr>
          <w:rFonts w:ascii="仿宋" w:hAnsi="仿宋" w:eastAsia="仿宋" w:cs="仿宋"/>
          <w:sz w:val="28"/>
          <w:szCs w:val="36"/>
        </w:rPr>
      </w:pPr>
    </w:p>
    <w:p w14:paraId="5A954D06">
      <w:pPr>
        <w:pStyle w:val="7"/>
        <w:rPr>
          <w:rFonts w:ascii="仿宋" w:hAnsi="仿宋" w:eastAsia="仿宋" w:cs="仿宋"/>
          <w:sz w:val="28"/>
          <w:szCs w:val="36"/>
        </w:rPr>
      </w:pPr>
    </w:p>
    <w:p w14:paraId="1C759154">
      <w:pPr>
        <w:pStyle w:val="7"/>
        <w:rPr>
          <w:rFonts w:ascii="仿宋" w:hAnsi="仿宋" w:eastAsia="仿宋" w:cs="仿宋"/>
          <w:sz w:val="28"/>
          <w:szCs w:val="36"/>
        </w:rPr>
      </w:pPr>
    </w:p>
    <w:p w14:paraId="7A5531E3">
      <w:pPr>
        <w:pStyle w:val="7"/>
        <w:rPr>
          <w:rFonts w:ascii="仿宋" w:hAnsi="仿宋" w:eastAsia="仿宋" w:cs="仿宋"/>
          <w:sz w:val="28"/>
          <w:szCs w:val="36"/>
        </w:rPr>
      </w:pPr>
    </w:p>
    <w:p w14:paraId="4E875001">
      <w:pPr>
        <w:rPr>
          <w:rFonts w:ascii="Times New Roman" w:hAnsi="Times New Roman"/>
        </w:rPr>
      </w:pPr>
      <w:r>
        <w:rPr>
          <w:rFonts w:ascii="Times New Roman" w:hAnsi="Times New Roman"/>
        </w:rPr>
        <w:br w:type="page"/>
      </w:r>
    </w:p>
    <w:p w14:paraId="363FF3E9">
      <w:pPr>
        <w:widowControl/>
        <w:jc w:val="left"/>
        <w:outlineLvl w:val="0"/>
        <w:rPr>
          <w:rFonts w:ascii="宋体" w:hAnsi="宋体"/>
          <w:b/>
          <w:bCs/>
          <w:szCs w:val="21"/>
        </w:rPr>
      </w:pPr>
      <w:r>
        <w:rPr>
          <w:rFonts w:hint="eastAsia" w:ascii="宋体" w:hAnsi="宋体"/>
          <w:b/>
          <w:bCs/>
          <w:szCs w:val="21"/>
        </w:rPr>
        <w:t>附件3：服务方案</w:t>
      </w:r>
    </w:p>
    <w:p w14:paraId="370E0AEC">
      <w:pPr>
        <w:pStyle w:val="26"/>
        <w:rPr>
          <w:rFonts w:ascii="Times New Roman" w:hAnsi="Times New Roman"/>
        </w:rPr>
      </w:pPr>
    </w:p>
    <w:p w14:paraId="534467C6">
      <w:pPr>
        <w:rPr>
          <w:rFonts w:ascii="Times New Roman" w:hAnsi="Times New Roman"/>
        </w:rPr>
      </w:pPr>
    </w:p>
    <w:sectPr>
      <w:headerReference r:id="rId7" w:type="default"/>
      <w:footerReference r:id="rId8" w:type="default"/>
      <w:pgSz w:w="11905" w:h="16838"/>
      <w:pgMar w:top="1134" w:right="1134" w:bottom="1134" w:left="1134" w:header="851" w:footer="992" w:gutter="0"/>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FBFA64C-8AC8-4EAF-842E-C7699B09DD0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8156E5B4-99DD-44C6-9879-79B82A60C8B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EB5AA253-47B5-4749-A731-B5CDE3B226EE}"/>
  </w:font>
  <w:font w:name="仿宋">
    <w:panose1 w:val="02010609060101010101"/>
    <w:charset w:val="86"/>
    <w:family w:val="modern"/>
    <w:pitch w:val="default"/>
    <w:sig w:usb0="800002BF" w:usb1="38CF7CFA" w:usb2="00000016" w:usb3="00000000" w:csb0="00040001" w:csb1="00000000"/>
    <w:embedRegular r:id="rId4" w:fontKey="{17342FF3-A90A-4E65-9714-F7AA011BEB85}"/>
  </w:font>
  <w:font w:name="FangSong_GB2312">
    <w:altName w:val="仿宋"/>
    <w:panose1 w:val="02010609030101010101"/>
    <w:charset w:val="86"/>
    <w:family w:val="modern"/>
    <w:pitch w:val="default"/>
    <w:sig w:usb0="00000000" w:usb1="00000000" w:usb2="00000000" w:usb3="00000000" w:csb0="00040000"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方正小标宋简体">
    <w:altName w:val="黑体"/>
    <w:panose1 w:val="03000509000000000000"/>
    <w:charset w:val="86"/>
    <w:family w:val="auto"/>
    <w:pitch w:val="default"/>
    <w:sig w:usb0="00000000" w:usb1="00000000" w:usb2="00000000" w:usb3="00000000" w:csb0="00040000" w:csb1="00000000"/>
  </w:font>
  <w:font w:name="Cambria Math">
    <w:panose1 w:val="02040503050406030204"/>
    <w:charset w:val="00"/>
    <w:family w:val="roman"/>
    <w:pitch w:val="default"/>
    <w:sig w:usb0="E00006FF" w:usb1="420024FF" w:usb2="02000000" w:usb3="00000000" w:csb0="2000019F" w:csb1="00000000"/>
    <w:embedRegular r:id="rId5" w:fontKey="{E4E74451-B612-4006-919D-8C8BDC6F256A}"/>
  </w:font>
  <w:font w:name="Segoe UI Symbol">
    <w:panose1 w:val="020B0502040204020203"/>
    <w:charset w:val="00"/>
    <w:family w:val="swiss"/>
    <w:pitch w:val="default"/>
    <w:sig w:usb0="800001E3" w:usb1="1200FFEF" w:usb2="00040000" w:usb3="04000000" w:csb0="00000001" w:csb1="40000000"/>
    <w:embedRegular r:id="rId6" w:fontKey="{3D58C135-4CD2-412F-BF80-F9D2575CA05E}"/>
  </w:font>
  <w:font w:name="仿宋_GB2312">
    <w:altName w:val="仿宋"/>
    <w:panose1 w:val="02010609030101010101"/>
    <w:charset w:val="86"/>
    <w:family w:val="auto"/>
    <w:pitch w:val="default"/>
    <w:sig w:usb0="00000000" w:usb1="00000000" w:usb2="00000000" w:usb3="00000000" w:csb0="00040000" w:csb1="00000000"/>
    <w:embedRegular r:id="rId7" w:fontKey="{8E2611EB-9CAF-436A-B9B5-4B5931F95273}"/>
  </w:font>
  <w:font w:name="Wingdings 2">
    <w:altName w:val="Wingdings"/>
    <w:panose1 w:val="05020102010507070707"/>
    <w:charset w:val="4D"/>
    <w:family w:val="decorative"/>
    <w:pitch w:val="default"/>
    <w:sig w:usb0="00000000" w:usb1="00000000" w:usb2="00000000" w:usb3="00000000" w:csb0="80000000" w:csb1="00000000"/>
    <w:embedRegular r:id="rId8" w:fontKey="{8AAF5101-4060-47D1-8C25-46CB90F21D4D}"/>
  </w:font>
  <w:font w:name="微软雅黑">
    <w:panose1 w:val="020B0503020204020204"/>
    <w:charset w:val="86"/>
    <w:family w:val="swiss"/>
    <w:pitch w:val="default"/>
    <w:sig w:usb0="80000287" w:usb1="2ACF3C50" w:usb2="00000016" w:usb3="00000000" w:csb0="0004001F" w:csb1="00000000"/>
    <w:embedRegular r:id="rId9" w:fontKey="{B96FC688-38F5-4995-817F-807C7D268F47}"/>
  </w:font>
  <w:font w:name="Arial">
    <w:panose1 w:val="020B0604020202020204"/>
    <w:charset w:val="00"/>
    <w:family w:val="auto"/>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 w:name="Kingsoft UE">
    <w:panose1 w:val="02000100010000000000"/>
    <w:charset w:val="00"/>
    <w:family w:val="auto"/>
    <w:pitch w:val="default"/>
    <w:sig w:usb0="00000001" w:usb1="00004000" w:usb2="00000000" w:usb3="00000000" w:csb0="00000001" w:csb1="00000000"/>
  </w:font>
  <w:font w:name="KSOF8BCA4F43">
    <w:panose1 w:val="02010609060101010101"/>
    <w:charset w:val="86"/>
    <w:family w:val="auto"/>
    <w:pitch w:val="default"/>
    <w:sig w:usb0="00000001" w:usb1="00000000" w:usb2="00000000" w:usb3="00000000" w:csb0="00040001" w:csb1="00000000"/>
  </w:font>
  <w:font w:name="KSOFE816CA0F">
    <w:panose1 w:val="02020603050405020304"/>
    <w:charset w:val="00"/>
    <w:family w:val="auto"/>
    <w:pitch w:val="default"/>
    <w:sig w:usb0="00000001" w:usb1="00000000" w:usb2="00000000" w:usb3="00000000" w:csb0="00000001"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B47FA">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568E7760">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4C30FC2D">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89F473"/>
    <w:multiLevelType w:val="singleLevel"/>
    <w:tmpl w:val="8C89F473"/>
    <w:lvl w:ilvl="0" w:tentative="0">
      <w:start w:val="1"/>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6">
    <w:nsid w:val="3A69C7D9"/>
    <w:multiLevelType w:val="singleLevel"/>
    <w:tmpl w:val="3A69C7D9"/>
    <w:lvl w:ilvl="0" w:tentative="0">
      <w:start w:val="1"/>
      <w:numFmt w:val="decimal"/>
      <w:lvlText w:val="(%1)"/>
      <w:lvlJc w:val="left"/>
      <w:pPr>
        <w:ind w:left="425" w:hanging="425"/>
      </w:pPr>
      <w:rPr>
        <w:rFonts w:hint="default"/>
      </w:rPr>
    </w:lvl>
  </w:abstractNum>
  <w:abstractNum w:abstractNumId="1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8">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2">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5">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27">
    <w:nsid w:val="79BC9B60"/>
    <w:multiLevelType w:val="singleLevel"/>
    <w:tmpl w:val="79BC9B60"/>
    <w:lvl w:ilvl="0" w:tentative="0">
      <w:start w:val="1"/>
      <w:numFmt w:val="decimal"/>
      <w:lvlText w:val="%1."/>
      <w:lvlJc w:val="left"/>
      <w:pPr>
        <w:tabs>
          <w:tab w:val="left" w:pos="312"/>
        </w:tabs>
      </w:pPr>
    </w:lvl>
  </w:abstractNum>
  <w:num w:numId="1">
    <w:abstractNumId w:val="15"/>
  </w:num>
  <w:num w:numId="2">
    <w:abstractNumId w:val="4"/>
  </w:num>
  <w:num w:numId="3">
    <w:abstractNumId w:val="17"/>
  </w:num>
  <w:num w:numId="4">
    <w:abstractNumId w:val="26"/>
  </w:num>
  <w:num w:numId="5">
    <w:abstractNumId w:val="13"/>
  </w:num>
  <w:num w:numId="6">
    <w:abstractNumId w:val="21"/>
  </w:num>
  <w:num w:numId="7">
    <w:abstractNumId w:val="16"/>
  </w:num>
  <w:num w:numId="8">
    <w:abstractNumId w:val="3"/>
  </w:num>
  <w:num w:numId="9">
    <w:abstractNumId w:val="2"/>
  </w:num>
  <w:num w:numId="10">
    <w:abstractNumId w:val="1"/>
  </w:num>
  <w:num w:numId="11">
    <w:abstractNumId w:val="5"/>
  </w:num>
  <w:num w:numId="12">
    <w:abstractNumId w:val="0"/>
  </w:num>
  <w:num w:numId="13">
    <w:abstractNumId w:val="27"/>
  </w:num>
  <w:num w:numId="14">
    <w:abstractNumId w:val="12"/>
  </w:num>
  <w:num w:numId="15">
    <w:abstractNumId w:val="22"/>
  </w:num>
  <w:num w:numId="16">
    <w:abstractNumId w:val="25"/>
  </w:num>
  <w:num w:numId="17">
    <w:abstractNumId w:val="19"/>
  </w:num>
  <w:num w:numId="18">
    <w:abstractNumId w:val="9"/>
  </w:num>
  <w:num w:numId="19">
    <w:abstractNumId w:val="7"/>
  </w:num>
  <w:num w:numId="20">
    <w:abstractNumId w:val="23"/>
  </w:num>
  <w:num w:numId="21">
    <w:abstractNumId w:val="18"/>
  </w:num>
  <w:num w:numId="22">
    <w:abstractNumId w:val="8"/>
  </w:num>
  <w:num w:numId="23">
    <w:abstractNumId w:val="11"/>
  </w:num>
  <w:num w:numId="24">
    <w:abstractNumId w:val="24"/>
  </w:num>
  <w:num w:numId="25">
    <w:abstractNumId w:val="6"/>
  </w:num>
  <w:num w:numId="26">
    <w:abstractNumId w:val="20"/>
  </w:num>
  <w:num w:numId="27">
    <w:abstractNumId w:val="10"/>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C756B"/>
    <w:rsid w:val="004F4DC4"/>
    <w:rsid w:val="00547343"/>
    <w:rsid w:val="00554621"/>
    <w:rsid w:val="0057603A"/>
    <w:rsid w:val="005951BE"/>
    <w:rsid w:val="005A705A"/>
    <w:rsid w:val="005D169E"/>
    <w:rsid w:val="0061130C"/>
    <w:rsid w:val="0064444C"/>
    <w:rsid w:val="00677BCD"/>
    <w:rsid w:val="006B63B0"/>
    <w:rsid w:val="006F4109"/>
    <w:rsid w:val="00710285"/>
    <w:rsid w:val="00731B3B"/>
    <w:rsid w:val="007365C1"/>
    <w:rsid w:val="00746494"/>
    <w:rsid w:val="0075510B"/>
    <w:rsid w:val="007760AF"/>
    <w:rsid w:val="00780419"/>
    <w:rsid w:val="007A2792"/>
    <w:rsid w:val="007C5836"/>
    <w:rsid w:val="007D6E11"/>
    <w:rsid w:val="00823167"/>
    <w:rsid w:val="008439DA"/>
    <w:rsid w:val="00882204"/>
    <w:rsid w:val="008F14FA"/>
    <w:rsid w:val="008F26A3"/>
    <w:rsid w:val="008F46FB"/>
    <w:rsid w:val="00901427"/>
    <w:rsid w:val="0094161B"/>
    <w:rsid w:val="00954652"/>
    <w:rsid w:val="0096012B"/>
    <w:rsid w:val="009C452F"/>
    <w:rsid w:val="009D1014"/>
    <w:rsid w:val="00A12C4A"/>
    <w:rsid w:val="00A4099C"/>
    <w:rsid w:val="00A72CD1"/>
    <w:rsid w:val="00AD5068"/>
    <w:rsid w:val="00B16CD7"/>
    <w:rsid w:val="00B2440D"/>
    <w:rsid w:val="00B35E66"/>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D7279"/>
    <w:rsid w:val="00DE5670"/>
    <w:rsid w:val="00DF3B6A"/>
    <w:rsid w:val="00E2603E"/>
    <w:rsid w:val="00E535EF"/>
    <w:rsid w:val="00E71156"/>
    <w:rsid w:val="00E769CD"/>
    <w:rsid w:val="00EA700B"/>
    <w:rsid w:val="00EF1292"/>
    <w:rsid w:val="00EF5CDB"/>
    <w:rsid w:val="00F136D7"/>
    <w:rsid w:val="00F3202A"/>
    <w:rsid w:val="00F523A1"/>
    <w:rsid w:val="00F676AD"/>
    <w:rsid w:val="00F90C3B"/>
    <w:rsid w:val="00FF60E3"/>
    <w:rsid w:val="01E65A81"/>
    <w:rsid w:val="02B059C6"/>
    <w:rsid w:val="0514492C"/>
    <w:rsid w:val="058C78B0"/>
    <w:rsid w:val="05E13064"/>
    <w:rsid w:val="077B70C4"/>
    <w:rsid w:val="078A573C"/>
    <w:rsid w:val="093A3733"/>
    <w:rsid w:val="0B4508AE"/>
    <w:rsid w:val="0CF161C9"/>
    <w:rsid w:val="0D352B8F"/>
    <w:rsid w:val="0E0B7FF0"/>
    <w:rsid w:val="11075CBE"/>
    <w:rsid w:val="115D07B9"/>
    <w:rsid w:val="117A5014"/>
    <w:rsid w:val="127F05A0"/>
    <w:rsid w:val="127F1D65"/>
    <w:rsid w:val="13546548"/>
    <w:rsid w:val="136D78F8"/>
    <w:rsid w:val="1411115B"/>
    <w:rsid w:val="15B421B6"/>
    <w:rsid w:val="15CC4977"/>
    <w:rsid w:val="162A4F7D"/>
    <w:rsid w:val="16A82A66"/>
    <w:rsid w:val="1994787E"/>
    <w:rsid w:val="19BB25F7"/>
    <w:rsid w:val="19D314F9"/>
    <w:rsid w:val="19FF304F"/>
    <w:rsid w:val="1DD000AF"/>
    <w:rsid w:val="1E09745A"/>
    <w:rsid w:val="1E176351"/>
    <w:rsid w:val="1E8E610D"/>
    <w:rsid w:val="1FD31681"/>
    <w:rsid w:val="214E24AB"/>
    <w:rsid w:val="229D6DB5"/>
    <w:rsid w:val="23332932"/>
    <w:rsid w:val="23D4489F"/>
    <w:rsid w:val="248A553D"/>
    <w:rsid w:val="262001B9"/>
    <w:rsid w:val="27B87AF9"/>
    <w:rsid w:val="27E80EA9"/>
    <w:rsid w:val="280414A1"/>
    <w:rsid w:val="28570368"/>
    <w:rsid w:val="29A82748"/>
    <w:rsid w:val="29C5318E"/>
    <w:rsid w:val="2B502F98"/>
    <w:rsid w:val="2C9A0A9E"/>
    <w:rsid w:val="2CA621A6"/>
    <w:rsid w:val="2CD23DA0"/>
    <w:rsid w:val="2DA70D65"/>
    <w:rsid w:val="2EE31C10"/>
    <w:rsid w:val="313B414B"/>
    <w:rsid w:val="31EC5F04"/>
    <w:rsid w:val="3427766B"/>
    <w:rsid w:val="343706EB"/>
    <w:rsid w:val="351A08D0"/>
    <w:rsid w:val="36334CE5"/>
    <w:rsid w:val="39501DEF"/>
    <w:rsid w:val="3A551407"/>
    <w:rsid w:val="3AE57E7C"/>
    <w:rsid w:val="3B033C36"/>
    <w:rsid w:val="3CCC3780"/>
    <w:rsid w:val="3E4D49D4"/>
    <w:rsid w:val="3E5D4E8E"/>
    <w:rsid w:val="3F31049C"/>
    <w:rsid w:val="3FE25336"/>
    <w:rsid w:val="400F2590"/>
    <w:rsid w:val="41EC6EE3"/>
    <w:rsid w:val="42075FF8"/>
    <w:rsid w:val="42842020"/>
    <w:rsid w:val="4360359D"/>
    <w:rsid w:val="441167AE"/>
    <w:rsid w:val="44B14170"/>
    <w:rsid w:val="468567BB"/>
    <w:rsid w:val="4782487D"/>
    <w:rsid w:val="47B927EA"/>
    <w:rsid w:val="49F21769"/>
    <w:rsid w:val="4ACB3EBE"/>
    <w:rsid w:val="4B31068E"/>
    <w:rsid w:val="4BA55220"/>
    <w:rsid w:val="4BAD0151"/>
    <w:rsid w:val="4C7174F3"/>
    <w:rsid w:val="4C8F75A2"/>
    <w:rsid w:val="4D581919"/>
    <w:rsid w:val="4DAD4403"/>
    <w:rsid w:val="4E8C008E"/>
    <w:rsid w:val="4FEF758C"/>
    <w:rsid w:val="5059153A"/>
    <w:rsid w:val="50771A9C"/>
    <w:rsid w:val="50BC437C"/>
    <w:rsid w:val="51C47F6D"/>
    <w:rsid w:val="535C64FC"/>
    <w:rsid w:val="5455382C"/>
    <w:rsid w:val="54643166"/>
    <w:rsid w:val="55242A52"/>
    <w:rsid w:val="56C55F4F"/>
    <w:rsid w:val="571F5A86"/>
    <w:rsid w:val="57235ED9"/>
    <w:rsid w:val="5774152D"/>
    <w:rsid w:val="599F4761"/>
    <w:rsid w:val="5A102BB5"/>
    <w:rsid w:val="5D0A3490"/>
    <w:rsid w:val="5D7E0D39"/>
    <w:rsid w:val="5E9D3F29"/>
    <w:rsid w:val="5F542CA1"/>
    <w:rsid w:val="60202C9E"/>
    <w:rsid w:val="60384CD1"/>
    <w:rsid w:val="60655808"/>
    <w:rsid w:val="621922AC"/>
    <w:rsid w:val="63A9427A"/>
    <w:rsid w:val="63D462B1"/>
    <w:rsid w:val="641A3596"/>
    <w:rsid w:val="64D96647"/>
    <w:rsid w:val="655B51E5"/>
    <w:rsid w:val="65E40ADA"/>
    <w:rsid w:val="662621EA"/>
    <w:rsid w:val="66330B86"/>
    <w:rsid w:val="66E22203"/>
    <w:rsid w:val="67AD41EB"/>
    <w:rsid w:val="68B812C9"/>
    <w:rsid w:val="69D50CF4"/>
    <w:rsid w:val="69F0516E"/>
    <w:rsid w:val="6C260DCB"/>
    <w:rsid w:val="6C487AFD"/>
    <w:rsid w:val="6CB24363"/>
    <w:rsid w:val="6EA93466"/>
    <w:rsid w:val="6F97249D"/>
    <w:rsid w:val="6FCF0795"/>
    <w:rsid w:val="70EE62C9"/>
    <w:rsid w:val="71241736"/>
    <w:rsid w:val="71381023"/>
    <w:rsid w:val="73714961"/>
    <w:rsid w:val="754D1D92"/>
    <w:rsid w:val="758350A9"/>
    <w:rsid w:val="759E3B4B"/>
    <w:rsid w:val="75B96BD7"/>
    <w:rsid w:val="7641182E"/>
    <w:rsid w:val="76FA6613"/>
    <w:rsid w:val="775218F8"/>
    <w:rsid w:val="79687E1D"/>
    <w:rsid w:val="79B62FBA"/>
    <w:rsid w:val="7B0A23D6"/>
    <w:rsid w:val="7B560FD7"/>
    <w:rsid w:val="7B5F74F8"/>
    <w:rsid w:val="7B690630"/>
    <w:rsid w:val="7C5123F4"/>
    <w:rsid w:val="7CB400F8"/>
    <w:rsid w:val="7D040AB6"/>
    <w:rsid w:val="7D4119E6"/>
    <w:rsid w:val="7D575350"/>
    <w:rsid w:val="7DAF162B"/>
    <w:rsid w:val="7DC42B41"/>
    <w:rsid w:val="7EB63C19"/>
    <w:rsid w:val="7F202F55"/>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7"/>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qFormat/>
    <w:uiPriority w:val="0"/>
    <w:rPr>
      <w:color w:val="0000FF"/>
      <w:u w:val="single"/>
    </w:rPr>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null3"/>
    <w:basedOn w:val="1"/>
    <w:qFormat/>
    <w:uiPriority w:val="0"/>
    <w:pPr>
      <w:widowControl/>
      <w:jc w:val="left"/>
    </w:pPr>
    <w:rPr>
      <w:kern w:val="0"/>
      <w:sz w:val="24"/>
      <w:szCs w:val="24"/>
    </w:rPr>
  </w:style>
  <w:style w:type="paragraph" w:customStyle="1" w:styleId="42">
    <w:name w:val="Revision"/>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43">
    <w:name w:val="font111"/>
    <w:basedOn w:val="20"/>
    <w:qFormat/>
    <w:uiPriority w:val="0"/>
    <w:rPr>
      <w:rFonts w:hint="eastAsia" w:ascii="方正小标宋简体" w:hAnsi="方正小标宋简体" w:eastAsia="方正小标宋简体" w:cs="方正小标宋简体"/>
      <w:color w:val="000000"/>
      <w:sz w:val="44"/>
      <w:szCs w:val="44"/>
      <w:u w:val="none"/>
    </w:rPr>
  </w:style>
  <w:style w:type="character" w:customStyle="1" w:styleId="44">
    <w:name w:val="font122"/>
    <w:basedOn w:val="20"/>
    <w:qFormat/>
    <w:uiPriority w:val="0"/>
    <w:rPr>
      <w:rFonts w:hint="eastAsia" w:ascii="宋体" w:hAnsi="宋体" w:eastAsia="宋体" w:cs="宋体"/>
      <w:color w:val="FF0000"/>
      <w:sz w:val="24"/>
      <w:szCs w:val="24"/>
      <w:u w:val="none"/>
    </w:rPr>
  </w:style>
  <w:style w:type="paragraph" w:customStyle="1" w:styleId="45">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46">
    <w:name w:val="15"/>
    <w:basedOn w:val="20"/>
    <w:qFormat/>
    <w:uiPriority w:val="0"/>
    <w:rPr>
      <w:rFonts w:hint="default" w:ascii="Times New Roman" w:hAnsi="Times New Roman" w:cs="Times New Roman"/>
      <w:b/>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1335</Words>
  <Characters>1423</Characters>
  <Lines>127</Lines>
  <Paragraphs>35</Paragraphs>
  <TotalTime>28</TotalTime>
  <ScaleCrop>false</ScaleCrop>
  <LinksUpToDate>false</LinksUpToDate>
  <CharactersWithSpaces>1495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2026-04-17T03:38:00Z</dcterms:created>
  <dc:creator>7</dc:creator>
  <cp:lastModifiedBy>SHJ</cp:lastModifiedBy>
  <dcterms:modified xsi:type="dcterms:W3CDTF">2026-09-08T01:35:50Z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BA5372134E0243939F0223CB7169D9E9_13</vt:lpwstr>
  </property>
  <property fmtid="{D5CDD505-2E9C-101B-9397-08002B2CF9AE}" pid="4" name="KSOTemplateDocerSaveRecord">
    <vt:lpwstr>eyJoZGlkIjoiMmYzMjBlOTBlMmU5YzA1ZjM4ZDczZjBmYWNjYjE4M2UiLCJ1c2VySWQiOiI2NTgwMTYxNjcifQ==</vt:lpwstr>
  </property>
</Properties>
</file>