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FB833">
      <w:pPr>
        <w:spacing w:after="120"/>
        <w:jc w:val="center"/>
        <w:rPr>
          <w:rFonts w:ascii="Times New Roman" w:hAnsi="Times New Roman" w:eastAsia="黑体"/>
          <w:b/>
          <w:sz w:val="36"/>
        </w:rPr>
      </w:pPr>
      <w:r>
        <w:rPr>
          <w:rFonts w:ascii="Times New Roman" w:hAnsi="Times New Roman" w:eastAsia="黑体"/>
          <w:b/>
          <w:sz w:val="36"/>
        </w:rPr>
        <w:t>消除三病母婴传播</w:t>
      </w:r>
    </w:p>
    <w:p w14:paraId="5173EB37">
      <w:pPr>
        <w:spacing w:after="120"/>
        <w:jc w:val="center"/>
      </w:pPr>
      <w:r>
        <w:rPr>
          <w:rFonts w:ascii="Times New Roman" w:hAnsi="Times New Roman" w:eastAsia="黑体"/>
          <w:b/>
          <w:sz w:val="36"/>
        </w:rPr>
        <w:t>权益保障医务社工服务项目基本情况</w:t>
      </w:r>
    </w:p>
    <w:p w14:paraId="452E63F0">
      <w:pPr>
        <w:spacing w:before="200" w:after="80"/>
        <w:jc w:val="left"/>
        <w:rPr>
          <w:rFonts w:ascii="Times New Roman" w:hAnsi="Times New Roman" w:eastAsia="黑体"/>
          <w:b/>
          <w:sz w:val="28"/>
        </w:rPr>
      </w:pPr>
    </w:p>
    <w:p w14:paraId="5309ADFA">
      <w:pPr>
        <w:spacing w:before="200" w:after="80"/>
        <w:jc w:val="left"/>
      </w:pPr>
      <w:r>
        <w:rPr>
          <w:rFonts w:ascii="Times New Roman" w:hAnsi="Times New Roman" w:eastAsia="黑体"/>
          <w:b/>
          <w:sz w:val="28"/>
        </w:rPr>
        <w:t>一、项目基本信息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573"/>
        <w:gridCol w:w="5145"/>
      </w:tblGrid>
      <w:tr w14:paraId="27128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shd w:val="clear" w:color="auto" w:fill="D9E2F3"/>
            <w:vAlign w:val="center"/>
          </w:tcPr>
          <w:p w14:paraId="21D080EE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序号</w:t>
            </w:r>
          </w:p>
        </w:tc>
        <w:tc>
          <w:tcPr>
            <w:tcW w:w="1573" w:type="dxa"/>
            <w:shd w:val="clear" w:color="auto" w:fill="D9E2F3"/>
            <w:vAlign w:val="center"/>
          </w:tcPr>
          <w:p w14:paraId="21D10CBD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字段</w:t>
            </w:r>
          </w:p>
        </w:tc>
        <w:tc>
          <w:tcPr>
            <w:tcW w:w="5145" w:type="dxa"/>
            <w:shd w:val="clear" w:color="auto" w:fill="D9E2F3"/>
            <w:vAlign w:val="center"/>
          </w:tcPr>
          <w:p w14:paraId="6EF0B9F1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填列内容</w:t>
            </w:r>
          </w:p>
        </w:tc>
      </w:tr>
      <w:tr w14:paraId="2648B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71986905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73" w:type="dxa"/>
            <w:vAlign w:val="center"/>
          </w:tcPr>
          <w:p w14:paraId="48B87A6A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项目名称</w:t>
            </w:r>
          </w:p>
        </w:tc>
        <w:tc>
          <w:tcPr>
            <w:tcW w:w="5145" w:type="dxa"/>
            <w:vAlign w:val="center"/>
          </w:tcPr>
          <w:p w14:paraId="3D368A09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消除三病母婴传播权益保障医务社工服务项目</w:t>
            </w:r>
          </w:p>
        </w:tc>
      </w:tr>
      <w:tr w14:paraId="465128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468528A5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3" w:type="dxa"/>
            <w:vAlign w:val="center"/>
          </w:tcPr>
          <w:p w14:paraId="25888A39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申请数量</w:t>
            </w:r>
          </w:p>
        </w:tc>
        <w:tc>
          <w:tcPr>
            <w:tcW w:w="5145" w:type="dxa"/>
            <w:vAlign w:val="center"/>
          </w:tcPr>
          <w:p w14:paraId="2BB4D505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 年度（单位：年度）</w:t>
            </w:r>
          </w:p>
        </w:tc>
      </w:tr>
      <w:tr w14:paraId="16761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0C57F186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73" w:type="dxa"/>
            <w:vAlign w:val="center"/>
          </w:tcPr>
          <w:p w14:paraId="00012DD6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服务周期</w:t>
            </w:r>
          </w:p>
        </w:tc>
        <w:tc>
          <w:tcPr>
            <w:tcW w:w="5145" w:type="dxa"/>
            <w:vAlign w:val="center"/>
          </w:tcPr>
          <w:p w14:paraId="47AEA5CD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合同签订生效之日起12个月</w:t>
            </w:r>
          </w:p>
        </w:tc>
      </w:tr>
      <w:tr w14:paraId="782BE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311B18A3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8D1642A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采购方式</w:t>
            </w:r>
          </w:p>
        </w:tc>
        <w:tc>
          <w:tcPr>
            <w:tcW w:w="5145" w:type="dxa"/>
            <w:shd w:val="clear" w:color="auto" w:fill="auto"/>
            <w:vAlign w:val="center"/>
          </w:tcPr>
          <w:p w14:paraId="722ECED7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  <w:lang w:val="en-US" w:eastAsia="zh-CN"/>
              </w:rPr>
              <w:t>统一采购</w:t>
            </w: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-常规采购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。</w:t>
            </w:r>
          </w:p>
        </w:tc>
      </w:tr>
      <w:tr w14:paraId="14857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52C255DF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1573" w:type="dxa"/>
            <w:vAlign w:val="center"/>
          </w:tcPr>
          <w:p w14:paraId="776F0F8E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资金类型</w:t>
            </w:r>
          </w:p>
        </w:tc>
        <w:tc>
          <w:tcPr>
            <w:tcW w:w="5145" w:type="dxa"/>
            <w:vAlign w:val="center"/>
          </w:tcPr>
          <w:p w14:paraId="24678D30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自筹资金：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非同级财政经费-艾梅乙专项经费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D1E5FF"/>
              </w:rPr>
              <w:t>FTJCZ2019002</w:t>
            </w:r>
          </w:p>
        </w:tc>
      </w:tr>
      <w:tr w14:paraId="2C523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79369C38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1573" w:type="dxa"/>
            <w:vAlign w:val="center"/>
          </w:tcPr>
          <w:p w14:paraId="25529CDD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服务地点／拟实施地点</w:t>
            </w:r>
          </w:p>
        </w:tc>
        <w:tc>
          <w:tcPr>
            <w:tcW w:w="5145" w:type="dxa"/>
            <w:vAlign w:val="center"/>
          </w:tcPr>
          <w:p w14:paraId="62ED78C5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院内妇产科、儿科、感染科、皮肤科等三病母婴传播相关科室的门诊与住院区域，并延伸至出院后社区随访。</w:t>
            </w:r>
          </w:p>
        </w:tc>
      </w:tr>
      <w:tr w14:paraId="34004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782D52B4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1573" w:type="dxa"/>
            <w:vAlign w:val="center"/>
          </w:tcPr>
          <w:p w14:paraId="1DE3FB94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需求科室</w:t>
            </w:r>
          </w:p>
        </w:tc>
        <w:tc>
          <w:tcPr>
            <w:tcW w:w="5145" w:type="dxa"/>
            <w:vAlign w:val="center"/>
          </w:tcPr>
          <w:p w14:paraId="3298B7E0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医务部</w:t>
            </w:r>
          </w:p>
        </w:tc>
      </w:tr>
      <w:tr w14:paraId="55E3E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24DD98F8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1573" w:type="dxa"/>
            <w:vAlign w:val="center"/>
          </w:tcPr>
          <w:p w14:paraId="1096EC6D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预算金额（元）</w:t>
            </w:r>
          </w:p>
        </w:tc>
        <w:tc>
          <w:tcPr>
            <w:tcW w:w="5145" w:type="dxa"/>
            <w:vAlign w:val="center"/>
          </w:tcPr>
          <w:p w14:paraId="0F3DA58D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  <w:lang w:val="en-US" w:eastAsia="zh-CN"/>
              </w:rPr>
              <w:t>00</w:t>
            </w: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00 元/年度</w:t>
            </w:r>
          </w:p>
        </w:tc>
      </w:tr>
      <w:tr w14:paraId="0FA58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5A39FEDC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1573" w:type="dxa"/>
            <w:vAlign w:val="center"/>
          </w:tcPr>
          <w:p w14:paraId="230F479C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归口管理部</w:t>
            </w:r>
          </w:p>
        </w:tc>
        <w:tc>
          <w:tcPr>
            <w:tcW w:w="5145" w:type="dxa"/>
            <w:vAlign w:val="center"/>
          </w:tcPr>
          <w:p w14:paraId="5298535F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医务部</w:t>
            </w:r>
          </w:p>
        </w:tc>
      </w:tr>
      <w:tr w14:paraId="0CF0C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27DF2CA2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1573" w:type="dxa"/>
            <w:vAlign w:val="center"/>
          </w:tcPr>
          <w:p w14:paraId="69F21346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服务对象</w:t>
            </w:r>
          </w:p>
        </w:tc>
        <w:tc>
          <w:tcPr>
            <w:tcW w:w="5145" w:type="dxa"/>
            <w:vAlign w:val="center"/>
          </w:tcPr>
          <w:p w14:paraId="4BE1F725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（一）直接服务对象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：在本院妇产科、儿科、感染科、皮肤科等就诊的三病感染孕产妇、育龄女性、死胎死产孕产妇，以及少数民族、外籍、流动人口、监管场所等感染孕产妇及其他有需要的患者，含其配偶及共同居住家属；</w:t>
            </w: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重点关注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三病感染的流动人口、未成年人、低收入群体、少数民族、跨境婚姻人口。</w:t>
            </w:r>
          </w:p>
          <w:p w14:paraId="0115E448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18"/>
                <w:szCs w:val="18"/>
              </w:rPr>
              <w:t>（二）间接服务对象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：本院妇产科、生殖中心、感染科等相关科室的医护人员，以及未来来院治疗的感染者和家属。</w:t>
            </w:r>
          </w:p>
        </w:tc>
      </w:tr>
      <w:tr w14:paraId="6BE63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58AC9B21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573" w:type="dxa"/>
            <w:vAlign w:val="center"/>
          </w:tcPr>
          <w:p w14:paraId="6C473AFC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项目联系人／联系电话</w:t>
            </w:r>
          </w:p>
        </w:tc>
        <w:tc>
          <w:tcPr>
            <w:tcW w:w="5145" w:type="dxa"/>
            <w:vAlign w:val="center"/>
          </w:tcPr>
          <w:p w14:paraId="3694AE85">
            <w:pPr>
              <w:spacing w:before="20" w:after="20" w:line="276" w:lineRule="auto"/>
              <w:jc w:val="left"/>
              <w:rPr>
                <w:rFonts w:hint="default" w:ascii="仿宋_GB2312" w:hAnsi="仿宋_GB2312" w:eastAsia="仿宋_GB2312" w:cs="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冉茂／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87393502</w:t>
            </w:r>
          </w:p>
        </w:tc>
      </w:tr>
      <w:tr w14:paraId="34BF6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565A3F7B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573" w:type="dxa"/>
            <w:vAlign w:val="center"/>
          </w:tcPr>
          <w:p w14:paraId="6FB38B5B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是否存在同类项目</w:t>
            </w:r>
          </w:p>
        </w:tc>
        <w:tc>
          <w:tcPr>
            <w:tcW w:w="5145" w:type="dxa"/>
            <w:vAlign w:val="center"/>
          </w:tcPr>
          <w:p w14:paraId="1FCDDC3A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院内</w:t>
            </w:r>
            <w:r>
              <w:rPr>
                <w:rFonts w:hint="eastAsia" w:ascii="仿宋_GB2312" w:hAnsi="仿宋_GB2312" w:eastAsia="仿宋_GB2312" w:cs="仿宋_GB2312"/>
                <w:b/>
                <w:bCs w:val="0"/>
                <w:sz w:val="18"/>
                <w:szCs w:val="18"/>
              </w:rPr>
              <w:t>无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三病消除专项社工服务项目</w:t>
            </w:r>
          </w:p>
        </w:tc>
      </w:tr>
      <w:tr w14:paraId="1211C7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2336BDA6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1573" w:type="dxa"/>
            <w:vAlign w:val="center"/>
          </w:tcPr>
          <w:p w14:paraId="131D7FFC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是否重复建设</w:t>
            </w:r>
          </w:p>
        </w:tc>
        <w:tc>
          <w:tcPr>
            <w:tcW w:w="5145" w:type="dxa"/>
            <w:vAlign w:val="center"/>
          </w:tcPr>
          <w:p w14:paraId="7B97E529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否。现有社工服务未覆盖妇产科等三病相关科室，无专项服务内容重叠</w:t>
            </w:r>
          </w:p>
        </w:tc>
      </w:tr>
      <w:tr w14:paraId="3FC4E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33" w:type="dxa"/>
            <w:vAlign w:val="center"/>
          </w:tcPr>
          <w:p w14:paraId="5706DB72">
            <w:pPr>
              <w:spacing w:before="20" w:after="20" w:line="276" w:lineRule="auto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1573" w:type="dxa"/>
            <w:vAlign w:val="center"/>
          </w:tcPr>
          <w:p w14:paraId="5FA76E27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是否与院内系统对接</w:t>
            </w:r>
          </w:p>
        </w:tc>
        <w:tc>
          <w:tcPr>
            <w:tcW w:w="5145" w:type="dxa"/>
            <w:vAlign w:val="center"/>
          </w:tcPr>
          <w:p w14:paraId="2DB43C28">
            <w:pPr>
              <w:spacing w:before="20" w:after="20" w:line="276" w:lineRule="auto"/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sz w:val="18"/>
                <w:szCs w:val="18"/>
              </w:rPr>
              <w:t>文件未明确要求系统对接</w:t>
            </w:r>
          </w:p>
        </w:tc>
      </w:tr>
    </w:tbl>
    <w:p w14:paraId="1A88715F"/>
    <w:p w14:paraId="4DD37664">
      <w:pPr>
        <w:spacing w:before="200" w:after="80"/>
        <w:jc w:val="left"/>
      </w:pPr>
      <w:r>
        <w:rPr>
          <w:rFonts w:ascii="Times New Roman" w:hAnsi="Times New Roman" w:eastAsia="黑体"/>
          <w:b/>
          <w:sz w:val="28"/>
        </w:rPr>
        <w:t>二、项目内容与论证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1044"/>
        <w:gridCol w:w="5858"/>
      </w:tblGrid>
      <w:tr w14:paraId="75230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shd w:val="clear" w:color="auto" w:fill="D9E2F3"/>
            <w:vAlign w:val="center"/>
          </w:tcPr>
          <w:p w14:paraId="54D55B86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序号</w:t>
            </w:r>
          </w:p>
        </w:tc>
        <w:tc>
          <w:tcPr>
            <w:tcW w:w="1044" w:type="dxa"/>
            <w:shd w:val="clear" w:color="auto" w:fill="D9E2F3"/>
            <w:vAlign w:val="center"/>
          </w:tcPr>
          <w:p w14:paraId="534D23EE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字段</w:t>
            </w:r>
          </w:p>
        </w:tc>
        <w:tc>
          <w:tcPr>
            <w:tcW w:w="5858" w:type="dxa"/>
            <w:shd w:val="clear" w:color="auto" w:fill="D9E2F3"/>
            <w:vAlign w:val="center"/>
          </w:tcPr>
          <w:p w14:paraId="0E4DC136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填列内容</w:t>
            </w:r>
          </w:p>
        </w:tc>
      </w:tr>
      <w:tr w14:paraId="522E9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2E040A8C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1</w:t>
            </w:r>
          </w:p>
        </w:tc>
        <w:tc>
          <w:tcPr>
            <w:tcW w:w="1044" w:type="dxa"/>
            <w:vAlign w:val="center"/>
          </w:tcPr>
          <w:p w14:paraId="1FB65892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申请理由</w:t>
            </w:r>
          </w:p>
        </w:tc>
        <w:tc>
          <w:tcPr>
            <w:tcW w:w="5858" w:type="dxa"/>
            <w:vAlign w:val="center"/>
          </w:tcPr>
          <w:p w14:paraId="1FBE5ED4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一、政策要求社会组织参与母婴阻断。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《中国遏制与防治艾滋病规划（2024—2030年）》《四川省遏制与防治艾滋病规划（2025—2030年）》要求构建"党政组织领导、部门各负其责、全社会共同参与"的综合防治格局，推动社会组织参与三病母婴阻断工作；明确要求建立反家庭暴力报告与处置流程，形成感染者及家庭的通用关怀支持策略，针对流动人口、未成年人、低收入群体等重点人群制定专门服务方案。</w:t>
            </w:r>
          </w:p>
          <w:p w14:paraId="0CFABB61">
            <w:pPr>
              <w:spacing w:before="20" w:after="20" w:line="276" w:lineRule="auto"/>
              <w:jc w:val="both"/>
              <w:rPr>
                <w:rFonts w:hint="eastAsia" w:ascii="Times New Roman" w:hAnsi="Times New Roman" w:eastAsia="仿宋_GB2312"/>
                <w:b w:val="0"/>
                <w:sz w:val="18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18"/>
                <w:lang w:val="en-US" w:eastAsia="zh-CN"/>
              </w:rPr>
              <w:t>二、消除三病母婴传播国家级、省</w:t>
            </w:r>
            <w:r>
              <w:rPr>
                <w:rFonts w:ascii="Times New Roman" w:hAnsi="Times New Roman" w:eastAsia="仿宋_GB2312"/>
                <w:b/>
                <w:sz w:val="18"/>
              </w:rPr>
              <w:t>级督导明确要求整改。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省级督导指出："无社区参与三病专项工作经费，社工未开展专项消除三病工作，保障支撑力度不足；社工未对接临床一线，未摸排感染孕产妇实际需求，帮扶介入针对性不强"。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4.28国家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综合指导共性问题同步指出"社会组织和感染者参与渠道单一，社工服务和志愿者未覆盖妇产科等科室"。</w:t>
            </w:r>
            <w:r>
              <w:rPr>
                <w:rFonts w:ascii="Times New Roman" w:hAnsi="Times New Roman" w:eastAsia="仿宋_GB2312"/>
                <w:b w:val="0"/>
                <w:bCs/>
                <w:sz w:val="18"/>
              </w:rPr>
              <w:t>整改台账明确社</w:t>
            </w:r>
            <w:r>
              <w:rPr>
                <w:rFonts w:ascii="Times New Roman" w:hAnsi="Times New Roman" w:eastAsia="仿宋_GB2312"/>
                <w:b w:val="0"/>
                <w:bCs w:val="0"/>
                <w:sz w:val="18"/>
              </w:rPr>
              <w:t>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深度对接妇产科，常态化开展孕产妇需求评估，建立院内干预、社区衔接闭环帮扶服务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eastAsia="zh-CN"/>
              </w:rPr>
              <w:t>。</w:t>
            </w:r>
          </w:p>
          <w:p w14:paraId="5C729D06">
            <w:pPr>
              <w:spacing w:before="20" w:after="20" w:line="276" w:lineRule="auto"/>
              <w:jc w:val="both"/>
            </w:pPr>
            <w:r>
              <w:rPr>
                <w:rFonts w:hint="eastAsia" w:ascii="Times New Roman" w:hAnsi="Times New Roman" w:eastAsia="仿宋_GB2312"/>
                <w:b/>
                <w:sz w:val="18"/>
                <w:lang w:val="en-US" w:eastAsia="zh-CN"/>
              </w:rPr>
              <w:t>三</w:t>
            </w:r>
            <w:r>
              <w:rPr>
                <w:rFonts w:ascii="Times New Roman" w:hAnsi="Times New Roman" w:eastAsia="仿宋_GB2312"/>
                <w:b/>
                <w:sz w:val="18"/>
              </w:rPr>
              <w:t>、院内无同类资源可依托。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医院无三病消除专项资助，社工工作精力集中于常规救助与志愿者管理，缺乏投入三病消除工作的专项精力和资金支持。</w:t>
            </w:r>
          </w:p>
        </w:tc>
      </w:tr>
      <w:tr w14:paraId="0D3F9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135F1749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2</w:t>
            </w:r>
          </w:p>
        </w:tc>
        <w:tc>
          <w:tcPr>
            <w:tcW w:w="1044" w:type="dxa"/>
            <w:vAlign w:val="center"/>
          </w:tcPr>
          <w:p w14:paraId="2B4F8210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当前概况</w:t>
            </w:r>
          </w:p>
        </w:tc>
        <w:tc>
          <w:tcPr>
            <w:tcW w:w="5858" w:type="dxa"/>
            <w:vAlign w:val="center"/>
          </w:tcPr>
          <w:p w14:paraId="022F2F95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（一）业务体量与感染个案基数。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我院开放病床4500张，妇产科年分娩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3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000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- 4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000人、年门诊量超26万人次；2023—2025年住院孕产妇完成三病筛查11,383人次，孕早期三病检测率99.85%，其中艾滋病感染孕产妇1人次、梅毒感染孕产妇26人次、乙肝感染孕产妇692人次。</w:t>
            </w:r>
            <w:r>
              <w:rPr>
                <w:rFonts w:ascii="Times New Roman" w:hAnsi="Times New Roman" w:eastAsia="仿宋_GB2312"/>
                <w:b w:val="0"/>
                <w:color w:val="000000" w:themeColor="text1"/>
                <w:sz w:val="18"/>
                <w14:textFill>
                  <w14:solidFill>
                    <w14:schemeClr w14:val="tx1"/>
                  </w14:solidFill>
                </w14:textFill>
              </w:rPr>
              <w:t>据妇产科门急诊、住院统计，</w:t>
            </w:r>
            <w:r>
              <w:rPr>
                <w:rFonts w:ascii="Times New Roman" w:hAnsi="Times New Roman" w:eastAsia="仿宋_GB2312"/>
                <w:b w:val="0"/>
                <w:bCs/>
                <w:color w:val="000000" w:themeColor="text1"/>
                <w:sz w:val="18"/>
                <w14:textFill>
                  <w14:solidFill>
                    <w14:schemeClr w14:val="tx1"/>
                  </w14:solidFill>
                </w14:textFill>
              </w:rPr>
              <w:t>每年三病孕产妇、儿童约140—200例</w:t>
            </w:r>
            <w:r>
              <w:rPr>
                <w:rFonts w:ascii="Times New Roman" w:hAnsi="Times New Roman" w:eastAsia="仿宋_GB2312"/>
                <w:b w:val="0"/>
                <w:color w:val="000000" w:themeColor="text1"/>
                <w:sz w:val="18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7234D9FB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（二）现有社工服务基本情况。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我院与成都市仁怀社会工作服务中心合作开展医务社会工作；4名社工服务覆盖儿科肿瘤、小儿外科、新生儿ICU等科室；资金依托成都市民政局、成都市社工部、北京韩红基金会项目，医院无专项资助。</w:t>
            </w:r>
          </w:p>
          <w:p w14:paraId="71F752D4">
            <w:pPr>
              <w:spacing w:before="20" w:after="20" w:line="276" w:lineRule="auto"/>
              <w:jc w:val="both"/>
              <w:rPr>
                <w:b w:val="0"/>
                <w:bCs/>
              </w:rPr>
            </w:pPr>
            <w:r>
              <w:rPr>
                <w:rFonts w:ascii="Times New Roman" w:hAnsi="Times New Roman" w:eastAsia="仿宋_GB2312"/>
                <w:b/>
                <w:sz w:val="18"/>
              </w:rPr>
              <w:t>（三）现存五方面短板。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 ①介入深度不足：社工未直接接触三病感染孕产妇，未开展针对性需求评估；②专业能力受限：社工非医学专业，医疗知识储备不足；③资源对接不精准：现有资源手册无三病专项资源，未与产科建立常态化对接机制；④资金与精力保障不足：无三病消除专项资助；⑤服务体系不完善：未设计专项服务项目，儿童转回社区后随访、检测结果汇报衔接不足，</w:t>
            </w:r>
            <w:r>
              <w:rPr>
                <w:rFonts w:ascii="Times New Roman" w:hAnsi="Times New Roman" w:eastAsia="仿宋_GB2312"/>
                <w:b w:val="0"/>
                <w:bCs/>
                <w:sz w:val="18"/>
              </w:rPr>
              <w:t>服务闭环未形成。</w:t>
            </w:r>
          </w:p>
          <w:p w14:paraId="560568ED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（四）已开展的过渡性工作。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前期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社工已前往妇产科开展孕产妇需求摸底调查，推动建立院内干预、社区衔接的闭环帮扶服务。</w:t>
            </w:r>
          </w:p>
        </w:tc>
      </w:tr>
      <w:tr w14:paraId="568D5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0014603E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3</w:t>
            </w:r>
          </w:p>
        </w:tc>
        <w:tc>
          <w:tcPr>
            <w:tcW w:w="1044" w:type="dxa"/>
            <w:vAlign w:val="center"/>
          </w:tcPr>
          <w:p w14:paraId="71F46375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项目建设必要性及预期效益</w:t>
            </w:r>
          </w:p>
        </w:tc>
        <w:tc>
          <w:tcPr>
            <w:tcW w:w="5858" w:type="dxa"/>
            <w:vAlign w:val="center"/>
          </w:tcPr>
          <w:p w14:paraId="56423004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一、必要性</w:t>
            </w:r>
          </w:p>
          <w:p w14:paraId="39BAF5F1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1. </w:t>
            </w:r>
            <w:r>
              <w:rPr>
                <w:rFonts w:ascii="Times New Roman" w:hAnsi="Times New Roman" w:eastAsia="仿宋_GB2312"/>
                <w:b/>
                <w:sz w:val="18"/>
              </w:rPr>
              <w:t>迎评刚性要求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：为迎接世界卫生组织（WHO）消除母婴传播现场评估，需按"权益保障、性别平等与社区参与"维度补齐社会组织参与的短板，逐条销号整改。</w:t>
            </w:r>
          </w:p>
          <w:p w14:paraId="70C4BBE0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2. </w:t>
            </w:r>
            <w:r>
              <w:rPr>
                <w:rFonts w:ascii="Times New Roman" w:hAnsi="Times New Roman" w:eastAsia="仿宋_GB2312"/>
                <w:b/>
                <w:sz w:val="18"/>
              </w:rPr>
              <w:t>问题整改闭环要求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：省级督导个性问题（十一）社工服务、共性问题第14—16条（社会组织参与渠道单一、歧视行为、未开展家暴风险评估及未成年人强制报告）均须完成整改。</w:t>
            </w:r>
          </w:p>
          <w:p w14:paraId="20E9C990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3. </w:t>
            </w:r>
            <w:r>
              <w:rPr>
                <w:rFonts w:ascii="Times New Roman" w:hAnsi="Times New Roman" w:eastAsia="仿宋_GB2312"/>
                <w:b/>
                <w:sz w:val="18"/>
              </w:rPr>
              <w:t>服务空白填补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：现有社工力量未覆盖妇产科等三病科室，感染孕产妇的经济、心理、资源对接需求无专业力量回应。</w:t>
            </w:r>
          </w:p>
          <w:p w14:paraId="55060A86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4. </w:t>
            </w:r>
            <w:r>
              <w:rPr>
                <w:rFonts w:ascii="Times New Roman" w:hAnsi="Times New Roman" w:eastAsia="仿宋_GB2312"/>
                <w:b/>
                <w:sz w:val="18"/>
              </w:rPr>
              <w:t>专业能力补强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：社工非医学背景，需通过专项培训与医社协同机制提升介入能力。</w:t>
            </w:r>
          </w:p>
          <w:p w14:paraId="3CC639B3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二、预期效益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（项目总目标）</w:t>
            </w:r>
          </w:p>
          <w:p w14:paraId="5B8E6CDA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构建系统化、常态化的医务社工参与三病防治人文关怀服务机制，健全院内感染患者及家庭的社会心理支持与权益保障机制，推动医疗救治与人文关怀服务深度融合，切实提升三病感染孕产妇、儿童及家庭的就医体验与生活质量，助力实现消除母婴传播的综合防治目标。</w:t>
            </w:r>
          </w:p>
          <w:p w14:paraId="6516382D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具体可预期成果包括：①形成感染者与社会组织参与消除母婴传播的工作机制与服务流程；②建成三病专项法律、政策资源库；③形成"院内干预—社区衔接"全流程服务闭环；④产出三病防治健康宣教手册及政策性倡议。</w:t>
            </w:r>
          </w:p>
        </w:tc>
      </w:tr>
      <w:tr w14:paraId="686C4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564E4C13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4</w:t>
            </w:r>
          </w:p>
        </w:tc>
        <w:tc>
          <w:tcPr>
            <w:tcW w:w="1044" w:type="dxa"/>
            <w:vAlign w:val="center"/>
          </w:tcPr>
          <w:p w14:paraId="054E01A1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服务内容</w:t>
            </w:r>
          </w:p>
        </w:tc>
        <w:tc>
          <w:tcPr>
            <w:tcW w:w="5858" w:type="dxa"/>
            <w:vAlign w:val="center"/>
          </w:tcPr>
          <w:p w14:paraId="196F97BA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按9类服务事项实施，合计明确服务量指标：</w:t>
            </w:r>
          </w:p>
          <w:p w14:paraId="6A4C6D8E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1. </w:t>
            </w:r>
            <w:r>
              <w:rPr>
                <w:rFonts w:ascii="Times New Roman" w:hAnsi="Times New Roman" w:eastAsia="仿宋_GB2312"/>
                <w:b/>
                <w:sz w:val="18"/>
              </w:rPr>
              <w:t>医务社工服务介入机制与流程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（1项）：结合医务部、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相关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科室在三病防治中的人文关怀实际需要，制定医务社工参与三病防治的工作机制及服务流程。</w:t>
            </w:r>
          </w:p>
          <w:p w14:paraId="3D0C16AF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2. </w:t>
            </w:r>
            <w:r>
              <w:rPr>
                <w:rFonts w:ascii="Times New Roman" w:hAnsi="Times New Roman" w:eastAsia="仿宋_GB2312"/>
                <w:b/>
                <w:sz w:val="18"/>
              </w:rPr>
              <w:t>三病孕产妇、儿童（及其他特殊人群）救助政策梳理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（1项）：梳理省、市级妇女儿童人权保护法律法规、政策、文件，以及三病感染、少数民族、外籍、流动等孕产妇特殊人群清单及相关救助政策、定点医疗机构、帮扶机构等专项资源。</w:t>
            </w:r>
          </w:p>
          <w:p w14:paraId="61C9AF89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3. </w:t>
            </w:r>
            <w:r>
              <w:rPr>
                <w:rFonts w:ascii="Times New Roman" w:hAnsi="Times New Roman" w:eastAsia="仿宋_GB2312"/>
                <w:b/>
                <w:sz w:val="18"/>
              </w:rPr>
              <w:t>三病防治知识普及培训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2场）：邀请医疗专家面向医务社工、社会组织讲解三病医学知识、诊疗流程、防护规范。</w:t>
            </w:r>
          </w:p>
          <w:p w14:paraId="70282C08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4. </w:t>
            </w:r>
            <w:r>
              <w:rPr>
                <w:rFonts w:ascii="Times New Roman" w:hAnsi="Times New Roman" w:eastAsia="仿宋_GB2312"/>
                <w:b/>
                <w:sz w:val="18"/>
              </w:rPr>
              <w:t>科室服务宣讲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1场）：向科室介绍医务社会工作服务内容及与医护合作方式。</w:t>
            </w:r>
          </w:p>
          <w:p w14:paraId="0AE5BA1C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5. </w:t>
            </w:r>
            <w:r>
              <w:rPr>
                <w:rFonts w:ascii="Times New Roman" w:hAnsi="Times New Roman" w:eastAsia="仿宋_GB2312"/>
                <w:b/>
                <w:sz w:val="18"/>
              </w:rPr>
              <w:t>咨询服务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50人次）：为有经济救助、感染告知、孕期知识、儿童保护等咨询需求的三病感染患者及特殊人群提供咨询。</w:t>
            </w:r>
          </w:p>
          <w:p w14:paraId="35D51E43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6. </w:t>
            </w:r>
            <w:r>
              <w:rPr>
                <w:rFonts w:ascii="Times New Roman" w:hAnsi="Times New Roman" w:eastAsia="仿宋_GB2312"/>
                <w:b/>
                <w:sz w:val="18"/>
              </w:rPr>
              <w:t>个案管理服务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5例）：对经医生评估存在经济困难、家庭暴力及心理关怀需求的感染孕产妇、患儿、死胎死产孕产妇等，转介医务社工，评估社会心理需求、制定关怀支持计划、链接资源，提供医疗救助、生活救助、教育支持、心理支持、反家暴、反歧视等服务。</w:t>
            </w:r>
          </w:p>
          <w:p w14:paraId="5E16EF30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7. </w:t>
            </w:r>
            <w:r>
              <w:rPr>
                <w:rFonts w:ascii="Times New Roman" w:hAnsi="Times New Roman" w:eastAsia="仿宋_GB2312"/>
                <w:b/>
                <w:sz w:val="18"/>
              </w:rPr>
              <w:t>出院随访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50例）：开展三病感染孕产妇、儿童转回社区后的随访。</w:t>
            </w:r>
          </w:p>
          <w:p w14:paraId="4E5FFCCE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8. </w:t>
            </w:r>
            <w:r>
              <w:rPr>
                <w:rFonts w:ascii="Times New Roman" w:hAnsi="Times New Roman" w:eastAsia="仿宋_GB2312"/>
                <w:b/>
                <w:sz w:val="18"/>
              </w:rPr>
              <w:t>志愿服务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≥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2次）：邀请病情控制稳定、有意愿的三病感染女性以志愿者身份参与服务。</w:t>
            </w:r>
          </w:p>
          <w:p w14:paraId="4914BDBE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9. </w:t>
            </w:r>
            <w:r>
              <w:rPr>
                <w:rFonts w:ascii="Times New Roman" w:hAnsi="Times New Roman" w:eastAsia="仿宋_GB2312"/>
                <w:b/>
                <w:sz w:val="18"/>
              </w:rPr>
              <w:t>健康宣教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（手册1本＋院内义诊1场）：由医务社工牵头协同临床医护共同编纂三病防治健康宣教手册；组织1次院内专项三病防治健康义诊活动。</w:t>
            </w:r>
          </w:p>
          <w:p w14:paraId="26A16AEE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 xml:space="preserve">10. </w:t>
            </w:r>
            <w:r>
              <w:rPr>
                <w:rFonts w:ascii="Times New Roman" w:hAnsi="Times New Roman" w:eastAsia="仿宋_GB2312"/>
                <w:b/>
                <w:sz w:val="18"/>
              </w:rPr>
              <w:t>三病防治人文关怀联席会议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（4次）：每季度组织召开三病防治督导会，汇集政策性倡议。</w:t>
            </w:r>
          </w:p>
        </w:tc>
      </w:tr>
      <w:tr w14:paraId="18A4C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744F5B7E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5</w:t>
            </w:r>
          </w:p>
        </w:tc>
        <w:tc>
          <w:tcPr>
            <w:tcW w:w="1044" w:type="dxa"/>
            <w:vAlign w:val="center"/>
          </w:tcPr>
          <w:p w14:paraId="602192C6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服务标准</w:t>
            </w:r>
          </w:p>
        </w:tc>
        <w:tc>
          <w:tcPr>
            <w:tcW w:w="5858" w:type="dxa"/>
            <w:vAlign w:val="center"/>
          </w:tcPr>
          <w:p w14:paraId="716832AD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一、服务产出（交付物）标准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（逐项对应服务内容，须提交下列资料留痕）：</w:t>
            </w:r>
          </w:p>
          <w:p w14:paraId="5BDD391F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①工作机制及服务流程文本；②三病专项法律、政策资源库；③培训方案、签到表、简报、培训课程资料；④宣讲会方案、签到表、简报；⑤咨询服务台账；⑥个案评估表、个案服务知情同意书、个案服务计划、个案服务记录、个案接案／转介报告；⑦三病感染孕产妇、儿童随访台账；⑧感染女性参与服务照片及服务记录；⑨三病防治健康宣教手册、义诊活动方案／简报／签到表／照片；⑩督导会议申请表、督导会议记录、政策倡议。</w:t>
            </w:r>
          </w:p>
          <w:p w14:paraId="25C7D455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二、通用商务与服务条款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：响应速度——采购人通过电话、微信、现场提出的支持需求，供应商须于</w:t>
            </w:r>
            <w:r>
              <w:rPr>
                <w:rFonts w:ascii="Times New Roman" w:hAnsi="Times New Roman" w:eastAsia="仿宋_GB2312"/>
                <w:b/>
                <w:sz w:val="18"/>
              </w:rPr>
              <w:t>当日完成响应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；培训服务——每年提供≥2次培训服务并提交培训方案和签到表；定期巡检／督导——服务期内每季度提供至少1次报告；文档服务——服务期满提交运维（服务）记录签字扫描版本。</w:t>
            </w:r>
          </w:p>
          <w:p w14:paraId="2D0B6B4F">
            <w:pPr>
              <w:spacing w:before="20" w:after="20" w:line="276" w:lineRule="auto"/>
              <w:jc w:val="both"/>
            </w:pPr>
            <w:r>
              <w:rPr>
                <w:rFonts w:hint="eastAsia" w:ascii="Times New Roman" w:hAnsi="Times New Roman" w:eastAsia="仿宋_GB2312"/>
                <w:b/>
                <w:sz w:val="18"/>
                <w:lang w:val="en-US" w:eastAsia="zh-CN"/>
              </w:rPr>
              <w:t>三</w:t>
            </w:r>
            <w:r>
              <w:rPr>
                <w:rFonts w:ascii="Times New Roman" w:hAnsi="Times New Roman" w:eastAsia="仿宋_GB2312"/>
                <w:b/>
                <w:sz w:val="18"/>
              </w:rPr>
              <w:t>、验收标准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：验收主体为采购</w:t>
            </w: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部门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，一次性验收或分段／分期验收，考核验收结果须为合格；执行国家相关法律法规、行业标准、技术规范及采购文件、响应文件相关要求；按《财政部关于进一步加强政府采购需求和履约验收管理的指导意见》（财库〔2016〕205号）要求进行验收（本项目不涉及政府采购的，参照执行）。</w:t>
            </w:r>
          </w:p>
        </w:tc>
      </w:tr>
      <w:tr w14:paraId="248AC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50C685DB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6</w:t>
            </w:r>
          </w:p>
        </w:tc>
        <w:tc>
          <w:tcPr>
            <w:tcW w:w="1044" w:type="dxa"/>
            <w:vAlign w:val="center"/>
          </w:tcPr>
          <w:p w14:paraId="20FA0879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项目需求（履约要求）</w:t>
            </w:r>
          </w:p>
        </w:tc>
        <w:tc>
          <w:tcPr>
            <w:tcW w:w="5858" w:type="dxa"/>
            <w:vAlign w:val="center"/>
          </w:tcPr>
          <w:p w14:paraId="221AFE71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1. 服务期内建立并运行"医务社工—妇产科"常态化对接机制，社工深度对接妇产科，常态化开展孕产妇需求评估，建立院内干预、社区衔接的闭环帮扶服务；</w:t>
            </w:r>
          </w:p>
          <w:p w14:paraId="7EC68CBA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2.  服务覆盖妇产科门诊及住院区域，政策宣讲、人员救助同步覆盖；</w:t>
            </w:r>
          </w:p>
          <w:p w14:paraId="6C1992FF">
            <w:pPr>
              <w:spacing w:before="20" w:after="20" w:line="276" w:lineRule="auto"/>
              <w:jc w:val="both"/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3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. 将女性感染者纳入社工、志愿者队伍，动员引导其参与孕妇学校课堂和其他消除母婴传播工作；</w:t>
            </w:r>
          </w:p>
          <w:p w14:paraId="0E94497E">
            <w:pPr>
              <w:spacing w:before="20" w:after="20" w:line="276" w:lineRule="auto"/>
              <w:jc w:val="both"/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4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. 落实家庭暴力风险评估、反歧视、未成年人强制报告等权益保障要求，服务过程做好记录与留痕；</w:t>
            </w:r>
          </w:p>
          <w:p w14:paraId="3AB7F6F2">
            <w:pPr>
              <w:spacing w:before="20" w:after="20" w:line="276" w:lineRule="auto"/>
              <w:jc w:val="both"/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5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. 服务信息涉及感染者隐私，须严格执行知情同意与保密要求（明确保密范畴与保密例外，如家暴报告义务）。</w:t>
            </w:r>
          </w:p>
        </w:tc>
      </w:tr>
      <w:tr w14:paraId="3F606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7" w:type="dxa"/>
            <w:vAlign w:val="center"/>
          </w:tcPr>
          <w:p w14:paraId="67437BC3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7</w:t>
            </w:r>
          </w:p>
        </w:tc>
        <w:tc>
          <w:tcPr>
            <w:tcW w:w="1044" w:type="dxa"/>
            <w:vAlign w:val="center"/>
          </w:tcPr>
          <w:p w14:paraId="5AD9A92B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安全性与可行性</w:t>
            </w:r>
          </w:p>
        </w:tc>
        <w:tc>
          <w:tcPr>
            <w:tcW w:w="5858" w:type="dxa"/>
            <w:vAlign w:val="center"/>
          </w:tcPr>
          <w:p w14:paraId="3C5068D9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一、合规与隐私安全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我院已制定《四川省医学科学院·四川省人民医院消除艾滋病、梅毒和乙肝医疗歧视工作指南》，已建立家暴风险评估机制、反家暴强制报告流程、侵害未成年人案件强制报告流程，并畅通投诉通道；项目所有服务介入前须签署知情同意书，明确保密范畴与保密例外。</w:t>
            </w:r>
          </w:p>
          <w:p w14:paraId="3341EB19">
            <w:pPr>
              <w:spacing w:before="20" w:after="20" w:line="276" w:lineRule="auto"/>
              <w:jc w:val="both"/>
            </w:pPr>
            <w:r>
              <w:rPr>
                <w:rFonts w:ascii="Times New Roman" w:hAnsi="Times New Roman" w:eastAsia="仿宋_GB2312"/>
                <w:b/>
                <w:sz w:val="18"/>
              </w:rPr>
              <w:t>二、组织可行性</w:t>
            </w:r>
            <w:r>
              <w:rPr>
                <w:rFonts w:ascii="Times New Roman" w:hAnsi="Times New Roman" w:eastAsia="仿宋_GB2312"/>
                <w:b w:val="0"/>
                <w:sz w:val="18"/>
              </w:rPr>
              <w:t>：项目办设在医务部并明确专人负责；已建立多部门联席会议制度（每季度1次）；临床科室与医务社工服务办公室转介机制已在小儿外科、烧伤科、儿内科、心脏中心等科室落地，可复制至妇产科。</w:t>
            </w:r>
          </w:p>
        </w:tc>
      </w:tr>
    </w:tbl>
    <w:p w14:paraId="6A1BCDF7">
      <w:bookmarkStart w:id="0" w:name="_GoBack"/>
      <w:bookmarkEnd w:id="0"/>
    </w:p>
    <w:p w14:paraId="27698D16">
      <w:pPr>
        <w:spacing w:before="200" w:after="80"/>
        <w:jc w:val="left"/>
      </w:pPr>
      <w:r>
        <w:rPr>
          <w:rFonts w:ascii="Times New Roman" w:hAnsi="Times New Roman" w:eastAsia="黑体"/>
          <w:b/>
          <w:sz w:val="28"/>
        </w:rPr>
        <w:t>三、项目绩效目标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1044"/>
        <w:gridCol w:w="1167"/>
        <w:gridCol w:w="2855"/>
        <w:gridCol w:w="2111"/>
      </w:tblGrid>
      <w:tr w14:paraId="0C4C9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shd w:val="clear" w:color="auto" w:fill="D9E2F3"/>
          </w:tcPr>
          <w:p w14:paraId="548813BF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序号</w:t>
            </w:r>
          </w:p>
        </w:tc>
        <w:tc>
          <w:tcPr>
            <w:tcW w:w="1044" w:type="dxa"/>
            <w:shd w:val="clear" w:color="auto" w:fill="D9E2F3"/>
          </w:tcPr>
          <w:p w14:paraId="6E104C38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一级指标</w:t>
            </w:r>
          </w:p>
        </w:tc>
        <w:tc>
          <w:tcPr>
            <w:tcW w:w="1167" w:type="dxa"/>
            <w:shd w:val="clear" w:color="auto" w:fill="D9E2F3"/>
          </w:tcPr>
          <w:p w14:paraId="4E2C6E6C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二级指标</w:t>
            </w:r>
          </w:p>
        </w:tc>
        <w:tc>
          <w:tcPr>
            <w:tcW w:w="2855" w:type="dxa"/>
            <w:shd w:val="clear" w:color="auto" w:fill="D9E2F3"/>
          </w:tcPr>
          <w:p w14:paraId="664DF61B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三级指标</w:t>
            </w:r>
          </w:p>
        </w:tc>
        <w:tc>
          <w:tcPr>
            <w:tcW w:w="2111" w:type="dxa"/>
            <w:shd w:val="clear" w:color="auto" w:fill="D9E2F3"/>
          </w:tcPr>
          <w:p w14:paraId="7BAC56BE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/>
                <w:sz w:val="18"/>
              </w:rPr>
              <w:t>本年指标值</w:t>
            </w:r>
          </w:p>
        </w:tc>
      </w:tr>
      <w:tr w14:paraId="62789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restart"/>
            <w:vAlign w:val="center"/>
          </w:tcPr>
          <w:p w14:paraId="7F11E065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</w:t>
            </w:r>
          </w:p>
          <w:p w14:paraId="417FFFF1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restart"/>
            <w:vAlign w:val="center"/>
          </w:tcPr>
          <w:p w14:paraId="08B564DF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产出指标</w:t>
            </w:r>
          </w:p>
          <w:p w14:paraId="10377417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restart"/>
            <w:vAlign w:val="center"/>
          </w:tcPr>
          <w:p w14:paraId="1720909E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数量指标</w:t>
            </w:r>
          </w:p>
          <w:p w14:paraId="3BFC4AC4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1BD8D629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医务社工参与三病防治工作机制及服务流程</w:t>
            </w:r>
          </w:p>
        </w:tc>
        <w:tc>
          <w:tcPr>
            <w:tcW w:w="2111" w:type="dxa"/>
          </w:tcPr>
          <w:p w14:paraId="60D73A76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 项</w:t>
            </w:r>
          </w:p>
        </w:tc>
      </w:tr>
      <w:tr w14:paraId="0DF09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71B71D2B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C372AE9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31375064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500B2213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三病专项法律、政策及救助资源库</w:t>
            </w:r>
          </w:p>
        </w:tc>
        <w:tc>
          <w:tcPr>
            <w:tcW w:w="2111" w:type="dxa"/>
          </w:tcPr>
          <w:p w14:paraId="131E08CE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 项</w:t>
            </w:r>
          </w:p>
        </w:tc>
      </w:tr>
      <w:tr w14:paraId="4470EB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7DFB9AE2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51348FBC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46D9964B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37B2030D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三病防治知识普及培训</w:t>
            </w:r>
          </w:p>
        </w:tc>
        <w:tc>
          <w:tcPr>
            <w:tcW w:w="2111" w:type="dxa"/>
          </w:tcPr>
          <w:p w14:paraId="58B8A20C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2 场</w:t>
            </w:r>
          </w:p>
        </w:tc>
      </w:tr>
      <w:tr w14:paraId="2E11D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0EAB016D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02BA482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2B0D4642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205F362E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科室服务宣讲</w:t>
            </w:r>
          </w:p>
        </w:tc>
        <w:tc>
          <w:tcPr>
            <w:tcW w:w="2111" w:type="dxa"/>
          </w:tcPr>
          <w:p w14:paraId="30354740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 场</w:t>
            </w:r>
          </w:p>
        </w:tc>
      </w:tr>
      <w:tr w14:paraId="5AC00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04392172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5D7198EB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22CD809A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4616E243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咨询服务</w:t>
            </w:r>
          </w:p>
        </w:tc>
        <w:tc>
          <w:tcPr>
            <w:tcW w:w="2111" w:type="dxa"/>
          </w:tcPr>
          <w:p w14:paraId="472A6554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50 人次</w:t>
            </w:r>
          </w:p>
        </w:tc>
      </w:tr>
      <w:tr w14:paraId="78B89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0D0CD491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54575B1A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1BDDA5A0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00F5F473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个案管理服务</w:t>
            </w:r>
          </w:p>
        </w:tc>
        <w:tc>
          <w:tcPr>
            <w:tcW w:w="2111" w:type="dxa"/>
          </w:tcPr>
          <w:p w14:paraId="1D8BB979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5 例</w:t>
            </w:r>
          </w:p>
        </w:tc>
      </w:tr>
      <w:tr w14:paraId="37565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0E217BCE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1C42F48E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3D3860A8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293FE8F7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出院随访</w:t>
            </w:r>
          </w:p>
        </w:tc>
        <w:tc>
          <w:tcPr>
            <w:tcW w:w="2111" w:type="dxa"/>
          </w:tcPr>
          <w:p w14:paraId="7A804556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50 例</w:t>
            </w:r>
          </w:p>
        </w:tc>
      </w:tr>
      <w:tr w14:paraId="10F1D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09560E58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0E7A7439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7A5EA285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2E4DED52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感染女性参与志愿服务</w:t>
            </w:r>
          </w:p>
        </w:tc>
        <w:tc>
          <w:tcPr>
            <w:tcW w:w="2111" w:type="dxa"/>
          </w:tcPr>
          <w:p w14:paraId="698C99DF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2 次</w:t>
            </w:r>
          </w:p>
        </w:tc>
      </w:tr>
      <w:tr w14:paraId="39E1B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694095F0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3F044DE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58E931C6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40C40334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三病防治健康宣教手册</w:t>
            </w:r>
          </w:p>
        </w:tc>
        <w:tc>
          <w:tcPr>
            <w:tcW w:w="2111" w:type="dxa"/>
          </w:tcPr>
          <w:p w14:paraId="3367E0D3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 本（印刷100份）</w:t>
            </w:r>
          </w:p>
        </w:tc>
      </w:tr>
      <w:tr w14:paraId="1F08F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5EBB9DFA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C0B6996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425B4C59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3601C6F3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院内专项三病防治健康义诊活动</w:t>
            </w:r>
          </w:p>
        </w:tc>
        <w:tc>
          <w:tcPr>
            <w:tcW w:w="2111" w:type="dxa"/>
          </w:tcPr>
          <w:p w14:paraId="40C4BC24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 场</w:t>
            </w:r>
          </w:p>
        </w:tc>
      </w:tr>
      <w:tr w14:paraId="39D05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2B236144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E37F8BC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13C8B20C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04DCF0BF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三病防治人文关怀联席（督导）会议</w:t>
            </w:r>
          </w:p>
        </w:tc>
        <w:tc>
          <w:tcPr>
            <w:tcW w:w="2111" w:type="dxa"/>
          </w:tcPr>
          <w:p w14:paraId="08F2DE2C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4 次（每季度1次）</w:t>
            </w:r>
          </w:p>
        </w:tc>
      </w:tr>
      <w:tr w14:paraId="6C562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1387FBFC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037BD7CB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Align w:val="center"/>
          </w:tcPr>
          <w:p w14:paraId="394EC9DF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质量指标</w:t>
            </w:r>
          </w:p>
        </w:tc>
        <w:tc>
          <w:tcPr>
            <w:tcW w:w="2855" w:type="dxa"/>
          </w:tcPr>
          <w:p w14:paraId="1366DD61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服务资料留痕完整率（台账、评估表、知情同意书、服务记录等）</w:t>
            </w:r>
          </w:p>
        </w:tc>
        <w:tc>
          <w:tcPr>
            <w:tcW w:w="2111" w:type="dxa"/>
          </w:tcPr>
          <w:p w14:paraId="5D43CDF7">
            <w:pPr>
              <w:spacing w:before="20" w:after="20" w:line="276" w:lineRule="auto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sz w:val="18"/>
                <w:lang w:val="en-US" w:eastAsia="zh-CN"/>
              </w:rPr>
              <w:t>/</w:t>
            </w:r>
          </w:p>
        </w:tc>
      </w:tr>
      <w:tr w14:paraId="69660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10266AC0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3D107486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restart"/>
            <w:vAlign w:val="center"/>
          </w:tcPr>
          <w:p w14:paraId="1E69FBC0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时效指标</w:t>
            </w:r>
          </w:p>
          <w:p w14:paraId="1AA9EFDD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3982F381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服务期</w:t>
            </w:r>
          </w:p>
        </w:tc>
        <w:tc>
          <w:tcPr>
            <w:tcW w:w="2111" w:type="dxa"/>
          </w:tcPr>
          <w:p w14:paraId="3137E991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12 个月</w:t>
            </w:r>
          </w:p>
        </w:tc>
      </w:tr>
      <w:tr w14:paraId="2D08D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34FC838E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209348F8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02DA0873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280D6B00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支持需求响应时限</w:t>
            </w:r>
          </w:p>
        </w:tc>
        <w:tc>
          <w:tcPr>
            <w:tcW w:w="2111" w:type="dxa"/>
          </w:tcPr>
          <w:p w14:paraId="17B830D2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当日响应</w:t>
            </w:r>
          </w:p>
        </w:tc>
      </w:tr>
      <w:tr w14:paraId="29741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restart"/>
            <w:vAlign w:val="center"/>
          </w:tcPr>
          <w:p w14:paraId="61DEC985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2</w:t>
            </w:r>
          </w:p>
          <w:p w14:paraId="29964469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restart"/>
            <w:vAlign w:val="center"/>
          </w:tcPr>
          <w:p w14:paraId="1E3E2230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效益指标</w:t>
            </w:r>
          </w:p>
          <w:p w14:paraId="3259EE1E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restart"/>
            <w:vAlign w:val="center"/>
          </w:tcPr>
          <w:p w14:paraId="7B62FEF4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社会效益指标</w:t>
            </w:r>
          </w:p>
          <w:p w14:paraId="3B9F73CB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44D45DF9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感染孕产妇及儿童"院内干预—社区衔接"服务闭环形成情况</w:t>
            </w:r>
          </w:p>
        </w:tc>
        <w:tc>
          <w:tcPr>
            <w:tcW w:w="2111" w:type="dxa"/>
          </w:tcPr>
          <w:p w14:paraId="2CDB18BF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形成闭环</w:t>
            </w:r>
          </w:p>
        </w:tc>
      </w:tr>
      <w:tr w14:paraId="3E54C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20F4CA55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118D5CEF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Merge w:val="continue"/>
            <w:vAlign w:val="center"/>
          </w:tcPr>
          <w:p w14:paraId="52B97ADC">
            <w:pPr>
              <w:spacing w:before="20" w:after="20" w:line="276" w:lineRule="auto"/>
              <w:jc w:val="center"/>
            </w:pPr>
          </w:p>
        </w:tc>
        <w:tc>
          <w:tcPr>
            <w:tcW w:w="2855" w:type="dxa"/>
          </w:tcPr>
          <w:p w14:paraId="5B8CEE40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出院随访失访率</w:t>
            </w:r>
          </w:p>
        </w:tc>
        <w:tc>
          <w:tcPr>
            <w:tcW w:w="2111" w:type="dxa"/>
          </w:tcPr>
          <w:p w14:paraId="4891F465">
            <w:pPr>
              <w:spacing w:before="20" w:after="20" w:line="276" w:lineRule="auto"/>
              <w:jc w:val="left"/>
              <w:rPr>
                <w:rFonts w:hint="default" w:eastAsia="宋体"/>
                <w:b w:val="0"/>
                <w:bCs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z w:val="18"/>
                <w:lang w:val="en-US" w:eastAsia="zh-CN"/>
              </w:rPr>
              <w:t>≤5%</w:t>
            </w:r>
          </w:p>
        </w:tc>
      </w:tr>
      <w:tr w14:paraId="2547E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73A242A0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252DD3CB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Align w:val="center"/>
          </w:tcPr>
          <w:p w14:paraId="79DE509C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管理效益指标</w:t>
            </w:r>
          </w:p>
        </w:tc>
        <w:tc>
          <w:tcPr>
            <w:tcW w:w="2855" w:type="dxa"/>
          </w:tcPr>
          <w:p w14:paraId="790EDF5F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综合指导"社工服务""权益保障"相关问题整改销号</w:t>
            </w:r>
          </w:p>
        </w:tc>
        <w:tc>
          <w:tcPr>
            <w:tcW w:w="2111" w:type="dxa"/>
          </w:tcPr>
          <w:p w14:paraId="41C77013">
            <w:pPr>
              <w:spacing w:before="20" w:after="20" w:line="276" w:lineRule="auto"/>
              <w:jc w:val="left"/>
              <w:rPr>
                <w:b w:val="0"/>
                <w:bCs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z w:val="18"/>
                <w:lang w:val="en-US" w:eastAsia="zh-CN"/>
              </w:rPr>
              <w:t>整改</w:t>
            </w:r>
            <w:r>
              <w:rPr>
                <w:rFonts w:ascii="Times New Roman" w:hAnsi="Times New Roman" w:eastAsia="仿宋_GB2312"/>
                <w:b w:val="0"/>
                <w:bCs/>
                <w:sz w:val="18"/>
              </w:rPr>
              <w:t>率</w:t>
            </w:r>
            <w:r>
              <w:rPr>
                <w:rFonts w:hint="eastAsia" w:ascii="Times New Roman" w:hAnsi="Times New Roman" w:eastAsia="仿宋_GB2312"/>
                <w:b w:val="0"/>
                <w:bCs/>
                <w:sz w:val="18"/>
                <w:lang w:val="en-US" w:eastAsia="zh-CN"/>
              </w:rPr>
              <w:t>100%</w:t>
            </w:r>
          </w:p>
        </w:tc>
      </w:tr>
      <w:tr w14:paraId="4195B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restart"/>
            <w:vAlign w:val="center"/>
          </w:tcPr>
          <w:p w14:paraId="71E2EA21">
            <w:pPr>
              <w:spacing w:before="20" w:after="20" w:line="276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sz w:val="18"/>
                <w:lang w:val="en-US" w:eastAsia="zh-CN"/>
              </w:rPr>
              <w:t>3</w:t>
            </w:r>
          </w:p>
        </w:tc>
        <w:tc>
          <w:tcPr>
            <w:tcW w:w="1044" w:type="dxa"/>
            <w:vMerge w:val="restart"/>
            <w:vAlign w:val="center"/>
          </w:tcPr>
          <w:p w14:paraId="274B28A5">
            <w:pPr>
              <w:spacing w:before="20" w:after="20" w:line="276" w:lineRule="auto"/>
              <w:jc w:val="center"/>
              <w:rPr>
                <w:rFonts w:ascii="Times New Roman" w:hAnsi="Times New Roman" w:eastAsia="仿宋_GB2312"/>
                <w:b w:val="0"/>
                <w:sz w:val="18"/>
              </w:rPr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满意度指标</w:t>
            </w:r>
          </w:p>
          <w:p w14:paraId="2FDA2DBC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Align w:val="center"/>
          </w:tcPr>
          <w:p w14:paraId="77179815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服务对象满意度指标</w:t>
            </w:r>
          </w:p>
        </w:tc>
        <w:tc>
          <w:tcPr>
            <w:tcW w:w="2855" w:type="dxa"/>
          </w:tcPr>
          <w:p w14:paraId="183EE33A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三病感染孕产妇及家属服务满意度</w:t>
            </w:r>
          </w:p>
        </w:tc>
        <w:tc>
          <w:tcPr>
            <w:tcW w:w="2111" w:type="dxa"/>
          </w:tcPr>
          <w:p w14:paraId="5B581D5C">
            <w:pPr>
              <w:spacing w:before="20" w:after="20" w:line="276" w:lineRule="auto"/>
              <w:jc w:val="left"/>
              <w:rPr>
                <w:rFonts w:hint="default" w:eastAsia="宋体"/>
                <w:b w:val="0"/>
                <w:bCs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z w:val="18"/>
                <w:lang w:val="en-US" w:eastAsia="zh-CN"/>
              </w:rPr>
              <w:t>≥98%</w:t>
            </w:r>
          </w:p>
        </w:tc>
      </w:tr>
      <w:tr w14:paraId="1E7F0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0" w:type="dxa"/>
            <w:vMerge w:val="continue"/>
            <w:vAlign w:val="center"/>
          </w:tcPr>
          <w:p w14:paraId="79571374">
            <w:pPr>
              <w:spacing w:before="20" w:after="20" w:line="276" w:lineRule="auto"/>
              <w:jc w:val="center"/>
            </w:pPr>
          </w:p>
        </w:tc>
        <w:tc>
          <w:tcPr>
            <w:tcW w:w="1044" w:type="dxa"/>
            <w:vMerge w:val="continue"/>
            <w:vAlign w:val="center"/>
          </w:tcPr>
          <w:p w14:paraId="559940CF">
            <w:pPr>
              <w:spacing w:before="20" w:after="20" w:line="276" w:lineRule="auto"/>
              <w:jc w:val="center"/>
            </w:pPr>
          </w:p>
        </w:tc>
        <w:tc>
          <w:tcPr>
            <w:tcW w:w="1167" w:type="dxa"/>
            <w:vAlign w:val="center"/>
          </w:tcPr>
          <w:p w14:paraId="28814863">
            <w:pPr>
              <w:spacing w:before="20" w:after="20" w:line="276" w:lineRule="auto"/>
              <w:jc w:val="center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内部用户满意度指标</w:t>
            </w:r>
          </w:p>
        </w:tc>
        <w:tc>
          <w:tcPr>
            <w:tcW w:w="2855" w:type="dxa"/>
          </w:tcPr>
          <w:p w14:paraId="204518A1">
            <w:pPr>
              <w:spacing w:before="20" w:after="20" w:line="276" w:lineRule="auto"/>
              <w:jc w:val="left"/>
            </w:pPr>
            <w:r>
              <w:rPr>
                <w:rFonts w:ascii="Times New Roman" w:hAnsi="Times New Roman" w:eastAsia="仿宋_GB2312"/>
                <w:b w:val="0"/>
                <w:sz w:val="18"/>
              </w:rPr>
              <w:t>临床科室（妇产科、儿科等）对社工服务满意度</w:t>
            </w:r>
          </w:p>
        </w:tc>
        <w:tc>
          <w:tcPr>
            <w:tcW w:w="2111" w:type="dxa"/>
          </w:tcPr>
          <w:p w14:paraId="6D857C48">
            <w:pPr>
              <w:spacing w:before="20" w:after="20" w:line="276" w:lineRule="auto"/>
              <w:jc w:val="left"/>
              <w:rPr>
                <w:b w:val="0"/>
                <w:bCs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z w:val="18"/>
                <w:lang w:val="en-US" w:eastAsia="zh-CN"/>
              </w:rPr>
              <w:t>≥98%</w:t>
            </w:r>
          </w:p>
        </w:tc>
      </w:tr>
    </w:tbl>
    <w:p w14:paraId="5FB9072F"/>
    <w:p w14:paraId="07B4CE4E">
      <w:pPr>
        <w:spacing w:after="40" w:line="336" w:lineRule="auto"/>
      </w:pPr>
    </w:p>
    <w:p w14:paraId="1248E5D7"/>
    <w:sectPr>
      <w:pgSz w:w="11906" w:h="16838"/>
      <w:pgMar w:top="1361" w:right="1247" w:bottom="1247" w:left="124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FW筑紫明朝 简 M">
    <w:panose1 w:val="020006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C112B"/>
    <w:rsid w:val="2F6C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方正FW筑紫明朝 简 M" w:asciiTheme="minorHAnsi" w:hAnsiTheme="minorHAnsi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2026-08-14T11:06:00Z</dcterms:created>
  <dc:creator>赵昱zhaoyu</dc:creator>
  <cp:lastModifiedBy>赵昱zhaoyu</cp:lastModifiedBy>
  <dcterms:modified xsi:type="dcterms:W3CDTF">2026-08-14T11:08:26Z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236D7665A17C4CEAACD5E61F5B82B93F_11</vt:lpwstr>
  </property>
  <property fmtid="{D5CDD505-2E9C-101B-9397-08002B2CF9AE}" pid="4" name="KSOTemplateDocerSaveRecord">
    <vt:lpwstr>eyJoZGlkIjoiZDEyY2ZmODA2MWIwN2RlN2FhM2ZiYjhjOGY4NTJhZDQiLCJ1c2VySWQiOiI0NDkyMjk4MDMifQ==</vt:lpwstr>
  </property>
</Properties>
</file>