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四川省人民医院多媒体教室设备采购项目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21919"/>
      <w:bookmarkStart w:id="1" w:name="_Toc62832406"/>
      <w:bookmarkStart w:id="2" w:name="_Toc3240"/>
      <w:bookmarkStart w:id="3" w:name="_Toc1907"/>
      <w:bookmarkStart w:id="4" w:name="_Toc471310326"/>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四川省人民医院多媒体教室设备采购项目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CGZX-YXX20260730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318310.00</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合同总价10%（逾期未缴纳履约保证金，视为自动放弃中标资格。）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w:t>
            </w:r>
            <w:r>
              <w:rPr>
                <w:rFonts w:hint="eastAsia" w:ascii="仿宋" w:hAnsi="仿宋" w:eastAsia="仿宋" w:cs="仿宋"/>
                <w:sz w:val="22"/>
                <w:szCs w:val="22"/>
                <w:highlight w:val="none"/>
                <w:u w:val="none"/>
              </w:rPr>
              <w:t>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叶</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32181"/>
      <w:bookmarkStart w:id="10" w:name="_Toc28050"/>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31"/>
        <w:gridCol w:w="11"/>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2668"/>
      <w:bookmarkStart w:id="14" w:name="_Toc16403"/>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本项目拟确定一名供应商供应多媒体教室设备</w:t>
      </w:r>
      <w:r>
        <w:rPr>
          <w:rFonts w:hint="eastAsia" w:ascii="仿宋" w:hAnsi="仿宋" w:eastAsia="仿宋" w:cs="仿宋"/>
          <w:sz w:val="24"/>
          <w:szCs w:val="24"/>
          <w:highlight w:val="none"/>
          <w:lang w:val="en-US" w:eastAsia="zh-CN"/>
        </w:rPr>
        <w:t>。</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eastAsia="仿宋" w:cs="仿宋"/>
          <w:kern w:val="2"/>
          <w:sz w:val="24"/>
          <w:szCs w:val="24"/>
          <w:lang w:val="en-US" w:eastAsia="zh-CN" w:bidi="ar-SA"/>
        </w:rPr>
        <w:t>二、</w:t>
      </w:r>
      <w:r>
        <w:rPr>
          <w:rFonts w:hint="eastAsia" w:ascii="仿宋" w:hAnsi="仿宋" w:eastAsia="仿宋" w:cs="仿宋"/>
          <w:kern w:val="2"/>
          <w:sz w:val="24"/>
          <w:szCs w:val="24"/>
        </w:rPr>
        <w:t>采购清单</w:t>
      </w:r>
    </w:p>
    <w:tbl>
      <w:tblPr>
        <w:tblStyle w:val="18"/>
        <w:tblW w:w="4998"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32"/>
        <w:gridCol w:w="2045"/>
        <w:gridCol w:w="1249"/>
        <w:gridCol w:w="1260"/>
        <w:gridCol w:w="2307"/>
        <w:gridCol w:w="2317"/>
      </w:tblGrid>
      <w:tr w14:paraId="3604E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B23BF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序号</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7DD430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品名</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C0C278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数量</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0A7D6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单位</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2AB4D7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b/>
                <w:bCs w:val="0"/>
                <w:kern w:val="0"/>
                <w:sz w:val="24"/>
                <w:szCs w:val="24"/>
              </w:rPr>
            </w:pPr>
            <w:r>
              <w:rPr>
                <w:rStyle w:val="44"/>
                <w:rFonts w:hint="eastAsia" w:ascii="仿宋" w:hAnsi="仿宋" w:eastAsia="仿宋" w:cs="仿宋"/>
                <w:b/>
                <w:bCs w:val="0"/>
                <w:sz w:val="24"/>
                <w:szCs w:val="24"/>
              </w:rPr>
              <w:t>限高单价（元）</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20F3FB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b/>
                <w:bCs w:val="0"/>
                <w:kern w:val="0"/>
                <w:sz w:val="24"/>
                <w:szCs w:val="24"/>
              </w:rPr>
            </w:pPr>
            <w:r>
              <w:rPr>
                <w:rStyle w:val="44"/>
                <w:rFonts w:hint="eastAsia" w:ascii="仿宋" w:hAnsi="仿宋" w:eastAsia="仿宋" w:cs="仿宋"/>
                <w:b/>
                <w:bCs w:val="0"/>
                <w:sz w:val="24"/>
                <w:szCs w:val="24"/>
              </w:rPr>
              <w:t>分项限高总价（元）</w:t>
            </w:r>
          </w:p>
        </w:tc>
      </w:tr>
      <w:tr w14:paraId="6E78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6"/>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0F168BA">
            <w:pPr>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left"/>
              <w:rPr>
                <w:rFonts w:hint="eastAsia" w:ascii="仿宋" w:hAnsi="仿宋" w:eastAsia="仿宋" w:cs="仿宋"/>
                <w:kern w:val="0"/>
                <w:sz w:val="24"/>
                <w:szCs w:val="24"/>
              </w:rPr>
            </w:pPr>
            <w:r>
              <w:rPr>
                <w:rFonts w:hint="eastAsia" w:ascii="仿宋" w:hAnsi="仿宋" w:eastAsia="仿宋" w:cs="仿宋"/>
                <w:kern w:val="0"/>
                <w:sz w:val="24"/>
                <w:szCs w:val="24"/>
              </w:rPr>
              <w:t>6楼教室设备</w:t>
            </w:r>
          </w:p>
        </w:tc>
      </w:tr>
      <w:tr w14:paraId="1B093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03DF3B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7CB78B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显示终端1</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73814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644D18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99A11B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43500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E62F75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43500</w:t>
            </w:r>
          </w:p>
        </w:tc>
      </w:tr>
      <w:tr w14:paraId="4CE0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78F9B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2</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2B2A57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搪瓷书写白板1</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8315C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0F8118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3C0D1B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3600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EEABA2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3600</w:t>
            </w:r>
          </w:p>
        </w:tc>
      </w:tr>
      <w:tr w14:paraId="071A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65B31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3</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2645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教师终端</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7C3808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53F45A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C8EBF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7500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A30B9E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7500</w:t>
            </w:r>
          </w:p>
        </w:tc>
      </w:tr>
      <w:tr w14:paraId="6118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C4140B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4</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222AAC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录播主机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E7BF9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52F424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1CCC45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18000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14F2B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18000</w:t>
            </w:r>
          </w:p>
        </w:tc>
      </w:tr>
      <w:tr w14:paraId="0C1C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41B15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5</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2631BC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教师摄像机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83520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14F42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AB374B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6081EF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r>
      <w:tr w14:paraId="50BE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E35D29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6</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693ABE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学生摄像机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B9C36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75348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F06016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19A877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r>
      <w:tr w14:paraId="2C84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9CFC74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7</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32E1F0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录播管理软件</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72085E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6D26A0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B0AF54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3000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6F63CF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3000</w:t>
            </w:r>
          </w:p>
        </w:tc>
      </w:tr>
      <w:tr w14:paraId="2EB8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D055F5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8</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40B6C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数字红外无线教学扩声系统主机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9F4970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538CDA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FEC4D0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6250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53039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6250</w:t>
            </w:r>
          </w:p>
        </w:tc>
      </w:tr>
      <w:tr w14:paraId="76B5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E2BF1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9</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FBFE9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线阵列音柱</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7CEE98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420F8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BDB1DD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FEAF37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2500</w:t>
            </w:r>
          </w:p>
        </w:tc>
      </w:tr>
      <w:tr w14:paraId="4DE2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A8423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10</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284FD6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数字红外接收器</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C17CC7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45D9E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BF071C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1350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9F6FBB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1350</w:t>
            </w:r>
          </w:p>
        </w:tc>
      </w:tr>
      <w:tr w14:paraId="095A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EFFE1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11</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7713CF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数字红外无线麦克风</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C7FB9B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1779C9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支</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8798B1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950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C3FB73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950</w:t>
            </w:r>
          </w:p>
        </w:tc>
      </w:tr>
      <w:tr w14:paraId="2E17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E17B0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12</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8CE520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有线麦克风</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1F7BA3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BB2871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1735D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E3D0AC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1150</w:t>
            </w:r>
          </w:p>
        </w:tc>
      </w:tr>
      <w:tr w14:paraId="2BA3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A4AEB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13</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9FB69D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吊装麦克风</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94EDB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BCDEC1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81F7DC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09FC10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2500</w:t>
            </w:r>
          </w:p>
        </w:tc>
      </w:tr>
      <w:tr w14:paraId="76EE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2ABCD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14</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84BBB5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中控触摸屏</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1940B4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5D1642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146F16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11800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77CED5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11800</w:t>
            </w:r>
          </w:p>
        </w:tc>
      </w:tr>
      <w:tr w14:paraId="59E77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024FF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15</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470A47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控制端口扩展适配器</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097344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BA9EA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37CBBF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F63B5D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12500</w:t>
            </w:r>
          </w:p>
        </w:tc>
      </w:tr>
      <w:tr w14:paraId="54B7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FED9A2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16</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EC3E08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电源时序器</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9D6E0A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93C8AE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A4EBFF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1500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748656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1500</w:t>
            </w:r>
          </w:p>
        </w:tc>
      </w:tr>
      <w:tr w14:paraId="75FC9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73E8D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17</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EA33B8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多功能面板</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EDFB93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21F91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E0420A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450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19D417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450</w:t>
            </w:r>
          </w:p>
        </w:tc>
      </w:tr>
      <w:tr w14:paraId="6F72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8CB84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18</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C06F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系统集成</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5DA422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37AEA0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C6B26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1000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99FC14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1000</w:t>
            </w:r>
          </w:p>
        </w:tc>
      </w:tr>
      <w:tr w14:paraId="1279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6"/>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A3A49C6">
            <w:pPr>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left"/>
              <w:rPr>
                <w:rFonts w:hint="eastAsia" w:ascii="仿宋" w:hAnsi="仿宋" w:eastAsia="仿宋" w:cs="仿宋"/>
                <w:kern w:val="0"/>
                <w:sz w:val="24"/>
                <w:szCs w:val="24"/>
              </w:rPr>
            </w:pPr>
            <w:r>
              <w:rPr>
                <w:rFonts w:hint="eastAsia" w:ascii="仿宋" w:hAnsi="仿宋" w:eastAsia="仿宋" w:cs="仿宋"/>
                <w:kern w:val="0"/>
                <w:sz w:val="24"/>
                <w:szCs w:val="24"/>
              </w:rPr>
              <w:t>负一楼教室设备</w:t>
            </w:r>
          </w:p>
        </w:tc>
      </w:tr>
      <w:tr w14:paraId="5AC7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38BD6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2BB894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显示终端2</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E1E6E6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AC5C57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C10F4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109350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372817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109350</w:t>
            </w:r>
          </w:p>
        </w:tc>
      </w:tr>
      <w:tr w14:paraId="67CB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4E6B52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2</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3E7C9B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搪瓷书写白板2</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A34AD6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540FFA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61C52E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5760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64D9E5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5760</w:t>
            </w:r>
          </w:p>
        </w:tc>
      </w:tr>
      <w:tr w14:paraId="0627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B45FB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3</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150C2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教师终端</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2EEE86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E79B46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A2BF40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7500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35A607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7500</w:t>
            </w:r>
          </w:p>
        </w:tc>
      </w:tr>
      <w:tr w14:paraId="6AE0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B8BA8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4</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885D8E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录播主机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00D76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5DA19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2DDF4B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18000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BA3B40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18000</w:t>
            </w:r>
          </w:p>
        </w:tc>
      </w:tr>
      <w:tr w14:paraId="47B4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DEF6DB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5</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D74502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教师摄像机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F3312D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C80A03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4CBF29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E0A8C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r>
      <w:tr w14:paraId="62914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BC6A22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6</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122F18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学生摄像机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001813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B2E099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9636C0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3B8801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3800</w:t>
            </w:r>
          </w:p>
        </w:tc>
      </w:tr>
      <w:tr w14:paraId="53E30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AFF8CA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7</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23F3C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录播管理软件</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688EE0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A97A4F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3AC29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3000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6CD18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3000</w:t>
            </w:r>
          </w:p>
        </w:tc>
      </w:tr>
      <w:tr w14:paraId="24E9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37F84F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8</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0B5143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数字红外无线教学扩声系统主机</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CE2147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8EF968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2F76FB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6250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82A4A6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6250</w:t>
            </w:r>
          </w:p>
        </w:tc>
      </w:tr>
      <w:tr w14:paraId="750A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D45822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9</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3809B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线阵列音柱</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9C2AB4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581491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819A6A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C4AAE1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2500</w:t>
            </w:r>
          </w:p>
        </w:tc>
      </w:tr>
      <w:tr w14:paraId="3945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03BD89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10</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884CD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数字红外接收器</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626606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A8956D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439A10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1350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7928C7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1350</w:t>
            </w:r>
          </w:p>
        </w:tc>
      </w:tr>
      <w:tr w14:paraId="1CF4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5E6817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11</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2A6A6C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数字红外无线麦克风</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F9F94B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7C2A25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支</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6840B2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950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0B43AE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950</w:t>
            </w:r>
          </w:p>
        </w:tc>
      </w:tr>
      <w:tr w14:paraId="6A061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E53DC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12</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0BF4F9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有线麦克风</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F8025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E2258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C0498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E60F9C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1150</w:t>
            </w:r>
          </w:p>
        </w:tc>
      </w:tr>
      <w:tr w14:paraId="26E0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484A3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13</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3A0EDC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吊装麦克风</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33D236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47F4EC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26CA53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B929AA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2500</w:t>
            </w:r>
          </w:p>
        </w:tc>
      </w:tr>
      <w:tr w14:paraId="3B34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7EFEB2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14</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BDDEF6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中控触摸屏</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E25273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243B1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EC36EA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11800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0800AD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11800</w:t>
            </w:r>
          </w:p>
        </w:tc>
      </w:tr>
      <w:tr w14:paraId="401B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81E5B2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15</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805153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控制端口扩展适配器</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3F1E8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894CFB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3FDA6D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0BB6D3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12500</w:t>
            </w:r>
          </w:p>
        </w:tc>
      </w:tr>
      <w:tr w14:paraId="46E5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E4B7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16</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DA7A6D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电源时序器</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34C242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5925C1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DCAF5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1500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2D068E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1500</w:t>
            </w:r>
          </w:p>
        </w:tc>
      </w:tr>
      <w:tr w14:paraId="3329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EAED81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17</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041B4D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多功能面板</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268F48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7AB00E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个</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E5BA76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450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BABE8A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450</w:t>
            </w:r>
          </w:p>
        </w:tc>
      </w:tr>
      <w:tr w14:paraId="04F58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92"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FC6D0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18</w:t>
            </w:r>
          </w:p>
        </w:tc>
        <w:tc>
          <w:tcPr>
            <w:tcW w:w="9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5BCD7F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系统集成</w:t>
            </w:r>
          </w:p>
        </w:tc>
        <w:tc>
          <w:tcPr>
            <w:tcW w:w="60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C44BFC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60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0744AA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批</w:t>
            </w:r>
          </w:p>
        </w:tc>
        <w:tc>
          <w:tcPr>
            <w:tcW w:w="110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876BE8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1000</w:t>
            </w:r>
          </w:p>
        </w:tc>
        <w:tc>
          <w:tcPr>
            <w:tcW w:w="111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120912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1000</w:t>
            </w:r>
          </w:p>
        </w:tc>
      </w:tr>
    </w:tbl>
    <w:p w14:paraId="35D9C2B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三、</w:t>
      </w:r>
      <w:r>
        <w:rPr>
          <w:rFonts w:hint="eastAsia" w:ascii="仿宋" w:hAnsi="仿宋" w:eastAsia="仿宋" w:cs="仿宋"/>
          <w:b/>
          <w:bCs/>
          <w:kern w:val="0"/>
          <w:sz w:val="24"/>
          <w:szCs w:val="24"/>
          <w:lang w:val="en-US" w:eastAsia="zh-CN" w:bidi="ar"/>
        </w:rPr>
        <w:t>技术、</w:t>
      </w:r>
      <w:r>
        <w:rPr>
          <w:rFonts w:hint="eastAsia" w:ascii="仿宋" w:hAnsi="仿宋" w:eastAsia="仿宋" w:cs="仿宋"/>
          <w:b/>
          <w:bCs/>
          <w:sz w:val="24"/>
          <w:szCs w:val="24"/>
        </w:rPr>
        <w:t>服务要求</w:t>
      </w:r>
    </w:p>
    <w:p w14:paraId="6CA5589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Chars="-200" w:firstLine="241" w:firstLineChars="1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1.技术要求</w:t>
      </w:r>
    </w:p>
    <w:tbl>
      <w:tblPr>
        <w:tblStyle w:val="18"/>
        <w:tblW w:w="4998"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49"/>
        <w:gridCol w:w="979"/>
        <w:gridCol w:w="8582"/>
      </w:tblGrid>
      <w:tr w14:paraId="3919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7E94BD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序号</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7B84C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品名</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B91EF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lang w:eastAsia="zh-CN"/>
              </w:rPr>
            </w:pPr>
            <w:r>
              <w:rPr>
                <w:rStyle w:val="44"/>
                <w:rFonts w:hint="eastAsia" w:ascii="仿宋" w:hAnsi="仿宋" w:eastAsia="仿宋" w:cs="仿宋"/>
                <w:b/>
                <w:bCs w:val="0"/>
                <w:sz w:val="24"/>
                <w:szCs w:val="24"/>
                <w:lang w:val="en-US" w:eastAsia="zh-CN"/>
              </w:rPr>
              <w:t>技术参数</w:t>
            </w:r>
          </w:p>
        </w:tc>
      </w:tr>
      <w:tr w14:paraId="54E3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D3E77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rPr>
                <w:rFonts w:hint="eastAsia" w:ascii="仿宋" w:hAnsi="仿宋" w:eastAsia="仿宋" w:cs="仿宋"/>
                <w:kern w:val="0"/>
                <w:sz w:val="24"/>
                <w:szCs w:val="24"/>
              </w:rPr>
            </w:pPr>
            <w:r>
              <w:rPr>
                <w:rFonts w:hint="eastAsia" w:ascii="仿宋" w:hAnsi="仿宋" w:eastAsia="仿宋" w:cs="仿宋"/>
                <w:kern w:val="0"/>
                <w:sz w:val="24"/>
                <w:szCs w:val="24"/>
              </w:rPr>
              <w:t>6楼教室设备</w:t>
            </w:r>
          </w:p>
        </w:tc>
      </w:tr>
      <w:tr w14:paraId="5349E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2BD2FC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ED405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显示终端1</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976B3D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 整机采用一体设计，外部无任何可见内部功能模块连接线。整机屏幕≥110英寸，显示比例16:9,分辨率≥3840×2160 。</w:t>
            </w:r>
          </w:p>
          <w:p w14:paraId="0456C50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 嵌入式智能操作系统≥安卓14或鸿蒙4.0，内存≥8GB，存储空间≥128GB。支持智能书写功能，书写文字自动识别为标准印刷体。</w:t>
            </w:r>
          </w:p>
          <w:p w14:paraId="7BEB5D9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★3. 采用红外触控技术，支持操作系统中进行≥20点触控，支持在智能系统中进行≥20点触控。</w:t>
            </w:r>
          </w:p>
          <w:p w14:paraId="6634A2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 整机能感应并自动调节屏幕亮度来达到在不同光照环境下的不同亮度显示效果。</w:t>
            </w:r>
          </w:p>
          <w:p w14:paraId="2ED799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5. 整机内置2.1声道扬声器，额定总功率≥50W。内置8阵列麦克风，支持回声消除、背景噪音抑制和增益补偿。</w:t>
            </w:r>
          </w:p>
          <w:p w14:paraId="4A31F9B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6. 三合一电源按键，同一电源物理按键完成智能系统和操作系统的开机、节能熄屏、关机操作。</w:t>
            </w:r>
          </w:p>
          <w:p w14:paraId="242047C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7. 整机上边框内置非独立摄像头，采用一体化集成设计，可拍摄≥4800万像素数的照片，可拍摄输出4K分辨率的视频。支持3D降噪算法、自动对焦、自动白平衡，支持输出MJPG、H.264视频格式。(</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tc>
      </w:tr>
      <w:tr w14:paraId="3B52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550D0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2</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663D74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搪瓷书写白板1</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89A31A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★尺寸:2.25*1.48（米），±0.5厘米，上下推拉搪瓷白板。</w:t>
            </w:r>
          </w:p>
        </w:tc>
      </w:tr>
      <w:tr w14:paraId="6300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FF600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3</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CE7D07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教师终端</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E8828F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★1.主板：内存插槽*2、4*USB3.2Gen1,2*USB3.2Gen ,HDMI2.1TMDS*1 , VGA*1 ,音频输入及输出接口+麦克风接口，RJ45(1G,支持浪涌保护功能）*1。CPU: 核心数≥ 16核心处理器 线程≥24线程,最高睿频≥5.2GHz, 缓存：≥30M；内存：≥16GB DDR4 3200MHz 内存，提供双内存槽位。</w:t>
            </w:r>
          </w:p>
          <w:p w14:paraId="59E71E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★2.硬盘：≥512GBSSD 固态硬盘： ≥512G PCle 4.0数据带宽；数据安全性：支持BIOS-USB屏蔽技术，仅识别键盘、鼠标，无法识别USB读取设备。</w:t>
            </w:r>
          </w:p>
          <w:p w14:paraId="52E153A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★3.显卡：独立显卡，显存≥4GB；声卡：集成声卡；网卡：集成10/100/1000M以太网卡。</w:t>
            </w:r>
          </w:p>
          <w:p w14:paraId="3527478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★4.显示设备：≥23.8英寸16:9显示设备（分辨率≥3840x2160</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w:t>
            </w:r>
            <w:r>
              <w:rPr>
                <w:rStyle w:val="44"/>
                <w:rFonts w:hint="eastAsia" w:ascii="仿宋" w:hAnsi="仿宋" w:eastAsia="仿宋" w:cs="仿宋"/>
                <w:b/>
                <w:bCs w:val="0"/>
                <w:sz w:val="24"/>
                <w:szCs w:val="24"/>
              </w:rPr>
              <w:t>dpi</w:t>
            </w:r>
            <w:r>
              <w:rPr>
                <w:rFonts w:hint="eastAsia" w:ascii="仿宋" w:hAnsi="仿宋" w:eastAsia="仿宋" w:cs="仿宋"/>
                <w:kern w:val="0"/>
                <w:sz w:val="24"/>
                <w:szCs w:val="24"/>
              </w:rPr>
              <w:t>‌）内置低蓝光功能。</w:t>
            </w:r>
          </w:p>
          <w:p w14:paraId="6A9EEC5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5.鼠标键盘：防水键盘、抗菌鼠标；电源：≤110/220V，≤ 180W节能电源；机箱： 顶置电源开关键。</w:t>
            </w:r>
          </w:p>
          <w:p w14:paraId="5B474E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6.扩展槽：≥1个PCI-E*16、1个PCI-E*11，操作系统：预装Windows 11 正版操作系统 。</w:t>
            </w:r>
          </w:p>
        </w:tc>
      </w:tr>
      <w:tr w14:paraId="24CD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4A3657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4</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ACEED2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录播主机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D2AC2A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★1.主机采用集成化设计，内置导播系统、互动系统、视频处理系统。具备音视频采集、音视频编解码、音视频处理、录制、直播、远程互动设置等能力。</w:t>
            </w:r>
          </w:p>
          <w:p w14:paraId="6312BF0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★2.主机采用一体化架构设计，采用Linux操作系统。内置8核心ARM架构处理器，主频均不低于1.8GHz。硬盘存储≥256GB SSD，支持≥1个硬盘扩展位，扩展容量≥8TB。</w:t>
            </w:r>
          </w:p>
          <w:p w14:paraId="74DA46D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★3.支持HDMI唤醒功能，当HDMI有信号输入时，主机会自动联动开机。</w:t>
            </w:r>
          </w:p>
          <w:p w14:paraId="2D34D81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★4.主机内置跟踪功能，无需额外配置跟踪主机即可实现智能图像识别跟踪分析与处理功能。</w:t>
            </w:r>
          </w:p>
          <w:p w14:paraId="37C6060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★5.主机支持内置音频处理器，无需额外的音频处理设备。</w:t>
            </w:r>
          </w:p>
          <w:p w14:paraId="7502998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★6.主机支持≥3个HDMI高清接口。其中HDMI输入接口≥1个，HDMI输出接口≥2个。</w:t>
            </w:r>
          </w:p>
          <w:p w14:paraId="6DB1BAB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★7.支持通过Type-C接口实现音视频同步输出，输出分辨率≥3840×2160 dpi，输出音频可通过主机控制软件实现混音，兼容主流视频会议软件。</w:t>
            </w:r>
          </w:p>
        </w:tc>
      </w:tr>
      <w:tr w14:paraId="23F64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6EF7E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5</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A2A989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教师摄像机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D4FA25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1.传感器尺寸 CMOS ≥ 1/2.8英寸，支持H.264、H.265、MJPEG视频编码格式。</w:t>
            </w:r>
          </w:p>
          <w:p w14:paraId="1762702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2.全影镜头水平视场角≥40°，有效像素≥400万；特写镜头水平视场角≥20°，有效像素≥800万；支持USB音视频信号输出，可以同时支持UVC和UAC协议，最大支持4K@30fps输出，兼容主流视频会议软件。</w:t>
            </w:r>
          </w:p>
          <w:p w14:paraId="464D054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3.系统应采用智能图像识别算法，通过导播跟踪系统，实现所有画面的自动导播切换。</w:t>
            </w:r>
          </w:p>
          <w:p w14:paraId="2305DD9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4.支持至少1个六边形导播跟踪区划定。</w:t>
            </w:r>
          </w:p>
        </w:tc>
      </w:tr>
      <w:tr w14:paraId="02992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A551F3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6</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9F82DC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学生摄像机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E8DA30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1.传感器尺寸 CMOS ≥ 1/2.8英寸，支持H.264、H.265、MJPEG视频编码格式。</w:t>
            </w:r>
          </w:p>
          <w:p w14:paraId="4407FDC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2.全影镜头水平视场角≥110°，有效像素≥400万；特写镜头水平视场角≥40°，有效像素≥800万；支持USB音视频信号输出，可以同时支持UVC和UAC协议，最大支持4K@30fps输出，兼容主流视频会议软件。"</w:t>
            </w:r>
          </w:p>
          <w:p w14:paraId="76F9730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3.系统应采用智能图像识别算法，通过导播跟踪系统，实现所有画面的自动导播切换。</w:t>
            </w:r>
          </w:p>
          <w:p w14:paraId="60FA872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4.支持至少1个六边形导播跟踪区划定。</w:t>
            </w:r>
          </w:p>
        </w:tc>
      </w:tr>
      <w:tr w14:paraId="210B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855D14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7</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1B048A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录播管理软件</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3DA974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1.支持导播设置向导，可通过提示进行下一步操作。</w:t>
            </w:r>
          </w:p>
          <w:p w14:paraId="130F412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2.支持≥5种跟踪模式设置（三预置位、跟踪、双镜、混合、黑板全景）。</w:t>
            </w:r>
          </w:p>
          <w:p w14:paraId="492CA41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3.绘制对应区域，不同区域通过不同颜色画框展现。支持智能检测，系统可自动框选跟踪区域，快速清除快照区域，调用相机配置，自动确定跟踪区域。</w:t>
            </w:r>
          </w:p>
          <w:p w14:paraId="3703906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4.支持互动清晰度设置，分辨率可设置不低于1080P、720P。支持互动清晰度自定义设置，可设置分辨率不低于1080P、720P、VGA、QVGA，可设置帧率为不低于60、30、25FPS，可设置画质≥4种档位，可设置码率为静态码率、动态码率。设置后可显示对应码流大小。</w:t>
            </w:r>
          </w:p>
          <w:p w14:paraId="2397C1A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5.支持互动清晰度自适应，在互动时根据网络情况选择最优清晰度。</w:t>
            </w:r>
          </w:p>
          <w:p w14:paraId="0A1BDC1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6.支持设置主机互动模式，可选择开启或关闭互动双流设置，开启后可选择第二路流的画面，支持≥6个画面选择。画面设置支持开启或关闭直播推流CDN设置，开启后可选择推流画面，支持≥7个画面选择。</w:t>
            </w:r>
          </w:p>
          <w:p w14:paraId="019EF1F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7.支持≥9种多画面合成布局选择，可自定义选择布局中的画面，选择后自动更新布局种画面的名称。</w:t>
            </w:r>
          </w:p>
          <w:p w14:paraId="29DB7DD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8.支持≥16种转场特效的选择。选择对应特效后，切换画面将应用该特效。特效过渡时间0.5～1.5秒可调。</w:t>
            </w:r>
          </w:p>
          <w:p w14:paraId="65A7BE9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9.支持通过U盘导入片头片尾。片头片尾支持≥3种格式导入，包含图片格式及视频格式文件，支持总共导入≥30个大小≥20MB的图片文件及≥200MB的视频文件。导入后支持片头播放/播放并开始录制，可调节图片播放时间为1～10秒任意值。支持批量管理片头片尾，可批量勾选并删除。</w:t>
            </w:r>
          </w:p>
          <w:p w14:paraId="60C8FAA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10.支持拖拽调节字幕任意位置，或通过≥6个预设位置调整字体位置；支持通过≥3个预设字号调整字体大小；支持通过≥5种预设颜色调整字体颜色。支持批量管理字幕，可批量勾选并删除。</w:t>
            </w:r>
          </w:p>
        </w:tc>
      </w:tr>
      <w:tr w14:paraId="7E925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7576C8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8</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A3D1DA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数字红外无线教学扩声系统主机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5BB388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采用的数字红外技术，为了保证设备系统的流畅性，稳定性，不接受第三方OEM（同一产品外观供≥2家品牌同时使用即为OEM产品）和临时定制产品，本系统涉及的所有产品需采用标准化成熟产品，产品型号搜索引擎上可查。</w:t>
            </w:r>
          </w:p>
          <w:p w14:paraId="7B406CB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 红外主机内置数字红外处理芯片，可实现红外音频传输及控制技术，符合红外传输标准（提供数字红外芯片实物图进行佐证，并加盖供应商公章）</w:t>
            </w:r>
          </w:p>
          <w:p w14:paraId="6FA1279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3.红外主机具有≥3路RJ45信号网口，其中红外信号传输接口≥2路RJ45信号网口；可以拓展8只接收器（提供8只接收器实物连接图进行佐证，并加盖供应商公章），≥1路网络管理RJ45接口，可搭配专用服务器进行统一管理</w:t>
            </w:r>
          </w:p>
          <w:p w14:paraId="346465A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▲4.红外主机具有≥3路RS-232连接串口（RS232波特率可调程序,具备电子锁信息读取及反馈功能），用于连接中控系统，可实现集中控制 ，搭配平台可反馈接入麦克风使用信号（提供产品接口实物图及波特率可调程序截图进行佐证，并加盖供应商公章）</w:t>
            </w:r>
          </w:p>
          <w:p w14:paraId="3B1EF9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▲5.红外主机≥1路I/0继电接口含12V供电，主机≥3路3PIN座子带音量调节旋钮，用于扩展连接吊麦和全向麦克风，具备≥2路3.5mm输入接口，≥1路凤凰头输入，≥2路凤凰头输出接口，≥2个录音输出接口（Ø 3.5 mm，均独立可调），用于常态化录播，≥1路remote输出接口（独立可调），≥1路remote输入接口，进行音频远端传输；具有供电及音频传输双通道USB接口，可兼容连接电子锁以及鹅颈麦克风（提供产品接口实物图进行佐证，并加盖供应商公章）</w:t>
            </w:r>
          </w:p>
          <w:p w14:paraId="47D75FA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6.红外主机内置高性能数字信号处理器（DSP）与数字音频功率放大器于一体，总功率≥600W（4欧），具有反馈抑制（AFC）、回声消除（AEC）和主动降噪（ANC）、自动电平控制（ALC）和自动均衡（AEQ）等功能，频率响应：50HZ-20KHZ，信噪比：＞97dBA，总谐波失真：≤0.05%，增益差：≤0.2dB</w:t>
            </w:r>
          </w:p>
          <w:p w14:paraId="0A942A9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7.红外主机内置幻象供电功能，适配有线鹅颈话筒，具有鹅颈麦静默模式，为防止误触发，可通过软件调试界面进行调整，.主机可设置语音和音乐模式，以适应不同健声环境，有中英文切换模式，适用于不同国家人群的使用</w:t>
            </w:r>
          </w:p>
          <w:p w14:paraId="03D2DC3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▲8.红外主机具有≥1个C型USB接口：可连接PC，配合特定型号麦克风实现飞鼠功能并可用于固件升级。（提供飞鼠功能软件界面截图进行佐证，并加盖供应商公章）</w:t>
            </w:r>
          </w:p>
          <w:p w14:paraId="100C02A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9.红外主机具有OLED显示屏，可现实主机使用状态及系统设置界面，具有四组频点设置，且每一组包含两个频点可供选择，主机具有童锁开关，可防止误触发</w:t>
            </w:r>
          </w:p>
          <w:p w14:paraId="55A5EF6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10.红外主机具有不低于50个散热孔，内置散热风扇，以保证机身长期稳定运行，机身小巧方便放置，不占用机柜空间，保证安装环境整洁美观，整体尺寸≤1U</w:t>
            </w:r>
          </w:p>
          <w:p w14:paraId="37D1A6B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11.红外主机内置智能校准芯片及音频测试软件,可对不同教室格局进行智能声场校准(提供智能校准图截图进行佐证，并加盖供应商公章)，具备红外遥控功能,红外灵敏度±3db-±9db可调，内置数字光标速率可调,可调范围-2-+2之间.</w:t>
            </w:r>
          </w:p>
          <w:p w14:paraId="391C7CDA">
            <w:pPr>
              <w:pStyle w:val="43"/>
              <w:keepNext w:val="0"/>
              <w:keepLines w:val="0"/>
              <w:pageBreakBefore w:val="0"/>
              <w:widowControl/>
              <w:numPr>
                <w:ilvl w:val="0"/>
                <w:numId w:val="0"/>
              </w:numPr>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rPr>
              <w:t>红外主机支持多种使用场景：3种教学扩声场景，具有无线麦，有线麦，阵列麦智能切换功能，系统主机具备闪避功能，红外无线麦克风开启，吊麦声音自动变小；红外无线麦克风关闭，吊麦声音自动恢复正常设置</w:t>
            </w:r>
            <w:r>
              <w:rPr>
                <w:rFonts w:hint="eastAsia" w:ascii="仿宋" w:hAnsi="仿宋" w:eastAsia="仿宋" w:cs="仿宋"/>
                <w:kern w:val="0"/>
                <w:sz w:val="24"/>
                <w:szCs w:val="24"/>
                <w:lang w:eastAsia="zh-CN"/>
              </w:rPr>
              <w:t>。</w:t>
            </w:r>
          </w:p>
          <w:p w14:paraId="3381148A">
            <w:pPr>
              <w:pStyle w:val="43"/>
              <w:keepNext w:val="0"/>
              <w:keepLines w:val="0"/>
              <w:pageBreakBefore w:val="0"/>
              <w:widowControl/>
              <w:numPr>
                <w:ilvl w:val="0"/>
                <w:numId w:val="0"/>
              </w:numPr>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sz w:val="24"/>
                <w:szCs w:val="24"/>
                <w:highlight w:val="none"/>
                <w:lang w:val="en-US" w:eastAsia="zh-CN"/>
              </w:rPr>
              <w:t>以上技术参数需提供相关的参数证明文件并加盖供应商公章</w:t>
            </w:r>
            <w:r>
              <w:rPr>
                <w:rFonts w:hint="eastAsia" w:ascii="仿宋" w:hAnsi="仿宋" w:eastAsia="仿宋" w:cs="仿宋"/>
                <w:kern w:val="0"/>
                <w:sz w:val="24"/>
                <w:szCs w:val="24"/>
              </w:rPr>
              <w:t>）</w:t>
            </w:r>
          </w:p>
        </w:tc>
      </w:tr>
      <w:tr w14:paraId="7BA33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699596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9</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95B58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线阵列音柱</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241A0F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▲1.≥4个3英寸全频扬声器单元，箱体采用玻璃纤维外壳，铝材面罩，频率响应≥80Hz ~ 20 kHz，覆盖角度：水平方向≥165°，垂直方向≥45°，功率≥60 W（无热损害和机械损伤），灵敏度：≥89 dB，最大声压级：≥106dB(</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4E78654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▲2.箱体防护等级≥IP-55(</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72DCC2B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3.安装方式：壁挂式（可旋转壁挂托架）</w:t>
            </w:r>
          </w:p>
        </w:tc>
      </w:tr>
      <w:tr w14:paraId="118A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4DE866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10</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B2F6E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数字红外接收器</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ADF8C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▲1.与红外主机连接,符合数字红外传输标准（提供标准产品标志证书进行佐证，并加盖供应商公章）</w:t>
            </w:r>
          </w:p>
          <w:p w14:paraId="506089B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2.接收面积：≥80㎡，接收角度：垂直：150° (±75°)，水平：360°，无线辐射距离：≥25m</w:t>
            </w:r>
          </w:p>
          <w:p w14:paraId="5FA04CA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▲3.带频点选择拨扭，接收器具有两组频点选择，可与主机搭配调谐，稳固信号传输（提供实物照片进行佐证，并加盖供应商公章）▲4.红外线波长≥870nm，电磁辐射符合EN 55032，电磁抗干扰符合EN 55024（提供技术指标白皮书进行佐证，并加盖供应商公章）</w:t>
            </w:r>
          </w:p>
        </w:tc>
      </w:tr>
      <w:tr w14:paraId="1948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54CEBF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11</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3DE0A8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数字红外无线麦克风</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489350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1.红外麦克风采用五通道设计，红外线发射管≥8颗，麦克风接发射红外线波长≥870nm，符合数字红外传输标准.</w:t>
            </w:r>
          </w:p>
          <w:p w14:paraId="1EE4838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▲2.为防止红外麦克风丢失，无线麦克风具备不限于电子锁锁扣等方式的防盗功能；(提供实物照片进行佐证，并加盖供应商公章)</w:t>
            </w:r>
          </w:p>
          <w:p w14:paraId="0F00A34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3.红外麦克风采用按键式音量加减键，按键调整音量，也可共用音量键实现PPT翻页功能，高效简洁</w:t>
            </w:r>
          </w:p>
          <w:p w14:paraId="5B398BC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4.红外麦克风咪头外置凸显设计，拾音咪头长度≥1.3cm，拾音距离更佳，咪头适配外置防风罩，方便更换，高效卫生</w:t>
            </w:r>
          </w:p>
          <w:p w14:paraId="4C70714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5.红外麦克风支持PTT功能，实现N+1互动交流功能，具有PPT翻页，MIC，L/M指示灯，切换</w:t>
            </w:r>
          </w:p>
          <w:p w14:paraId="4F4499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6.红外麦克风可颈挂和手持同时使用，整体长度≥14.5cm，可配置磁吸颈挂绳和磁吸领夹扣，方便拆卸清洗</w:t>
            </w:r>
          </w:p>
          <w:p w14:paraId="3E62945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7.红外麦克风对节能灯光有良好的抗干扰性， 频率响应 100 Hz ~ 20 kHz，信噪比 ＞98 dBA，总谐波失真 ≤0.04%；</w:t>
            </w:r>
          </w:p>
          <w:p w14:paraId="69F841B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▲8.红外麦克风内置可充锂电池（不可拆卸，预防被盗），锂电池容量≥2300mAh；为了保证使用安全性，锂电池需通过高度模拟，温度试验，振动，冲击，外部短路，挤压，过度充电，强制放电等安全测试。(</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4528BC4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▲9.红外麦克风咪头与激光笔对立排列，老师可一边讲话同时使用激光笔；（提供实物图进行佐证，并加盖供应商公章）</w:t>
            </w:r>
          </w:p>
          <w:p w14:paraId="022C04C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sz w:val="24"/>
                <w:szCs w:val="24"/>
                <w:highlight w:val="none"/>
                <w:lang w:val="en-US" w:eastAsia="zh-CN"/>
              </w:rPr>
              <w:t>以上技术参数需提供相关的参数证明文件并加盖供应商公章</w:t>
            </w:r>
            <w:r>
              <w:rPr>
                <w:rFonts w:hint="eastAsia" w:ascii="仿宋" w:hAnsi="仿宋" w:eastAsia="仿宋" w:cs="仿宋"/>
                <w:kern w:val="0"/>
                <w:sz w:val="24"/>
                <w:szCs w:val="24"/>
              </w:rPr>
              <w:t>）</w:t>
            </w:r>
          </w:p>
        </w:tc>
      </w:tr>
      <w:tr w14:paraId="5E6F2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AD1411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12</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EE9FF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有线麦克风</w:t>
            </w:r>
          </w:p>
          <w:p w14:paraId="7FA85BE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B4A3A2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1.充电槽与鹅颈麦克风一体化设计，可拆卸麦克风，麦克风长度≥59CM，可与红外麦克风进行切换使用</w:t>
            </w:r>
          </w:p>
          <w:p w14:paraId="7478C74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▲2.每一位充电座上都有特定的二维码，可通过微信小程序和APP进行扫码解锁管理（提供蓝牙扫码开锁手机 APP和微信小程序界面截图佐证，并加盖供应商公章）</w:t>
            </w:r>
          </w:p>
          <w:p w14:paraId="76244E2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▲3.具有一路电子锁，具备无线解锁管理和有线解锁管理功能，可实现RS232端口，I/O端口及蓝牙驱动解锁三种开锁方式</w:t>
            </w:r>
          </w:p>
          <w:p w14:paraId="3E626CC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▲4.标配APP驱动设置软件，软件具备教室信息设定功能，具备生成公有秘钥功能，具备与电子锁密钥回读功能，实现本地化升级及与服务器桥接互联（提供APP功能界面实物图进行佐证，并加盖供应商公章）</w:t>
            </w:r>
          </w:p>
          <w:p w14:paraId="4F43613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5.具有一路信号反馈接口，可自动反馈有线麦克风及充电兜内无线麦克风的使用数据，充电数据等信息</w:t>
            </w:r>
          </w:p>
          <w:p w14:paraId="26ECB60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▲6.有线麦克风可通过物理按键进行开关控制，也可通过平台及中控对有线麦克风进行开关控制。</w:t>
            </w:r>
          </w:p>
          <w:p w14:paraId="5EC9068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7.麦秆做双级软管设计，即连接底部和咪头处均可进行方向调整，具有两路USB连接线，信号线与供电独立分开，抗干扰能力更强</w:t>
            </w:r>
          </w:p>
          <w:p w14:paraId="10F6EB1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lang w:eastAsia="zh-CN"/>
              </w:rPr>
            </w:pPr>
            <w:r>
              <w:rPr>
                <w:rFonts w:hint="eastAsia" w:ascii="仿宋" w:hAnsi="仿宋" w:eastAsia="仿宋" w:cs="仿宋"/>
                <w:kern w:val="0"/>
                <w:sz w:val="24"/>
                <w:szCs w:val="24"/>
              </w:rPr>
              <w:t>8..灵敏度 -46 dBV/Pa，麦克风频率响应 30HZ-20K Hz，方向性 ≥20 dB (1kHz) (0°/180°)，等效噪声 20 dBA (SPL)，最大声压级 125 dB (THD&lt;3%)</w:t>
            </w:r>
            <w:r>
              <w:rPr>
                <w:rFonts w:hint="eastAsia" w:ascii="仿宋" w:hAnsi="仿宋" w:eastAsia="仿宋" w:cs="仿宋"/>
                <w:kern w:val="0"/>
                <w:sz w:val="24"/>
                <w:szCs w:val="24"/>
                <w:lang w:eastAsia="zh-CN"/>
              </w:rPr>
              <w:t>。</w:t>
            </w:r>
          </w:p>
          <w:p w14:paraId="11CC599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sz w:val="24"/>
                <w:szCs w:val="24"/>
                <w:highlight w:val="none"/>
                <w:lang w:val="en-US" w:eastAsia="zh-CN"/>
              </w:rPr>
              <w:t>以上技术参数需提供相关的参数证明文件并加盖供应商公章</w:t>
            </w:r>
            <w:r>
              <w:rPr>
                <w:rFonts w:hint="eastAsia" w:ascii="仿宋" w:hAnsi="仿宋" w:eastAsia="仿宋" w:cs="仿宋"/>
                <w:kern w:val="0"/>
                <w:sz w:val="24"/>
                <w:szCs w:val="24"/>
              </w:rPr>
              <w:t>）</w:t>
            </w:r>
          </w:p>
        </w:tc>
      </w:tr>
      <w:tr w14:paraId="2E19A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EFA1AB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13</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55AD42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吊装麦克风</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B2E6EB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1.圆盘式阵列式麦克风拾取学生区域声音，指向性：±15°波束成形（Beam forming），拾音范围：半径≥ 5 m，中等环境噪声下：半径 ≥8 m，安静环境下；</w:t>
            </w:r>
          </w:p>
          <w:p w14:paraId="2448117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2.频率响应：100 Hz ~ 10 kHz，信噪比：≥65.5 dBA，总谐波失真：≤0.1%；</w:t>
            </w:r>
          </w:p>
          <w:p w14:paraId="4B84FA9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3.内置高性能数字信号处理器（DSP），对拾取的音频进行噪声消除（ANC）和自动增益控制（AGC），具有自动声场校准（AEQ）功能，AI算法实现自适应反馈抑制功能，AI算法自适应噪音消除（AINC），突发短促噪声限幅（ALC控制）。</w:t>
            </w:r>
          </w:p>
        </w:tc>
      </w:tr>
      <w:tr w14:paraId="5169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22FC0B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14</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6DDDE8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中控触摸屏</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2BDB4F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★1.≥7英寸电容式有线触摸屏；</w:t>
            </w:r>
          </w:p>
          <w:p w14:paraId="51D0C15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★2.≥1024x600dpi的分辨率24位色深；</w:t>
            </w:r>
          </w:p>
          <w:p w14:paraId="0C1B714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3.采用可编程方式，进行系统软件的编程，提供定制化用户界面；</w:t>
            </w:r>
          </w:p>
          <w:p w14:paraId="1DB8B25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4.支持POE方式供电。</w:t>
            </w:r>
          </w:p>
        </w:tc>
      </w:tr>
      <w:tr w14:paraId="53DDE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0CB9BA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15</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90325C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控制端口扩展适配器</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9D4335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 个双向串行端口、≥1 路数字输入、≥1 个红外端口和≥ 2 个继电器，能直接在触摸屏上控制信号源及周边物联设备。</w:t>
            </w:r>
          </w:p>
        </w:tc>
      </w:tr>
      <w:tr w14:paraId="4C9E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606690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16</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8C5A9D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电源时序器</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4E7666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≥8路继电器开关输出单元，断电后保持断电前的通、断状态，每个路最大输出不低于10A,具有RS232接口.</w:t>
            </w:r>
          </w:p>
        </w:tc>
      </w:tr>
      <w:tr w14:paraId="0B7E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B29F6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17</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0DC958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多功能面板</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6A966C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≥2个USB、≥1个HDMI、≥1个五孔电源。</w:t>
            </w:r>
          </w:p>
        </w:tc>
      </w:tr>
      <w:tr w14:paraId="6BDC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06FCD2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18</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945CF6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系统集成</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1A317B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包含整套设备的线材及辅材，安装及调试。</w:t>
            </w:r>
          </w:p>
        </w:tc>
      </w:tr>
      <w:tr w14:paraId="66AB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FFDD37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负一楼教室设备</w:t>
            </w:r>
          </w:p>
        </w:tc>
      </w:tr>
      <w:tr w14:paraId="6098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E31632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95492C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显示终端2</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86F95F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显示系统：</w:t>
            </w:r>
          </w:p>
          <w:p w14:paraId="63C5FEF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像素构成:全倒装集成三合一COB封装，像素间距≤1.57mm，像素密度:≥400000点/㎡.单元尺寸（W×H）:≥600mm×337.5mm，单元比例:16∶9，单元分辨率（W×H）≥384×216像素点，显示区域整体尺寸3.6米*2.025米，±0.5厘米，备用单元一台。</w:t>
            </w:r>
          </w:p>
          <w:p w14:paraId="29C5CFD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2.亮度:≥600nits；最大对比度≥35000:1，刷新率 ≥4200Hz，水平视角≥170°、垂直视角≥170°；色温：2000-15000K可调；像素中心距偏差≤2%；亮度均匀性 ≥99%；色度均匀性 ±0.002Cx,Cy 之内; 峰值功耗≤350W/㎡，平均功耗≤160W/㎡; 换帧频率: 50&amp;60Hz; 像素失控率 ≤1/100000；模组平整度≤0.1mm。</w:t>
            </w:r>
          </w:p>
          <w:p w14:paraId="0E94406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★3.箱体材质:箱体要求采用压铸铝合金，整体压铸，一次成型。(</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17D03AC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▲4.能效:显示屏要求能源效率值：≥2.0cd/W；反光率:屏体亚黑处理，反光率≤0.5%；辐射骚扰（EMC）:30MHz～1000MHz；符合 GB/T 9254.1-2021；Class B限值要求。(</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6103C96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5.智能节电功能: 要求产品具备智能（黑屏）节电功能，开启智能节电功能比没有开启节能≥50%。维护方式:电源、模组、接收卡，HUB卡前、后维护、更换、支持热插拔。</w:t>
            </w:r>
          </w:p>
          <w:p w14:paraId="627A87D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6.具有故障自动告警功能；具备温度自控功能，防止局部温度过高造成色彩漂移；具备电源温度控制系统，提供电源实时温度监控，超出设定温度自动报警。</w:t>
            </w:r>
          </w:p>
          <w:p w14:paraId="7542EE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▲7.AI智能感应检测：屏体支持人体检测，检测屏体前有人时，正常显示。检测屏体前无人时，屏体低亮显示或黑屏节能。(</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1C4B3ED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8.观看舒适度:“人眼视觉舒适度(VICO)”指数低于 1.0；要求去除 100%紫外线，消除不低于80%摩尔纹。</w:t>
            </w:r>
          </w:p>
          <w:p w14:paraId="2DB064B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9.支持防泄密功能：产品能够防止电磁干扰传导泄露有用信息，防止劫持相关控制设备。(</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64F7F5D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10.产品具备 显示屏安全性加密及海量图像演示和多媒体控制功能；显示屏需具备自动辅热除湿系统及像素失控检测定位功能。（提供软件著作权证书加盖供应商公章）</w:t>
            </w:r>
          </w:p>
          <w:p w14:paraId="21FA1FC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▲11.具有指挥中心大屏综合信息发布功能、具有“视频源预监系统”功能、具有逐点校正功能。（提供软件著作权证书加盖供应商公章）</w:t>
            </w:r>
          </w:p>
          <w:p w14:paraId="1419BE1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配套显示控制系统：</w:t>
            </w:r>
          </w:p>
          <w:p w14:paraId="71A5838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both"/>
              <w:rPr>
                <w:rFonts w:hint="eastAsia" w:ascii="仿宋" w:hAnsi="仿宋" w:eastAsia="仿宋" w:cs="仿宋"/>
                <w:kern w:val="0"/>
                <w:sz w:val="24"/>
                <w:szCs w:val="24"/>
              </w:rPr>
            </w:pPr>
            <w:r>
              <w:rPr>
                <w:rFonts w:hint="eastAsia" w:ascii="仿宋" w:hAnsi="仿宋" w:eastAsia="仿宋" w:cs="仿宋"/>
                <w:kern w:val="0"/>
                <w:sz w:val="24"/>
                <w:szCs w:val="24"/>
              </w:rPr>
              <w:t>12.输入接口:≥2×HDMI 1.4， ≥1×DVI， ≥1×3G-SDI（IN+LOOP），≥1×3.5mm 音频输入接口，输出接口:≥10 路千兆网口；≥1 路 HDMI 1.3 输出接口，可用作输出预监或视频输出音频输入输出；最大带载≥650 万像素，单台设备输出最大宽度≥10240,高度≥8192;支持HDMI 伴随音频输入:支持 3.5mm的独立音频输入、支持 3.5mm独立音频输出，支持通过多功能卡进行音频输出。</w:t>
            </w:r>
          </w:p>
          <w:p w14:paraId="5CF14A9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both"/>
              <w:rPr>
                <w:rFonts w:hint="eastAsia" w:ascii="仿宋" w:hAnsi="仿宋" w:eastAsia="仿宋" w:cs="仿宋"/>
                <w:kern w:val="0"/>
                <w:sz w:val="24"/>
                <w:szCs w:val="24"/>
              </w:rPr>
            </w:pPr>
            <w:r>
              <w:rPr>
                <w:rFonts w:hint="eastAsia" w:ascii="仿宋" w:hAnsi="仿宋" w:eastAsia="仿宋" w:cs="仿宋"/>
                <w:kern w:val="0"/>
                <w:sz w:val="24"/>
                <w:szCs w:val="24"/>
              </w:rPr>
              <w:t>13.支持逐点亮色度校正对每个灯点的亮度和色度进行校正，有效消除色差，整屏的亮度和色度均匀一致。</w:t>
            </w:r>
          </w:p>
          <w:p w14:paraId="234FC00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配电箱：</w:t>
            </w:r>
          </w:p>
          <w:p w14:paraId="0BB995C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14.三相配电系统，功率:≥10KW；根据LED功率大小配置空开；支持远程通讯，可以实现在控制室计算机上远程操控显示屏的开关；触发配电柜延时分布起动，减小起动冲击；在电脑上远程设置定时开关屏。</w:t>
            </w:r>
          </w:p>
          <w:p w14:paraId="0A80CCE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15.通过PLC可满足对链路状态、温度监测、感监测、开关屏控制、报警设置和主备信号紧急切换等功能.</w:t>
            </w:r>
          </w:p>
        </w:tc>
      </w:tr>
      <w:tr w14:paraId="7EF5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C4F97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2</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232892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搪瓷书写白板2</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FEDD25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≥3*2米标准搪瓷白板。</w:t>
            </w:r>
          </w:p>
        </w:tc>
      </w:tr>
      <w:tr w14:paraId="595FD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BB45E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3</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4C3DA6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教师终端</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61663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★1.主板：内存插槽*2、4*USB3.2Gen1,2*USB3.2Gen ,HDMI2.1TMDS*1, VGA*1 ,音频输入及输出接口+麦克风接口，RJ45(1G,支持浪涌功能）*1。CPU: 核心数≥ 16核心处理器 线程≥24线程,最高睿频≥5.2GHz, 缓存：≥30M；内存：≥16GB DDR4 3200MHz 内存，提供双内存槽位。</w:t>
            </w:r>
          </w:p>
          <w:p w14:paraId="3B65FE8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★2.硬盘：≥512SSD 固态硬盘：≥512G PCle 4.0数据带宽；数据安全性：支持BIOS-USB屏蔽技术，仅识别键盘、鼠标，无法识别USB读取设备。</w:t>
            </w:r>
          </w:p>
          <w:p w14:paraId="6F8A3D7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★3.显卡：独立显卡，显存≥4GB；声卡：集成声卡；网卡：集成10/100/1000M以太网卡。</w:t>
            </w:r>
          </w:p>
          <w:p w14:paraId="699AB34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★4.显示设备：≥23.8英寸16:9显示设备（分辨率≥3840x2160 ‌</w:t>
            </w:r>
            <w:r>
              <w:rPr>
                <w:rStyle w:val="44"/>
                <w:rFonts w:hint="eastAsia" w:ascii="仿宋" w:hAnsi="仿宋" w:eastAsia="仿宋" w:cs="仿宋"/>
                <w:b/>
                <w:bCs w:val="0"/>
                <w:sz w:val="24"/>
                <w:szCs w:val="24"/>
              </w:rPr>
              <w:t>dpi</w:t>
            </w:r>
            <w:r>
              <w:rPr>
                <w:rFonts w:hint="eastAsia" w:ascii="仿宋" w:hAnsi="仿宋" w:eastAsia="仿宋" w:cs="仿宋"/>
                <w:kern w:val="0"/>
                <w:sz w:val="24"/>
                <w:szCs w:val="24"/>
              </w:rPr>
              <w:t>‌）内置低蓝光功能。</w:t>
            </w:r>
          </w:p>
          <w:p w14:paraId="37BC8F7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5.鼠标键盘：防水键盘、抗菌鼠标；电源：≤110/220V，≤ 180W节能电源；机箱： 顶置电源开关键。</w:t>
            </w:r>
          </w:p>
          <w:p w14:paraId="5B03627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6.扩展槽：≥1个PCI-E*16、1个PCI-E*11，操作系统：预装Windows 11 正版操作系统。</w:t>
            </w:r>
          </w:p>
        </w:tc>
      </w:tr>
      <w:tr w14:paraId="7C981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604C3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4</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16CE8D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录播主机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7759BC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★1.主机采用集成化设计，内置导播系统、互动系统、视频处理系统。具备音视频采集、音视频编解码、音视频处理、录制、直播、远程互动设置等能力。</w:t>
            </w:r>
          </w:p>
          <w:p w14:paraId="5E5D13C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★2.主机采用一体化架构设计，采用Linux操作系统。内置8核心ARM架构处理器，主频均不低于1.8GHz。硬盘存储≥256GB SSD，支持≥1个硬盘扩展位，扩展容量≥8TB。</w:t>
            </w:r>
          </w:p>
          <w:p w14:paraId="28155DD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★3.支持HDMI唤醒功能，当HDMI有信号输入时，主机会自动联动开机。</w:t>
            </w:r>
          </w:p>
          <w:p w14:paraId="284584A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★4.主机内置跟踪功能，无需额外配置跟踪主机即可实现智能图像识别跟踪分析与处理功能。</w:t>
            </w:r>
          </w:p>
          <w:p w14:paraId="1E7EE8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★5.主机支持内置音频处理器，无需额外的音频处理设备。</w:t>
            </w:r>
          </w:p>
          <w:p w14:paraId="729B9FF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★6.主机支持≥3个HDMI高清接口。其中HDMI输入接口≥1个，HDMI输出接口≥2个。</w:t>
            </w:r>
          </w:p>
          <w:p w14:paraId="606386D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★7.支持通过Type-C接口实现音视频同步输出，输出分辨率≥3840×2160 dpi，输出音频可通过主机控制软件实现混音，兼容主流视频会议软件。</w:t>
            </w:r>
          </w:p>
        </w:tc>
      </w:tr>
      <w:tr w14:paraId="5A096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DA2BB1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5</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7FBB83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教师摄像机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1C7AFD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1.传感器尺寸 CMOS ≥ 1/2.8英寸，支持H.264、H.265、MJPEG视频编码格式。</w:t>
            </w:r>
          </w:p>
          <w:p w14:paraId="4422430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2.全影镜头水平视场角≥40°，有效像素≥400万；特写镜头水平视场角≥20°，有效像素≥800万；支持USB音视频信号输出，可以同时支持UVC和UAC协议，最大支持4K@30fps输出，兼容主流视频会议软件。</w:t>
            </w:r>
          </w:p>
          <w:p w14:paraId="28DC328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3.系统应采用智能图像识别算法，通过导播跟踪系统，实现所有画面的自动导播切换。</w:t>
            </w:r>
          </w:p>
          <w:p w14:paraId="6C82E54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4.支持至少1个六边形导播跟踪区划定。</w:t>
            </w:r>
          </w:p>
        </w:tc>
      </w:tr>
      <w:tr w14:paraId="652B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91BC9C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6</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364697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学生摄像机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1B1737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1.传感器尺寸 CMOS ≥ 1/2.8英寸，支持H.264、H.265、MJPEG视频编码格式。</w:t>
            </w:r>
          </w:p>
          <w:p w14:paraId="24D0D18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2.全影镜头水平视场角≥110°，有效像素≥400万；特写镜头水平视场角≥40°，有效像素≥800万；支持USB音视频信号输出，可以同时支持UVC和UAC协议，最大支持4K@30fps输出，兼容主流视频会议软件。</w:t>
            </w:r>
          </w:p>
          <w:p w14:paraId="36F908F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3.系统应采用智能图像识别算法，通过导播跟踪系统，实现所有画面的自动导播切换。</w:t>
            </w:r>
          </w:p>
          <w:p w14:paraId="5160B4D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4.支持至少1个六边形导播跟踪区划定。</w:t>
            </w:r>
          </w:p>
        </w:tc>
      </w:tr>
      <w:tr w14:paraId="61DFC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2D600E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7</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7325DD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录播管理软件</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7C26BD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1.支持导播设置向导，可通过提示进行下一步操作。</w:t>
            </w:r>
          </w:p>
          <w:p w14:paraId="28A4EB2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2.支持≥5种跟踪模式设置（三预置位、跟踪、双镜、混合、黑板全景）。</w:t>
            </w:r>
          </w:p>
          <w:p w14:paraId="39ACBB6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3.绘制对应区域，不同区域通过不同颜色画框展现。支持智能检测，系统可自动框选跟踪区域，快速清除快照区域，调用相机配置，自动确定跟踪区域。</w:t>
            </w:r>
          </w:p>
          <w:p w14:paraId="1A02ED2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4.支持互动清晰度设置，分辨率可设置不低于1080P、720P。支持互动清晰度自定义设置，可设置分辨率不低于1080P、720P、VGA、QVGA，可设置帧率为不低于60、30、25FPS，可设置画质≥4种档位，可设置码率为静态码率、动态码率。设置后可显示对应码流大小。</w:t>
            </w:r>
          </w:p>
          <w:p w14:paraId="1DA9338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5.支持互动清晰度自适应，在互动时根据网络情况选择最优清晰度。</w:t>
            </w:r>
          </w:p>
          <w:p w14:paraId="2A9FC02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6.支持设置主机互动模式，可选择开启或关闭互动双流设置，开启后可选择第二路流的画面，支持≥6个画面选择。画面设置支持开启或关闭直播推流CDN设置，开启后可选择推流画面，支持≥7个画面选择。</w:t>
            </w:r>
          </w:p>
          <w:p w14:paraId="6E53EDD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7.支持≥9种多画面合成布局选择，可自定义选择布局中的画面，选择后自动更新布局种画面的名称。</w:t>
            </w:r>
          </w:p>
          <w:p w14:paraId="4EF892A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8.支持≥16种转场特效的选择。选择对应特效后，切换画面将应用该特效。特效过渡时间0.5～1.5秒可调。</w:t>
            </w:r>
          </w:p>
          <w:p w14:paraId="1FFA83C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9.支持通过U盘导入片头片尾。片头片尾支持≥3种格式导入，包含图片格式及视频格式文件，支持总共导入≥30个大小≥20MB的图片文件及≥200MB的视频文件。导入后支持片头播放/播放并开始录制，可调节图片播放时间为1～10秒任意值。支持批量管理片头片尾，可批量勾选并删除。</w:t>
            </w:r>
          </w:p>
          <w:p w14:paraId="5A6861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10.支持拖拽调节字幕任意位置，或通过≥6个预设位置调整字体位置；支持通过≥3个预设字号调整字体大小；支持通过≥5种预设颜色调整字体颜色。支持批量管理字幕，可批量勾选并删除。</w:t>
            </w:r>
          </w:p>
        </w:tc>
      </w:tr>
      <w:tr w14:paraId="55FC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0B38E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8</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FD72CC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数字红外无线教学扩声系统主机</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107967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采用的数字红外技术，为了保证设备系统的流畅性，稳定性，不接受第三方OEM（同一产品外观供≥2家品牌同时使用即为OEM产品）和临时定制产品，本系统涉及的所有产品需采用标准化成熟产品，产品型号搜索引擎上可查。</w:t>
            </w:r>
          </w:p>
          <w:p w14:paraId="1F6417F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 红外主机内置数字红外处理芯片，可实现红外音频传输及控制技术，符合红外传输标准（提供数字红外芯片实物图进行佐证，并加盖供应商公章）</w:t>
            </w:r>
          </w:p>
          <w:p w14:paraId="295478E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3.红外主机具有≥3路RJ45信号网口，其中红外信号传输接口≥2路RJ45信号网口；可以拓展8只接收器（提供8只接收器实物连接图进行佐证，并加盖供应商公章），≥1路网络管理RJ45接口，可搭配专用服务器进行统一管理</w:t>
            </w:r>
          </w:p>
          <w:p w14:paraId="71D8D66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▲4.红外主机具有≥3路RS-232连接串口（RS232波特率可调程序,具备电子锁信息读取及反馈功能），用于连接中控系统，可实现集中控制 ，搭配平台可反馈接入麦克风使用信号（提供产品接口实物图及波特率可调程序截图进行佐证，并加盖供应商公章）</w:t>
            </w:r>
          </w:p>
          <w:p w14:paraId="03FD179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▲5.红外主机≥1路I/0继电接口含12V供电，主机≥3路3PIN座子带音量调节旋钮，用于扩展连接吊麦和全向麦克风，具备≥2路3.5mm输入接口，≥1路凤凰头输入，≥2路凤凰头输出接口，≥2个录音输出接口（Ø 3.5 mm，均独立可调），用于常态化录播，≥1路remote输出接口（独立可调），≥1路remote输入接口，进行音频远端传输；具有供电及音频传输双通道USB接口，可兼容连接电子锁以及鹅颈麦克风（提供产品接口实物图进行佐证，并加盖供应商公章）</w:t>
            </w:r>
          </w:p>
          <w:p w14:paraId="1F47042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6.红外主机内置高性能数字信号处理器（DSP）与数字音频功率放大器于一体，总功率≥600W（4欧），具有反馈抑制（AFC）、回声消除（AEC）和主动降噪（ANC）、自动电平控制（ALC）和自动均衡（AEQ）等功能，频率响应：50HZ-20KHZ，信噪比：＞97dBA，总谐波失真：≤0.05%，增益差：≤0.2dB</w:t>
            </w:r>
          </w:p>
          <w:p w14:paraId="12D8CE4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7.红外主机内置幻象供电功能，适配有线鹅颈话筒，具有鹅颈麦静默模式，为防止误触发，可通过软件调试界面进行调整，.主机可设置语音和音乐模式，以适应不同健声环境，有中英文切换模式，适用于不同国家人群的使用</w:t>
            </w:r>
          </w:p>
          <w:p w14:paraId="132177E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▲8.红外主机具有≥1个C型USB接口：可连接PC，配合特定型号麦克风实现飞鼠功能并可用于固件升级。（提供飞鼠功能软件界面截图进行佐证，并加盖供应商公章）</w:t>
            </w:r>
          </w:p>
          <w:p w14:paraId="5F94AEA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9.红外主机具有OLED显示屏，可现实主机使用状态及系统设置界面，具有四组频点设置，且每一组包含两个频点可供选择，主机具有童锁开关，可防止误触发</w:t>
            </w:r>
          </w:p>
          <w:p w14:paraId="6884EC9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10.红外主机具有不低于50个散热孔，内置散热风扇，以保证机身长期稳定运行，机身小巧方便放置，不占用机柜空间，保证安装环境整洁美观，整体尺寸≤1U</w:t>
            </w:r>
          </w:p>
          <w:p w14:paraId="22BB878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11.红外主机内置智能校准芯片及音频测试软件,可对不同教室格局进行智能声场校准(提供智能校准图截图进行佐证，并加盖供应商公章)，具备红外遥控功能,红外灵敏度±3db-±9DB可调，内置数字光标速率可调,可调范围-2-+2之间</w:t>
            </w:r>
          </w:p>
          <w:p w14:paraId="6AF4A8D4">
            <w:pPr>
              <w:pStyle w:val="43"/>
              <w:keepNext w:val="0"/>
              <w:keepLines w:val="0"/>
              <w:pageBreakBefore w:val="0"/>
              <w:widowControl/>
              <w:numPr>
                <w:ilvl w:val="0"/>
                <w:numId w:val="0"/>
              </w:numPr>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rPr>
              <w:t>红外主机支持多种使用场景：3种教学扩声场景，具有无线麦，有线麦，阵列麦智能切换功能，系统主机具备闪避功能，红外无线麦克风开启，吊麦声音自动变小；红外无线麦克风关闭，吊麦声音自动恢复正常设置</w:t>
            </w:r>
            <w:r>
              <w:rPr>
                <w:rFonts w:hint="eastAsia" w:ascii="仿宋" w:hAnsi="仿宋" w:eastAsia="仿宋" w:cs="仿宋"/>
                <w:kern w:val="0"/>
                <w:sz w:val="24"/>
                <w:szCs w:val="24"/>
                <w:lang w:eastAsia="zh-CN"/>
              </w:rPr>
              <w:t>。</w:t>
            </w:r>
          </w:p>
          <w:p w14:paraId="1002EB44">
            <w:pPr>
              <w:pStyle w:val="43"/>
              <w:keepNext w:val="0"/>
              <w:keepLines w:val="0"/>
              <w:pageBreakBefore w:val="0"/>
              <w:widowControl/>
              <w:numPr>
                <w:ilvl w:val="0"/>
                <w:numId w:val="0"/>
              </w:numPr>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sz w:val="24"/>
                <w:szCs w:val="24"/>
                <w:highlight w:val="none"/>
                <w:lang w:val="en-US" w:eastAsia="zh-CN"/>
              </w:rPr>
              <w:t>以上技术参数需提供相关的参数证明文件并加盖供应商公章</w:t>
            </w:r>
            <w:r>
              <w:rPr>
                <w:rFonts w:hint="eastAsia" w:ascii="仿宋" w:hAnsi="仿宋" w:eastAsia="仿宋" w:cs="仿宋"/>
                <w:kern w:val="0"/>
                <w:sz w:val="24"/>
                <w:szCs w:val="24"/>
              </w:rPr>
              <w:t>）</w:t>
            </w:r>
          </w:p>
        </w:tc>
      </w:tr>
      <w:tr w14:paraId="47A5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842B0A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9</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DBC765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线阵列音柱</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67069B0">
            <w:pPr>
              <w:pStyle w:val="43"/>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▲1.≥4个3英寸全频扬声器单元，箱体采用玻璃纤维外壳，铝材面罩，频率响应≥80Hz ~ 20 kHz，覆盖角度：水平方向≥165°，垂直方向≥45°，功率≥60 W（无热损害和机械损伤），灵敏度：≥89 dB，最大声压级：≥106dB(</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0631F0A6">
            <w:pPr>
              <w:pStyle w:val="43"/>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▲2.箱体防护等级≥IP-55（国家标准</w:t>
            </w:r>
            <w:r>
              <w:rPr>
                <w:rFonts w:hint="eastAsia" w:ascii="仿宋" w:hAnsi="仿宋" w:eastAsia="仿宋" w:cs="仿宋"/>
                <w:kern w:val="0"/>
                <w:sz w:val="24"/>
                <w:szCs w:val="24"/>
                <w:lang w:eastAsia="zh-CN"/>
              </w:rPr>
              <w:t>《外壳防护等级（IP代码）》</w:t>
            </w:r>
            <w:r>
              <w:rPr>
                <w:rFonts w:hint="eastAsia" w:ascii="仿宋" w:hAnsi="仿宋" w:eastAsia="仿宋" w:cs="仿宋"/>
                <w:kern w:val="0"/>
                <w:sz w:val="24"/>
                <w:szCs w:val="24"/>
                <w:shd w:val="clear"/>
              </w:rPr>
              <w:t>GB/T 4208-2017</w:t>
            </w:r>
            <w:r>
              <w:rPr>
                <w:rFonts w:hint="eastAsia" w:ascii="仿宋" w:hAnsi="仿宋" w:eastAsia="仿宋" w:cs="仿宋"/>
                <w:kern w:val="0"/>
                <w:sz w:val="24"/>
                <w:szCs w:val="24"/>
              </w:rPr>
              <w:t>）(</w:t>
            </w:r>
            <w:r>
              <w:rPr>
                <w:rFonts w:hint="default" w:ascii="仿宋" w:hAnsi="仿宋" w:eastAsia="仿宋" w:cs="仿宋"/>
                <w:kern w:val="2"/>
                <w:sz w:val="24"/>
                <w:szCs w:val="24"/>
                <w:highlight w:val="none"/>
                <w:lang w:val="en-US" w:eastAsia="zh-CN" w:bidi="ar-SA"/>
              </w:rPr>
              <w:t>提供国家认可的第三方检测机构出具的带有CNAS标识的检测报告，加盖供应商公章。</w:t>
            </w:r>
            <w:r>
              <w:rPr>
                <w:rFonts w:hint="eastAsia" w:ascii="仿宋" w:hAnsi="仿宋" w:eastAsia="仿宋" w:cs="仿宋"/>
                <w:kern w:val="0"/>
                <w:sz w:val="24"/>
                <w:szCs w:val="24"/>
              </w:rPr>
              <w:t>）</w:t>
            </w:r>
          </w:p>
          <w:p w14:paraId="5AFB9CF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3.安装方式：壁挂式（可旋转壁挂托架）</w:t>
            </w:r>
          </w:p>
        </w:tc>
      </w:tr>
      <w:tr w14:paraId="0A6F3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AE0CD2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10</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E09303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数字红外接收器</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DE9257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▲1.与红外主机连接,符合数字红外传输标准（提供标准产品标志证书进行佐证，并加盖供应商公章）</w:t>
            </w:r>
          </w:p>
          <w:p w14:paraId="081C322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2.接收面积：≥80㎡，接收角度：垂直：150°(±75°)，水平：360°，无线辐射距离：≥25m</w:t>
            </w:r>
          </w:p>
          <w:p w14:paraId="5BAC987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▲3.带频点选择拨扭，接收器具有两组频点选择，可与主机搭配调谐，稳固信号传输（提供实物照片进行佐证，并加盖供应商公章）</w:t>
            </w:r>
          </w:p>
          <w:p w14:paraId="612BBE4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▲4. 红外线波长≥870nm，电磁辐射符合EN 55032，电磁抗干扰符合EN 55024（提供技术指标白皮书进行佐证，并加盖供应商公章）</w:t>
            </w:r>
          </w:p>
        </w:tc>
      </w:tr>
      <w:tr w14:paraId="57F4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1D2044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11</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695C23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数字红外无线麦克风</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81B801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1.红外麦克风采用五通道设计，红外线发射管≥8颗，麦克风接发射红外线波长≥870nm，符合数字红外传输标准.</w:t>
            </w:r>
          </w:p>
          <w:p w14:paraId="40AE76F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▲2.为防止红外麦克风丢失，无线麦克风具备不限于电子锁锁扣等方式的防盗功能；(提供实物照片进行佐证，并加盖供应商公章)</w:t>
            </w:r>
          </w:p>
          <w:p w14:paraId="20F1631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3.红外麦克风采用按键式音量加减键，按键可调整音量，也可共用音量键实现PPT翻页功能，高效简洁</w:t>
            </w:r>
          </w:p>
          <w:p w14:paraId="7F93589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4.红外麦克风咪头外置凸显设计，拾音咪头长度≥1.3cm，拾音距离更佳，咪头适配外置防风罩，方便更换，高效卫生</w:t>
            </w:r>
          </w:p>
          <w:p w14:paraId="07B50DD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5.红外麦克风支持PTT功能，实现N+1互动交流功能，具有PPT翻页，MIC，L/M指示灯，可进行切换</w:t>
            </w:r>
          </w:p>
          <w:p w14:paraId="7DDBAFE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6.红外麦克风可颈挂和手持同时使用，整体长度≥14.5cm，可配置磁吸颈挂绳和磁吸领夹扣，方便拆卸清洗</w:t>
            </w:r>
          </w:p>
          <w:p w14:paraId="4C397B9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7.红外麦克风对节能灯光有良好的抗干扰性， 频率响应 100 Hz ~ 20 kHz，信噪比 ＞98 dBA，总谐波失真 ≤0.04%；</w:t>
            </w:r>
          </w:p>
          <w:p w14:paraId="49E720A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▲8. 红外麦克风内置可充锂电池（不可拆卸，预防被盗），锂电池容量≥2300mAh；为了保证使用安全性，锂电池需通过高度模拟，温度试验，振动，冲击，外部短路，挤压，过度充电，强制放电等安全测试。(</w:t>
            </w:r>
            <w:r>
              <w:rPr>
                <w:rFonts w:hint="eastAsia" w:ascii="仿宋" w:hAnsi="仿宋" w:eastAsia="仿宋" w:cs="仿宋"/>
                <w:kern w:val="0"/>
                <w:sz w:val="24"/>
                <w:szCs w:val="24"/>
                <w:lang w:val="en-US" w:eastAsia="zh-CN"/>
              </w:rPr>
              <w:t>提供国家认可的第三方检测机构出具的带有CNAS标识的检测报告，加盖供应商公章。</w:t>
            </w:r>
            <w:r>
              <w:rPr>
                <w:rFonts w:hint="eastAsia" w:ascii="仿宋" w:hAnsi="仿宋" w:eastAsia="仿宋" w:cs="仿宋"/>
                <w:kern w:val="0"/>
                <w:sz w:val="24"/>
                <w:szCs w:val="24"/>
              </w:rPr>
              <w:t>)</w:t>
            </w:r>
          </w:p>
          <w:p w14:paraId="33114C6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▲9.红外麦克风咪头与激光笔对立排列，老师可一边讲话同时使用激光笔；（提供实物图进行佐证，并加盖供应商公章）</w:t>
            </w:r>
          </w:p>
          <w:p w14:paraId="5B40848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sz w:val="24"/>
                <w:szCs w:val="24"/>
                <w:highlight w:val="none"/>
                <w:lang w:val="en-US" w:eastAsia="zh-CN"/>
              </w:rPr>
              <w:t>以上技术参数需提供相关的参数证明文件并加盖供应商公章</w:t>
            </w:r>
            <w:r>
              <w:rPr>
                <w:rFonts w:hint="eastAsia" w:ascii="仿宋" w:hAnsi="仿宋" w:eastAsia="仿宋" w:cs="仿宋"/>
                <w:kern w:val="0"/>
                <w:sz w:val="24"/>
                <w:szCs w:val="24"/>
              </w:rPr>
              <w:t>）</w:t>
            </w:r>
          </w:p>
        </w:tc>
      </w:tr>
      <w:tr w14:paraId="311E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71A7E7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12</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157D32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有线麦克风</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C917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1.充电槽与鹅颈麦克风一体化设计，可拆卸麦克风，麦克风长度≥59CM，可与红外麦克风进行切换使用</w:t>
            </w:r>
          </w:p>
          <w:p w14:paraId="707675F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▲2.每一位充电座上都有特定的二维码，可通过微信小程序和APP进行扫码解锁管理（提供蓝牙扫码开锁手机 APP和微信小程序界面截图并加盖供应商公章佐证，并加盖供应商公章）</w:t>
            </w:r>
          </w:p>
          <w:p w14:paraId="1A26180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▲3.具有一路电子锁，具备无线解锁管理和有线解锁管理功能，可实现RS232端口，I/O端口及蓝牙驱动解锁三种开锁方式</w:t>
            </w:r>
          </w:p>
          <w:p w14:paraId="3A02671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▲4.标配APP驱动设置软件，软件具备教室信息设定功能，具备生成公有秘钥功能，具备与电子锁密钥回读功能，实现本地化升级及与服务器桥接互联（提供APP功能界面实物图进行佐证，并加盖供应商公章）</w:t>
            </w:r>
          </w:p>
          <w:p w14:paraId="566C2E1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5.具有一路信号反馈接口，可自动反馈有线麦克风及充电兜内无线麦克风的使用数据，充电数据等信息</w:t>
            </w:r>
          </w:p>
          <w:p w14:paraId="5AC4B8F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▲6.有线麦克风可通过物理按键进行开关控制，也可通过平台及中控对有线麦克风进行开关控制。</w:t>
            </w:r>
          </w:p>
          <w:p w14:paraId="5EF3BBA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7.麦秆做双级软管设计，即连接底部和咪头处均可进行方向调整，具有两路USB连接线，信号线与供电独立分开，抗干扰能力更强</w:t>
            </w:r>
          </w:p>
          <w:p w14:paraId="1F60B4A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lang w:eastAsia="zh-CN"/>
              </w:rPr>
            </w:pPr>
            <w:r>
              <w:rPr>
                <w:rFonts w:hint="eastAsia" w:ascii="仿宋" w:hAnsi="仿宋" w:eastAsia="仿宋" w:cs="仿宋"/>
                <w:kern w:val="0"/>
                <w:sz w:val="24"/>
                <w:szCs w:val="24"/>
              </w:rPr>
              <w:t>8.灵敏度 -46 dBV/Pa，麦克风频率响应 30HZ-20K Hz，方向性 ≥20 dB (1kHz) (0°/180°)，等效噪声 20 dBA (SPL)，最大声压级 125 dB (THD&lt;3%)</w:t>
            </w:r>
            <w:r>
              <w:rPr>
                <w:rFonts w:hint="eastAsia" w:ascii="仿宋" w:hAnsi="仿宋" w:eastAsia="仿宋" w:cs="仿宋"/>
                <w:kern w:val="0"/>
                <w:sz w:val="24"/>
                <w:szCs w:val="24"/>
                <w:lang w:eastAsia="zh-CN"/>
              </w:rPr>
              <w:t>。</w:t>
            </w:r>
          </w:p>
          <w:p w14:paraId="1A0477C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w:t>
            </w:r>
            <w:r>
              <w:rPr>
                <w:rFonts w:hint="eastAsia" w:ascii="仿宋" w:hAnsi="仿宋" w:eastAsia="仿宋" w:cs="仿宋"/>
                <w:sz w:val="24"/>
                <w:szCs w:val="24"/>
                <w:highlight w:val="none"/>
                <w:lang w:val="en-US" w:eastAsia="zh-CN"/>
              </w:rPr>
              <w:t>以上技术参数需提供相关的参数证明文件并加盖供应商公章</w:t>
            </w:r>
            <w:r>
              <w:rPr>
                <w:rFonts w:hint="eastAsia" w:ascii="仿宋" w:hAnsi="仿宋" w:eastAsia="仿宋" w:cs="仿宋"/>
                <w:kern w:val="0"/>
                <w:sz w:val="24"/>
                <w:szCs w:val="24"/>
              </w:rPr>
              <w:t>）</w:t>
            </w:r>
          </w:p>
        </w:tc>
      </w:tr>
      <w:tr w14:paraId="137A8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138B7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13</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1EC8DC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吊装麦克风</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26A027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1.圆盘式阵列式麦克风拾取学生区域声音，指向性：±15°波束成形（Beam forming），拾音范围：半径≥ 5 m，中等环境噪声下：半径 ≥8 m，安静环境下；</w:t>
            </w:r>
          </w:p>
          <w:p w14:paraId="4E979E0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2.频率响应：100 Hz ~ 10 kHz，信噪比：≥65.5 dBA，总谐波失真：≤0.1%；</w:t>
            </w:r>
          </w:p>
          <w:p w14:paraId="7C69D26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leftChars="0" w:right="0" w:rightChars="0"/>
              <w:jc w:val="both"/>
              <w:rPr>
                <w:rFonts w:hint="eastAsia" w:ascii="仿宋" w:hAnsi="仿宋" w:eastAsia="仿宋" w:cs="仿宋"/>
                <w:kern w:val="0"/>
                <w:sz w:val="24"/>
                <w:szCs w:val="24"/>
              </w:rPr>
            </w:pPr>
            <w:r>
              <w:rPr>
                <w:rFonts w:hint="eastAsia" w:ascii="仿宋" w:hAnsi="仿宋" w:eastAsia="仿宋" w:cs="仿宋"/>
                <w:kern w:val="0"/>
                <w:sz w:val="24"/>
                <w:szCs w:val="24"/>
              </w:rPr>
              <w:t>3.内置高性能数字信号处理器（DSP），对拾取的音频进行噪声消除（ANC）和自动增益控制（AGC），具有自动声场校准（AEQ）功能，AI算法实现自适应反馈抑制功能，AI算法自适应噪音消除（AINC），突发短促噪声限幅（ALC控制）。</w:t>
            </w:r>
          </w:p>
        </w:tc>
      </w:tr>
      <w:tr w14:paraId="00FEB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0F2058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14</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A5908C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中控触摸屏</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BA5CD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★1. ≥7英寸电容式有线触摸屏；</w:t>
            </w:r>
          </w:p>
          <w:p w14:paraId="29EB694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★2. ≥1024x600dpi的分辨率24位色深；</w:t>
            </w:r>
          </w:p>
          <w:p w14:paraId="43024B1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center"/>
              <w:rPr>
                <w:rFonts w:hint="eastAsia" w:ascii="仿宋" w:hAnsi="仿宋" w:eastAsia="仿宋" w:cs="仿宋"/>
                <w:kern w:val="0"/>
                <w:sz w:val="24"/>
                <w:szCs w:val="24"/>
              </w:rPr>
            </w:pPr>
            <w:r>
              <w:rPr>
                <w:rFonts w:hint="eastAsia" w:ascii="仿宋" w:hAnsi="仿宋" w:eastAsia="仿宋" w:cs="仿宋"/>
                <w:kern w:val="0"/>
                <w:sz w:val="24"/>
                <w:szCs w:val="24"/>
              </w:rPr>
              <w:t>3. 采用可编程方式，进行系统软件的编程，提供定制化用户界面；</w:t>
            </w:r>
          </w:p>
          <w:p w14:paraId="5DF1049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4. 支持POE方式供电。</w:t>
            </w:r>
          </w:p>
        </w:tc>
      </w:tr>
      <w:tr w14:paraId="25FC1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DD301B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15</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602296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控制端口扩展适配器</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42E471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 个双向串行端口、≥1 路数字输入、≥1 个红外端口和≥ 2 个继电器，能直接在触摸屏上控制信号源及周边物联设备。</w:t>
            </w:r>
          </w:p>
        </w:tc>
      </w:tr>
      <w:tr w14:paraId="2D4E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7857BA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16</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0602C2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电源时序器</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CE9EA5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≥8路继电器开关输出单元，断电后保持断电前的通、断状态，每个路最大输出不低于10A,具有RS232接口.</w:t>
            </w:r>
          </w:p>
        </w:tc>
      </w:tr>
      <w:tr w14:paraId="1DCE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FAB36B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17</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ACB6A3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多功能面板</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56A8B5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≥2个USB、≥1个HDMI、≥1个五孔电源。</w:t>
            </w:r>
          </w:p>
        </w:tc>
      </w:tr>
      <w:tr w14:paraId="6359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8"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8C831D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18</w:t>
            </w:r>
          </w:p>
        </w:tc>
        <w:tc>
          <w:tcPr>
            <w:tcW w:w="47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96BC54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系统集成</w:t>
            </w:r>
          </w:p>
        </w:tc>
        <w:tc>
          <w:tcPr>
            <w:tcW w:w="4120"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E10845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rPr>
                <w:rFonts w:hint="eastAsia" w:ascii="仿宋" w:hAnsi="仿宋" w:eastAsia="仿宋" w:cs="仿宋"/>
                <w:kern w:val="0"/>
                <w:sz w:val="24"/>
                <w:szCs w:val="24"/>
              </w:rPr>
            </w:pPr>
            <w:r>
              <w:rPr>
                <w:rFonts w:hint="eastAsia" w:ascii="仿宋" w:hAnsi="仿宋" w:eastAsia="仿宋" w:cs="仿宋"/>
                <w:kern w:val="0"/>
                <w:sz w:val="24"/>
                <w:szCs w:val="24"/>
              </w:rPr>
              <w:t>包含整套设备的线材及辅材，安装及调试。</w:t>
            </w:r>
          </w:p>
        </w:tc>
      </w:tr>
    </w:tbl>
    <w:p w14:paraId="1C517A7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Chars="-200" w:firstLine="240" w:firstLineChars="100"/>
        <w:textAlignment w:val="auto"/>
        <w:rPr>
          <w:rFonts w:hint="default" w:ascii="仿宋" w:hAnsi="仿宋" w:eastAsia="仿宋" w:cs="仿宋"/>
          <w:b/>
          <w:bCs/>
          <w:sz w:val="24"/>
          <w:szCs w:val="24"/>
          <w:lang w:val="en-US" w:eastAsia="zh-CN"/>
        </w:rPr>
      </w:pPr>
      <w:r>
        <w:rPr>
          <w:rFonts w:hint="eastAsia" w:ascii="仿宋" w:hAnsi="仿宋" w:eastAsia="仿宋" w:cs="仿宋"/>
          <w:kern w:val="2"/>
          <w:sz w:val="24"/>
          <w:szCs w:val="24"/>
        </w:rPr>
        <w:t>★</w:t>
      </w:r>
      <w:r>
        <w:rPr>
          <w:rFonts w:hint="eastAsia" w:ascii="仿宋" w:hAnsi="仿宋" w:eastAsia="仿宋" w:cs="仿宋"/>
          <w:b/>
          <w:bCs/>
          <w:sz w:val="24"/>
          <w:szCs w:val="24"/>
          <w:lang w:val="en-US" w:eastAsia="zh-CN"/>
        </w:rPr>
        <w:t>2.服务要求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1"/>
        <w:gridCol w:w="1673"/>
        <w:gridCol w:w="6461"/>
        <w:gridCol w:w="1519"/>
      </w:tblGrid>
      <w:tr w14:paraId="7D0AB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0" w:type="dxa"/>
            <w:shd w:val="clear" w:color="auto" w:fill="auto"/>
            <w:tcMar>
              <w:top w:w="0" w:type="dxa"/>
              <w:left w:w="105" w:type="dxa"/>
              <w:bottom w:w="0" w:type="dxa"/>
              <w:right w:w="105" w:type="dxa"/>
            </w:tcMar>
            <w:vAlign w:val="top"/>
          </w:tcPr>
          <w:p w14:paraId="73810DFF">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1582" w:type="dxa"/>
            <w:shd w:val="clear" w:color="auto" w:fill="auto"/>
            <w:tcMar>
              <w:top w:w="0" w:type="dxa"/>
              <w:left w:w="105" w:type="dxa"/>
              <w:bottom w:w="0" w:type="dxa"/>
              <w:right w:w="105" w:type="dxa"/>
            </w:tcMar>
            <w:vAlign w:val="top"/>
          </w:tcPr>
          <w:p w14:paraId="1E4CD48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6109" w:type="dxa"/>
            <w:shd w:val="clear" w:color="auto" w:fill="auto"/>
            <w:tcMar>
              <w:top w:w="0" w:type="dxa"/>
              <w:left w:w="105" w:type="dxa"/>
              <w:bottom w:w="0" w:type="dxa"/>
              <w:right w:w="105" w:type="dxa"/>
            </w:tcMar>
            <w:vAlign w:val="top"/>
          </w:tcPr>
          <w:p w14:paraId="516879A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1436" w:type="dxa"/>
            <w:shd w:val="clear" w:color="auto" w:fill="auto"/>
            <w:tcMar>
              <w:top w:w="0" w:type="dxa"/>
              <w:left w:w="105" w:type="dxa"/>
              <w:bottom w:w="0" w:type="dxa"/>
              <w:right w:w="105" w:type="dxa"/>
            </w:tcMar>
            <w:vAlign w:val="top"/>
          </w:tcPr>
          <w:p w14:paraId="7EC65D9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4E63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0" w:type="dxa"/>
            <w:shd w:val="clear" w:color="auto" w:fill="auto"/>
            <w:tcMar>
              <w:top w:w="0" w:type="dxa"/>
              <w:left w:w="105" w:type="dxa"/>
              <w:bottom w:w="0" w:type="dxa"/>
              <w:right w:w="105" w:type="dxa"/>
            </w:tcMar>
            <w:vAlign w:val="center"/>
          </w:tcPr>
          <w:p w14:paraId="50A2F316">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582" w:type="dxa"/>
            <w:shd w:val="clear" w:color="auto" w:fill="auto"/>
            <w:tcMar>
              <w:top w:w="0" w:type="dxa"/>
              <w:left w:w="105" w:type="dxa"/>
              <w:bottom w:w="0" w:type="dxa"/>
              <w:right w:w="105" w:type="dxa"/>
            </w:tcMar>
            <w:vAlign w:val="center"/>
          </w:tcPr>
          <w:p w14:paraId="0584F1F0">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6109" w:type="dxa"/>
            <w:shd w:val="clear" w:color="auto" w:fill="auto"/>
            <w:tcMar>
              <w:top w:w="0" w:type="dxa"/>
              <w:left w:w="105" w:type="dxa"/>
              <w:bottom w:w="0" w:type="dxa"/>
              <w:right w:w="105" w:type="dxa"/>
            </w:tcMar>
            <w:vAlign w:val="top"/>
          </w:tcPr>
          <w:p w14:paraId="03EE4B4C">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基本服务至少满足以下内容：</w:t>
            </w:r>
          </w:p>
          <w:p w14:paraId="7D8FEE01">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1、稳定性：</w:t>
            </w:r>
            <w:r>
              <w:rPr>
                <w:rFonts w:hint="eastAsia" w:ascii="仿宋" w:hAnsi="仿宋" w:eastAsia="仿宋" w:cs="仿宋"/>
                <w:color w:val="auto"/>
                <w:sz w:val="24"/>
                <w:szCs w:val="24"/>
                <w:u w:val="none"/>
              </w:rPr>
              <w:t>服务期内需保障业务稳定，不无故出现崩溃或宕机现象；</w:t>
            </w:r>
          </w:p>
          <w:p w14:paraId="332B799F">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2、安全性：</w:t>
            </w:r>
            <w:r>
              <w:rPr>
                <w:rFonts w:hint="eastAsia" w:ascii="仿宋" w:hAnsi="仿宋" w:eastAsia="仿宋" w:cs="仿宋"/>
                <w:color w:val="auto"/>
                <w:sz w:val="24"/>
                <w:szCs w:val="24"/>
                <w:u w:val="none"/>
              </w:rPr>
              <w:t>具备完善的安全防护机制，做好数据备份，在合同签订后15个工作日内提交《安全事件应急响应手册》，重大安全事件（数据泄露、勒索病毒等）30 分钟内电话通报、2小时内到场、4小时内出具初步处置报告；</w:t>
            </w:r>
          </w:p>
          <w:p w14:paraId="008BF0E2">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3、数据质量：</w:t>
            </w:r>
            <w:r>
              <w:rPr>
                <w:rFonts w:hint="eastAsia" w:ascii="仿宋" w:hAnsi="仿宋" w:eastAsia="仿宋" w:cs="仿宋"/>
                <w:color w:val="auto"/>
                <w:sz w:val="24"/>
                <w:szCs w:val="24"/>
                <w:u w:val="none"/>
              </w:rPr>
              <w:t>供应商收到异议后，成交供应商应在5个工作日内对数据质量问题进行原因查找和反馈，30个工作日内对数据质量问题进行数据清洗；</w:t>
            </w:r>
          </w:p>
          <w:p w14:paraId="2F9C43E8">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4、响应速度：</w:t>
            </w:r>
            <w:r>
              <w:rPr>
                <w:rFonts w:hint="eastAsia" w:ascii="仿宋" w:hAnsi="仿宋" w:eastAsia="仿宋" w:cs="仿宋"/>
                <w:color w:val="auto"/>
                <w:sz w:val="24"/>
                <w:szCs w:val="24"/>
                <w:u w:val="none"/>
              </w:rPr>
              <w:t>服务期内，采购人通过电话、微信、现场提出的支持需求，供应商须在需求提出的当日完成响应；</w:t>
            </w:r>
          </w:p>
          <w:p w14:paraId="683CC223">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5、备件供应：</w:t>
            </w:r>
            <w:r>
              <w:rPr>
                <w:rFonts w:hint="eastAsia" w:ascii="仿宋" w:hAnsi="仿宋" w:eastAsia="仿宋" w:cs="仿宋"/>
                <w:color w:val="auto"/>
                <w:sz w:val="24"/>
                <w:szCs w:val="24"/>
                <w:u w:val="none"/>
              </w:rPr>
              <w:t>服务期内设备故障并经排查，明确2小时内无法恢复，应当在4小时内提供相同类型和性能的可用机器恢复业务工作，直至故障排除；</w:t>
            </w:r>
          </w:p>
          <w:p w14:paraId="2C5CB5DE">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6、定期巡检：</w:t>
            </w:r>
            <w:r>
              <w:rPr>
                <w:rFonts w:hint="eastAsia" w:ascii="仿宋" w:hAnsi="仿宋" w:eastAsia="仿宋" w:cs="仿宋"/>
                <w:color w:val="auto"/>
                <w:sz w:val="24"/>
                <w:szCs w:val="24"/>
                <w:u w:val="none"/>
              </w:rPr>
              <w:t>服务期内每月提供至少1次软硬件服务期巡检报告；</w:t>
            </w:r>
          </w:p>
          <w:p w14:paraId="667DBAAE">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7、培训服务：</w:t>
            </w:r>
            <w:r>
              <w:rPr>
                <w:rFonts w:hint="eastAsia" w:ascii="仿宋" w:hAnsi="仿宋" w:eastAsia="仿宋" w:cs="仿宋"/>
                <w:color w:val="auto"/>
                <w:sz w:val="24"/>
                <w:szCs w:val="24"/>
                <w:u w:val="none"/>
              </w:rPr>
              <w:t>每年提供≥2次培训服务，并提交培训方案和签到表；</w:t>
            </w:r>
          </w:p>
          <w:p w14:paraId="5FC77DB6">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8、文档服务：</w:t>
            </w:r>
            <w:r>
              <w:rPr>
                <w:rFonts w:hint="eastAsia" w:ascii="仿宋" w:hAnsi="仿宋" w:eastAsia="仿宋" w:cs="仿宋"/>
                <w:color w:val="auto"/>
                <w:sz w:val="24"/>
                <w:szCs w:val="24"/>
                <w:u w:val="none"/>
              </w:rPr>
              <w:t>上线运行之日提交本次采购内容的操作手册、服务器信息、业务数据库表结构，若采购内容的相关文档发生变化，需在 30 日内提供最新文档。服务期满后需提交本次采购内容的运维记录签字扫描版本。</w:t>
            </w:r>
          </w:p>
          <w:p w14:paraId="7E0C258D">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b/>
                <w:bCs/>
                <w:color w:val="auto"/>
                <w:sz w:val="24"/>
                <w:szCs w:val="24"/>
                <w:u w:val="none"/>
              </w:rPr>
              <w:t>9、</w:t>
            </w:r>
            <w:r>
              <w:rPr>
                <w:rStyle w:val="21"/>
                <w:rFonts w:hint="eastAsia" w:ascii="仿宋" w:hAnsi="仿宋" w:eastAsia="仿宋" w:cs="仿宋"/>
                <w:color w:val="auto"/>
                <w:sz w:val="24"/>
                <w:szCs w:val="24"/>
                <w:u w:val="none"/>
              </w:rPr>
              <w:t>人员服务：</w:t>
            </w:r>
            <w:r>
              <w:rPr>
                <w:rFonts w:hint="eastAsia" w:ascii="仿宋" w:hAnsi="仿宋" w:eastAsia="仿宋" w:cs="仿宋"/>
                <w:color w:val="auto"/>
                <w:sz w:val="24"/>
                <w:szCs w:val="24"/>
                <w:u w:val="none"/>
              </w:rPr>
              <w:t>无</w:t>
            </w:r>
          </w:p>
          <w:p w14:paraId="3990BD8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ind w:left="0" w:firstLine="0"/>
              <w:textAlignment w:val="auto"/>
              <w:rPr>
                <w:rFonts w:hint="eastAsia" w:ascii="仿宋" w:hAnsi="仿宋" w:eastAsia="仿宋" w:cs="仿宋"/>
                <w:color w:val="auto"/>
                <w:sz w:val="24"/>
                <w:szCs w:val="24"/>
                <w:u w:val="none"/>
              </w:rPr>
            </w:pPr>
            <w:r>
              <w:rPr>
                <w:rFonts w:hint="eastAsia" w:ascii="仿宋" w:hAnsi="仿宋" w:eastAsia="仿宋" w:cs="仿宋"/>
                <w:b/>
                <w:bCs/>
                <w:color w:val="auto"/>
                <w:sz w:val="24"/>
                <w:szCs w:val="24"/>
                <w:u w:val="none"/>
              </w:rPr>
              <w:t>10、</w:t>
            </w:r>
            <w:r>
              <w:rPr>
                <w:rStyle w:val="21"/>
                <w:rFonts w:hint="eastAsia" w:ascii="仿宋" w:hAnsi="仿宋" w:eastAsia="仿宋" w:cs="仿宋"/>
                <w:color w:val="auto"/>
                <w:sz w:val="24"/>
                <w:szCs w:val="24"/>
                <w:u w:val="none"/>
              </w:rPr>
              <w:t>其他：</w:t>
            </w:r>
          </w:p>
          <w:p w14:paraId="3A5F83E8">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1）从合同签订生效之日起，采购人</w:t>
            </w:r>
            <w:r>
              <w:rPr>
                <w:rStyle w:val="21"/>
                <w:rFonts w:hint="eastAsia" w:ascii="仿宋" w:hAnsi="仿宋" w:eastAsia="仿宋" w:cs="仿宋"/>
                <w:color w:val="auto"/>
                <w:sz w:val="24"/>
                <w:szCs w:val="24"/>
                <w:u w:val="none"/>
              </w:rPr>
              <w:t>每月</w:t>
            </w:r>
            <w:r>
              <w:rPr>
                <w:rFonts w:hint="eastAsia" w:ascii="仿宋" w:hAnsi="仿宋" w:eastAsia="仿宋" w:cs="仿宋"/>
                <w:color w:val="auto"/>
                <w:sz w:val="24"/>
                <w:szCs w:val="24"/>
                <w:u w:val="none"/>
              </w:rPr>
              <w:t>按照</w:t>
            </w:r>
            <w:r>
              <w:rPr>
                <w:rStyle w:val="21"/>
                <w:rFonts w:hint="eastAsia" w:ascii="仿宋" w:hAnsi="仿宋" w:eastAsia="仿宋" w:cs="仿宋"/>
                <w:color w:val="auto"/>
                <w:sz w:val="24"/>
                <w:szCs w:val="24"/>
                <w:u w:val="none"/>
              </w:rPr>
              <w:t>四川省人民医院供应商考核</w:t>
            </w:r>
            <w:r>
              <w:rPr>
                <w:rFonts w:hint="eastAsia" w:ascii="仿宋" w:hAnsi="仿宋" w:eastAsia="仿宋" w:cs="仿宋"/>
                <w:color w:val="auto"/>
                <w:sz w:val="24"/>
                <w:szCs w:val="24"/>
                <w:u w:val="none"/>
              </w:rPr>
              <w:t>指标对供应商行为进行评价考核，考核结果关联最终付款金额。</w:t>
            </w:r>
          </w:p>
          <w:p w14:paraId="2ED69DA0">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2）成交供应商应当与本项目相关的第三方保持有痕的沟通，明确项目的具体要求和功能等方面的细节。采购人负责组织、监督和验收，以确保项目的顺利完成。</w:t>
            </w:r>
          </w:p>
          <w:p w14:paraId="38901048">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3）如涉及因本项目开发的系统原因造成采购人的经济损失，由成交供应商负责向采购人进行赔偿。</w:t>
            </w:r>
          </w:p>
        </w:tc>
        <w:tc>
          <w:tcPr>
            <w:tcW w:w="1436" w:type="dxa"/>
            <w:shd w:val="clear" w:color="auto" w:fill="auto"/>
            <w:tcMar>
              <w:top w:w="0" w:type="dxa"/>
              <w:left w:w="105" w:type="dxa"/>
              <w:bottom w:w="0" w:type="dxa"/>
              <w:right w:w="105" w:type="dxa"/>
            </w:tcMar>
            <w:vAlign w:val="center"/>
          </w:tcPr>
          <w:p w14:paraId="4CCD003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验收合格之日起，提供不低于5年</w:t>
            </w:r>
          </w:p>
        </w:tc>
      </w:tr>
      <w:tr w14:paraId="424F4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0" w:type="dxa"/>
            <w:shd w:val="clear" w:color="auto" w:fill="auto"/>
            <w:tcMar>
              <w:top w:w="0" w:type="dxa"/>
              <w:left w:w="105" w:type="dxa"/>
              <w:bottom w:w="0" w:type="dxa"/>
              <w:right w:w="105" w:type="dxa"/>
            </w:tcMar>
            <w:vAlign w:val="center"/>
          </w:tcPr>
          <w:p w14:paraId="40B2687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582" w:type="dxa"/>
            <w:shd w:val="clear" w:color="auto" w:fill="auto"/>
            <w:tcMar>
              <w:top w:w="0" w:type="dxa"/>
              <w:left w:w="105" w:type="dxa"/>
              <w:bottom w:w="0" w:type="dxa"/>
              <w:right w:w="105" w:type="dxa"/>
            </w:tcMar>
            <w:vAlign w:val="center"/>
          </w:tcPr>
          <w:p w14:paraId="5BD1366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质保服务</w:t>
            </w:r>
          </w:p>
        </w:tc>
        <w:tc>
          <w:tcPr>
            <w:tcW w:w="6109" w:type="dxa"/>
            <w:shd w:val="clear" w:color="auto" w:fill="auto"/>
            <w:tcMar>
              <w:top w:w="0" w:type="dxa"/>
              <w:left w:w="105" w:type="dxa"/>
              <w:bottom w:w="0" w:type="dxa"/>
              <w:right w:w="105" w:type="dxa"/>
            </w:tcMar>
            <w:vAlign w:val="center"/>
          </w:tcPr>
          <w:p w14:paraId="5269EE7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保证软硬件功能正常运行，提供7*24小时原厂质保服务。</w:t>
            </w:r>
          </w:p>
        </w:tc>
        <w:tc>
          <w:tcPr>
            <w:tcW w:w="1436" w:type="dxa"/>
            <w:shd w:val="clear" w:color="auto" w:fill="auto"/>
            <w:tcMar>
              <w:top w:w="0" w:type="dxa"/>
              <w:left w:w="105" w:type="dxa"/>
              <w:bottom w:w="0" w:type="dxa"/>
              <w:right w:w="105" w:type="dxa"/>
            </w:tcMar>
            <w:vAlign w:val="top"/>
          </w:tcPr>
          <w:p w14:paraId="03F27C2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验收合格之日起，提供不低于5年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 5 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 20 日内，完成本项目包含的所有软硬件功能的上线运行。未在实施周期内完成，视为供应商违约并自动放弃该项目，采购人有权终止合同，合同所有款项将不予支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四川省人民医院技能培训中心。</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15" w:name="_Toc153964904"/>
      <w:bookmarkEnd w:id="15"/>
      <w:bookmarkStart w:id="16" w:name="_Toc18622"/>
      <w:bookmarkEnd w:id="16"/>
      <w:r>
        <w:rPr>
          <w:rFonts w:hint="eastAsia" w:ascii="仿宋" w:hAnsi="仿宋" w:eastAsia="仿宋" w:cs="仿宋"/>
          <w:sz w:val="24"/>
          <w:szCs w:val="24"/>
          <w:lang w:val="en-US" w:eastAsia="zh-CN"/>
        </w:rPr>
        <w:t>总价包干，第一次付款：合同签订生效且完成本项目包含的所有软硬件功能上线运行后，供应商于5日内向采购人提供合法有效票据及其他相关请款资料，采购人于接到上述票据及资料后的55日内，向供应商支付合同总价80%的金额（如有因考核等原因产生的扣款，应在支付前予以扣除）。第二次付款：服务期满后，供应商于5日内向采购人提供合法有效票据及其他相关请款资料，采购人于接到上述票据及资料后的55日内，向供应商支付合同总价20%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（6）履约验收时间：完成本项目包含的所有软硬件功能的上线运行后，5日内通知采购人验收，采购人接供应商通知后10日内组织验收。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b w:val="0"/>
          <w:sz w:val="24"/>
          <w:szCs w:val="24"/>
          <w:vertAlign w:val="baseline"/>
          <w:lang w:val="en-US" w:eastAsia="zh-CN"/>
        </w:rPr>
        <w:t>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4BFDD09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6.其它要求</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2557534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1.项目实施方案</w:t>
      </w:r>
    </w:p>
    <w:p w14:paraId="03EEAB0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供应商</w:t>
      </w:r>
      <w:r>
        <w:rPr>
          <w:rFonts w:hint="eastAsia" w:ascii="仿宋" w:hAnsi="仿宋" w:eastAsia="仿宋" w:cs="仿宋"/>
          <w:sz w:val="24"/>
          <w:szCs w:val="24"/>
        </w:rPr>
        <w:t>需提供针对本项目编制的</w:t>
      </w:r>
      <w:r>
        <w:rPr>
          <w:rFonts w:hint="eastAsia" w:ascii="仿宋" w:hAnsi="仿宋" w:eastAsia="仿宋" w:cs="仿宋"/>
          <w:sz w:val="24"/>
          <w:szCs w:val="24"/>
          <w:lang w:val="en-US" w:eastAsia="zh-CN"/>
        </w:rPr>
        <w:t>项目实施方案</w:t>
      </w:r>
      <w:r>
        <w:rPr>
          <w:rFonts w:hint="eastAsia" w:ascii="仿宋" w:hAnsi="仿宋" w:eastAsia="仿宋" w:cs="仿宋"/>
          <w:sz w:val="24"/>
          <w:szCs w:val="24"/>
        </w:rPr>
        <w:t>，包括①针对本项目组织架构、②</w:t>
      </w:r>
      <w:r>
        <w:rPr>
          <w:rFonts w:hint="eastAsia" w:ascii="仿宋" w:hAnsi="仿宋" w:eastAsia="仿宋" w:cs="仿宋"/>
          <w:sz w:val="24"/>
          <w:szCs w:val="24"/>
          <w:lang w:val="en-US" w:eastAsia="zh-CN"/>
        </w:rPr>
        <w:t>系人员岗位设置、职责分工、</w:t>
      </w:r>
      <w:r>
        <w:rPr>
          <w:rFonts w:hint="eastAsia" w:ascii="仿宋" w:hAnsi="仿宋" w:eastAsia="仿宋" w:cs="仿宋"/>
          <w:sz w:val="24"/>
          <w:szCs w:val="24"/>
        </w:rPr>
        <w:t>③项目进度安排</w:t>
      </w:r>
      <w:r>
        <w:rPr>
          <w:rFonts w:hint="eastAsia" w:ascii="仿宋" w:hAnsi="仿宋" w:eastAsia="仿宋" w:cs="仿宋"/>
          <w:sz w:val="24"/>
          <w:szCs w:val="24"/>
          <w:lang w:val="en-US" w:eastAsia="zh-CN"/>
        </w:rPr>
        <w:t>、</w:t>
      </w:r>
      <w:r>
        <w:rPr>
          <w:rFonts w:hint="eastAsia" w:ascii="仿宋" w:hAnsi="仿宋" w:eastAsia="仿宋" w:cs="仿宋"/>
          <w:sz w:val="24"/>
          <w:szCs w:val="24"/>
        </w:rPr>
        <w:t>④项目管理人员</w:t>
      </w:r>
      <w:r>
        <w:rPr>
          <w:rFonts w:hint="eastAsia" w:ascii="仿宋" w:hAnsi="仿宋" w:eastAsia="仿宋" w:cs="仿宋"/>
          <w:sz w:val="24"/>
          <w:szCs w:val="24"/>
          <w:lang w:eastAsia="zh-CN"/>
        </w:rPr>
        <w:t>、</w:t>
      </w:r>
      <w:r>
        <w:rPr>
          <w:rFonts w:hint="eastAsia" w:ascii="仿宋" w:hAnsi="仿宋" w:eastAsia="仿宋" w:cs="仿宋"/>
          <w:sz w:val="24"/>
          <w:szCs w:val="24"/>
        </w:rPr>
        <w:t>⑤质量保障措施。</w:t>
      </w:r>
    </w:p>
    <w:p w14:paraId="395D59B1">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2.售后服务方案</w:t>
      </w:r>
    </w:p>
    <w:p w14:paraId="3297AF91">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供应商</w:t>
      </w:r>
      <w:r>
        <w:rPr>
          <w:rFonts w:hint="eastAsia" w:ascii="仿宋" w:hAnsi="仿宋" w:eastAsia="仿宋" w:cs="仿宋"/>
          <w:sz w:val="24"/>
          <w:szCs w:val="24"/>
        </w:rPr>
        <w:t>需提供针对本项目编制的</w:t>
      </w:r>
      <w:r>
        <w:rPr>
          <w:rFonts w:hint="eastAsia" w:ascii="仿宋" w:hAnsi="仿宋" w:eastAsia="仿宋" w:cs="仿宋"/>
          <w:sz w:val="24"/>
          <w:szCs w:val="24"/>
          <w:lang w:val="en-US" w:eastAsia="zh-CN"/>
        </w:rPr>
        <w:t>售后服务方案</w:t>
      </w:r>
      <w:r>
        <w:rPr>
          <w:rFonts w:hint="eastAsia" w:ascii="仿宋" w:hAnsi="仿宋" w:eastAsia="仿宋" w:cs="仿宋"/>
          <w:sz w:val="24"/>
          <w:szCs w:val="24"/>
        </w:rPr>
        <w:t>，包括①售后服务承诺、②服务质量保证范围</w:t>
      </w:r>
      <w:r>
        <w:rPr>
          <w:rFonts w:hint="eastAsia" w:ascii="仿宋" w:hAnsi="仿宋" w:eastAsia="仿宋" w:cs="仿宋"/>
          <w:sz w:val="24"/>
          <w:szCs w:val="24"/>
          <w:lang w:val="en-US" w:eastAsia="zh-CN"/>
        </w:rPr>
        <w:t>、</w:t>
      </w:r>
      <w:r>
        <w:rPr>
          <w:rFonts w:hint="eastAsia" w:ascii="仿宋" w:hAnsi="仿宋" w:eastAsia="仿宋" w:cs="仿宋"/>
          <w:sz w:val="24"/>
          <w:szCs w:val="24"/>
        </w:rPr>
        <w:t>③对故障、应急处理保障措施</w:t>
      </w:r>
      <w:r>
        <w:rPr>
          <w:rFonts w:hint="eastAsia" w:ascii="仿宋" w:hAnsi="仿宋" w:eastAsia="仿宋" w:cs="仿宋"/>
          <w:sz w:val="24"/>
          <w:szCs w:val="24"/>
          <w:lang w:val="en-US" w:eastAsia="zh-CN"/>
        </w:rPr>
        <w:t>、</w:t>
      </w:r>
      <w:r>
        <w:rPr>
          <w:rFonts w:hint="eastAsia" w:ascii="仿宋" w:hAnsi="仿宋" w:eastAsia="仿宋" w:cs="仿宋"/>
          <w:sz w:val="24"/>
          <w:szCs w:val="24"/>
        </w:rPr>
        <w:t>④售后团队人员配置</w:t>
      </w:r>
      <w:r>
        <w:rPr>
          <w:rFonts w:hint="eastAsia" w:ascii="仿宋" w:hAnsi="仿宋" w:eastAsia="仿宋" w:cs="仿宋"/>
          <w:sz w:val="24"/>
          <w:szCs w:val="24"/>
          <w:lang w:eastAsia="zh-CN"/>
        </w:rPr>
        <w:t>、</w:t>
      </w:r>
      <w:r>
        <w:rPr>
          <w:rFonts w:hint="eastAsia" w:ascii="仿宋" w:hAnsi="仿宋" w:eastAsia="仿宋" w:cs="仿宋"/>
          <w:sz w:val="24"/>
          <w:szCs w:val="24"/>
        </w:rPr>
        <w:t>⑤是否针对本项目提供本地网点备品备件。</w:t>
      </w:r>
    </w:p>
    <w:p w14:paraId="2C529F0F">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3.业绩</w:t>
      </w:r>
    </w:p>
    <w:p w14:paraId="5C527920">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供应商提供2023年1月1日（含）以来的多媒体教室设备类似项目业绩。</w:t>
      </w:r>
    </w:p>
    <w:p w14:paraId="40102FDC">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336"/>
        <w:gridCol w:w="1647"/>
        <w:gridCol w:w="1830"/>
        <w:gridCol w:w="1446"/>
        <w:gridCol w:w="3331"/>
        <w:gridCol w:w="824"/>
      </w:tblGrid>
      <w:tr w14:paraId="5351C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7E25D44E">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36"/>
                <w:szCs w:val="36"/>
              </w:rPr>
              <w:t>四川省人民医院供应商考核</w:t>
            </w:r>
          </w:p>
        </w:tc>
      </w:tr>
      <w:tr w14:paraId="3F1C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1683DA0">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0CCAA1A9">
            <w:pPr>
              <w:keepNext w:val="0"/>
              <w:keepLines w:val="0"/>
              <w:widowControl/>
              <w:suppressLineNumbers w:val="0"/>
              <w:jc w:val="left"/>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33E0AD1E">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40CD3776">
            <w:pPr>
              <w:keepNext w:val="0"/>
              <w:keepLines w:val="0"/>
              <w:widowControl/>
              <w:suppressLineNumbers w:val="0"/>
              <w:jc w:val="left"/>
              <w:rPr>
                <w:rFonts w:hint="eastAsia" w:ascii="仿宋" w:hAnsi="仿宋" w:eastAsia="仿宋" w:cs="仿宋"/>
                <w:sz w:val="24"/>
                <w:szCs w:val="24"/>
              </w:rPr>
            </w:pPr>
          </w:p>
        </w:tc>
      </w:tr>
      <w:tr w14:paraId="0465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ACCA53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5B0489D0">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60C8A625">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7165CB1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3AB7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095" w:type="dxa"/>
            <w:vMerge w:val="restart"/>
            <w:shd w:val="clear" w:color="auto" w:fill="auto"/>
            <w:tcMar>
              <w:top w:w="0" w:type="dxa"/>
              <w:left w:w="105" w:type="dxa"/>
              <w:bottom w:w="0" w:type="dxa"/>
              <w:right w:w="105" w:type="dxa"/>
            </w:tcMar>
            <w:vAlign w:val="center"/>
          </w:tcPr>
          <w:p w14:paraId="28E10E23">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2AE04AC1">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量评价</w:t>
            </w:r>
          </w:p>
          <w:p w14:paraId="5F70ECAE">
            <w:pPr>
              <w:pStyle w:val="14"/>
              <w:keepNext w:val="0"/>
              <w:keepLines w:val="0"/>
              <w:widowControl/>
              <w:suppressLineNumbers w:val="0"/>
              <w:spacing w:after="195" w:afterAutospacing="0"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 </w:t>
            </w:r>
          </w:p>
        </w:tc>
        <w:tc>
          <w:tcPr>
            <w:tcW w:w="1350" w:type="dxa"/>
            <w:shd w:val="clear" w:color="auto" w:fill="auto"/>
            <w:tcMar>
              <w:top w:w="0" w:type="dxa"/>
              <w:left w:w="105" w:type="dxa"/>
              <w:bottom w:w="0" w:type="dxa"/>
              <w:right w:w="105" w:type="dxa"/>
            </w:tcMar>
            <w:vAlign w:val="center"/>
          </w:tcPr>
          <w:p w14:paraId="3EBF274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shd w:val="clear" w:color="auto" w:fill="auto"/>
            <w:tcMar>
              <w:top w:w="0" w:type="dxa"/>
              <w:left w:w="105" w:type="dxa"/>
              <w:bottom w:w="0" w:type="dxa"/>
              <w:right w:w="105" w:type="dxa"/>
            </w:tcMar>
            <w:vAlign w:val="center"/>
          </w:tcPr>
          <w:p w14:paraId="6602DECB">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49EA7243">
            <w:pPr>
              <w:keepNext w:val="0"/>
              <w:keepLines w:val="0"/>
              <w:widowControl/>
              <w:suppressLineNumbers w:val="0"/>
              <w:jc w:val="left"/>
              <w:rPr>
                <w:rFonts w:hint="eastAsia" w:ascii="仿宋" w:hAnsi="仿宋" w:eastAsia="仿宋" w:cs="仿宋"/>
                <w:sz w:val="24"/>
                <w:szCs w:val="24"/>
              </w:rPr>
            </w:pPr>
          </w:p>
        </w:tc>
      </w:tr>
      <w:tr w14:paraId="0CBC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5B3EB9E">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513608E">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shd w:val="clear" w:color="auto" w:fill="auto"/>
            <w:tcMar>
              <w:top w:w="0" w:type="dxa"/>
              <w:left w:w="105" w:type="dxa"/>
              <w:bottom w:w="0" w:type="dxa"/>
              <w:right w:w="105" w:type="dxa"/>
            </w:tcMar>
            <w:vAlign w:val="center"/>
          </w:tcPr>
          <w:p w14:paraId="56F56A7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87F2A53">
            <w:pPr>
              <w:keepNext w:val="0"/>
              <w:keepLines w:val="0"/>
              <w:widowControl/>
              <w:suppressLineNumbers w:val="0"/>
              <w:jc w:val="left"/>
              <w:rPr>
                <w:rFonts w:hint="eastAsia" w:ascii="仿宋" w:hAnsi="仿宋" w:eastAsia="仿宋" w:cs="仿宋"/>
                <w:sz w:val="24"/>
                <w:szCs w:val="24"/>
              </w:rPr>
            </w:pPr>
          </w:p>
        </w:tc>
      </w:tr>
      <w:tr w14:paraId="2EE5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EECF7A5">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7E09EF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shd w:val="clear" w:color="auto" w:fill="auto"/>
            <w:tcMar>
              <w:top w:w="0" w:type="dxa"/>
              <w:left w:w="105" w:type="dxa"/>
              <w:bottom w:w="0" w:type="dxa"/>
              <w:right w:w="105" w:type="dxa"/>
            </w:tcMar>
            <w:vAlign w:val="center"/>
          </w:tcPr>
          <w:p w14:paraId="43D05827">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04A418CC">
            <w:pPr>
              <w:keepNext w:val="0"/>
              <w:keepLines w:val="0"/>
              <w:widowControl/>
              <w:suppressLineNumbers w:val="0"/>
              <w:jc w:val="left"/>
              <w:rPr>
                <w:rFonts w:hint="eastAsia" w:ascii="仿宋" w:hAnsi="仿宋" w:eastAsia="仿宋" w:cs="仿宋"/>
                <w:sz w:val="24"/>
                <w:szCs w:val="24"/>
              </w:rPr>
            </w:pPr>
          </w:p>
        </w:tc>
      </w:tr>
      <w:tr w14:paraId="4728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37BA82E">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24E0D6F5">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shd w:val="clear" w:color="auto" w:fill="auto"/>
            <w:tcMar>
              <w:top w:w="0" w:type="dxa"/>
              <w:left w:w="105" w:type="dxa"/>
              <w:bottom w:w="0" w:type="dxa"/>
              <w:right w:w="105" w:type="dxa"/>
            </w:tcMar>
            <w:vAlign w:val="center"/>
          </w:tcPr>
          <w:p w14:paraId="75FCB804">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shd w:val="clear" w:color="auto" w:fill="auto"/>
            <w:tcMar>
              <w:top w:w="0" w:type="dxa"/>
              <w:left w:w="105" w:type="dxa"/>
              <w:bottom w:w="0" w:type="dxa"/>
              <w:right w:w="105" w:type="dxa"/>
            </w:tcMar>
            <w:vAlign w:val="center"/>
          </w:tcPr>
          <w:p w14:paraId="2BC3052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061E774C">
            <w:pPr>
              <w:keepNext w:val="0"/>
              <w:keepLines w:val="0"/>
              <w:widowControl/>
              <w:suppressLineNumbers w:val="0"/>
              <w:jc w:val="left"/>
              <w:rPr>
                <w:rFonts w:hint="eastAsia" w:ascii="仿宋" w:hAnsi="仿宋" w:eastAsia="仿宋" w:cs="仿宋"/>
                <w:sz w:val="24"/>
                <w:szCs w:val="24"/>
              </w:rPr>
            </w:pPr>
          </w:p>
        </w:tc>
      </w:tr>
      <w:tr w14:paraId="5C088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F57BAC8">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9FB6466">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shd w:val="clear" w:color="auto" w:fill="auto"/>
            <w:tcMar>
              <w:top w:w="0" w:type="dxa"/>
              <w:left w:w="105" w:type="dxa"/>
              <w:bottom w:w="0" w:type="dxa"/>
              <w:right w:w="105" w:type="dxa"/>
            </w:tcMar>
            <w:vAlign w:val="center"/>
          </w:tcPr>
          <w:p w14:paraId="15C8D4B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3692794E">
            <w:pPr>
              <w:keepNext w:val="0"/>
              <w:keepLines w:val="0"/>
              <w:widowControl/>
              <w:suppressLineNumbers w:val="0"/>
              <w:jc w:val="left"/>
              <w:rPr>
                <w:rFonts w:hint="eastAsia" w:ascii="仿宋" w:hAnsi="仿宋" w:eastAsia="仿宋" w:cs="仿宋"/>
                <w:sz w:val="24"/>
                <w:szCs w:val="24"/>
              </w:rPr>
            </w:pPr>
          </w:p>
        </w:tc>
      </w:tr>
      <w:tr w14:paraId="007E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46E02E3">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C4C1214">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1FD67730">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(本项仅涉</w:t>
            </w:r>
          </w:p>
          <w:p w14:paraId="491DFE55">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及提供硬件</w:t>
            </w:r>
          </w:p>
          <w:p w14:paraId="17B9E120">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shd w:val="clear" w:color="auto" w:fill="auto"/>
            <w:tcMar>
              <w:top w:w="0" w:type="dxa"/>
              <w:left w:w="105" w:type="dxa"/>
              <w:bottom w:w="0" w:type="dxa"/>
              <w:right w:w="105" w:type="dxa"/>
            </w:tcMar>
            <w:vAlign w:val="center"/>
          </w:tcPr>
          <w:p w14:paraId="457AF9CF">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3B3EB898">
            <w:pPr>
              <w:keepNext w:val="0"/>
              <w:keepLines w:val="0"/>
              <w:widowControl/>
              <w:suppressLineNumbers w:val="0"/>
              <w:jc w:val="left"/>
              <w:rPr>
                <w:rFonts w:hint="eastAsia" w:ascii="仿宋" w:hAnsi="仿宋" w:eastAsia="仿宋" w:cs="仿宋"/>
                <w:sz w:val="24"/>
                <w:szCs w:val="24"/>
              </w:rPr>
            </w:pPr>
          </w:p>
        </w:tc>
      </w:tr>
      <w:tr w14:paraId="56F92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2F5BE47">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8D9B52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shd w:val="clear" w:color="auto" w:fill="auto"/>
            <w:tcMar>
              <w:top w:w="0" w:type="dxa"/>
              <w:left w:w="105" w:type="dxa"/>
              <w:bottom w:w="0" w:type="dxa"/>
              <w:right w:w="105" w:type="dxa"/>
            </w:tcMar>
            <w:vAlign w:val="center"/>
          </w:tcPr>
          <w:p w14:paraId="51FF738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79CAB5E4">
            <w:pPr>
              <w:keepNext w:val="0"/>
              <w:keepLines w:val="0"/>
              <w:widowControl/>
              <w:suppressLineNumbers w:val="0"/>
              <w:jc w:val="left"/>
              <w:rPr>
                <w:rFonts w:hint="eastAsia" w:ascii="仿宋" w:hAnsi="仿宋" w:eastAsia="仿宋" w:cs="仿宋"/>
                <w:sz w:val="24"/>
                <w:szCs w:val="24"/>
              </w:rPr>
            </w:pPr>
          </w:p>
        </w:tc>
      </w:tr>
      <w:tr w14:paraId="7FCA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F48CB8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4576AC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shd w:val="clear" w:color="auto" w:fill="auto"/>
            <w:tcMar>
              <w:top w:w="0" w:type="dxa"/>
              <w:left w:w="105" w:type="dxa"/>
              <w:bottom w:w="0" w:type="dxa"/>
              <w:right w:w="105" w:type="dxa"/>
            </w:tcMar>
            <w:vAlign w:val="center"/>
          </w:tcPr>
          <w:p w14:paraId="45821B99">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3D12EC64">
            <w:pPr>
              <w:keepNext w:val="0"/>
              <w:keepLines w:val="0"/>
              <w:widowControl/>
              <w:suppressLineNumbers w:val="0"/>
              <w:jc w:val="left"/>
              <w:rPr>
                <w:rFonts w:hint="eastAsia" w:ascii="仿宋" w:hAnsi="仿宋" w:eastAsia="仿宋" w:cs="仿宋"/>
                <w:sz w:val="24"/>
                <w:szCs w:val="24"/>
              </w:rPr>
            </w:pPr>
          </w:p>
        </w:tc>
      </w:tr>
      <w:tr w14:paraId="2AF5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06353EF">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9990F2D">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shd w:val="clear" w:color="auto" w:fill="auto"/>
            <w:tcMar>
              <w:top w:w="0" w:type="dxa"/>
              <w:left w:w="105" w:type="dxa"/>
              <w:bottom w:w="0" w:type="dxa"/>
              <w:right w:w="105" w:type="dxa"/>
            </w:tcMar>
            <w:vAlign w:val="center"/>
          </w:tcPr>
          <w:p w14:paraId="6079703A">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585BE0DD">
            <w:pPr>
              <w:keepNext w:val="0"/>
              <w:keepLines w:val="0"/>
              <w:widowControl/>
              <w:suppressLineNumbers w:val="0"/>
              <w:jc w:val="left"/>
              <w:rPr>
                <w:rFonts w:hint="eastAsia" w:ascii="仿宋" w:hAnsi="仿宋" w:eastAsia="仿宋" w:cs="仿宋"/>
                <w:sz w:val="24"/>
                <w:szCs w:val="24"/>
              </w:rPr>
            </w:pPr>
          </w:p>
        </w:tc>
      </w:tr>
      <w:tr w14:paraId="1BD4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73003D19">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247A03C3">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shd w:val="clear" w:color="auto" w:fill="auto"/>
            <w:tcMar>
              <w:top w:w="0" w:type="dxa"/>
              <w:left w:w="105" w:type="dxa"/>
              <w:bottom w:w="0" w:type="dxa"/>
              <w:right w:w="105" w:type="dxa"/>
            </w:tcMar>
            <w:vAlign w:val="center"/>
          </w:tcPr>
          <w:p w14:paraId="3C403B6D">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shd w:val="clear" w:color="auto" w:fill="auto"/>
            <w:tcMar>
              <w:top w:w="0" w:type="dxa"/>
              <w:left w:w="105" w:type="dxa"/>
              <w:bottom w:w="0" w:type="dxa"/>
              <w:right w:w="105" w:type="dxa"/>
            </w:tcMar>
            <w:vAlign w:val="center"/>
          </w:tcPr>
          <w:p w14:paraId="37F689DF">
            <w:pPr>
              <w:pStyle w:val="14"/>
              <w:keepNext w:val="0"/>
              <w:keepLines w:val="0"/>
              <w:widowControl/>
              <w:suppressLineNumbers w:val="0"/>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1EA64373">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5ABA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C4A46D8">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5D666D5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shd w:val="clear" w:color="auto" w:fill="auto"/>
            <w:tcMar>
              <w:top w:w="0" w:type="dxa"/>
              <w:left w:w="105" w:type="dxa"/>
              <w:bottom w:w="0" w:type="dxa"/>
              <w:right w:w="105" w:type="dxa"/>
            </w:tcMar>
            <w:vAlign w:val="center"/>
          </w:tcPr>
          <w:p w14:paraId="3DC56D44">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1B876F58">
            <w:pPr>
              <w:keepNext w:val="0"/>
              <w:keepLines w:val="0"/>
              <w:widowControl/>
              <w:suppressLineNumbers w:val="0"/>
              <w:jc w:val="left"/>
              <w:rPr>
                <w:rFonts w:hint="eastAsia" w:ascii="仿宋" w:hAnsi="仿宋" w:eastAsia="仿宋" w:cs="仿宋"/>
                <w:sz w:val="24"/>
                <w:szCs w:val="24"/>
              </w:rPr>
            </w:pPr>
          </w:p>
        </w:tc>
      </w:tr>
      <w:tr w14:paraId="43DA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74525C7">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5D08C60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shd w:val="clear" w:color="auto" w:fill="auto"/>
            <w:tcMar>
              <w:top w:w="0" w:type="dxa"/>
              <w:left w:w="105" w:type="dxa"/>
              <w:bottom w:w="0" w:type="dxa"/>
              <w:right w:w="105" w:type="dxa"/>
            </w:tcMar>
            <w:vAlign w:val="center"/>
          </w:tcPr>
          <w:p w14:paraId="7535536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597C8826">
            <w:pPr>
              <w:keepNext w:val="0"/>
              <w:keepLines w:val="0"/>
              <w:widowControl/>
              <w:suppressLineNumbers w:val="0"/>
              <w:jc w:val="left"/>
              <w:rPr>
                <w:rFonts w:hint="eastAsia" w:ascii="仿宋" w:hAnsi="仿宋" w:eastAsia="仿宋" w:cs="仿宋"/>
                <w:sz w:val="24"/>
                <w:szCs w:val="24"/>
              </w:rPr>
            </w:pPr>
          </w:p>
        </w:tc>
      </w:tr>
      <w:tr w14:paraId="72D77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AE7D65F">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shd w:val="clear" w:color="auto" w:fill="auto"/>
            <w:tcMar>
              <w:top w:w="0" w:type="dxa"/>
              <w:left w:w="105" w:type="dxa"/>
              <w:bottom w:w="0" w:type="dxa"/>
              <w:right w:w="105" w:type="dxa"/>
            </w:tcMar>
            <w:vAlign w:val="center"/>
          </w:tcPr>
          <w:p w14:paraId="4558C3C1">
            <w:pPr>
              <w:keepNext w:val="0"/>
              <w:keepLines w:val="0"/>
              <w:widowControl/>
              <w:suppressLineNumbers w:val="0"/>
              <w:jc w:val="left"/>
              <w:rPr>
                <w:rFonts w:hint="eastAsia" w:ascii="仿宋" w:hAnsi="仿宋" w:eastAsia="仿宋" w:cs="仿宋"/>
                <w:sz w:val="24"/>
                <w:szCs w:val="24"/>
              </w:rPr>
            </w:pPr>
          </w:p>
        </w:tc>
      </w:tr>
      <w:tr w14:paraId="09629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F0BBCAF">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shd w:val="clear" w:color="auto" w:fill="auto"/>
            <w:tcMar>
              <w:top w:w="0" w:type="dxa"/>
              <w:left w:w="105" w:type="dxa"/>
              <w:bottom w:w="0" w:type="dxa"/>
              <w:right w:w="105" w:type="dxa"/>
            </w:tcMar>
            <w:vAlign w:val="center"/>
          </w:tcPr>
          <w:p w14:paraId="4D504DCD">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w:t>
            </w:r>
          </w:p>
          <w:p w14:paraId="2B03B540">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1BA3E272">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备注：</w:t>
      </w:r>
    </w:p>
    <w:p w14:paraId="4BE6A895">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5B5D1B22">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409184F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581941A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785B0C1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42C2F9C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7566873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）10分&lt;平均扣分，视为不合格，终止合同，合同待支付金额不予</w:t>
      </w:r>
      <w:r>
        <w:rPr>
          <w:rFonts w:hint="eastAsia" w:ascii="仿宋" w:hAnsi="仿宋" w:eastAsia="仿宋" w:cs="仿宋"/>
          <w:sz w:val="24"/>
          <w:szCs w:val="24"/>
          <w:lang w:val="en-US" w:eastAsia="zh-CN"/>
        </w:rPr>
        <w:t>支付</w:t>
      </w:r>
      <w:r>
        <w:rPr>
          <w:rFonts w:hint="eastAsia" w:ascii="仿宋" w:hAnsi="仿宋" w:eastAsia="仿宋" w:cs="仿宋"/>
          <w:sz w:val="24"/>
          <w:szCs w:val="24"/>
        </w:rPr>
        <w:t>；</w:t>
      </w:r>
    </w:p>
    <w:p w14:paraId="294C02F2">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3.供应商出现一票否决时，将对其违法违纪的相关情况汇报院纪委，同时按供应商违约情况取消本次合作，扣除所有剩余款项，并保留后续追究供应商责任的权利。</w:t>
      </w:r>
    </w:p>
    <w:p w14:paraId="5071D7B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13768"/>
      <w:bookmarkStart w:id="18" w:name="_Toc22588"/>
      <w:bookmarkStart w:id="19" w:name="_Toc28789"/>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900"/>
        <w:gridCol w:w="1038"/>
        <w:gridCol w:w="6658"/>
        <w:gridCol w:w="698"/>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900"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038"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6658"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0" w:type="auto"/>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900" w:type="dxa"/>
            <w:tcBorders>
              <w:top w:val="single" w:color="auto" w:sz="4" w:space="0"/>
              <w:left w:val="single" w:color="auto" w:sz="4" w:space="0"/>
              <w:bottom w:val="single" w:color="auto" w:sz="4" w:space="0"/>
              <w:right w:val="single" w:color="auto" w:sz="4" w:space="0"/>
            </w:tcBorders>
            <w:vAlign w:val="center"/>
          </w:tcPr>
          <w:p w14:paraId="527B48E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p>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w:t>
            </w:r>
          </w:p>
        </w:tc>
        <w:tc>
          <w:tcPr>
            <w:tcW w:w="1038"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6658"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0" w:type="auto"/>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54"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900" w:type="dxa"/>
            <w:tcBorders>
              <w:top w:val="single" w:color="auto" w:sz="4" w:space="0"/>
              <w:left w:val="single" w:color="auto" w:sz="4" w:space="0"/>
              <w:right w:val="single" w:color="auto" w:sz="4" w:space="0"/>
            </w:tcBorders>
            <w:vAlign w:val="center"/>
          </w:tcPr>
          <w:p w14:paraId="32D2405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w:t>
            </w:r>
          </w:p>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60</w:t>
            </w:r>
            <w:r>
              <w:rPr>
                <w:rFonts w:hint="eastAsia" w:ascii="仿宋" w:hAnsi="仿宋" w:eastAsia="仿宋" w:cs="仿宋"/>
                <w:color w:val="000000" w:themeColor="text1"/>
                <w:sz w:val="24"/>
                <w:szCs w:val="24"/>
                <w:highlight w:val="none"/>
                <w14:textFill>
                  <w14:solidFill>
                    <w14:schemeClr w14:val="tx1"/>
                  </w14:solidFill>
                </w14:textFill>
              </w:rPr>
              <w:t>%</w:t>
            </w:r>
          </w:p>
        </w:tc>
        <w:tc>
          <w:tcPr>
            <w:tcW w:w="1038"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60分</w:t>
            </w:r>
          </w:p>
        </w:tc>
        <w:tc>
          <w:tcPr>
            <w:tcW w:w="6658" w:type="dxa"/>
            <w:tcBorders>
              <w:top w:val="single" w:color="auto" w:sz="4" w:space="0"/>
              <w:left w:val="single" w:color="auto" w:sz="4" w:space="0"/>
              <w:bottom w:val="single" w:color="auto" w:sz="4" w:space="0"/>
              <w:right w:val="single" w:color="auto" w:sz="4" w:space="0"/>
            </w:tcBorders>
            <w:vAlign w:val="center"/>
          </w:tcPr>
          <w:p w14:paraId="37D54AB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带“★”的为实质性要求，不允许有负偏离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不作为评审要求</w:t>
            </w:r>
            <w:r>
              <w:rPr>
                <w:rFonts w:hint="eastAsia" w:ascii="仿宋" w:hAnsi="仿宋" w:eastAsia="仿宋" w:cs="仿宋"/>
                <w:color w:val="000000" w:themeColor="text1"/>
                <w:sz w:val="24"/>
                <w:szCs w:val="24"/>
                <w:highlight w:val="none"/>
                <w14:textFill>
                  <w14:solidFill>
                    <w14:schemeClr w14:val="tx1"/>
                  </w14:solidFill>
                </w14:textFill>
              </w:rPr>
              <w:t>；带“▲”的条款为</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非</w:t>
            </w:r>
            <w:r>
              <w:rPr>
                <w:rFonts w:hint="eastAsia" w:ascii="仿宋" w:hAnsi="仿宋" w:eastAsia="仿宋" w:cs="仿宋"/>
                <w:color w:val="000000" w:themeColor="text1"/>
                <w:sz w:val="24"/>
                <w:szCs w:val="24"/>
                <w:highlight w:val="none"/>
                <w14:textFill>
                  <w14:solidFill>
                    <w14:schemeClr w14:val="tx1"/>
                  </w14:solidFill>
                </w14:textFill>
              </w:rPr>
              <w:t>“★”“▲”的为</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5468C0F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val="en-US"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第四章 </w:t>
            </w:r>
            <w:r>
              <w:rPr>
                <w:rFonts w:hint="eastAsia" w:ascii="仿宋" w:hAnsi="仿宋" w:eastAsia="仿宋" w:cs="仿宋"/>
                <w:color w:val="000000" w:themeColor="text1"/>
                <w:sz w:val="24"/>
                <w:szCs w:val="24"/>
                <w:highlight w:val="none"/>
                <w14:textFill>
                  <w14:solidFill>
                    <w14:schemeClr w14:val="tx1"/>
                  </w14:solidFill>
                </w14:textFill>
              </w:rPr>
              <w:t>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1.技术要求</w:t>
            </w:r>
            <w:r>
              <w:rPr>
                <w:rFonts w:hint="eastAsia" w:ascii="仿宋" w:hAnsi="仿宋" w:eastAsia="仿宋" w:cs="仿宋"/>
                <w:color w:val="000000" w:themeColor="text1"/>
                <w:sz w:val="24"/>
                <w:szCs w:val="24"/>
                <w:highlight w:val="none"/>
                <w14:textFill>
                  <w14:solidFill>
                    <w14:schemeClr w14:val="tx1"/>
                  </w14:solidFill>
                </w14:textFill>
              </w:rPr>
              <w:t>”的得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60</w:t>
            </w:r>
            <w:r>
              <w:rPr>
                <w:rFonts w:hint="eastAsia" w:ascii="仿宋" w:hAnsi="仿宋" w:eastAsia="仿宋" w:cs="仿宋"/>
                <w:color w:val="000000" w:themeColor="text1"/>
                <w:sz w:val="24"/>
                <w:szCs w:val="24"/>
                <w:highlight w:val="none"/>
                <w14:textFill>
                  <w14:solidFill>
                    <w14:schemeClr w14:val="tx1"/>
                  </w14:solidFill>
                </w14:textFill>
              </w:rPr>
              <w:t>分。</w:t>
            </w:r>
          </w:p>
          <w:p w14:paraId="47C0E63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5E896FD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响应得分=（供应商满足重要技术参数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的数量÷重要技术参数</w:t>
            </w:r>
            <w:r>
              <w:rPr>
                <w:rFonts w:hint="eastAsia" w:ascii="仿宋" w:hAnsi="仿宋" w:eastAsia="仿宋" w:cs="仿宋"/>
                <w:color w:val="000000" w:themeColor="text1"/>
                <w:sz w:val="24"/>
                <w:szCs w:val="24"/>
                <w:highlight w:val="none"/>
                <w14:textFill>
                  <w14:solidFill>
                    <w14:schemeClr w14:val="tx1"/>
                  </w14:solidFill>
                </w14:textFill>
              </w:rPr>
              <w:t>条</w:t>
            </w:r>
            <w:r>
              <w:rPr>
                <w:rFonts w:hint="eastAsia" w:ascii="仿宋" w:hAnsi="仿宋" w:eastAsia="仿宋" w:cs="仿宋"/>
                <w:color w:val="000000" w:themeColor="text1"/>
                <w:sz w:val="24"/>
                <w:szCs w:val="24"/>
                <w:highlight w:val="none"/>
                <w:lang w:val="en-US" w:eastAsia="zh-CN"/>
                <w14:textFill>
                  <w14:solidFill>
                    <w14:schemeClr w14:val="tx1"/>
                  </w14:solidFill>
                </w14:textFill>
              </w:rPr>
              <w:t>款的总数量）×40分。</w:t>
            </w:r>
          </w:p>
          <w:p w14:paraId="35218473">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5668E05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63EE3F5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注：①得分保留小数点后两位小数，四舍五入。</w:t>
            </w:r>
          </w:p>
          <w:p w14:paraId="0411CB1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②以“1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3......”标识为一项。</w:t>
            </w:r>
          </w:p>
          <w:p w14:paraId="3AA1CEA3">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若每一项技术指标项均有负偏离，此处分值应扣完，得0分。</w:t>
            </w:r>
          </w:p>
        </w:tc>
        <w:tc>
          <w:tcPr>
            <w:tcW w:w="0" w:type="auto"/>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54"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900" w:type="dxa"/>
            <w:tcBorders>
              <w:left w:val="single" w:color="auto" w:sz="4" w:space="0"/>
              <w:bottom w:val="single" w:color="auto" w:sz="4" w:space="0"/>
              <w:right w:val="single" w:color="auto" w:sz="4" w:space="0"/>
            </w:tcBorders>
            <w:vAlign w:val="center"/>
          </w:tcPr>
          <w:p w14:paraId="5009C25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w:t>
            </w:r>
          </w:p>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038"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5分</w:t>
            </w:r>
          </w:p>
        </w:tc>
        <w:tc>
          <w:tcPr>
            <w:tcW w:w="6658" w:type="dxa"/>
            <w:tcBorders>
              <w:top w:val="single" w:color="auto" w:sz="4" w:space="0"/>
              <w:left w:val="single" w:color="auto" w:sz="4" w:space="0"/>
              <w:bottom w:val="single" w:color="auto" w:sz="4" w:space="0"/>
              <w:right w:val="single" w:color="auto" w:sz="4" w:space="0"/>
            </w:tcBorders>
            <w:vAlign w:val="center"/>
          </w:tcPr>
          <w:p w14:paraId="70552E0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w:t>
            </w:r>
            <w:r>
              <w:rPr>
                <w:rFonts w:hint="eastAsia" w:ascii="仿宋" w:hAnsi="仿宋" w:eastAsia="仿宋" w:cs="仿宋"/>
                <w:color w:val="000000" w:themeColor="text1"/>
                <w:sz w:val="24"/>
                <w:szCs w:val="24"/>
                <w:highlight w:val="none"/>
                <w14:textFill>
                  <w14:solidFill>
                    <w14:schemeClr w14:val="tx1"/>
                  </w14:solidFill>
                </w14:textFill>
              </w:rPr>
              <w:t>，包括①针对本项目组织架构、②</w:t>
            </w:r>
            <w:r>
              <w:rPr>
                <w:rFonts w:hint="eastAsia" w:ascii="仿宋" w:hAnsi="仿宋" w:eastAsia="仿宋" w:cs="仿宋"/>
                <w:color w:val="000000" w:themeColor="text1"/>
                <w:sz w:val="24"/>
                <w:szCs w:val="24"/>
                <w:highlight w:val="none"/>
                <w:lang w:val="en-US" w:eastAsia="zh-CN"/>
                <w14:textFill>
                  <w14:solidFill>
                    <w14:schemeClr w14:val="tx1"/>
                  </w14:solidFill>
                </w14:textFill>
              </w:rPr>
              <w:t>系人员岗位设置、职责分工、</w:t>
            </w:r>
            <w:r>
              <w:rPr>
                <w:rFonts w:hint="eastAsia" w:ascii="仿宋" w:hAnsi="仿宋" w:eastAsia="仿宋" w:cs="仿宋"/>
                <w:color w:val="000000" w:themeColor="text1"/>
                <w:sz w:val="24"/>
                <w:szCs w:val="24"/>
                <w:highlight w:val="none"/>
                <w14:textFill>
                  <w14:solidFill>
                    <w14:schemeClr w14:val="tx1"/>
                  </w14:solidFill>
                </w14:textFill>
              </w:rPr>
              <w:t>③项目进度安排</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④项目管理人员</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⑤质量保障措施。符合采购人需求的得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54A290D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0" w:type="auto"/>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54"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900"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售后服务方案</w:t>
            </w:r>
          </w:p>
          <w:p w14:paraId="165B5D8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1038"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2分</w:t>
            </w:r>
          </w:p>
        </w:tc>
        <w:tc>
          <w:tcPr>
            <w:tcW w:w="6658" w:type="dxa"/>
            <w:tcBorders>
              <w:top w:val="single" w:color="auto" w:sz="4" w:space="0"/>
              <w:left w:val="single" w:color="auto" w:sz="4" w:space="0"/>
              <w:bottom w:val="single" w:color="auto" w:sz="4" w:space="0"/>
              <w:right w:val="single" w:color="auto" w:sz="4" w:space="0"/>
            </w:tcBorders>
            <w:vAlign w:val="center"/>
          </w:tcPr>
          <w:p w14:paraId="09F99F1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default"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，包括①售后服务承诺、②服务质量保证范围</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③对故障、应急处理保障措施</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④售后团队人员配置</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⑤是否针对本项目提供本地网点备品备件。符合采购人需求的得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0.4</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0.2</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3DF0BB2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0" w:type="auto"/>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227AF37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900" w:type="dxa"/>
            <w:tcBorders>
              <w:top w:val="single" w:color="auto" w:sz="4" w:space="0"/>
              <w:left w:val="single" w:color="auto" w:sz="4" w:space="0"/>
              <w:bottom w:val="single" w:color="auto" w:sz="4" w:space="0"/>
              <w:right w:val="single" w:color="auto" w:sz="4" w:space="0"/>
            </w:tcBorders>
            <w:vAlign w:val="center"/>
          </w:tcPr>
          <w:p w14:paraId="5293032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038" w:type="dxa"/>
            <w:tcBorders>
              <w:top w:val="single" w:color="auto" w:sz="4" w:space="0"/>
              <w:left w:val="single" w:color="auto" w:sz="4" w:space="0"/>
              <w:bottom w:val="single" w:color="auto" w:sz="4" w:space="0"/>
              <w:right w:val="single" w:color="auto" w:sz="4" w:space="0"/>
            </w:tcBorders>
            <w:vAlign w:val="center"/>
          </w:tcPr>
          <w:p w14:paraId="6E95E8F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3分</w:t>
            </w:r>
          </w:p>
        </w:tc>
        <w:tc>
          <w:tcPr>
            <w:tcW w:w="6658" w:type="dxa"/>
            <w:tcBorders>
              <w:top w:val="single" w:color="auto" w:sz="4" w:space="0"/>
              <w:left w:val="single" w:color="auto" w:sz="4" w:space="0"/>
              <w:bottom w:val="single" w:color="auto" w:sz="4" w:space="0"/>
              <w:right w:val="single" w:color="auto" w:sz="4" w:space="0"/>
            </w:tcBorders>
            <w:vAlign w:val="center"/>
          </w:tcPr>
          <w:p w14:paraId="4F66B8E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2023年1月1日（含）以来的多媒体教室设备类似项目业绩</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96F692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0" w:type="auto"/>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75DD339C">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2827"/>
      <w:bookmarkStart w:id="21" w:name="_Toc3094"/>
      <w:bookmarkStart w:id="22"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17163"/>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2989"/>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2031"/>
      <w:bookmarkStart w:id="48" w:name="_Toc19987"/>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11352"/>
      <w:bookmarkStart w:id="52" w:name="_Toc3023"/>
      <w:bookmarkStart w:id="53" w:name="_Toc14829"/>
      <w:bookmarkStart w:id="54" w:name="_Toc21519"/>
      <w:bookmarkStart w:id="55"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4305"/>
      <w:bookmarkStart w:id="58" w:name="_Toc17857"/>
      <w:bookmarkStart w:id="59" w:name="_Toc22676"/>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7661"/>
      <w:bookmarkStart w:id="71" w:name="_Toc11351"/>
      <w:bookmarkStart w:id="72" w:name="_Toc15526"/>
      <w:bookmarkStart w:id="73" w:name="_Toc20589"/>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26969"/>
      <w:bookmarkStart w:id="77" w:name="_Toc23967"/>
      <w:bookmarkStart w:id="78" w:name="_Toc2041"/>
      <w:bookmarkStart w:id="79" w:name="_Toc1074"/>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21082"/>
      <w:bookmarkStart w:id="83" w:name="_Toc28634"/>
      <w:bookmarkStart w:id="84" w:name="_Toc31686"/>
      <w:bookmarkStart w:id="85" w:name="_Toc1369"/>
      <w:bookmarkStart w:id="86" w:name="_Toc2480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8"/>
        <w:tblW w:w="4996"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45"/>
        <w:gridCol w:w="1417"/>
        <w:gridCol w:w="862"/>
        <w:gridCol w:w="870"/>
        <w:gridCol w:w="1592"/>
        <w:gridCol w:w="1592"/>
        <w:gridCol w:w="1592"/>
        <w:gridCol w:w="1636"/>
      </w:tblGrid>
      <w:tr w14:paraId="0153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E0DAD2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序号</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50EE74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品名</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A754B3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数量</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405D7B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单位</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28E0B6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Style w:val="44"/>
                <w:rFonts w:hint="default" w:ascii="仿宋" w:hAnsi="仿宋" w:eastAsia="仿宋" w:cs="仿宋"/>
                <w:b/>
                <w:bCs w:val="0"/>
                <w:sz w:val="24"/>
                <w:szCs w:val="24"/>
                <w:lang w:val="en-US" w:eastAsia="zh-CN"/>
              </w:rPr>
            </w:pPr>
            <w:r>
              <w:rPr>
                <w:rStyle w:val="44"/>
                <w:rFonts w:hint="eastAsia" w:ascii="仿宋" w:hAnsi="仿宋" w:eastAsia="仿宋" w:cs="仿宋"/>
                <w:b/>
                <w:bCs w:val="0"/>
                <w:sz w:val="24"/>
                <w:szCs w:val="24"/>
                <w:lang w:val="en-US" w:eastAsia="zh-CN"/>
              </w:rPr>
              <w:t>生产厂家/品牌</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E2C5C1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Style w:val="44"/>
                <w:rFonts w:hint="default" w:ascii="仿宋" w:hAnsi="仿宋" w:eastAsia="仿宋" w:cs="仿宋"/>
                <w:b/>
                <w:bCs w:val="0"/>
                <w:sz w:val="24"/>
                <w:szCs w:val="24"/>
                <w:lang w:val="en-US" w:eastAsia="zh-CN"/>
              </w:rPr>
            </w:pPr>
            <w:r>
              <w:rPr>
                <w:rStyle w:val="44"/>
                <w:rFonts w:hint="eastAsia" w:ascii="仿宋" w:hAnsi="仿宋" w:eastAsia="仿宋" w:cs="仿宋"/>
                <w:b/>
                <w:bCs w:val="0"/>
                <w:sz w:val="24"/>
                <w:szCs w:val="24"/>
                <w:lang w:val="en-US" w:eastAsia="zh-CN"/>
              </w:rPr>
              <w:t>型号/规格</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2D2DDE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b/>
                <w:bCs w:val="0"/>
                <w:kern w:val="0"/>
                <w:sz w:val="24"/>
                <w:szCs w:val="24"/>
              </w:rPr>
            </w:pPr>
            <w:r>
              <w:rPr>
                <w:rStyle w:val="44"/>
                <w:rFonts w:hint="eastAsia" w:ascii="仿宋" w:hAnsi="仿宋" w:eastAsia="仿宋" w:cs="仿宋"/>
                <w:b/>
                <w:bCs w:val="0"/>
                <w:sz w:val="24"/>
                <w:szCs w:val="24"/>
              </w:rPr>
              <w:t>单价（元）</w:t>
            </w: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3E4EA8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b/>
                <w:bCs w:val="0"/>
                <w:kern w:val="0"/>
                <w:sz w:val="24"/>
                <w:szCs w:val="24"/>
              </w:rPr>
            </w:pPr>
            <w:r>
              <w:rPr>
                <w:rStyle w:val="44"/>
                <w:rFonts w:hint="eastAsia" w:ascii="仿宋" w:hAnsi="仿宋" w:eastAsia="仿宋" w:cs="仿宋"/>
                <w:b/>
                <w:bCs w:val="0"/>
                <w:sz w:val="24"/>
                <w:szCs w:val="24"/>
              </w:rPr>
              <w:t>分项总价（元）</w:t>
            </w:r>
          </w:p>
        </w:tc>
      </w:tr>
      <w:tr w14:paraId="2D54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8"/>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B1241C">
            <w:pPr>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left"/>
              <w:rPr>
                <w:rFonts w:hint="eastAsia" w:ascii="仿宋" w:hAnsi="仿宋" w:eastAsia="仿宋" w:cs="仿宋"/>
                <w:kern w:val="0"/>
                <w:sz w:val="24"/>
                <w:szCs w:val="24"/>
              </w:rPr>
            </w:pPr>
            <w:r>
              <w:rPr>
                <w:rFonts w:hint="eastAsia" w:ascii="仿宋" w:hAnsi="仿宋" w:eastAsia="仿宋" w:cs="仿宋"/>
                <w:kern w:val="0"/>
                <w:sz w:val="24"/>
                <w:szCs w:val="24"/>
              </w:rPr>
              <w:t>6楼教室设备</w:t>
            </w:r>
          </w:p>
        </w:tc>
      </w:tr>
      <w:tr w14:paraId="19E0E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EB134E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F14B8F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显示终端1</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2705B2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3FC5E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5250F7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DE80B1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9D5192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9DB15A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7DEC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6C04BA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2</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64F9B0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搪瓷书写白板1</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E6AB7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2CEEC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D5F19E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D5F3F9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C86A8A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04DB8F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1AA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4C658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3</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DE9C08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教师终端</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C2C6FD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07371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CFE1BA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23A213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0F065D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BBE283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30EA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35F243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4</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3EF64B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录播主机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E51F2F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3EB42A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9C0C5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ACAA04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17012F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87DE9E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5EA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B93EFB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5</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CE050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教师摄像机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7FC98F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435073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1F74DF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AD9AE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D4F739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321E1B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4928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DFEADE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6</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D9783D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学生摄像机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B48E2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FC80B0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CB8C63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03FDB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C09716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A2CA06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2DEF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78653B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7</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8FB3C3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录播管理软件</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E917EA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1B34D4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D20156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F56611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52D66A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823EC5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7163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10E98A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8</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ABCA5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数字红外无线教学扩声系统主机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B40C7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4EFD06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9B145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0032FC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135815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332A04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13BF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B65222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9</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E92EA8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线阵列音柱</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C76655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1D3B4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5CD6E6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492CE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BEB024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98C078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AB2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0AF37E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10</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B0B8CD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数字红外接收器</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83AF2A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1BECF8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722B3C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BD7FCB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DCF927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B88F6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27247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E229E9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11</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CFB17D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数字红外无线麦克风</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B83B94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59CB54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支</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0C1D0A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7A08A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EE5ED7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D19118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3558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E5EFB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12</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463E22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有线麦克风</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54BDEF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FA8E0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703A8B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91C0A9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F7AA81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AD929A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229A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4EF31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13</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3C4884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吊装麦克风</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2BD036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C27DBA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ABB15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B827A3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53701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E03E2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60E8F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A444DB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14</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C0A721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中控触摸屏</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240A6D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C0F2BC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F189E3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6D7DAD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943434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375AE6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8075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1B0C5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15</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FA25E2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控制端口扩展适配器</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3BF353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DD668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9DCD65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000624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950E1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C782BF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DEA3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BDB43C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16</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A44B10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电源时序器</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A1E83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B7AF3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54DC54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04113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177640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94AE1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13A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C0413B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17</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1A424F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多功能面板</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78E8C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7E9B3B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CAEF44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62B236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85C7B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A9D805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4AFC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360EE3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18</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364D98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系统集成</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B6DBC9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3B5A7E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AF2DFB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3C9857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BF994F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ECDD16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79CC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8"/>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E097F42">
            <w:pPr>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left"/>
              <w:rPr>
                <w:rFonts w:hint="eastAsia" w:ascii="仿宋" w:hAnsi="仿宋" w:eastAsia="仿宋" w:cs="仿宋"/>
                <w:kern w:val="0"/>
                <w:sz w:val="24"/>
                <w:szCs w:val="24"/>
              </w:rPr>
            </w:pPr>
            <w:r>
              <w:rPr>
                <w:rFonts w:hint="eastAsia" w:ascii="仿宋" w:hAnsi="仿宋" w:eastAsia="仿宋" w:cs="仿宋"/>
                <w:kern w:val="0"/>
                <w:sz w:val="24"/>
                <w:szCs w:val="24"/>
              </w:rPr>
              <w:t>负一楼教室设备</w:t>
            </w:r>
          </w:p>
        </w:tc>
      </w:tr>
      <w:tr w14:paraId="4ED2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B7EFE8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9D9491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显示终端2</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1AA1B4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940774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3D877F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ACABD0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11B0DF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33F9A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68AE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33EE2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2</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E330BD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搪瓷书写白板2</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978C24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DBC58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1FD4D2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2E199D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E2ABE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FD2AF5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12D4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531706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3</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2CDF4C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教师终端</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016D92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ABC546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619A2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B0D898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EFD4FC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F6E5F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6A04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B0D4B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4</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1BDC5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录播主机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4CB9F0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41A25B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70C3DE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5A980F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3C726E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3F440A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0A06C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3D8E96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5</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6FBB49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教师摄像机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E68E6C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466F4D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902C37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18ED57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60BEE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A19470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4FC6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FC87C1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6</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91DD90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学生摄像机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EE782E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81C0B9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2EA90A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2AEA5A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2B282B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768B2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71D6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2DA4A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7</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F7953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录播管理软件</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B4DDD6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F88692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套</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21F7A5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7B5A1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5EDB69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FD0D06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06479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516D88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8</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42D026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数字红外无线教学扩声系统主机</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854CA0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DF0182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5DF9A8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FCFF3D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EEB31C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360CD1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425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E6D669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9</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0097C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线阵列音柱</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7090E6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A66383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B5C2E7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5CB816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6D4DA1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F2CABF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7854B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0C54A9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10</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E220A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数字红外接收器</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D35131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9DF77A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389479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7F2A26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5A5FE8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222264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7D308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61889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11</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800E96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数字红外无线麦克风</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3470A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324977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支</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2BA039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E5C5A2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D8734A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48126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18E6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56CA36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12</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A649E2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有线麦克风</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4FBF9D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7AC728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F68F82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9B6376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D638E4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4DF549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20304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857FE1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13</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79C85B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吊装麦克风</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597CE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D003C4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E1ED22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F2CAB5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49928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C76BAE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21164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EC571C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14</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C61E99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中控触摸屏</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126290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E4A936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DBCB18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E394BA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631308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0C4520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1A13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256B4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15</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E35858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控制端口扩展适配器</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C3A864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9AFAC2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6E9CE0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bookmarkStart w:id="100" w:name="_GoBack"/>
            <w:bookmarkEnd w:id="100"/>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741144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608039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9C961FE">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9ED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933F24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16</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F6532E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电源时序器</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6F959C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99E642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台</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BC9607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C4325B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692A85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F518DD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7861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F4801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17</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A7795E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多功能面板</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43270A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2FE2CB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个</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321774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D4F469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09DD978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5FD225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EF17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06"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86ED02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Style w:val="44"/>
                <w:rFonts w:hint="eastAsia" w:ascii="仿宋" w:hAnsi="仿宋" w:eastAsia="仿宋" w:cs="仿宋"/>
                <w:b/>
                <w:bCs w:val="0"/>
                <w:sz w:val="24"/>
                <w:szCs w:val="24"/>
              </w:rPr>
              <w:t>18</w:t>
            </w:r>
          </w:p>
        </w:tc>
        <w:tc>
          <w:tcPr>
            <w:tcW w:w="681"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7494C9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系统集成</w:t>
            </w:r>
          </w:p>
        </w:tc>
        <w:tc>
          <w:tcPr>
            <w:tcW w:w="414"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4E48887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18"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1A07850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r>
              <w:rPr>
                <w:rFonts w:hint="eastAsia" w:ascii="仿宋" w:hAnsi="仿宋" w:eastAsia="仿宋" w:cs="仿宋"/>
                <w:kern w:val="0"/>
                <w:sz w:val="24"/>
                <w:szCs w:val="24"/>
              </w:rPr>
              <w:t>批</w:t>
            </w: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F960AA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512A57F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65"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7D01371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c>
          <w:tcPr>
            <w:tcW w:w="782" w:type="pct"/>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3EBA166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rPr>
            </w:pPr>
          </w:p>
        </w:tc>
      </w:tr>
      <w:tr w14:paraId="52EA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87" w:type="pct"/>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0CF9B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报价合计</w:t>
            </w:r>
          </w:p>
        </w:tc>
        <w:tc>
          <w:tcPr>
            <w:tcW w:w="3912" w:type="pct"/>
            <w:gridSpan w:val="6"/>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14:paraId="245E8B1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大写：                  小写：</w:t>
            </w:r>
          </w:p>
        </w:tc>
      </w:tr>
    </w:tbl>
    <w:p w14:paraId="0D5D851D">
      <w:pPr>
        <w:pStyle w:val="7"/>
        <w:rPr>
          <w:rFonts w:ascii="Times New Roman" w:hAnsi="Times New Roman" w:eastAsia="仿宋" w:cs="Times New Roman"/>
          <w:szCs w:val="21"/>
        </w:rPr>
      </w:pPr>
    </w:p>
    <w:p w14:paraId="6A59F5E0">
      <w:pPr>
        <w:widowControl/>
        <w:jc w:val="left"/>
        <w:rPr>
          <w:rFonts w:hint="default" w:ascii="Times New Roman" w:hAnsi="Times New Roman" w:eastAsia="仿宋" w:cs="Times New Roman"/>
          <w:szCs w:val="21"/>
          <w:lang w:val="en-US" w:eastAsia="zh-CN"/>
        </w:rPr>
      </w:pPr>
      <w:r>
        <w:rPr>
          <w:rFonts w:hint="eastAsia" w:ascii="仿宋" w:hAnsi="仿宋" w:eastAsia="仿宋" w:cs="仿宋"/>
          <w:b/>
          <w:bCs/>
          <w:sz w:val="24"/>
          <w:szCs w:val="24"/>
          <w:lang w:val="en-US" w:eastAsia="zh-CN"/>
        </w:rPr>
        <w:t>2.服务期：</w:t>
      </w:r>
      <w:r>
        <w:rPr>
          <w:rFonts w:hint="eastAsia" w:ascii="仿宋" w:hAnsi="仿宋" w:eastAsia="仿宋" w:cs="仿宋"/>
          <w:color w:val="auto"/>
          <w:sz w:val="24"/>
          <w:szCs w:val="24"/>
          <w:u w:val="none"/>
        </w:rPr>
        <w:t>验收合格之日起，提供</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rPr>
        <w:t>年</w:t>
      </w:r>
    </w:p>
    <w:p w14:paraId="4DACDD2B">
      <w:pPr>
        <w:widowControl/>
        <w:jc w:val="left"/>
        <w:rPr>
          <w:rFonts w:ascii="Times New Roman" w:hAnsi="Times New Roman" w:eastAsia="仿宋" w:cs="Times New Roman"/>
          <w:szCs w:val="21"/>
          <w:lang w:val="zh-TW"/>
        </w:rPr>
      </w:pPr>
    </w:p>
    <w:p w14:paraId="360234F6">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14685"/>
      <w:bookmarkStart w:id="92" w:name="_Toc30002"/>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FCB90A3">
      <w:pPr>
        <w:jc w:val="center"/>
        <w:rPr>
          <w:rFonts w:ascii="黑体" w:hAnsi="黑体" w:eastAsia="黑体"/>
          <w:b/>
          <w:bCs/>
          <w:sz w:val="48"/>
          <w:szCs w:val="48"/>
        </w:rPr>
      </w:pPr>
      <w:r>
        <w:rPr>
          <w:rFonts w:ascii="黑体" w:hAnsi="黑体" w:eastAsia="黑体"/>
          <w:b/>
          <w:bCs/>
          <w:sz w:val="48"/>
          <w:szCs w:val="48"/>
        </w:rPr>
        <w:t>货 物 采 购 合 同</w:t>
      </w:r>
    </w:p>
    <w:p w14:paraId="54D4453E">
      <w:pPr>
        <w:contextualSpacing/>
        <w:rPr>
          <w:rFonts w:ascii="Times New Roman" w:hAnsi="Times New Roman"/>
          <w:szCs w:val="21"/>
        </w:rPr>
      </w:pPr>
    </w:p>
    <w:p w14:paraId="11A2AD3D">
      <w:pPr>
        <w:pStyle w:val="7"/>
        <w:rPr>
          <w:rFonts w:hint="eastAsia"/>
        </w:rPr>
      </w:pPr>
    </w:p>
    <w:tbl>
      <w:tblPr>
        <w:tblStyle w:val="18"/>
        <w:tblW w:w="5000" w:type="pct"/>
        <w:jc w:val="center"/>
        <w:tblLayout w:type="autofit"/>
        <w:tblCellMar>
          <w:top w:w="0" w:type="dxa"/>
          <w:left w:w="0" w:type="dxa"/>
          <w:bottom w:w="0" w:type="dxa"/>
          <w:right w:w="0" w:type="dxa"/>
        </w:tblCellMar>
      </w:tblPr>
      <w:tblGrid>
        <w:gridCol w:w="4962"/>
        <w:gridCol w:w="5242"/>
      </w:tblGrid>
      <w:tr w14:paraId="4D289CFB">
        <w:tblPrEx>
          <w:tblCellMar>
            <w:top w:w="0" w:type="dxa"/>
            <w:left w:w="0" w:type="dxa"/>
            <w:bottom w:w="0" w:type="dxa"/>
            <w:right w:w="0" w:type="dxa"/>
          </w:tblCellMar>
        </w:tblPrEx>
        <w:trPr>
          <w:trHeight w:val="919" w:hRule="atLeast"/>
          <w:jc w:val="center"/>
        </w:trPr>
        <w:tc>
          <w:tcPr>
            <w:tcW w:w="10204" w:type="dxa"/>
            <w:gridSpan w:val="2"/>
            <w:noWrap w:val="0"/>
            <w:vAlign w:val="top"/>
          </w:tcPr>
          <w:p w14:paraId="7CD44E87">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5F6A3708">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122F3179">
        <w:tblPrEx>
          <w:tblCellMar>
            <w:top w:w="0" w:type="dxa"/>
            <w:left w:w="0" w:type="dxa"/>
            <w:bottom w:w="0" w:type="dxa"/>
            <w:right w:w="0" w:type="dxa"/>
          </w:tblCellMar>
        </w:tblPrEx>
        <w:trPr>
          <w:jc w:val="center"/>
        </w:trPr>
        <w:tc>
          <w:tcPr>
            <w:tcW w:w="4962" w:type="dxa"/>
            <w:noWrap w:val="0"/>
            <w:vAlign w:val="top"/>
          </w:tcPr>
          <w:p w14:paraId="25A4867B">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0A221117">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0E8CF6D8">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5A9CF1E7">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035A2645">
            <w:pPr>
              <w:pStyle w:val="7"/>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7C9D55F5">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41E5334B">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450AB7F6">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0181A131">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63D75FF6">
            <w:pPr>
              <w:pStyle w:val="7"/>
              <w:rPr>
                <w:rFonts w:hint="eastAsia"/>
              </w:rPr>
            </w:pPr>
            <w:r>
              <w:rPr>
                <w:rFonts w:hint="eastAsia" w:ascii="Times New Roman" w:hAnsi="Times New Roman"/>
                <w:b/>
                <w:bCs/>
                <w:szCs w:val="21"/>
              </w:rPr>
              <w:t>电子邮件：*</w:t>
            </w:r>
            <w:r>
              <w:rPr>
                <w:rFonts w:ascii="Times New Roman" w:hAnsi="Times New Roman"/>
                <w:b/>
                <w:bCs/>
                <w:szCs w:val="21"/>
              </w:rPr>
              <w:t>**</w:t>
            </w:r>
          </w:p>
        </w:tc>
      </w:tr>
    </w:tbl>
    <w:p w14:paraId="6545B81F">
      <w:pPr>
        <w:adjustRightInd w:val="0"/>
        <w:snapToGrid w:val="0"/>
        <w:spacing w:before="312" w:beforeLines="100" w:after="312" w:afterLines="100"/>
        <w:contextualSpacing/>
        <w:jc w:val="left"/>
        <w:rPr>
          <w:rFonts w:ascii="Times New Roman" w:hAnsi="Times New Roman"/>
          <w:color w:val="000000"/>
          <w:szCs w:val="21"/>
        </w:rPr>
      </w:pPr>
    </w:p>
    <w:p w14:paraId="280282AD">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r>
        <w:rPr>
          <w:szCs w:val="21"/>
        </w:rPr>
        <w:t>***</w:t>
      </w:r>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3A43994D">
      <w:pPr>
        <w:ind w:firstLine="420" w:firstLineChars="200"/>
        <w:rPr>
          <w:rFonts w:ascii="Times New Roman" w:hAnsi="Times New Roman"/>
          <w:color w:val="000000"/>
          <w:szCs w:val="21"/>
        </w:rPr>
      </w:pPr>
    </w:p>
    <w:p w14:paraId="7386941C">
      <w:pPr>
        <w:pStyle w:val="29"/>
        <w:numPr>
          <w:ilvl w:val="0"/>
          <w:numId w:val="12"/>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51F2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7E9979FE">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0377DBAC">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2788B323">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758EF704">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414E0612">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5A6E7A89">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77D536C9">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2C46DF64">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3EEACB32">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1BD003F9">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3C5CDCB0">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6A5E5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6EFB2EBB">
            <w:pPr>
              <w:contextualSpacing/>
              <w:jc w:val="center"/>
              <w:rPr>
                <w:rFonts w:ascii="Times New Roman" w:hAnsi="Times New Roman"/>
                <w:b/>
                <w:bCs/>
                <w:color w:val="000000"/>
                <w:sz w:val="18"/>
                <w:szCs w:val="18"/>
              </w:rPr>
            </w:pPr>
            <w:r>
              <w:rPr>
                <w:rFonts w:ascii="Times New Roman" w:hAnsi="Times New Roman"/>
              </w:rPr>
              <w:t>1</w:t>
            </w:r>
          </w:p>
        </w:tc>
        <w:tc>
          <w:tcPr>
            <w:tcW w:w="2551" w:type="dxa"/>
            <w:noWrap w:val="0"/>
            <w:vAlign w:val="center"/>
          </w:tcPr>
          <w:p w14:paraId="714CF8EC">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796F80F7">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0B1C93B0">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48B4FBD7">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0B23C77B">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3FADB1F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42C5D313">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1DD46791">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tr w14:paraId="5224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54515FAE">
            <w:pPr>
              <w:contextualSpacing/>
              <w:jc w:val="center"/>
              <w:rPr>
                <w:rFonts w:ascii="Times New Roman" w:hAnsi="Times New Roman"/>
              </w:rPr>
            </w:pPr>
            <w:r>
              <w:rPr>
                <w:rFonts w:ascii="Times New Roman" w:hAnsi="Times New Roman"/>
              </w:rPr>
              <w:t>2</w:t>
            </w:r>
          </w:p>
        </w:tc>
        <w:tc>
          <w:tcPr>
            <w:tcW w:w="2551" w:type="dxa"/>
            <w:noWrap w:val="0"/>
            <w:vAlign w:val="center"/>
          </w:tcPr>
          <w:p w14:paraId="7DEFA3E1">
            <w:pPr>
              <w:contextualSpacing/>
              <w:jc w:val="center"/>
              <w:rPr>
                <w:rFonts w:ascii="Times New Roman" w:hAnsi="Times New Roman"/>
              </w:rPr>
            </w:pPr>
          </w:p>
        </w:tc>
        <w:tc>
          <w:tcPr>
            <w:tcW w:w="1985" w:type="dxa"/>
            <w:noWrap w:val="0"/>
            <w:vAlign w:val="center"/>
          </w:tcPr>
          <w:p w14:paraId="436A96BC">
            <w:pPr>
              <w:contextualSpacing/>
              <w:jc w:val="center"/>
              <w:rPr>
                <w:rFonts w:ascii="Times New Roman" w:hAnsi="Times New Roman"/>
              </w:rPr>
            </w:pPr>
          </w:p>
        </w:tc>
        <w:tc>
          <w:tcPr>
            <w:tcW w:w="992" w:type="dxa"/>
            <w:noWrap w:val="0"/>
            <w:vAlign w:val="center"/>
          </w:tcPr>
          <w:p w14:paraId="0BD8ADDD">
            <w:pPr>
              <w:contextualSpacing/>
              <w:jc w:val="center"/>
              <w:rPr>
                <w:rFonts w:ascii="Times New Roman" w:hAnsi="Times New Roman"/>
              </w:rPr>
            </w:pPr>
          </w:p>
        </w:tc>
        <w:tc>
          <w:tcPr>
            <w:tcW w:w="1417" w:type="dxa"/>
            <w:noWrap w:val="0"/>
            <w:vAlign w:val="center"/>
          </w:tcPr>
          <w:p w14:paraId="4A35CF15">
            <w:pPr>
              <w:contextualSpacing/>
              <w:jc w:val="center"/>
              <w:rPr>
                <w:rFonts w:ascii="Times New Roman" w:hAnsi="Times New Roman"/>
              </w:rPr>
            </w:pPr>
          </w:p>
        </w:tc>
        <w:tc>
          <w:tcPr>
            <w:tcW w:w="426" w:type="dxa"/>
            <w:noWrap w:val="0"/>
            <w:vAlign w:val="center"/>
          </w:tcPr>
          <w:p w14:paraId="09F4F4BC">
            <w:pPr>
              <w:contextualSpacing/>
              <w:jc w:val="center"/>
              <w:rPr>
                <w:rFonts w:ascii="Times New Roman" w:hAnsi="Times New Roman"/>
              </w:rPr>
            </w:pPr>
          </w:p>
        </w:tc>
        <w:tc>
          <w:tcPr>
            <w:tcW w:w="425" w:type="dxa"/>
            <w:noWrap w:val="0"/>
            <w:vAlign w:val="center"/>
          </w:tcPr>
          <w:p w14:paraId="3C8BD6DC">
            <w:pPr>
              <w:contextualSpacing/>
              <w:jc w:val="center"/>
              <w:rPr>
                <w:rFonts w:ascii="Times New Roman" w:hAnsi="Times New Roman"/>
              </w:rPr>
            </w:pPr>
          </w:p>
        </w:tc>
        <w:tc>
          <w:tcPr>
            <w:tcW w:w="992" w:type="dxa"/>
            <w:noWrap w:val="0"/>
            <w:vAlign w:val="center"/>
          </w:tcPr>
          <w:p w14:paraId="57CF0A6D">
            <w:pPr>
              <w:contextualSpacing/>
              <w:jc w:val="center"/>
              <w:rPr>
                <w:rFonts w:ascii="Times New Roman" w:hAnsi="Times New Roman"/>
              </w:rPr>
            </w:pPr>
          </w:p>
        </w:tc>
        <w:tc>
          <w:tcPr>
            <w:tcW w:w="995" w:type="dxa"/>
            <w:noWrap w:val="0"/>
            <w:vAlign w:val="center"/>
          </w:tcPr>
          <w:p w14:paraId="04D7B07F">
            <w:pPr>
              <w:contextualSpacing/>
              <w:jc w:val="center"/>
              <w:rPr>
                <w:rFonts w:ascii="Times New Roman" w:hAnsi="Times New Roman"/>
              </w:rPr>
            </w:pPr>
          </w:p>
        </w:tc>
      </w:tr>
      <w:tr w14:paraId="3C87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A03F125">
            <w:pPr>
              <w:contextualSpacing/>
              <w:jc w:val="center"/>
              <w:rPr>
                <w:rFonts w:ascii="Times New Roman" w:hAnsi="Times New Roman"/>
              </w:rPr>
            </w:pPr>
            <w:r>
              <w:rPr>
                <w:rFonts w:ascii="Times New Roman" w:hAnsi="Times New Roman"/>
              </w:rPr>
              <w:t>...</w:t>
            </w:r>
          </w:p>
        </w:tc>
        <w:tc>
          <w:tcPr>
            <w:tcW w:w="2551" w:type="dxa"/>
            <w:noWrap w:val="0"/>
            <w:vAlign w:val="center"/>
          </w:tcPr>
          <w:p w14:paraId="325DB86B">
            <w:pPr>
              <w:contextualSpacing/>
              <w:jc w:val="center"/>
              <w:rPr>
                <w:rFonts w:ascii="Times New Roman" w:hAnsi="Times New Roman"/>
              </w:rPr>
            </w:pPr>
          </w:p>
        </w:tc>
        <w:tc>
          <w:tcPr>
            <w:tcW w:w="1985" w:type="dxa"/>
            <w:noWrap w:val="0"/>
            <w:vAlign w:val="center"/>
          </w:tcPr>
          <w:p w14:paraId="721D003B">
            <w:pPr>
              <w:contextualSpacing/>
              <w:jc w:val="center"/>
              <w:rPr>
                <w:rFonts w:ascii="Times New Roman" w:hAnsi="Times New Roman"/>
              </w:rPr>
            </w:pPr>
          </w:p>
        </w:tc>
        <w:tc>
          <w:tcPr>
            <w:tcW w:w="992" w:type="dxa"/>
            <w:noWrap w:val="0"/>
            <w:vAlign w:val="center"/>
          </w:tcPr>
          <w:p w14:paraId="3AD780F5">
            <w:pPr>
              <w:contextualSpacing/>
              <w:jc w:val="center"/>
              <w:rPr>
                <w:rFonts w:ascii="Times New Roman" w:hAnsi="Times New Roman"/>
              </w:rPr>
            </w:pPr>
          </w:p>
        </w:tc>
        <w:tc>
          <w:tcPr>
            <w:tcW w:w="1417" w:type="dxa"/>
            <w:noWrap w:val="0"/>
            <w:vAlign w:val="center"/>
          </w:tcPr>
          <w:p w14:paraId="7283F9DC">
            <w:pPr>
              <w:contextualSpacing/>
              <w:jc w:val="center"/>
              <w:rPr>
                <w:rFonts w:ascii="Times New Roman" w:hAnsi="Times New Roman"/>
              </w:rPr>
            </w:pPr>
          </w:p>
        </w:tc>
        <w:tc>
          <w:tcPr>
            <w:tcW w:w="426" w:type="dxa"/>
            <w:noWrap w:val="0"/>
            <w:vAlign w:val="center"/>
          </w:tcPr>
          <w:p w14:paraId="4E57266D">
            <w:pPr>
              <w:contextualSpacing/>
              <w:jc w:val="center"/>
              <w:rPr>
                <w:rFonts w:ascii="Times New Roman" w:hAnsi="Times New Roman"/>
              </w:rPr>
            </w:pPr>
          </w:p>
        </w:tc>
        <w:tc>
          <w:tcPr>
            <w:tcW w:w="425" w:type="dxa"/>
            <w:noWrap w:val="0"/>
            <w:vAlign w:val="center"/>
          </w:tcPr>
          <w:p w14:paraId="4CD5CF17">
            <w:pPr>
              <w:contextualSpacing/>
              <w:jc w:val="center"/>
              <w:rPr>
                <w:rFonts w:ascii="Times New Roman" w:hAnsi="Times New Roman"/>
              </w:rPr>
            </w:pPr>
          </w:p>
        </w:tc>
        <w:tc>
          <w:tcPr>
            <w:tcW w:w="992" w:type="dxa"/>
            <w:noWrap w:val="0"/>
            <w:vAlign w:val="center"/>
          </w:tcPr>
          <w:p w14:paraId="12FFC830">
            <w:pPr>
              <w:contextualSpacing/>
              <w:jc w:val="center"/>
              <w:rPr>
                <w:rFonts w:ascii="Times New Roman" w:hAnsi="Times New Roman"/>
              </w:rPr>
            </w:pPr>
          </w:p>
        </w:tc>
        <w:tc>
          <w:tcPr>
            <w:tcW w:w="995" w:type="dxa"/>
            <w:noWrap w:val="0"/>
            <w:vAlign w:val="center"/>
          </w:tcPr>
          <w:p w14:paraId="7B12F4B2">
            <w:pPr>
              <w:contextualSpacing/>
              <w:jc w:val="center"/>
              <w:rPr>
                <w:rFonts w:ascii="Times New Roman" w:hAnsi="Times New Roman"/>
              </w:rPr>
            </w:pPr>
          </w:p>
        </w:tc>
      </w:tr>
    </w:tbl>
    <w:p w14:paraId="40BF5150">
      <w:pPr>
        <w:pStyle w:val="29"/>
        <w:numPr>
          <w:ilvl w:val="0"/>
          <w:numId w:val="13"/>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5F34A621">
      <w:pPr>
        <w:pStyle w:val="29"/>
        <w:numPr>
          <w:ilvl w:val="0"/>
          <w:numId w:val="13"/>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4E3C33D1">
      <w:pPr>
        <w:pStyle w:val="29"/>
        <w:numPr>
          <w:ilvl w:val="0"/>
          <w:numId w:val="12"/>
        </w:numPr>
        <w:snapToGrid w:val="0"/>
        <w:ind w:firstLineChars="0"/>
        <w:rPr>
          <w:rFonts w:ascii="Times New Roman" w:hAnsi="Times New Roman"/>
          <w:b/>
          <w:bCs/>
          <w:szCs w:val="21"/>
        </w:rPr>
      </w:pPr>
      <w:r>
        <w:rPr>
          <w:rFonts w:ascii="Times New Roman" w:hAnsi="Times New Roman"/>
          <w:b/>
          <w:bCs/>
          <w:szCs w:val="21"/>
        </w:rPr>
        <w:t>合同总价</w:t>
      </w:r>
    </w:p>
    <w:p w14:paraId="76AE2A06">
      <w:pPr>
        <w:pStyle w:val="29"/>
        <w:ind w:firstLine="0" w:firstLineChars="0"/>
        <w:jc w:val="left"/>
        <w:rPr>
          <w:rFonts w:ascii="Times New Roman" w:hAnsi="Times New Roman"/>
          <w:szCs w:val="21"/>
          <w:highlight w:val="none"/>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2F77242B">
      <w:pPr>
        <w:pStyle w:val="29"/>
        <w:ind w:firstLine="0" w:firstLineChars="0"/>
        <w:rPr>
          <w:rFonts w:ascii="Times New Roman" w:hAnsi="Times New Roman"/>
          <w:szCs w:val="21"/>
          <w:highlight w:val="none"/>
        </w:rPr>
      </w:pPr>
      <w:r>
        <w:rPr>
          <w:rFonts w:ascii="Times New Roman" w:hAnsi="Times New Roman"/>
          <w:szCs w:val="21"/>
          <w:highlight w:val="none"/>
        </w:rPr>
        <w:t>2.本合同执行期间合同总价不变，甲方无须另向乙方支付本合同规定之外的其他任何费用。</w:t>
      </w:r>
    </w:p>
    <w:p w14:paraId="67B93ADE">
      <w:pPr>
        <w:pStyle w:val="29"/>
        <w:numPr>
          <w:ilvl w:val="0"/>
          <w:numId w:val="12"/>
        </w:numPr>
        <w:snapToGrid w:val="0"/>
        <w:ind w:firstLineChars="0"/>
        <w:rPr>
          <w:rFonts w:ascii="Times New Roman" w:hAnsi="Times New Roman"/>
          <w:b/>
          <w:bCs/>
          <w:szCs w:val="21"/>
          <w:highlight w:val="none"/>
        </w:rPr>
      </w:pPr>
      <w:r>
        <w:rPr>
          <w:rFonts w:ascii="Times New Roman" w:hAnsi="Times New Roman"/>
          <w:b/>
          <w:bCs/>
          <w:szCs w:val="21"/>
          <w:highlight w:val="none"/>
        </w:rPr>
        <w:t>质量要求</w:t>
      </w:r>
    </w:p>
    <w:p w14:paraId="3ECF6A12">
      <w:pPr>
        <w:pStyle w:val="29"/>
        <w:numPr>
          <w:ilvl w:val="0"/>
          <w:numId w:val="14"/>
        </w:numPr>
        <w:snapToGrid w:val="0"/>
        <w:ind w:left="0" w:firstLine="0" w:firstLineChars="0"/>
        <w:rPr>
          <w:rFonts w:ascii="Times New Roman" w:hAnsi="Times New Roman"/>
          <w:szCs w:val="21"/>
          <w:highlight w:val="none"/>
        </w:rPr>
      </w:pPr>
      <w:r>
        <w:rPr>
          <w:rFonts w:ascii="Times New Roman" w:hAnsi="Times New Roman"/>
          <w:szCs w:val="21"/>
          <w:highlight w:val="none"/>
        </w:rPr>
        <w:t>乙方须</w:t>
      </w:r>
      <w:r>
        <w:rPr>
          <w:rFonts w:hint="eastAsia" w:ascii="Times New Roman" w:hAnsi="Times New Roman"/>
          <w:szCs w:val="21"/>
          <w:highlight w:val="none"/>
        </w:rPr>
        <w:t>保证向甲方提</w:t>
      </w:r>
      <w:r>
        <w:rPr>
          <w:rFonts w:ascii="Times New Roman" w:hAnsi="Times New Roman"/>
          <w:szCs w:val="21"/>
          <w:highlight w:val="none"/>
        </w:rPr>
        <w:t>供的</w:t>
      </w:r>
      <w:r>
        <w:rPr>
          <w:rFonts w:hint="eastAsia" w:ascii="Times New Roman" w:hAnsi="Times New Roman"/>
          <w:szCs w:val="21"/>
          <w:highlight w:val="none"/>
        </w:rPr>
        <w:t>货物</w:t>
      </w:r>
      <w:r>
        <w:rPr>
          <w:rFonts w:ascii="Times New Roman" w:hAnsi="Times New Roman"/>
          <w:szCs w:val="21"/>
          <w:highlight w:val="none"/>
        </w:rPr>
        <w:t>（含零部件、配件等）</w:t>
      </w:r>
      <w:r>
        <w:rPr>
          <w:rFonts w:hint="eastAsia" w:ascii="Times New Roman" w:hAnsi="Times New Roman"/>
          <w:szCs w:val="21"/>
          <w:highlight w:val="none"/>
        </w:rPr>
        <w:t>是完整、全新的，并在性能、质量和设计方面满足安全、可靠和高效运行与方便维护的全部要求。</w:t>
      </w:r>
    </w:p>
    <w:p w14:paraId="292ECAA4">
      <w:pPr>
        <w:pStyle w:val="29"/>
        <w:numPr>
          <w:ilvl w:val="0"/>
          <w:numId w:val="14"/>
        </w:numPr>
        <w:snapToGrid w:val="0"/>
        <w:ind w:left="0" w:firstLine="0" w:firstLineChars="0"/>
        <w:rPr>
          <w:rFonts w:ascii="Times New Roman" w:hAnsi="Times New Roman"/>
          <w:szCs w:val="21"/>
          <w:highlight w:val="none"/>
        </w:rPr>
      </w:pPr>
      <w:r>
        <w:rPr>
          <w:rFonts w:ascii="Times New Roman" w:hAnsi="Times New Roman"/>
          <w:szCs w:val="21"/>
          <w:highlight w:val="none"/>
        </w:rPr>
        <w:t>货物必须符合或优于国家（行业）标准，以及本项目采购文件的质量要求和技术指标与出厂标准。</w:t>
      </w:r>
    </w:p>
    <w:p w14:paraId="79CDD5F9">
      <w:pPr>
        <w:pStyle w:val="29"/>
        <w:numPr>
          <w:ilvl w:val="0"/>
          <w:numId w:val="14"/>
        </w:numPr>
        <w:snapToGrid w:val="0"/>
        <w:ind w:left="0" w:firstLine="0" w:firstLineChars="0"/>
        <w:rPr>
          <w:rFonts w:ascii="Times New Roman" w:hAnsi="Times New Roman"/>
          <w:szCs w:val="21"/>
          <w:highlight w:val="none"/>
        </w:rPr>
      </w:pPr>
      <w:r>
        <w:rPr>
          <w:rFonts w:ascii="Times New Roman" w:hAnsi="Times New Roman"/>
          <w:szCs w:val="21"/>
          <w:highlight w:val="none"/>
        </w:rPr>
        <w:t>货物制造质量出现问题，乙方应负责按照第</w:t>
      </w:r>
      <w:r>
        <w:rPr>
          <w:rFonts w:hint="eastAsia" w:ascii="Times New Roman" w:hAnsi="Times New Roman"/>
          <w:szCs w:val="21"/>
          <w:highlight w:val="none"/>
        </w:rPr>
        <w:t>十</w:t>
      </w:r>
      <w:r>
        <w:rPr>
          <w:rFonts w:ascii="Times New Roman" w:hAnsi="Times New Roman"/>
          <w:szCs w:val="21"/>
          <w:highlight w:val="none"/>
        </w:rPr>
        <w:t>条承担责任，费用由乙方负担。</w:t>
      </w:r>
    </w:p>
    <w:p w14:paraId="39937D3E">
      <w:pPr>
        <w:pStyle w:val="29"/>
        <w:numPr>
          <w:ilvl w:val="0"/>
          <w:numId w:val="14"/>
        </w:numPr>
        <w:snapToGrid w:val="0"/>
        <w:ind w:left="0" w:firstLine="0" w:firstLineChars="0"/>
        <w:rPr>
          <w:rFonts w:ascii="Times New Roman" w:hAnsi="Times New Roman"/>
          <w:szCs w:val="21"/>
          <w:highlight w:val="none"/>
        </w:rPr>
      </w:pPr>
      <w:r>
        <w:rPr>
          <w:rFonts w:ascii="Times New Roman" w:hAnsi="Times New Roman"/>
          <w:szCs w:val="21"/>
          <w:highlight w:val="none"/>
        </w:rPr>
        <w:t>如因货物质量问题导致甲方无法正常使用或影响使用效果，由此与患者发生纠纷而导致甲方赔偿，乙方对此承担全部责任。</w:t>
      </w:r>
    </w:p>
    <w:p w14:paraId="71072AEF">
      <w:pPr>
        <w:pStyle w:val="29"/>
        <w:numPr>
          <w:ilvl w:val="0"/>
          <w:numId w:val="14"/>
        </w:numPr>
        <w:snapToGrid w:val="0"/>
        <w:ind w:firstLineChars="0"/>
        <w:rPr>
          <w:rFonts w:ascii="Times New Roman" w:hAnsi="Times New Roman"/>
          <w:szCs w:val="21"/>
          <w:highlight w:val="none"/>
        </w:rPr>
      </w:pPr>
      <w:r>
        <w:rPr>
          <w:rFonts w:ascii="Times New Roman" w:hAnsi="Times New Roman"/>
          <w:szCs w:val="21"/>
          <w:highlight w:val="none"/>
        </w:rPr>
        <w:t>甲方人员参与合同货物开箱、调试等行为均不免除乙方及厂家对合同货物质量所应负责任。</w:t>
      </w:r>
    </w:p>
    <w:p w14:paraId="0596EC6E">
      <w:pPr>
        <w:pStyle w:val="29"/>
        <w:numPr>
          <w:ilvl w:val="0"/>
          <w:numId w:val="14"/>
        </w:numPr>
        <w:snapToGrid w:val="0"/>
        <w:ind w:firstLineChars="0"/>
        <w:rPr>
          <w:rFonts w:ascii="Times New Roman" w:hAnsi="Times New Roman"/>
          <w:szCs w:val="21"/>
          <w:highlight w:val="none"/>
        </w:rPr>
      </w:pPr>
      <w:r>
        <w:rPr>
          <w:rFonts w:hint="eastAsia" w:ascii="Times New Roman" w:hAnsi="Times New Roman"/>
          <w:szCs w:val="21"/>
          <w:highlight w:val="none"/>
        </w:rPr>
        <w:t>本合同采购的货物涉及成品软件的，乙方应保证以下内容（本合同另有约定除外）：</w:t>
      </w:r>
    </w:p>
    <w:p w14:paraId="0705FAA3">
      <w:pPr>
        <w:pStyle w:val="29"/>
        <w:numPr>
          <w:ilvl w:val="0"/>
          <w:numId w:val="1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本合同中提供给甲方的软件产品是其产品原厂发布的最新版本。</w:t>
      </w:r>
    </w:p>
    <w:p w14:paraId="24023B80">
      <w:pPr>
        <w:pStyle w:val="29"/>
        <w:numPr>
          <w:ilvl w:val="0"/>
          <w:numId w:val="1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负责软件功能的升级、维护和文档更新，不再收取任何费用。</w:t>
      </w:r>
    </w:p>
    <w:p w14:paraId="6E639E8F">
      <w:pPr>
        <w:pStyle w:val="29"/>
        <w:numPr>
          <w:ilvl w:val="0"/>
          <w:numId w:val="1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本合同中提供给甲方的软件产品不存在定期密码输入等使用和功能上的限制。</w:t>
      </w:r>
    </w:p>
    <w:p w14:paraId="0D611FF9">
      <w:pPr>
        <w:pStyle w:val="29"/>
        <w:numPr>
          <w:ilvl w:val="0"/>
          <w:numId w:val="1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2DB30CF6">
      <w:pPr>
        <w:pStyle w:val="29"/>
        <w:numPr>
          <w:ilvl w:val="0"/>
          <w:numId w:val="15"/>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本合同中提供给甲方的软件产品需要严格遵守相关网络信息安全规定。</w:t>
      </w:r>
    </w:p>
    <w:p w14:paraId="69DC635A">
      <w:pPr>
        <w:pStyle w:val="29"/>
        <w:numPr>
          <w:ilvl w:val="0"/>
          <w:numId w:val="1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6434304E">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交付</w:t>
      </w:r>
    </w:p>
    <w:p w14:paraId="65A21EFF">
      <w:pPr>
        <w:pStyle w:val="29"/>
        <w:snapToGrid w:val="0"/>
        <w:rPr>
          <w:rFonts w:hint="eastAsia" w:ascii="Times New Roman" w:hAnsi="Times New Roman"/>
          <w:szCs w:val="21"/>
          <w:highlight w:val="none"/>
        </w:rPr>
      </w:pPr>
      <w:r>
        <w:rPr>
          <w:rFonts w:hint="eastAsia" w:ascii="Times New Roman" w:hAnsi="Times New Roman"/>
          <w:szCs w:val="21"/>
          <w:highlight w:val="none"/>
        </w:rPr>
        <w:t>本</w:t>
      </w:r>
      <w:r>
        <w:rPr>
          <w:rFonts w:ascii="Times New Roman" w:hAnsi="Times New Roman"/>
          <w:szCs w:val="21"/>
          <w:highlight w:val="none"/>
        </w:rPr>
        <w:t>合同签订生效</w:t>
      </w:r>
      <w:r>
        <w:rPr>
          <w:rFonts w:hint="eastAsia" w:ascii="Times New Roman" w:hAnsi="Times New Roman"/>
          <w:szCs w:val="21"/>
          <w:highlight w:val="none"/>
        </w:rPr>
        <w:t>后*</w:t>
      </w:r>
      <w:r>
        <w:rPr>
          <w:rFonts w:ascii="Times New Roman" w:hAnsi="Times New Roman"/>
          <w:szCs w:val="21"/>
          <w:highlight w:val="none"/>
        </w:rPr>
        <w:t>**</w:t>
      </w:r>
      <w:r>
        <w:rPr>
          <w:rFonts w:ascii="Times New Roman" w:hAnsi="Times New Roman"/>
          <w:highlight w:val="none"/>
        </w:rPr>
        <w:t>天</w:t>
      </w:r>
      <w:r>
        <w:rPr>
          <w:rFonts w:ascii="Times New Roman" w:hAnsi="Times New Roman"/>
          <w:szCs w:val="21"/>
          <w:highlight w:val="none"/>
        </w:rPr>
        <w:t>内</w:t>
      </w:r>
      <w:r>
        <w:rPr>
          <w:rFonts w:hint="eastAsia" w:ascii="Times New Roman" w:hAnsi="Times New Roman"/>
          <w:szCs w:val="21"/>
          <w:highlight w:val="none"/>
        </w:rPr>
        <w:t>由乙方在*</w:t>
      </w:r>
      <w:r>
        <w:rPr>
          <w:rFonts w:ascii="Times New Roman" w:hAnsi="Times New Roman"/>
          <w:szCs w:val="21"/>
          <w:highlight w:val="none"/>
        </w:rPr>
        <w:t>**</w:t>
      </w:r>
      <w:r>
        <w:rPr>
          <w:rFonts w:hint="eastAsia" w:ascii="Times New Roman" w:hAnsi="Times New Roman"/>
          <w:szCs w:val="21"/>
          <w:highlight w:val="none"/>
        </w:rPr>
        <w:t>向甲方交付本合同约定的全部货物，</w:t>
      </w:r>
      <w:r>
        <w:rPr>
          <w:rFonts w:ascii="Times New Roman" w:hAnsi="Times New Roman"/>
          <w:szCs w:val="21"/>
          <w:highlight w:val="none"/>
        </w:rPr>
        <w:t>并于</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szCs w:val="21"/>
          <w:highlight w:val="none"/>
        </w:rPr>
        <w:t>日内</w:t>
      </w:r>
      <w:r>
        <w:rPr>
          <w:rFonts w:ascii="Times New Roman" w:hAnsi="Times New Roman"/>
          <w:szCs w:val="21"/>
          <w:highlight w:val="none"/>
        </w:rPr>
        <w:t>安装调试完毕</w:t>
      </w:r>
      <w:r>
        <w:rPr>
          <w:rFonts w:hint="eastAsia" w:ascii="Times New Roman" w:hAnsi="Times New Roman"/>
          <w:szCs w:val="21"/>
          <w:highlight w:val="none"/>
        </w:rPr>
        <w:t>且具备验收条件。</w:t>
      </w:r>
      <w:r>
        <w:rPr>
          <w:rFonts w:ascii="Times New Roman" w:hAnsi="Times New Roman"/>
          <w:szCs w:val="21"/>
          <w:highlight w:val="none"/>
        </w:rPr>
        <w:t>货物验收合格前，毁损灭失的风险由乙方承担。</w:t>
      </w:r>
    </w:p>
    <w:p w14:paraId="1D754CAC">
      <w:pPr>
        <w:pStyle w:val="29"/>
        <w:numPr>
          <w:ilvl w:val="0"/>
          <w:numId w:val="12"/>
        </w:numPr>
        <w:snapToGrid w:val="0"/>
        <w:ind w:firstLineChars="0"/>
        <w:rPr>
          <w:rFonts w:hint="eastAsia" w:ascii="Times New Roman" w:hAnsi="Times New Roman"/>
          <w:b/>
          <w:bCs/>
          <w:szCs w:val="21"/>
          <w:highlight w:val="none"/>
        </w:rPr>
      </w:pPr>
      <w:r>
        <w:rPr>
          <w:rFonts w:hint="eastAsia" w:ascii="Times New Roman" w:hAnsi="Times New Roman"/>
          <w:b/>
          <w:bCs/>
          <w:szCs w:val="21"/>
          <w:highlight w:val="none"/>
        </w:rPr>
        <w:t>验收</w:t>
      </w:r>
    </w:p>
    <w:p w14:paraId="382D79CD">
      <w:pPr>
        <w:pStyle w:val="29"/>
        <w:numPr>
          <w:ilvl w:val="0"/>
          <w:numId w:val="16"/>
        </w:numPr>
        <w:snapToGrid w:val="0"/>
        <w:ind w:left="0" w:firstLine="0" w:firstLineChars="0"/>
        <w:contextualSpacing/>
        <w:rPr>
          <w:rFonts w:ascii="Times New Roman" w:hAnsi="Times New Roman"/>
          <w:highlight w:val="none"/>
        </w:rPr>
      </w:pPr>
      <w:r>
        <w:rPr>
          <w:rFonts w:ascii="Times New Roman" w:hAnsi="Times New Roman"/>
          <w:highlight w:val="none"/>
        </w:rPr>
        <w:t>甲、乙双方确定，按照本合同约定的验收方案对乙方交付的</w:t>
      </w:r>
      <w:r>
        <w:rPr>
          <w:rFonts w:hint="eastAsia" w:ascii="Times New Roman" w:hAnsi="Times New Roman"/>
          <w:highlight w:val="none"/>
        </w:rPr>
        <w:t>货物</w:t>
      </w:r>
      <w:r>
        <w:rPr>
          <w:rFonts w:ascii="Times New Roman" w:hAnsi="Times New Roman"/>
          <w:highlight w:val="none"/>
        </w:rPr>
        <w:t>进行验收。</w:t>
      </w:r>
    </w:p>
    <w:p w14:paraId="418E38DB">
      <w:pPr>
        <w:pStyle w:val="29"/>
        <w:numPr>
          <w:ilvl w:val="0"/>
          <w:numId w:val="16"/>
        </w:numPr>
        <w:snapToGrid w:val="0"/>
        <w:ind w:left="0" w:firstLine="0" w:firstLineChars="0"/>
        <w:contextualSpacing/>
        <w:rPr>
          <w:rFonts w:ascii="Times New Roman" w:hAnsi="Times New Roman"/>
          <w:highlight w:val="none"/>
        </w:rPr>
      </w:pPr>
      <w:r>
        <w:rPr>
          <w:rFonts w:ascii="Times New Roman" w:hAnsi="Times New Roman"/>
          <w:highlight w:val="none"/>
        </w:rPr>
        <w:t>验收方案：</w:t>
      </w:r>
    </w:p>
    <w:p w14:paraId="1BA14DE1">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验收主体：甲方</w:t>
      </w:r>
    </w:p>
    <w:p w14:paraId="01214165">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验收组织方式：自行验收</w:t>
      </w:r>
    </w:p>
    <w:p w14:paraId="2F054E49">
      <w:pPr>
        <w:pStyle w:val="29"/>
        <w:numPr>
          <w:ilvl w:val="0"/>
          <w:numId w:val="17"/>
        </w:numPr>
        <w:snapToGrid w:val="0"/>
        <w:ind w:left="525" w:hanging="525" w:hangingChars="250"/>
        <w:contextualSpacing/>
        <w:rPr>
          <w:rFonts w:ascii="Times New Roman" w:hAnsi="Times New Roman"/>
          <w:color w:val="333333"/>
          <w:kern w:val="0"/>
          <w:szCs w:val="21"/>
          <w:highlight w:val="none"/>
          <w:shd w:val="clear" w:color="auto" w:fill="FFFFFF"/>
        </w:rPr>
      </w:pPr>
      <w:r>
        <w:rPr>
          <w:rFonts w:ascii="Times New Roman" w:hAnsi="Times New Roman"/>
          <w:highlight w:val="none"/>
        </w:rPr>
        <w:t>验收程序：</w:t>
      </w:r>
      <w:r>
        <w:rPr>
          <w:highlight w:val="none"/>
        </w:rPr>
        <w:sym w:font="Wingdings 2" w:char="F052"/>
      </w:r>
      <w:r>
        <w:rPr>
          <w:rFonts w:ascii="Times New Roman" w:hAnsi="Times New Roman"/>
          <w:kern w:val="0"/>
          <w:szCs w:val="21"/>
          <w:highlight w:val="none"/>
          <w:shd w:val="clear" w:color="auto" w:fill="FFFFFF"/>
        </w:rPr>
        <w:t xml:space="preserve">一次性验收   </w:t>
      </w:r>
      <w:r>
        <w:rPr>
          <w:highlight w:val="none"/>
          <w:shd w:val="clear" w:color="auto" w:fill="FFFFFF"/>
        </w:rPr>
        <w:sym w:font="Wingdings" w:char="F0A8"/>
      </w:r>
      <w:r>
        <w:rPr>
          <w:rFonts w:ascii="Times New Roman" w:hAnsi="Times New Roman"/>
          <w:kern w:val="0"/>
          <w:szCs w:val="21"/>
          <w:highlight w:val="none"/>
          <w:shd w:val="clear" w:color="auto" w:fill="FFFFFF"/>
        </w:rPr>
        <w:t>分段/分期验收</w:t>
      </w:r>
    </w:p>
    <w:p w14:paraId="44E9178E">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验收方式：现场整体验收</w:t>
      </w:r>
    </w:p>
    <w:p w14:paraId="32623324">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履约验收内容：</w:t>
      </w:r>
      <w:r>
        <w:rPr>
          <w:rFonts w:hint="eastAsia" w:ascii="Times New Roman" w:hAnsi="Times New Roman"/>
          <w:highlight w:val="none"/>
        </w:rPr>
        <w:t>按照甲方</w:t>
      </w:r>
      <w:r>
        <w:rPr>
          <w:rFonts w:ascii="Times New Roman" w:hAnsi="Times New Roman"/>
          <w:highlight w:val="none"/>
        </w:rPr>
        <w:t>采购文件要求及乙方响应文件情况，由乙方向甲方交付的全部内容。</w:t>
      </w:r>
    </w:p>
    <w:p w14:paraId="4FE9D336">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履约验收时间：供应商完成本项目涉及的所有</w:t>
      </w:r>
      <w:r>
        <w:rPr>
          <w:rFonts w:hint="eastAsia" w:ascii="Times New Roman" w:hAnsi="Times New Roman"/>
          <w:highlight w:val="none"/>
        </w:rPr>
        <w:t>货物</w:t>
      </w:r>
      <w:r>
        <w:rPr>
          <w:rFonts w:ascii="Times New Roman" w:hAnsi="Times New Roman"/>
          <w:highlight w:val="none"/>
        </w:rPr>
        <w:t>的安装、调试并具备验收条件后于5日内通知甲方验收，甲方接乙方通知后10日内组织验收。</w:t>
      </w:r>
    </w:p>
    <w:p w14:paraId="24599E8C">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是否邀请本项目的其他供应商：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2AA23D15">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是否邀请专家：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21D5743A">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是否邀请服务对象：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3F4F9B2C">
      <w:pPr>
        <w:pStyle w:val="29"/>
        <w:numPr>
          <w:ilvl w:val="0"/>
          <w:numId w:val="17"/>
        </w:numPr>
        <w:snapToGrid w:val="0"/>
        <w:ind w:left="525" w:hanging="525" w:hangingChars="250"/>
        <w:contextualSpacing/>
        <w:rPr>
          <w:rFonts w:ascii="Times New Roman" w:hAnsi="Times New Roman"/>
          <w:szCs w:val="21"/>
          <w:highlight w:val="none"/>
        </w:rPr>
      </w:pPr>
      <w:r>
        <w:rPr>
          <w:rFonts w:ascii="Times New Roman" w:hAnsi="Times New Roman"/>
          <w:szCs w:val="21"/>
          <w:highlight w:val="none"/>
        </w:rPr>
        <w:t xml:space="preserve">是否邀请第三方检测机构： </w:t>
      </w:r>
      <w:r>
        <w:rPr>
          <w:rFonts w:ascii="Times New Roman" w:hAnsi="Times New Roman"/>
          <w:szCs w:val="21"/>
          <w:highlight w:val="none"/>
        </w:rPr>
        <w:sym w:font="Wingdings" w:char="F0A8"/>
      </w:r>
      <w:r>
        <w:rPr>
          <w:rFonts w:ascii="Times New Roman" w:hAnsi="Times New Roman"/>
          <w:szCs w:val="21"/>
          <w:highlight w:val="none"/>
        </w:rPr>
        <w:t xml:space="preserve">是   </w:t>
      </w:r>
      <w:r>
        <w:rPr>
          <w:rFonts w:ascii="Times New Roman" w:hAnsi="Times New Roman"/>
          <w:szCs w:val="21"/>
          <w:highlight w:val="none"/>
        </w:rPr>
        <w:sym w:font="Wingdings 2" w:char="F052"/>
      </w:r>
      <w:r>
        <w:rPr>
          <w:rFonts w:ascii="Times New Roman" w:hAnsi="Times New Roman"/>
          <w:szCs w:val="21"/>
          <w:highlight w:val="none"/>
        </w:rPr>
        <w:t>否</w:t>
      </w:r>
    </w:p>
    <w:p w14:paraId="797026E4">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验收标准：</w:t>
      </w:r>
    </w:p>
    <w:p w14:paraId="4380AE35">
      <w:pPr>
        <w:pStyle w:val="16"/>
        <w:numPr>
          <w:ilvl w:val="0"/>
          <w:numId w:val="18"/>
        </w:numPr>
        <w:snapToGrid w:val="0"/>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436632FC">
      <w:pPr>
        <w:pStyle w:val="16"/>
        <w:numPr>
          <w:ilvl w:val="0"/>
          <w:numId w:val="18"/>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甲方采购文件相关技术、服务要求、乙方响应文件相关响应内容。</w:t>
      </w:r>
    </w:p>
    <w:p w14:paraId="36EA5255">
      <w:pPr>
        <w:pStyle w:val="16"/>
        <w:numPr>
          <w:ilvl w:val="0"/>
          <w:numId w:val="18"/>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成交产品生产厂家出具的产品说明书、技术白皮书等技术资料（如涉及）。</w:t>
      </w:r>
    </w:p>
    <w:p w14:paraId="1177BD40">
      <w:pPr>
        <w:pStyle w:val="16"/>
        <w:numPr>
          <w:ilvl w:val="0"/>
          <w:numId w:val="18"/>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如验收时，采购人与供应商认为本项目验收标准中的技术指标、质量要求等内容存在相互抵触或对其理解存在异议，应按照其中更严格的要求、标准等进行验收。</w:t>
      </w:r>
    </w:p>
    <w:p w14:paraId="6FCB645D">
      <w:pPr>
        <w:pStyle w:val="16"/>
        <w:numPr>
          <w:ilvl w:val="0"/>
          <w:numId w:val="18"/>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参照《财政部关于进一步加强政府采购需求和履约验收管理的指导意见》（财库〔2016〕205号）的要求进行验收。</w:t>
      </w:r>
    </w:p>
    <w:p w14:paraId="6C27E4D5">
      <w:pPr>
        <w:pStyle w:val="16"/>
        <w:numPr>
          <w:ilvl w:val="0"/>
          <w:numId w:val="18"/>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其它标准：无。</w:t>
      </w:r>
    </w:p>
    <w:p w14:paraId="0AD74A83">
      <w:pPr>
        <w:pStyle w:val="29"/>
        <w:numPr>
          <w:ilvl w:val="0"/>
          <w:numId w:val="17"/>
        </w:numPr>
        <w:snapToGrid w:val="0"/>
        <w:ind w:left="525" w:hanging="525" w:hangingChars="250"/>
        <w:contextualSpacing/>
        <w:rPr>
          <w:rFonts w:ascii="Times New Roman" w:hAnsi="Times New Roman"/>
          <w:highlight w:val="none"/>
        </w:rPr>
      </w:pPr>
      <w:r>
        <w:rPr>
          <w:rFonts w:ascii="Times New Roman" w:hAnsi="Times New Roman"/>
          <w:highlight w:val="none"/>
        </w:rPr>
        <w:t>履约验收其它事项：无。</w:t>
      </w:r>
      <w:r>
        <w:rPr>
          <w:rFonts w:ascii="Times New Roman" w:hAnsi="Times New Roman"/>
          <w:i/>
          <w:iCs/>
          <w:highlight w:val="none"/>
        </w:rPr>
        <w:t>&lt;如有请填写&gt;</w:t>
      </w:r>
    </w:p>
    <w:p w14:paraId="3EFF64A8">
      <w:pPr>
        <w:pStyle w:val="29"/>
        <w:numPr>
          <w:ilvl w:val="0"/>
          <w:numId w:val="16"/>
        </w:numPr>
        <w:snapToGrid w:val="0"/>
        <w:ind w:left="0" w:firstLine="0" w:firstLineChars="0"/>
        <w:contextualSpacing/>
        <w:rPr>
          <w:rFonts w:ascii="Times New Roman" w:hAnsi="Times New Roman"/>
          <w:szCs w:val="21"/>
          <w:highlight w:val="none"/>
        </w:rPr>
      </w:pPr>
      <w:r>
        <w:rPr>
          <w:rFonts w:hint="eastAsia" w:ascii="Times New Roman" w:hAnsi="Times New Roman"/>
          <w:szCs w:val="21"/>
          <w:highlight w:val="none"/>
        </w:rPr>
        <w:t>乙方按照本合同向甲方交付的货物：</w:t>
      </w:r>
      <w:bookmarkStart w:id="97" w:name="OLE_LINK3"/>
      <w:r>
        <w:rPr>
          <w:rFonts w:hint="eastAsia" w:ascii="Times New Roman" w:hAnsi="Times New Roman"/>
          <w:i/>
          <w:iCs/>
          <w:color w:val="000000"/>
          <w:szCs w:val="21"/>
          <w:highlight w:val="none"/>
        </w:rPr>
        <w:t>&lt;根据项目实际情况选择</w:t>
      </w:r>
      <w:bookmarkEnd w:id="97"/>
      <w:r>
        <w:rPr>
          <w:rFonts w:hint="eastAsia" w:ascii="Times New Roman" w:hAnsi="Times New Roman"/>
          <w:i/>
          <w:iCs/>
          <w:color w:val="000000"/>
          <w:szCs w:val="21"/>
          <w:highlight w:val="none"/>
        </w:rPr>
        <w:t>&gt;</w:t>
      </w:r>
    </w:p>
    <w:p w14:paraId="77331C51">
      <w:pPr>
        <w:pStyle w:val="29"/>
        <w:snapToGrid w:val="0"/>
        <w:ind w:left="315" w:leftChars="150" w:firstLine="0" w:firstLineChars="0"/>
        <w:rPr>
          <w:rFonts w:ascii="Times New Roman" w:hAnsi="Times New Roman"/>
          <w:szCs w:val="21"/>
          <w:highlight w:val="none"/>
          <w:u w:val="single"/>
        </w:rPr>
      </w:pPr>
      <w:r>
        <w:rPr>
          <w:rFonts w:hint="eastAsia" w:ascii="Times New Roman" w:hAnsi="Times New Roman"/>
          <w:szCs w:val="21"/>
          <w:highlight w:val="none"/>
        </w:rPr>
        <w:sym w:font="Wingdings 2" w:char="00A3"/>
      </w:r>
      <w:r>
        <w:rPr>
          <w:rFonts w:hint="eastAsia" w:ascii="Times New Roman" w:hAnsi="Times New Roman"/>
          <w:szCs w:val="21"/>
          <w:highlight w:val="none"/>
          <w:u w:val="single"/>
        </w:rPr>
        <w:t>有试运行期</w:t>
      </w:r>
      <w:r>
        <w:rPr>
          <w:rFonts w:hint="eastAsia" w:ascii="Times New Roman" w:hAnsi="Times New Roman"/>
          <w:szCs w:val="21"/>
          <w:highlight w:val="none"/>
        </w:rPr>
        <w:t>，试运行期为*</w:t>
      </w:r>
      <w:r>
        <w:rPr>
          <w:rFonts w:ascii="Times New Roman" w:hAnsi="Times New Roman"/>
          <w:szCs w:val="21"/>
          <w:highlight w:val="none"/>
        </w:rPr>
        <w:t>**</w:t>
      </w:r>
      <w:r>
        <w:rPr>
          <w:rFonts w:hint="eastAsia" w:ascii="Times New Roman" w:hAnsi="Times New Roman"/>
          <w:szCs w:val="21"/>
          <w:highlight w:val="none"/>
        </w:rPr>
        <w:t>，</w:t>
      </w:r>
      <w:r>
        <w:rPr>
          <w:rFonts w:ascii="Times New Roman" w:hAnsi="Times New Roman"/>
          <w:szCs w:val="21"/>
          <w:highlight w:val="none"/>
        </w:rPr>
        <w:t>试运行期间，如发现</w:t>
      </w:r>
      <w:r>
        <w:rPr>
          <w:rFonts w:hint="eastAsia" w:ascii="Times New Roman" w:hAnsi="Times New Roman"/>
          <w:szCs w:val="21"/>
          <w:highlight w:val="none"/>
        </w:rPr>
        <w:t>货物有</w:t>
      </w:r>
      <w:r>
        <w:rPr>
          <w:rFonts w:ascii="Times New Roman" w:hAnsi="Times New Roman"/>
          <w:szCs w:val="21"/>
          <w:highlight w:val="none"/>
        </w:rPr>
        <w:t>缺陷，或</w:t>
      </w:r>
      <w:r>
        <w:rPr>
          <w:rFonts w:hint="eastAsia" w:ascii="Times New Roman" w:hAnsi="Times New Roman"/>
          <w:szCs w:val="21"/>
          <w:highlight w:val="none"/>
        </w:rPr>
        <w:t>性能和</w:t>
      </w:r>
      <w:r>
        <w:rPr>
          <w:rFonts w:ascii="Times New Roman" w:hAnsi="Times New Roman"/>
          <w:szCs w:val="21"/>
          <w:highlight w:val="none"/>
        </w:rPr>
        <w:t>质量不</w:t>
      </w:r>
      <w:r>
        <w:rPr>
          <w:rFonts w:hint="eastAsia" w:ascii="Times New Roman" w:hAnsi="Times New Roman"/>
          <w:szCs w:val="21"/>
          <w:highlight w:val="none"/>
        </w:rPr>
        <w:t>符合本项目</w:t>
      </w:r>
      <w:r>
        <w:rPr>
          <w:rFonts w:ascii="Times New Roman" w:hAnsi="Times New Roman"/>
          <w:szCs w:val="21"/>
          <w:highlight w:val="none"/>
        </w:rPr>
        <w:t>要求</w:t>
      </w:r>
      <w:r>
        <w:rPr>
          <w:rFonts w:hint="eastAsia" w:ascii="Times New Roman" w:hAnsi="Times New Roman"/>
          <w:szCs w:val="21"/>
          <w:highlight w:val="none"/>
        </w:rPr>
        <w:t>时</w:t>
      </w:r>
      <w:r>
        <w:rPr>
          <w:rFonts w:ascii="Times New Roman" w:hAnsi="Times New Roman"/>
          <w:szCs w:val="21"/>
          <w:highlight w:val="none"/>
        </w:rPr>
        <w:t>，</w:t>
      </w:r>
      <w:r>
        <w:rPr>
          <w:rFonts w:hint="eastAsia" w:ascii="Times New Roman" w:hAnsi="Times New Roman"/>
          <w:szCs w:val="21"/>
          <w:highlight w:val="none"/>
        </w:rPr>
        <w:t>乙方须对相关货物进行更换和相应处理，同时试运行期时限按照上述修改、更正期进行相应顺延。</w:t>
      </w:r>
    </w:p>
    <w:p w14:paraId="2B8A151B">
      <w:pPr>
        <w:pStyle w:val="29"/>
        <w:snapToGrid w:val="0"/>
        <w:ind w:left="315" w:leftChars="150" w:firstLine="0" w:firstLineChars="0"/>
        <w:rPr>
          <w:rFonts w:hint="eastAsia" w:ascii="Times New Roman" w:hAnsi="Times New Roman"/>
          <w:szCs w:val="21"/>
          <w:highlight w:val="none"/>
        </w:rPr>
      </w:pPr>
      <w:r>
        <w:rPr>
          <w:rFonts w:hint="eastAsia" w:ascii="Times New Roman" w:hAnsi="Times New Roman"/>
          <w:szCs w:val="21"/>
          <w:highlight w:val="none"/>
        </w:rPr>
        <w:sym w:font="Wingdings 2" w:char="0052"/>
      </w:r>
      <w:r>
        <w:rPr>
          <w:rFonts w:hint="eastAsia" w:ascii="Times New Roman" w:hAnsi="Times New Roman"/>
          <w:szCs w:val="21"/>
          <w:highlight w:val="none"/>
          <w:u w:val="single"/>
        </w:rPr>
        <w:t>无试运行期</w:t>
      </w:r>
    </w:p>
    <w:p w14:paraId="5997F206">
      <w:pPr>
        <w:pStyle w:val="29"/>
        <w:numPr>
          <w:ilvl w:val="0"/>
          <w:numId w:val="16"/>
        </w:numPr>
        <w:snapToGrid w:val="0"/>
        <w:ind w:left="0" w:firstLine="0" w:firstLineChars="0"/>
        <w:rPr>
          <w:rFonts w:ascii="Times New Roman" w:hAnsi="Times New Roman"/>
          <w:szCs w:val="21"/>
          <w:highlight w:val="none"/>
        </w:rPr>
      </w:pPr>
      <w:r>
        <w:rPr>
          <w:rFonts w:hint="eastAsia" w:ascii="Times New Roman" w:hAnsi="Times New Roman"/>
          <w:szCs w:val="21"/>
          <w:highlight w:val="none"/>
        </w:rPr>
        <w:t>若验收交付内容涉及试运行的，经试运行达到设计使用要求、技术质量标准并经甲方认可后视为验收通过。</w:t>
      </w:r>
    </w:p>
    <w:p w14:paraId="49AB4D83">
      <w:pPr>
        <w:pStyle w:val="29"/>
        <w:numPr>
          <w:ilvl w:val="0"/>
          <w:numId w:val="16"/>
        </w:numPr>
        <w:snapToGrid w:val="0"/>
        <w:ind w:left="0" w:firstLine="0" w:firstLineChars="0"/>
        <w:rPr>
          <w:rFonts w:hint="eastAsia" w:ascii="Times New Roman" w:hAnsi="Times New Roman"/>
          <w:szCs w:val="21"/>
          <w:highlight w:val="none"/>
        </w:rPr>
      </w:pPr>
      <w:r>
        <w:rPr>
          <w:rFonts w:ascii="Times New Roman" w:hAnsi="Times New Roman"/>
          <w:szCs w:val="21"/>
          <w:highlight w:val="none"/>
        </w:rPr>
        <w:t>如验收合格，双方签署验收报告</w:t>
      </w:r>
      <w:r>
        <w:rPr>
          <w:rFonts w:hint="eastAsia" w:ascii="Times New Roman" w:hAnsi="Times New Roman"/>
          <w:szCs w:val="21"/>
          <w:highlight w:val="none"/>
        </w:rPr>
        <w:t>；</w:t>
      </w:r>
      <w:r>
        <w:rPr>
          <w:rFonts w:ascii="Times New Roman" w:hAnsi="Times New Roman"/>
          <w:szCs w:val="21"/>
          <w:highlight w:val="none"/>
        </w:rPr>
        <w:t>如</w:t>
      </w:r>
      <w:r>
        <w:rPr>
          <w:rFonts w:hint="eastAsia" w:ascii="Times New Roman" w:hAnsi="Times New Roman"/>
          <w:szCs w:val="21"/>
          <w:highlight w:val="none"/>
        </w:rPr>
        <w:t>验收不合格</w:t>
      </w:r>
      <w:r>
        <w:rPr>
          <w:rFonts w:ascii="Times New Roman" w:hAnsi="Times New Roman"/>
          <w:szCs w:val="21"/>
          <w:highlight w:val="none"/>
        </w:rPr>
        <w:t>，甲方应</w:t>
      </w:r>
      <w:r>
        <w:rPr>
          <w:rFonts w:hint="eastAsia" w:ascii="Times New Roman" w:hAnsi="Times New Roman"/>
          <w:szCs w:val="21"/>
          <w:highlight w:val="none"/>
        </w:rPr>
        <w:t>进行</w:t>
      </w:r>
      <w:r>
        <w:rPr>
          <w:rFonts w:ascii="Times New Roman" w:hAnsi="Times New Roman"/>
          <w:szCs w:val="21"/>
          <w:highlight w:val="none"/>
        </w:rPr>
        <w:t>详尽的</w:t>
      </w:r>
      <w:r>
        <w:rPr>
          <w:rFonts w:hint="eastAsia" w:ascii="Times New Roman" w:hAnsi="Times New Roman"/>
          <w:szCs w:val="21"/>
          <w:highlight w:val="none"/>
        </w:rPr>
        <w:t>现场</w:t>
      </w:r>
      <w:r>
        <w:rPr>
          <w:rFonts w:ascii="Times New Roman" w:hAnsi="Times New Roman"/>
          <w:szCs w:val="21"/>
          <w:highlight w:val="none"/>
        </w:rPr>
        <w:t>记录，或由甲乙双方签署备忘录，此现场记录或备忘录可用作</w:t>
      </w:r>
      <w:r>
        <w:rPr>
          <w:rFonts w:hint="eastAsia" w:ascii="Times New Roman" w:hAnsi="Times New Roman"/>
          <w:szCs w:val="21"/>
          <w:highlight w:val="none"/>
        </w:rPr>
        <w:t>修改和更正相关问题</w:t>
      </w:r>
      <w:r>
        <w:rPr>
          <w:rFonts w:ascii="Times New Roman" w:hAnsi="Times New Roman"/>
          <w:szCs w:val="21"/>
          <w:highlight w:val="none"/>
        </w:rPr>
        <w:t>的有效证据，由此产生的时间延误与</w:t>
      </w:r>
      <w:r>
        <w:rPr>
          <w:rFonts w:hint="eastAsia" w:ascii="Times New Roman" w:hAnsi="Times New Roman"/>
          <w:szCs w:val="21"/>
          <w:highlight w:val="none"/>
        </w:rPr>
        <w:t>经济损失</w:t>
      </w:r>
      <w:r>
        <w:rPr>
          <w:rFonts w:ascii="Times New Roman" w:hAnsi="Times New Roman"/>
          <w:szCs w:val="21"/>
          <w:highlight w:val="none"/>
        </w:rPr>
        <w:t>由乙方承担，验收期限相应顺延</w:t>
      </w:r>
      <w:r>
        <w:rPr>
          <w:rFonts w:hint="eastAsia" w:ascii="Times New Roman" w:hAnsi="Times New Roman"/>
          <w:szCs w:val="21"/>
          <w:highlight w:val="none"/>
        </w:rPr>
        <w:t>，且</w:t>
      </w:r>
      <w:r>
        <w:rPr>
          <w:rFonts w:ascii="Times New Roman" w:hAnsi="Times New Roman"/>
          <w:szCs w:val="21"/>
          <w:highlight w:val="none"/>
        </w:rPr>
        <w:t>甲方有权拒绝签署验收报告，</w:t>
      </w:r>
      <w:r>
        <w:rPr>
          <w:rFonts w:hint="eastAsia" w:ascii="Times New Roman" w:hAnsi="Times New Roman"/>
          <w:szCs w:val="21"/>
          <w:highlight w:val="none"/>
        </w:rPr>
        <w:t>并</w:t>
      </w:r>
      <w:r>
        <w:rPr>
          <w:rFonts w:ascii="Times New Roman" w:hAnsi="Times New Roman"/>
          <w:szCs w:val="21"/>
          <w:highlight w:val="none"/>
        </w:rPr>
        <w:t>要求乙方无条件</w:t>
      </w:r>
      <w:r>
        <w:rPr>
          <w:rFonts w:hint="eastAsia" w:ascii="Times New Roman" w:hAnsi="Times New Roman"/>
          <w:szCs w:val="21"/>
          <w:highlight w:val="none"/>
        </w:rPr>
        <w:t>修改和更正</w:t>
      </w:r>
      <w:r>
        <w:rPr>
          <w:rFonts w:ascii="Times New Roman" w:hAnsi="Times New Roman"/>
          <w:szCs w:val="21"/>
          <w:highlight w:val="none"/>
        </w:rPr>
        <w:t>，</w:t>
      </w:r>
      <w:r>
        <w:rPr>
          <w:rFonts w:hint="eastAsia" w:ascii="Times New Roman" w:hAnsi="Times New Roman"/>
          <w:szCs w:val="21"/>
          <w:highlight w:val="none"/>
        </w:rPr>
        <w:t>而后进行再次验收，乙方应承担因此额外产生的全部费用。如果仍不合格，甲方有权终止本合同并视作乙方不能交付而须支付合同总价</w:t>
      </w:r>
      <w:r>
        <w:rPr>
          <w:rFonts w:hint="eastAsia" w:ascii="Times New Roman" w:hAnsi="Times New Roman"/>
          <w:szCs w:val="21"/>
          <w:highlight w:val="none"/>
          <w:u w:val="single"/>
        </w:rPr>
        <w:t>10</w:t>
      </w:r>
      <w:r>
        <w:rPr>
          <w:rFonts w:ascii="Times New Roman" w:hAnsi="Times New Roman"/>
          <w:szCs w:val="21"/>
          <w:highlight w:val="none"/>
        </w:rPr>
        <w:t>%的</w:t>
      </w:r>
      <w:r>
        <w:rPr>
          <w:rFonts w:hint="eastAsia" w:ascii="Times New Roman" w:hAnsi="Times New Roman"/>
          <w:szCs w:val="21"/>
          <w:highlight w:val="none"/>
        </w:rPr>
        <w:t>违约金给甲方，违约金不能弥补甲方损失的，乙方应全额赔偿。</w:t>
      </w:r>
    </w:p>
    <w:p w14:paraId="4764F383">
      <w:pPr>
        <w:pStyle w:val="29"/>
        <w:numPr>
          <w:ilvl w:val="0"/>
          <w:numId w:val="12"/>
        </w:numPr>
        <w:snapToGrid w:val="0"/>
        <w:ind w:firstLineChars="0"/>
        <w:rPr>
          <w:rFonts w:ascii="Times New Roman" w:hAnsi="Times New Roman"/>
          <w:b/>
          <w:bCs/>
          <w:szCs w:val="21"/>
          <w:highlight w:val="none"/>
        </w:rPr>
      </w:pPr>
      <w:r>
        <w:rPr>
          <w:rFonts w:ascii="Times New Roman" w:hAnsi="Times New Roman"/>
          <w:b/>
          <w:bCs/>
          <w:szCs w:val="21"/>
          <w:highlight w:val="none"/>
        </w:rPr>
        <w:t>主体资格及知识产权</w:t>
      </w:r>
    </w:p>
    <w:p w14:paraId="34A0E738">
      <w:pPr>
        <w:pStyle w:val="29"/>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主体资格：</w:t>
      </w:r>
    </w:p>
    <w:p w14:paraId="3B3210E4">
      <w:pPr>
        <w:snapToGrid w:val="0"/>
        <w:ind w:firstLine="420" w:firstLineChars="200"/>
        <w:rPr>
          <w:rFonts w:ascii="Times New Roman" w:hAnsi="Times New Roman"/>
          <w:szCs w:val="21"/>
          <w:highlight w:val="none"/>
        </w:rPr>
      </w:pPr>
      <w:r>
        <w:rPr>
          <w:rFonts w:ascii="Times New Roman" w:hAnsi="Times New Roman"/>
          <w:szCs w:val="21"/>
          <w:highlight w:val="none"/>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1BBF3D93">
      <w:pPr>
        <w:pStyle w:val="29"/>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知识产权：</w:t>
      </w:r>
    </w:p>
    <w:p w14:paraId="21FC8E77">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乙方必须保证，甲方在中华人民共和国境内使用货物或者货物的某一部分时，如有第三方向甲方提出侵犯其专利权、商标权或其他知识产权的主张，由此造成的一切责任由乙方承担。</w:t>
      </w:r>
    </w:p>
    <w:p w14:paraId="19286B73">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本合同费用包含向所有权人支付的专利权、商标权或其他知识产权的有关费用及税费。</w:t>
      </w:r>
    </w:p>
    <w:p w14:paraId="181D91F2">
      <w:pPr>
        <w:pStyle w:val="29"/>
        <w:numPr>
          <w:ilvl w:val="0"/>
          <w:numId w:val="20"/>
        </w:numPr>
        <w:snapToGrid w:val="0"/>
        <w:ind w:firstLineChars="0"/>
        <w:rPr>
          <w:rFonts w:ascii="Times New Roman" w:hAnsi="Times New Roman"/>
          <w:szCs w:val="21"/>
          <w:highlight w:val="none"/>
        </w:rPr>
      </w:pPr>
      <w:r>
        <w:rPr>
          <w:rFonts w:ascii="Times New Roman" w:hAnsi="Times New Roman"/>
          <w:szCs w:val="21"/>
          <w:highlight w:val="none"/>
        </w:rPr>
        <w:t>乙方承诺</w:t>
      </w:r>
      <w:r>
        <w:rPr>
          <w:rFonts w:hint="eastAsia" w:ascii="Times New Roman" w:hAnsi="Times New Roman"/>
          <w:szCs w:val="21"/>
          <w:highlight w:val="none"/>
        </w:rPr>
        <w:t>向甲方提供的</w:t>
      </w:r>
      <w:r>
        <w:rPr>
          <w:rFonts w:ascii="Times New Roman" w:hAnsi="Times New Roman"/>
          <w:szCs w:val="21"/>
          <w:highlight w:val="none"/>
        </w:rPr>
        <w:t>货物上安装的软件已获得软件厂商的正规授权。</w:t>
      </w:r>
    </w:p>
    <w:p w14:paraId="795E41E4">
      <w:pPr>
        <w:pStyle w:val="29"/>
        <w:numPr>
          <w:ilvl w:val="0"/>
          <w:numId w:val="20"/>
        </w:numPr>
        <w:snapToGrid w:val="0"/>
        <w:ind w:firstLineChars="0"/>
        <w:rPr>
          <w:rFonts w:ascii="Times New Roman" w:hAnsi="Times New Roman"/>
          <w:szCs w:val="21"/>
          <w:highlight w:val="none"/>
        </w:rPr>
      </w:pPr>
      <w:r>
        <w:rPr>
          <w:rFonts w:hint="eastAsia" w:ascii="Times New Roman" w:hAnsi="Times New Roman"/>
          <w:szCs w:val="21"/>
          <w:highlight w:val="none"/>
        </w:rPr>
        <w:t>甲、乙双方共同研发的该系统软件产品，知识产权归甲、乙双方共同拥有，软件所有数据归甲方所有</w:t>
      </w:r>
    </w:p>
    <w:p w14:paraId="3E0AA5BA">
      <w:pPr>
        <w:pStyle w:val="29"/>
        <w:numPr>
          <w:ilvl w:val="0"/>
          <w:numId w:val="20"/>
        </w:numPr>
        <w:snapToGrid w:val="0"/>
        <w:ind w:firstLineChars="0"/>
        <w:rPr>
          <w:rFonts w:ascii="Times New Roman" w:hAnsi="Times New Roman"/>
          <w:szCs w:val="21"/>
          <w:highlight w:val="none"/>
        </w:rPr>
      </w:pPr>
      <w:r>
        <w:rPr>
          <w:rFonts w:hint="eastAsia" w:ascii="Times New Roman" w:hAnsi="Times New Roman"/>
          <w:szCs w:val="21"/>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0EE8BE5">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付款方式</w:t>
      </w:r>
    </w:p>
    <w:p w14:paraId="62BA8903">
      <w:pPr>
        <w:pStyle w:val="29"/>
        <w:numPr>
          <w:ilvl w:val="0"/>
          <w:numId w:val="21"/>
        </w:numPr>
        <w:snapToGrid w:val="0"/>
        <w:ind w:firstLineChars="0"/>
        <w:rPr>
          <w:rFonts w:ascii="Times New Roman" w:hAnsi="Times New Roman"/>
          <w:szCs w:val="21"/>
          <w:highlight w:val="none"/>
        </w:rPr>
      </w:pPr>
      <w:r>
        <w:rPr>
          <w:rFonts w:hint="eastAsia" w:ascii="Times New Roman" w:hAnsi="Times New Roman"/>
          <w:szCs w:val="21"/>
          <w:highlight w:val="none"/>
        </w:rPr>
        <w:t>履约保证金：</w:t>
      </w:r>
    </w:p>
    <w:p w14:paraId="6F376FF9">
      <w:pPr>
        <w:pStyle w:val="16"/>
        <w:snapToGrid w:val="0"/>
        <w:spacing w:after="0"/>
        <w:ind w:left="420" w:leftChars="200"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w:t>
      </w:r>
      <w:r>
        <w:rPr>
          <w:rFonts w:hint="eastAsia" w:ascii="Times New Roman" w:hAnsi="Times New Roman"/>
          <w:color w:val="000000"/>
          <w:szCs w:val="21"/>
          <w:highlight w:val="none"/>
        </w:rPr>
        <w:t>；</w:t>
      </w:r>
      <w:r>
        <w:rPr>
          <w:rFonts w:ascii="Times New Roman" w:hAnsi="Times New Roman"/>
          <w:color w:val="000000"/>
          <w:szCs w:val="21"/>
          <w:highlight w:val="none"/>
        </w:rPr>
        <w:t>货物自验收合格之日满1年，甲方接到乙方付款申请后30个工作日内，甲方一次性无息退还乙方的履约保证金</w:t>
      </w:r>
      <w:r>
        <w:rPr>
          <w:rFonts w:hint="eastAsia" w:ascii="Times New Roman" w:hAnsi="Times New Roman"/>
          <w:color w:val="000000"/>
          <w:szCs w:val="21"/>
          <w:highlight w:val="none"/>
        </w:rPr>
        <w:t>；</w:t>
      </w:r>
      <w:r>
        <w:rPr>
          <w:rFonts w:ascii="Times New Roman" w:hAnsi="Times New Roman"/>
          <w:color w:val="000000"/>
          <w:szCs w:val="21"/>
          <w:highlight w:val="none"/>
        </w:rPr>
        <w:t>经验收</w:t>
      </w:r>
      <w:r>
        <w:rPr>
          <w:rFonts w:hint="eastAsia" w:ascii="Times New Roman" w:hAnsi="Times New Roman"/>
          <w:color w:val="000000"/>
          <w:szCs w:val="21"/>
          <w:highlight w:val="none"/>
        </w:rPr>
        <w:t>后</w:t>
      </w:r>
      <w:r>
        <w:rPr>
          <w:rFonts w:ascii="Times New Roman" w:hAnsi="Times New Roman"/>
          <w:color w:val="000000"/>
          <w:szCs w:val="21"/>
          <w:highlight w:val="none"/>
        </w:rPr>
        <w:t>乙方履约不合格的，履约保证金不予退还。</w:t>
      </w:r>
    </w:p>
    <w:p w14:paraId="6634C314">
      <w:pPr>
        <w:pStyle w:val="16"/>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本合同不涉及履约保证金。</w:t>
      </w:r>
    </w:p>
    <w:p w14:paraId="695174E4">
      <w:pPr>
        <w:pStyle w:val="29"/>
        <w:numPr>
          <w:ilvl w:val="0"/>
          <w:numId w:val="21"/>
        </w:numPr>
        <w:snapToGrid w:val="0"/>
        <w:ind w:firstLineChars="0"/>
        <w:rPr>
          <w:rFonts w:ascii="Times New Roman" w:hAnsi="Times New Roman"/>
          <w:szCs w:val="21"/>
          <w:highlight w:val="none"/>
        </w:rPr>
      </w:pPr>
      <w:r>
        <w:rPr>
          <w:rFonts w:hint="eastAsia" w:ascii="Times New Roman" w:hAnsi="Times New Roman"/>
          <w:szCs w:val="21"/>
          <w:highlight w:val="none"/>
        </w:rPr>
        <w:t>本合同价款采用以下方式支付，以人民币结算：</w:t>
      </w:r>
    </w:p>
    <w:p w14:paraId="37A8731C">
      <w:pPr>
        <w:pStyle w:val="16"/>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hint="eastAsia" w:ascii="Times New Roman" w:hAnsi="Times New Roman"/>
          <w:color w:val="000000"/>
          <w:szCs w:val="21"/>
          <w:highlight w:val="none"/>
        </w:rPr>
        <w:t>一次性支付：</w:t>
      </w:r>
    </w:p>
    <w:p w14:paraId="3B1D62A5">
      <w:pPr>
        <w:pStyle w:val="16"/>
        <w:snapToGrid w:val="0"/>
        <w:spacing w:after="0"/>
        <w:ind w:left="840" w:leftChars="400" w:firstLineChars="200"/>
        <w:contextualSpacing/>
        <w:rPr>
          <w:rFonts w:ascii="Times New Roman" w:hAnsi="Times New Roman"/>
          <w:color w:val="000000"/>
          <w:szCs w:val="21"/>
          <w:highlight w:val="none"/>
        </w:rPr>
      </w:pPr>
      <w:r>
        <w:rPr>
          <w:rFonts w:hint="eastAsia" w:ascii="Times New Roman" w:hAnsi="Times New Roman"/>
          <w:color w:val="000000"/>
          <w:szCs w:val="21"/>
          <w:highlight w:val="none"/>
        </w:rPr>
        <w:t>甲方验收合格后</w:t>
      </w:r>
      <w:r>
        <w:rPr>
          <w:rFonts w:ascii="Times New Roman" w:hAnsi="Times New Roman"/>
          <w:color w:val="000000"/>
          <w:szCs w:val="21"/>
          <w:highlight w:val="none"/>
        </w:rPr>
        <w:t>5</w:t>
      </w:r>
      <w:r>
        <w:rPr>
          <w:rFonts w:hint="eastAsia" w:ascii="Times New Roman" w:hAnsi="Times New Roman"/>
          <w:color w:val="000000"/>
          <w:szCs w:val="21"/>
          <w:highlight w:val="none"/>
        </w:rPr>
        <w:t>日内，乙方须向甲方出具</w:t>
      </w:r>
      <w:r>
        <w:rPr>
          <w:highlight w:val="none"/>
          <w:lang w:bidi="ar"/>
        </w:rPr>
        <w:t>合法有效票据及其它相关请款资料</w:t>
      </w:r>
      <w:r>
        <w:rPr>
          <w:rFonts w:hint="eastAsia" w:ascii="Times New Roman" w:hAnsi="Times New Roman"/>
          <w:color w:val="000000"/>
          <w:szCs w:val="21"/>
          <w:highlight w:val="none"/>
        </w:rPr>
        <w:t>，甲方自收到上述发票及凭证资料后</w:t>
      </w:r>
      <w:r>
        <w:rPr>
          <w:rFonts w:ascii="Times New Roman" w:hAnsi="Times New Roman"/>
          <w:color w:val="000000"/>
          <w:szCs w:val="21"/>
          <w:highlight w:val="none"/>
        </w:rPr>
        <w:t>55</w:t>
      </w:r>
      <w:r>
        <w:rPr>
          <w:rFonts w:hint="eastAsia" w:ascii="Times New Roman" w:hAnsi="Times New Roman"/>
          <w:color w:val="000000"/>
          <w:szCs w:val="21"/>
          <w:highlight w:val="none"/>
        </w:rPr>
        <w:t>日内支付合同总价</w:t>
      </w:r>
      <w:r>
        <w:rPr>
          <w:rFonts w:ascii="Times New Roman" w:hAnsi="Times New Roman"/>
          <w:color w:val="000000"/>
          <w:szCs w:val="21"/>
          <w:highlight w:val="none"/>
        </w:rPr>
        <w:t>100%</w:t>
      </w:r>
      <w:r>
        <w:rPr>
          <w:rFonts w:hint="eastAsia" w:ascii="Times New Roman" w:hAnsi="Times New Roman"/>
          <w:color w:val="000000"/>
          <w:szCs w:val="21"/>
          <w:highlight w:val="none"/>
        </w:rPr>
        <w:t>的货款给乙方。</w:t>
      </w:r>
    </w:p>
    <w:p w14:paraId="0314C66A">
      <w:pPr>
        <w:pStyle w:val="16"/>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分阶段支付，支付期限及额度如下：</w:t>
      </w:r>
    </w:p>
    <w:p w14:paraId="4B404B42">
      <w:pPr>
        <w:pStyle w:val="16"/>
        <w:snapToGrid w:val="0"/>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（1）预付款：本合同生效后</w:t>
      </w:r>
      <w:r>
        <w:rPr>
          <w:rFonts w:ascii="Times New Roman" w:hAnsi="Times New Roman"/>
          <w:color w:val="000000"/>
          <w:szCs w:val="21"/>
          <w:highlight w:val="none"/>
        </w:rPr>
        <w:t>***</w:t>
      </w:r>
      <w:r>
        <w:rPr>
          <w:rFonts w:hint="eastAsia" w:ascii="Times New Roman" w:hAnsi="Times New Roman"/>
          <w:color w:val="000000"/>
          <w:szCs w:val="21"/>
          <w:highlight w:val="none"/>
        </w:rPr>
        <w:t>个工作日内，甲方预付项目费用总额的*</w:t>
      </w:r>
      <w:r>
        <w:rPr>
          <w:rFonts w:ascii="Times New Roman" w:hAnsi="Times New Roman"/>
          <w:color w:val="000000"/>
          <w:szCs w:val="21"/>
          <w:highlight w:val="none"/>
        </w:rPr>
        <w:t>**%</w:t>
      </w:r>
      <w:r>
        <w:rPr>
          <w:rFonts w:hint="eastAsia" w:ascii="Times New Roman" w:hAnsi="Times New Roman"/>
          <w:color w:val="000000"/>
          <w:szCs w:val="21"/>
          <w:highlight w:val="none"/>
        </w:rPr>
        <w:t xml:space="preserve">，即人民币（大写）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圆整（RMB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元）。</w:t>
      </w:r>
    </w:p>
    <w:p w14:paraId="13F768C6">
      <w:pPr>
        <w:pStyle w:val="16"/>
        <w:snapToGrid w:val="0"/>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（2）进度款，甲方应当按照下列方式支付进度款：</w:t>
      </w:r>
    </w:p>
    <w:p w14:paraId="69E9FFE9">
      <w:pPr>
        <w:pStyle w:val="16"/>
        <w:snapToGrid w:val="0"/>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乙方按照本合同约定完成阶段性工作后，甲方应于每一阶段性工作成果验收合格之日起</w:t>
      </w:r>
      <w:r>
        <w:rPr>
          <w:rFonts w:ascii="Times New Roman" w:hAnsi="Times New Roman"/>
          <w:color w:val="000000"/>
          <w:szCs w:val="21"/>
          <w:highlight w:val="none"/>
        </w:rPr>
        <w:t>***</w:t>
      </w:r>
      <w:r>
        <w:rPr>
          <w:rFonts w:hint="eastAsia" w:ascii="Times New Roman" w:hAnsi="Times New Roman"/>
          <w:color w:val="000000"/>
          <w:szCs w:val="21"/>
          <w:highlight w:val="none"/>
        </w:rPr>
        <w:t>个工作日内，向乙方支付相应的费用。</w:t>
      </w:r>
    </w:p>
    <w:p w14:paraId="2E9E3926">
      <w:pPr>
        <w:pStyle w:val="16"/>
        <w:snapToGrid w:val="0"/>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乙方完成</w:t>
      </w:r>
      <w:r>
        <w:rPr>
          <w:rFonts w:ascii="Times New Roman" w:hAnsi="Times New Roman"/>
          <w:color w:val="000000"/>
          <w:szCs w:val="21"/>
          <w:highlight w:val="none"/>
        </w:rPr>
        <w:t>***</w:t>
      </w:r>
      <w:r>
        <w:rPr>
          <w:rFonts w:hint="eastAsia" w:ascii="Times New Roman" w:hAnsi="Times New Roman"/>
          <w:color w:val="000000"/>
          <w:szCs w:val="21"/>
          <w:highlight w:val="none"/>
        </w:rPr>
        <w:t>，甲方支付项目费用总额的</w:t>
      </w:r>
      <w:r>
        <w:rPr>
          <w:rFonts w:ascii="Times New Roman" w:hAnsi="Times New Roman"/>
          <w:color w:val="000000"/>
          <w:szCs w:val="21"/>
          <w:highlight w:val="none"/>
        </w:rPr>
        <w:t>***%</w:t>
      </w:r>
      <w:r>
        <w:rPr>
          <w:rFonts w:hint="eastAsia" w:ascii="Times New Roman" w:hAnsi="Times New Roman"/>
          <w:color w:val="000000"/>
          <w:szCs w:val="21"/>
          <w:highlight w:val="none"/>
        </w:rPr>
        <w:t>，即 人民币（大写）</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圆整（RMB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元）。</w:t>
      </w:r>
    </w:p>
    <w:p w14:paraId="1B194304">
      <w:pPr>
        <w:pStyle w:val="16"/>
        <w:snapToGrid w:val="0"/>
        <w:spacing w:after="0"/>
        <w:ind w:left="945" w:leftChars="400" w:hanging="105" w:hangingChars="5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（3）结算款：本项目竣工验收合格后</w:t>
      </w:r>
      <w:r>
        <w:rPr>
          <w:rFonts w:ascii="Times New Roman" w:hAnsi="Times New Roman"/>
          <w:color w:val="000000"/>
          <w:szCs w:val="21"/>
          <w:highlight w:val="none"/>
        </w:rPr>
        <w:t>***</w:t>
      </w:r>
      <w:r>
        <w:rPr>
          <w:rFonts w:hint="eastAsia" w:ascii="Times New Roman" w:hAnsi="Times New Roman"/>
          <w:color w:val="000000"/>
          <w:szCs w:val="21"/>
          <w:highlight w:val="none"/>
        </w:rPr>
        <w:t>个工作日内，甲方向乙方支付剩余价款人民币（大写）</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圆整（RMB</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 元）。</w:t>
      </w:r>
    </w:p>
    <w:p w14:paraId="48B1855E">
      <w:pPr>
        <w:pStyle w:val="29"/>
        <w:numPr>
          <w:ilvl w:val="0"/>
          <w:numId w:val="21"/>
        </w:numPr>
        <w:snapToGrid w:val="0"/>
        <w:ind w:left="0" w:firstLine="0" w:firstLineChars="0"/>
        <w:rPr>
          <w:rFonts w:ascii="Times New Roman" w:hAnsi="Times New Roman"/>
          <w:szCs w:val="21"/>
          <w:highlight w:val="none"/>
        </w:rPr>
      </w:pPr>
      <w:r>
        <w:rPr>
          <w:rFonts w:hint="eastAsia" w:ascii="Times New Roman" w:hAnsi="Times New Roman"/>
          <w:szCs w:val="21"/>
          <w:highlight w:val="none"/>
        </w:rPr>
        <w:t>甲方付款前，乙方需出具</w:t>
      </w:r>
      <w:r>
        <w:rPr>
          <w:highlight w:val="none"/>
          <w:lang w:bidi="ar"/>
        </w:rPr>
        <w:t>合法有效票据及其它相关请款资料</w:t>
      </w:r>
      <w:r>
        <w:rPr>
          <w:rFonts w:hint="eastAsia" w:ascii="Times New Roman" w:hAnsi="Times New Roman"/>
          <w:szCs w:val="21"/>
          <w:highlight w:val="none"/>
        </w:rPr>
        <w:t>，否则甲方有权拒绝支付且不承担任何违约责任，且乙方不得因此停止履约。</w:t>
      </w:r>
    </w:p>
    <w:p w14:paraId="6BEBD935">
      <w:pPr>
        <w:pStyle w:val="29"/>
        <w:numPr>
          <w:ilvl w:val="0"/>
          <w:numId w:val="21"/>
        </w:numPr>
        <w:snapToGrid w:val="0"/>
        <w:ind w:left="0" w:firstLine="0" w:firstLineChars="0"/>
        <w:rPr>
          <w:rFonts w:ascii="Times New Roman" w:hAnsi="Times New Roman"/>
          <w:szCs w:val="21"/>
          <w:highlight w:val="none"/>
        </w:rPr>
      </w:pPr>
      <w:r>
        <w:rPr>
          <w:rFonts w:ascii="Times New Roman" w:hAnsi="Times New Roman"/>
          <w:szCs w:val="21"/>
          <w:highlight w:val="none"/>
        </w:rPr>
        <w:t>乙方开票信息</w:t>
      </w:r>
      <w:r>
        <w:rPr>
          <w:rFonts w:hint="eastAsia" w:ascii="Times New Roman" w:hAnsi="Times New Roman"/>
          <w:szCs w:val="21"/>
          <w:highlight w:val="none"/>
        </w:rPr>
        <w:t>中的货物</w:t>
      </w:r>
      <w:r>
        <w:rPr>
          <w:rFonts w:ascii="Times New Roman" w:hAnsi="Times New Roman"/>
          <w:szCs w:val="21"/>
          <w:highlight w:val="none"/>
        </w:rPr>
        <w:t>名称与</w:t>
      </w:r>
      <w:r>
        <w:rPr>
          <w:rFonts w:hint="eastAsia" w:ascii="Times New Roman" w:hAnsi="Times New Roman"/>
          <w:szCs w:val="21"/>
          <w:highlight w:val="none"/>
        </w:rPr>
        <w:t>合同</w:t>
      </w:r>
      <w:r>
        <w:rPr>
          <w:rFonts w:ascii="Times New Roman" w:hAnsi="Times New Roman"/>
          <w:szCs w:val="21"/>
          <w:highlight w:val="none"/>
        </w:rPr>
        <w:t>中</w:t>
      </w:r>
      <w:r>
        <w:rPr>
          <w:rFonts w:hint="eastAsia" w:ascii="Times New Roman" w:hAnsi="Times New Roman"/>
          <w:szCs w:val="21"/>
          <w:highlight w:val="none"/>
        </w:rPr>
        <w:t>货物</w:t>
      </w:r>
      <w:r>
        <w:rPr>
          <w:rFonts w:ascii="Times New Roman" w:hAnsi="Times New Roman"/>
          <w:szCs w:val="21"/>
          <w:highlight w:val="none"/>
        </w:rPr>
        <w:t>名称</w:t>
      </w:r>
      <w:r>
        <w:rPr>
          <w:rFonts w:hint="eastAsia" w:ascii="Times New Roman" w:hAnsi="Times New Roman"/>
          <w:szCs w:val="21"/>
          <w:highlight w:val="none"/>
        </w:rPr>
        <w:t>应</w:t>
      </w:r>
      <w:r>
        <w:rPr>
          <w:rFonts w:ascii="Times New Roman" w:hAnsi="Times New Roman"/>
          <w:szCs w:val="21"/>
          <w:highlight w:val="none"/>
        </w:rPr>
        <w:t>一致。</w:t>
      </w:r>
    </w:p>
    <w:p w14:paraId="397FA446">
      <w:pPr>
        <w:pStyle w:val="29"/>
        <w:numPr>
          <w:ilvl w:val="0"/>
          <w:numId w:val="21"/>
        </w:numPr>
        <w:snapToGrid w:val="0"/>
        <w:ind w:left="0" w:firstLine="0" w:firstLineChars="0"/>
        <w:rPr>
          <w:rFonts w:ascii="Times New Roman" w:hAnsi="Times New Roman"/>
          <w:szCs w:val="21"/>
          <w:highlight w:val="none"/>
        </w:rPr>
      </w:pPr>
      <w:r>
        <w:rPr>
          <w:rFonts w:ascii="Times New Roman" w:hAnsi="Times New Roman"/>
          <w:szCs w:val="21"/>
          <w:highlight w:val="none"/>
        </w:rPr>
        <w:t>乙方开票信息应与合同预留账户信息一致</w:t>
      </w:r>
      <w:r>
        <w:rPr>
          <w:rFonts w:hint="eastAsia" w:ascii="Times New Roman" w:hAnsi="Times New Roman"/>
          <w:szCs w:val="21"/>
          <w:highlight w:val="none"/>
        </w:rPr>
        <w:t>，</w:t>
      </w:r>
      <w:r>
        <w:rPr>
          <w:rFonts w:ascii="Times New Roman" w:hAnsi="Times New Roman"/>
          <w:szCs w:val="21"/>
          <w:highlight w:val="none"/>
        </w:rPr>
        <w:t>如有变更，乙方应当在变更后3日内通知甲方</w:t>
      </w:r>
      <w:r>
        <w:rPr>
          <w:rFonts w:hint="eastAsia" w:ascii="Times New Roman" w:hAnsi="Times New Roman"/>
          <w:szCs w:val="21"/>
          <w:highlight w:val="none"/>
        </w:rPr>
        <w:t>，</w:t>
      </w:r>
      <w:r>
        <w:rPr>
          <w:rFonts w:ascii="Times New Roman" w:hAnsi="Times New Roman"/>
          <w:szCs w:val="21"/>
          <w:highlight w:val="none"/>
        </w:rPr>
        <w:t>否则，由此造成的损失由乙方自行承担。</w:t>
      </w:r>
    </w:p>
    <w:p w14:paraId="5CD9B75F">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售后服务</w:t>
      </w:r>
    </w:p>
    <w:p w14:paraId="2A927367">
      <w:pPr>
        <w:pStyle w:val="29"/>
        <w:numPr>
          <w:ilvl w:val="0"/>
          <w:numId w:val="22"/>
        </w:numPr>
        <w:snapToGrid w:val="0"/>
        <w:ind w:firstLineChars="0"/>
        <w:rPr>
          <w:rFonts w:ascii="Times New Roman" w:hAnsi="Times New Roman"/>
          <w:szCs w:val="21"/>
          <w:highlight w:val="none"/>
        </w:rPr>
      </w:pPr>
      <w:r>
        <w:rPr>
          <w:rFonts w:ascii="Times New Roman" w:hAnsi="Times New Roman"/>
          <w:szCs w:val="21"/>
          <w:highlight w:val="none"/>
        </w:rPr>
        <w:t>乙方应对甲方工作人员进行培训：***</w:t>
      </w:r>
      <w:r>
        <w:rPr>
          <w:rFonts w:hint="eastAsia" w:ascii="Times New Roman" w:hAnsi="Times New Roman"/>
          <w:i/>
          <w:iCs/>
          <w:szCs w:val="21"/>
          <w:highlight w:val="none"/>
        </w:rPr>
        <w:t>&lt;具体培训内容</w:t>
      </w:r>
      <w:r>
        <w:rPr>
          <w:rFonts w:ascii="Times New Roman" w:hAnsi="Times New Roman"/>
          <w:i/>
          <w:iCs/>
          <w:szCs w:val="21"/>
          <w:highlight w:val="none"/>
        </w:rPr>
        <w:t>可根据项目具体情况编制</w:t>
      </w:r>
      <w:r>
        <w:rPr>
          <w:rFonts w:hint="eastAsia" w:ascii="Times New Roman" w:hAnsi="Times New Roman"/>
          <w:i/>
          <w:iCs/>
          <w:szCs w:val="21"/>
          <w:highlight w:val="none"/>
        </w:rPr>
        <w:t>&gt;</w:t>
      </w:r>
      <w:r>
        <w:rPr>
          <w:rFonts w:ascii="Times New Roman" w:hAnsi="Times New Roman"/>
          <w:highlight w:val="none"/>
        </w:rPr>
        <w:t>。</w:t>
      </w:r>
      <w:r>
        <w:rPr>
          <w:rFonts w:ascii="Times New Roman" w:hAnsi="Times New Roman"/>
          <w:szCs w:val="21"/>
          <w:highlight w:val="none"/>
        </w:rPr>
        <w:t>货物</w:t>
      </w:r>
      <w:r>
        <w:rPr>
          <w:rFonts w:hint="eastAsia" w:ascii="Times New Roman" w:hAnsi="Times New Roman"/>
          <w:szCs w:val="21"/>
          <w:highlight w:val="none"/>
        </w:rPr>
        <w:t>如需</w:t>
      </w:r>
      <w:r>
        <w:rPr>
          <w:rFonts w:ascii="Times New Roman" w:hAnsi="Times New Roman"/>
          <w:szCs w:val="21"/>
          <w:highlight w:val="none"/>
        </w:rPr>
        <w:t>安装调试</w:t>
      </w:r>
      <w:r>
        <w:rPr>
          <w:rFonts w:hint="eastAsia" w:ascii="Times New Roman" w:hAnsi="Times New Roman"/>
          <w:szCs w:val="21"/>
          <w:highlight w:val="none"/>
        </w:rPr>
        <w:t>，</w:t>
      </w:r>
      <w:r>
        <w:rPr>
          <w:rFonts w:ascii="Times New Roman" w:hAnsi="Times New Roman"/>
          <w:szCs w:val="21"/>
          <w:highlight w:val="none"/>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highlight w:val="none"/>
        </w:rPr>
        <w:t>方法</w:t>
      </w:r>
      <w:r>
        <w:rPr>
          <w:rFonts w:ascii="Times New Roman" w:hAnsi="Times New Roman"/>
          <w:szCs w:val="21"/>
          <w:highlight w:val="none"/>
        </w:rPr>
        <w:t>，保证正常运行并能排除一般</w:t>
      </w:r>
      <w:r>
        <w:rPr>
          <w:rFonts w:hint="eastAsia" w:ascii="Times New Roman" w:hAnsi="Times New Roman"/>
          <w:szCs w:val="21"/>
          <w:highlight w:val="none"/>
        </w:rPr>
        <w:t>性</w:t>
      </w:r>
      <w:r>
        <w:rPr>
          <w:rFonts w:ascii="Times New Roman" w:hAnsi="Times New Roman"/>
          <w:szCs w:val="21"/>
          <w:highlight w:val="none"/>
        </w:rPr>
        <w:t>故障。乙方应对</w:t>
      </w:r>
      <w:r>
        <w:rPr>
          <w:rFonts w:hint="eastAsia" w:ascii="Times New Roman" w:hAnsi="Times New Roman"/>
          <w:szCs w:val="21"/>
          <w:highlight w:val="none"/>
        </w:rPr>
        <w:t>甲方</w:t>
      </w:r>
      <w:r>
        <w:rPr>
          <w:rFonts w:ascii="Times New Roman" w:hAnsi="Times New Roman"/>
          <w:szCs w:val="21"/>
          <w:highlight w:val="none"/>
        </w:rPr>
        <w:t>维修工程师进行全系统维修培训。</w:t>
      </w:r>
    </w:p>
    <w:p w14:paraId="2B779BCB">
      <w:pPr>
        <w:pStyle w:val="29"/>
        <w:numPr>
          <w:ilvl w:val="0"/>
          <w:numId w:val="22"/>
        </w:numPr>
        <w:snapToGrid w:val="0"/>
        <w:ind w:firstLineChars="0"/>
        <w:rPr>
          <w:rFonts w:ascii="Times New Roman" w:hAnsi="Times New Roman"/>
          <w:szCs w:val="21"/>
          <w:highlight w:val="none"/>
        </w:rPr>
      </w:pPr>
      <w:r>
        <w:rPr>
          <w:rFonts w:ascii="Times New Roman" w:hAnsi="Times New Roman"/>
          <w:szCs w:val="21"/>
          <w:highlight w:val="none"/>
        </w:rPr>
        <w:t>质保期为验收合格后 *** 年（合同签订后甲方出具验收报告之日起）</w:t>
      </w:r>
    </w:p>
    <w:p w14:paraId="370FAE1C">
      <w:pPr>
        <w:pStyle w:val="29"/>
        <w:numPr>
          <w:ilvl w:val="0"/>
          <w:numId w:val="22"/>
        </w:numPr>
        <w:snapToGrid w:val="0"/>
        <w:ind w:firstLineChars="0"/>
        <w:contextualSpacing/>
        <w:rPr>
          <w:rFonts w:ascii="Times New Roman" w:hAnsi="Times New Roman"/>
          <w:szCs w:val="21"/>
          <w:highlight w:val="none"/>
        </w:rPr>
      </w:pPr>
      <w:r>
        <w:rPr>
          <w:rFonts w:ascii="Times New Roman" w:hAnsi="Times New Roman"/>
          <w:szCs w:val="21"/>
          <w:highlight w:val="none"/>
        </w:rPr>
        <w:t>质保范围：</w:t>
      </w:r>
      <w:r>
        <w:rPr>
          <w:rFonts w:ascii="Times New Roman" w:hAnsi="Times New Roman"/>
          <w:highlight w:val="none"/>
        </w:rPr>
        <w:t>整机含所有部件（质保期内涉及维修,产品更换,人工费用等一切费用包含在本合同总价中</w:t>
      </w:r>
      <w:r>
        <w:rPr>
          <w:rFonts w:hint="eastAsia" w:ascii="Times New Roman" w:hAnsi="Times New Roman"/>
          <w:highlight w:val="none"/>
        </w:rPr>
        <w:t>）</w:t>
      </w:r>
      <w:r>
        <w:rPr>
          <w:rFonts w:ascii="Times New Roman" w:hAnsi="Times New Roman"/>
          <w:highlight w:val="none"/>
        </w:rPr>
        <w:t>。</w:t>
      </w:r>
      <w:r>
        <w:rPr>
          <w:rFonts w:ascii="Times New Roman" w:hAnsi="Times New Roman"/>
          <w:szCs w:val="21"/>
          <w:highlight w:val="none"/>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highlight w:val="none"/>
        </w:rPr>
        <w:t>货物</w:t>
      </w:r>
      <w:r>
        <w:rPr>
          <w:rFonts w:eastAsia="Songti SC"/>
          <w:highlight w:val="none"/>
        </w:rPr>
        <w:t>在质保期内因同一故障</w:t>
      </w:r>
      <w:r>
        <w:rPr>
          <w:rFonts w:ascii="Times New Roman" w:hAnsi="Times New Roman"/>
          <w:szCs w:val="21"/>
          <w:highlight w:val="none"/>
        </w:rPr>
        <w:t>经乙方两次维修仍不能达到本合同约定的</w:t>
      </w:r>
      <w:r>
        <w:rPr>
          <w:rFonts w:hint="eastAsia" w:ascii="Times New Roman" w:hAnsi="Times New Roman"/>
          <w:highlight w:val="none"/>
        </w:rPr>
        <w:t>技术要求及国家法律法规规定的</w:t>
      </w:r>
      <w:r>
        <w:rPr>
          <w:rFonts w:ascii="Times New Roman" w:hAnsi="Times New Roman"/>
          <w:szCs w:val="21"/>
          <w:highlight w:val="none"/>
        </w:rPr>
        <w:t>质量标准，甲方有权采取要求乙方更换全新货物</w:t>
      </w:r>
      <w:r>
        <w:rPr>
          <w:rFonts w:hint="eastAsia" w:ascii="Times New Roman" w:hAnsi="Times New Roman"/>
          <w:szCs w:val="21"/>
          <w:highlight w:val="none"/>
        </w:rPr>
        <w:t>或</w:t>
      </w:r>
      <w:r>
        <w:rPr>
          <w:rFonts w:ascii="Times New Roman" w:hAnsi="Times New Roman"/>
          <w:szCs w:val="21"/>
          <w:highlight w:val="none"/>
        </w:rPr>
        <w:t>退货并追究乙方违约责任等措施。质保期内，如需更换零配件，乙方应保证所更换的零配件与原货物相同规格和品质，费用包括在合同总价中。</w:t>
      </w:r>
    </w:p>
    <w:p w14:paraId="1A834831">
      <w:pPr>
        <w:pStyle w:val="29"/>
        <w:numPr>
          <w:ilvl w:val="0"/>
          <w:numId w:val="22"/>
        </w:numPr>
        <w:snapToGrid w:val="0"/>
        <w:ind w:firstLineChars="0"/>
        <w:rPr>
          <w:rFonts w:ascii="Times New Roman" w:hAnsi="Times New Roman"/>
          <w:szCs w:val="21"/>
          <w:highlight w:val="none"/>
        </w:rPr>
      </w:pPr>
      <w:r>
        <w:rPr>
          <w:rFonts w:ascii="Times New Roman" w:hAnsi="Times New Roman"/>
          <w:szCs w:val="21"/>
          <w:highlight w:val="none"/>
        </w:rPr>
        <w:t>乙方须指派专人负责与甲方联系售后服务事宜</w:t>
      </w:r>
      <w:r>
        <w:rPr>
          <w:rFonts w:hint="eastAsia" w:ascii="Times New Roman" w:hAnsi="Times New Roman"/>
          <w:szCs w:val="21"/>
          <w:highlight w:val="none"/>
        </w:rPr>
        <w:t>，</w:t>
      </w:r>
      <w:r>
        <w:rPr>
          <w:rFonts w:ascii="Times New Roman" w:hAnsi="Times New Roman"/>
          <w:szCs w:val="21"/>
          <w:highlight w:val="none"/>
        </w:rPr>
        <w:t>联系人：***</w:t>
      </w:r>
      <w:r>
        <w:rPr>
          <w:rFonts w:hint="eastAsia" w:ascii="Times New Roman" w:hAnsi="Times New Roman"/>
          <w:szCs w:val="21"/>
          <w:highlight w:val="none"/>
        </w:rPr>
        <w:t>，</w:t>
      </w:r>
      <w:r>
        <w:rPr>
          <w:rFonts w:ascii="Times New Roman" w:hAnsi="Times New Roman"/>
          <w:szCs w:val="21"/>
          <w:highlight w:val="none"/>
        </w:rPr>
        <w:t>联系电话：</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szCs w:val="21"/>
          <w:highlight w:val="none"/>
        </w:rPr>
        <w:t>。</w:t>
      </w:r>
    </w:p>
    <w:p w14:paraId="009F64E9">
      <w:pPr>
        <w:pStyle w:val="29"/>
        <w:numPr>
          <w:ilvl w:val="0"/>
          <w:numId w:val="22"/>
        </w:numPr>
        <w:snapToGrid w:val="0"/>
        <w:ind w:firstLineChars="0"/>
        <w:rPr>
          <w:rFonts w:ascii="Times New Roman" w:hAnsi="Times New Roman"/>
          <w:szCs w:val="21"/>
          <w:highlight w:val="none"/>
        </w:rPr>
      </w:pPr>
      <w:r>
        <w:rPr>
          <w:rFonts w:eastAsia="Songti SC"/>
          <w:highlight w:val="none"/>
        </w:rPr>
        <w:t>质保期内，</w:t>
      </w:r>
      <w:r>
        <w:rPr>
          <w:rFonts w:hint="eastAsia" w:eastAsia="Songti SC"/>
          <w:highlight w:val="none"/>
        </w:rPr>
        <w:t>货物因自身故障导致的</w:t>
      </w:r>
      <w:r>
        <w:rPr>
          <w:rFonts w:eastAsia="Songti SC"/>
          <w:highlight w:val="none"/>
        </w:rPr>
        <w:t>停机率不应超过5%（一年按365天计算），否则</w:t>
      </w:r>
      <w:r>
        <w:rPr>
          <w:rFonts w:hint="eastAsia" w:eastAsia="Songti SC"/>
          <w:highlight w:val="none"/>
        </w:rPr>
        <w:t>乙方</w:t>
      </w:r>
      <w:r>
        <w:rPr>
          <w:rFonts w:eastAsia="Songti SC"/>
          <w:highlight w:val="none"/>
        </w:rPr>
        <w:t>应就超出部分（</w:t>
      </w:r>
      <w:r>
        <w:rPr>
          <w:rFonts w:hint="eastAsia" w:eastAsia="Songti SC"/>
          <w:highlight w:val="none"/>
        </w:rPr>
        <w:t>乙方</w:t>
      </w:r>
      <w:r>
        <w:rPr>
          <w:rFonts w:eastAsia="Songti SC"/>
          <w:highlight w:val="none"/>
        </w:rPr>
        <w:t>已提供备用机并保障</w:t>
      </w:r>
      <w:r>
        <w:rPr>
          <w:rFonts w:hint="eastAsia" w:eastAsia="Songti SC"/>
          <w:highlight w:val="none"/>
        </w:rPr>
        <w:t>甲方</w:t>
      </w:r>
      <w:r>
        <w:rPr>
          <w:rFonts w:eastAsia="Songti SC"/>
          <w:highlight w:val="none"/>
        </w:rPr>
        <w:t>正常使用的时间，不计算为停机时间）按天数向</w:t>
      </w:r>
      <w:r>
        <w:rPr>
          <w:rFonts w:hint="eastAsia" w:eastAsia="Songti SC"/>
          <w:highlight w:val="none"/>
        </w:rPr>
        <w:t>甲方</w:t>
      </w:r>
      <w:r>
        <w:rPr>
          <w:rFonts w:eastAsia="Songti SC"/>
          <w:highlight w:val="none"/>
        </w:rPr>
        <w:t>赔偿经济损失</w:t>
      </w:r>
      <w:r>
        <w:rPr>
          <w:rFonts w:ascii="Times New Roman" w:hAnsi="Times New Roman"/>
          <w:szCs w:val="21"/>
          <w:highlight w:val="none"/>
        </w:rPr>
        <w:t>。</w:t>
      </w:r>
    </w:p>
    <w:p w14:paraId="4222D9B5">
      <w:pPr>
        <w:pStyle w:val="29"/>
        <w:numPr>
          <w:ilvl w:val="0"/>
          <w:numId w:val="22"/>
        </w:numPr>
        <w:snapToGrid w:val="0"/>
        <w:ind w:firstLineChars="0"/>
        <w:rPr>
          <w:rFonts w:ascii="Times New Roman" w:hAnsi="Times New Roman"/>
          <w:szCs w:val="21"/>
          <w:highlight w:val="none"/>
        </w:rPr>
      </w:pPr>
      <w:r>
        <w:rPr>
          <w:rFonts w:ascii="Times New Roman" w:hAnsi="Times New Roman"/>
          <w:szCs w:val="21"/>
          <w:highlight w:val="none"/>
        </w:rPr>
        <w:t>若货物涉及计算机软件系统的，乙方有义务为甲方此后对货物完全的使用（含维护）提供便利及支持，包括但不限于源代码、密码的提供，乙方不得拒绝或收取额外费用。</w:t>
      </w:r>
    </w:p>
    <w:p w14:paraId="1F0EAF8C">
      <w:pPr>
        <w:pStyle w:val="29"/>
        <w:numPr>
          <w:ilvl w:val="0"/>
          <w:numId w:val="22"/>
        </w:numPr>
        <w:snapToGrid w:val="0"/>
        <w:ind w:firstLineChars="0"/>
        <w:rPr>
          <w:rFonts w:ascii="Times New Roman" w:hAnsi="Times New Roman"/>
          <w:szCs w:val="21"/>
          <w:highlight w:val="none"/>
        </w:rPr>
      </w:pPr>
      <w:r>
        <w:rPr>
          <w:rFonts w:ascii="Times New Roman" w:hAnsi="Times New Roman"/>
          <w:highlight w:val="none"/>
        </w:rPr>
        <w:t>质保期内，如</w:t>
      </w:r>
      <w:r>
        <w:rPr>
          <w:rFonts w:hint="eastAsia" w:ascii="Times New Roman" w:hAnsi="Times New Roman"/>
          <w:highlight w:val="none"/>
        </w:rPr>
        <w:t>货物</w:t>
      </w:r>
      <w:r>
        <w:rPr>
          <w:rFonts w:ascii="Times New Roman" w:hAnsi="Times New Roman"/>
          <w:highlight w:val="none"/>
        </w:rPr>
        <w:t>因维修无法使用，</w:t>
      </w:r>
      <w:r>
        <w:rPr>
          <w:rFonts w:hint="eastAsia" w:ascii="Times New Roman" w:hAnsi="Times New Roman"/>
          <w:highlight w:val="none"/>
        </w:rPr>
        <w:t>乙方</w:t>
      </w:r>
      <w:r>
        <w:rPr>
          <w:rFonts w:ascii="Times New Roman" w:hAnsi="Times New Roman"/>
          <w:highlight w:val="none"/>
        </w:rPr>
        <w:t>应根据</w:t>
      </w:r>
      <w:r>
        <w:rPr>
          <w:rFonts w:hint="eastAsia" w:ascii="Times New Roman" w:hAnsi="Times New Roman"/>
          <w:highlight w:val="none"/>
        </w:rPr>
        <w:t>甲方</w:t>
      </w:r>
      <w:r>
        <w:rPr>
          <w:rFonts w:ascii="Times New Roman" w:hAnsi="Times New Roman"/>
          <w:highlight w:val="none"/>
        </w:rPr>
        <w:t>需要向</w:t>
      </w:r>
      <w:r>
        <w:rPr>
          <w:rFonts w:hint="eastAsia" w:ascii="Times New Roman" w:hAnsi="Times New Roman"/>
          <w:highlight w:val="none"/>
        </w:rPr>
        <w:t>甲方</w:t>
      </w:r>
      <w:r>
        <w:rPr>
          <w:rFonts w:ascii="Times New Roman" w:hAnsi="Times New Roman"/>
          <w:highlight w:val="none"/>
        </w:rPr>
        <w:t>提供</w:t>
      </w:r>
      <w:r>
        <w:rPr>
          <w:rFonts w:ascii="Times New Roman" w:hAnsi="Times New Roman"/>
          <w:szCs w:val="21"/>
          <w:highlight w:val="none"/>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3E91F7A8">
      <w:pPr>
        <w:pStyle w:val="29"/>
        <w:numPr>
          <w:ilvl w:val="0"/>
          <w:numId w:val="22"/>
        </w:numPr>
        <w:snapToGrid w:val="0"/>
        <w:ind w:firstLineChars="0"/>
        <w:rPr>
          <w:rFonts w:ascii="Times New Roman" w:hAnsi="Times New Roman"/>
          <w:szCs w:val="21"/>
          <w:highlight w:val="none"/>
        </w:rPr>
      </w:pPr>
      <w:r>
        <w:rPr>
          <w:rFonts w:ascii="Times New Roman" w:hAnsi="Times New Roman"/>
          <w:szCs w:val="21"/>
          <w:highlight w:val="none"/>
        </w:rPr>
        <w:t>售后服务涉及费用均包含在合同总价中。</w:t>
      </w:r>
    </w:p>
    <w:p w14:paraId="396BE1ED">
      <w:pPr>
        <w:pStyle w:val="29"/>
        <w:numPr>
          <w:ilvl w:val="0"/>
          <w:numId w:val="22"/>
        </w:numPr>
        <w:snapToGrid w:val="0"/>
        <w:ind w:firstLineChars="0"/>
        <w:rPr>
          <w:rFonts w:ascii="Times New Roman" w:hAnsi="Times New Roman"/>
          <w:szCs w:val="21"/>
          <w:highlight w:val="none"/>
        </w:rPr>
      </w:pPr>
      <w:r>
        <w:rPr>
          <w:rFonts w:ascii="Times New Roman" w:hAnsi="Times New Roman"/>
          <w:szCs w:val="21"/>
          <w:highlight w:val="none"/>
        </w:rPr>
        <w:t>质保期外，若出现停机或不能使用等故障，乙方</w:t>
      </w:r>
      <w:r>
        <w:rPr>
          <w:rFonts w:hint="eastAsia" w:ascii="Times New Roman" w:hAnsi="Times New Roman"/>
          <w:szCs w:val="21"/>
          <w:highlight w:val="none"/>
        </w:rPr>
        <w:t>应</w:t>
      </w:r>
      <w:r>
        <w:rPr>
          <w:rFonts w:ascii="Times New Roman" w:hAnsi="Times New Roman"/>
          <w:szCs w:val="21"/>
          <w:highlight w:val="none"/>
        </w:rPr>
        <w:t>按维修响应要求</w:t>
      </w:r>
      <w:r>
        <w:rPr>
          <w:rFonts w:hint="eastAsia" w:ascii="Times New Roman" w:hAnsi="Times New Roman"/>
          <w:szCs w:val="21"/>
          <w:highlight w:val="none"/>
        </w:rPr>
        <w:t>提供相应的技术支持提供，</w:t>
      </w:r>
      <w:r>
        <w:rPr>
          <w:rFonts w:ascii="Times New Roman" w:hAnsi="Times New Roman"/>
          <w:szCs w:val="21"/>
          <w:highlight w:val="none"/>
        </w:rPr>
        <w:t>如乙方未能按上述约定及时履行维修义务，甲方有权按实际经济损失要求赔偿并追究相应的法律责任。</w:t>
      </w:r>
    </w:p>
    <w:p w14:paraId="1AB2FB40">
      <w:pPr>
        <w:pStyle w:val="29"/>
        <w:numPr>
          <w:ilvl w:val="0"/>
          <w:numId w:val="22"/>
        </w:numPr>
        <w:snapToGrid w:val="0"/>
        <w:ind w:firstLineChars="0"/>
        <w:rPr>
          <w:rFonts w:ascii="Times New Roman" w:hAnsi="Times New Roman"/>
          <w:szCs w:val="21"/>
          <w:highlight w:val="none"/>
        </w:rPr>
      </w:pPr>
      <w:r>
        <w:rPr>
          <w:rFonts w:ascii="Times New Roman" w:hAnsi="Times New Roman"/>
          <w:szCs w:val="21"/>
          <w:highlight w:val="none"/>
        </w:rPr>
        <w:tab/>
      </w:r>
      <w:r>
        <w:rPr>
          <w:rFonts w:ascii="Times New Roman" w:hAnsi="Times New Roman"/>
          <w:szCs w:val="21"/>
          <w:highlight w:val="none"/>
        </w:rPr>
        <w:t>因乙方原因不能够达到上述货物质保及售后服务的约定，按甲方实际</w:t>
      </w:r>
      <w:r>
        <w:rPr>
          <w:rFonts w:hint="eastAsia" w:ascii="Times New Roman" w:hAnsi="Times New Roman"/>
          <w:szCs w:val="21"/>
          <w:highlight w:val="none"/>
        </w:rPr>
        <w:t>无法使用货物的</w:t>
      </w:r>
      <w:r>
        <w:rPr>
          <w:rFonts w:ascii="Times New Roman" w:hAnsi="Times New Roman"/>
          <w:szCs w:val="21"/>
          <w:highlight w:val="none"/>
        </w:rPr>
        <w:t>天数自动延长其质保期,甲方有权延后</w:t>
      </w:r>
      <w:r>
        <w:rPr>
          <w:rFonts w:hint="eastAsia" w:ascii="Times New Roman" w:hAnsi="Times New Roman"/>
          <w:szCs w:val="21"/>
          <w:highlight w:val="none"/>
        </w:rPr>
        <w:t>履约保证金</w:t>
      </w:r>
      <w:r>
        <w:rPr>
          <w:rFonts w:ascii="Times New Roman" w:hAnsi="Times New Roman"/>
          <w:szCs w:val="21"/>
          <w:highlight w:val="none"/>
        </w:rPr>
        <w:t>的</w:t>
      </w:r>
      <w:r>
        <w:rPr>
          <w:rFonts w:hint="eastAsia" w:ascii="Times New Roman" w:hAnsi="Times New Roman"/>
          <w:szCs w:val="21"/>
          <w:highlight w:val="none"/>
        </w:rPr>
        <w:t>退还</w:t>
      </w:r>
      <w:r>
        <w:rPr>
          <w:rFonts w:ascii="Times New Roman" w:hAnsi="Times New Roman"/>
          <w:szCs w:val="21"/>
          <w:highlight w:val="none"/>
        </w:rPr>
        <w:t>时间，并追究乙方因此引发的相应的法律责任。</w:t>
      </w:r>
    </w:p>
    <w:p w14:paraId="241683E0">
      <w:pPr>
        <w:pStyle w:val="29"/>
        <w:numPr>
          <w:ilvl w:val="0"/>
          <w:numId w:val="12"/>
        </w:numPr>
        <w:snapToGrid w:val="0"/>
        <w:ind w:left="0" w:firstLine="0" w:firstLineChars="0"/>
        <w:rPr>
          <w:rFonts w:ascii="Times New Roman" w:hAnsi="Times New Roman"/>
          <w:b/>
          <w:bCs/>
          <w:szCs w:val="21"/>
          <w:highlight w:val="none"/>
        </w:rPr>
      </w:pPr>
      <w:r>
        <w:rPr>
          <w:rFonts w:hint="eastAsia" w:ascii="Times New Roman" w:hAnsi="Times New Roman"/>
          <w:b/>
          <w:bCs/>
          <w:szCs w:val="21"/>
          <w:highlight w:val="none"/>
        </w:rPr>
        <w:t>双方的权利和义务</w:t>
      </w:r>
    </w:p>
    <w:p w14:paraId="43419F11">
      <w:pPr>
        <w:pStyle w:val="29"/>
        <w:numPr>
          <w:ilvl w:val="0"/>
          <w:numId w:val="23"/>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甲方的权利和义务：</w:t>
      </w:r>
    </w:p>
    <w:p w14:paraId="2139B177">
      <w:pPr>
        <w:pStyle w:val="29"/>
        <w:numPr>
          <w:ilvl w:val="0"/>
          <w:numId w:val="24"/>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甲方有权获得乙方所提供的货物及相关服务。</w:t>
      </w:r>
    </w:p>
    <w:p w14:paraId="109FFC46">
      <w:pPr>
        <w:pStyle w:val="29"/>
        <w:numPr>
          <w:ilvl w:val="0"/>
          <w:numId w:val="24"/>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甲方有权及时了解和监督乙方备货的进展情况。</w:t>
      </w:r>
    </w:p>
    <w:p w14:paraId="03C7E80D">
      <w:pPr>
        <w:pStyle w:val="29"/>
        <w:numPr>
          <w:ilvl w:val="0"/>
          <w:numId w:val="24"/>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甲方应向乙方提供完成货物安装、调试等所必需的资料和工作条件。</w:t>
      </w:r>
    </w:p>
    <w:p w14:paraId="71FE01DB">
      <w:pPr>
        <w:pStyle w:val="29"/>
        <w:numPr>
          <w:ilvl w:val="0"/>
          <w:numId w:val="24"/>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甲方应按照合同约定向乙方支付合同价款。</w:t>
      </w:r>
    </w:p>
    <w:p w14:paraId="1C1CABFB">
      <w:pPr>
        <w:pStyle w:val="29"/>
        <w:numPr>
          <w:ilvl w:val="0"/>
          <w:numId w:val="23"/>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乙方的权利和义务：</w:t>
      </w:r>
    </w:p>
    <w:p w14:paraId="3585E0E3">
      <w:pPr>
        <w:pStyle w:val="29"/>
        <w:numPr>
          <w:ilvl w:val="0"/>
          <w:numId w:val="2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乙方有权按照本合同约定收取合同价款。</w:t>
      </w:r>
    </w:p>
    <w:p w14:paraId="4C6E84FD">
      <w:pPr>
        <w:pStyle w:val="29"/>
        <w:numPr>
          <w:ilvl w:val="0"/>
          <w:numId w:val="25"/>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乙方有权要求甲方提供货物安装、调试所必需的资料和工作条件。</w:t>
      </w:r>
    </w:p>
    <w:p w14:paraId="4B75C968">
      <w:pPr>
        <w:pStyle w:val="29"/>
        <w:numPr>
          <w:ilvl w:val="0"/>
          <w:numId w:val="2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乙方应派遣身体健康、有相关工作经验和相应技能的技术人员到甲方现场并提供安装、调试、测试、试运行、维护及培训等技术服务，该技术服务费用包括在本合同总价内。</w:t>
      </w:r>
    </w:p>
    <w:p w14:paraId="7B911E31">
      <w:pPr>
        <w:pStyle w:val="29"/>
        <w:numPr>
          <w:ilvl w:val="0"/>
          <w:numId w:val="2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5DD75326">
      <w:pPr>
        <w:pStyle w:val="29"/>
        <w:numPr>
          <w:ilvl w:val="0"/>
          <w:numId w:val="2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7EA6803A">
      <w:pPr>
        <w:pStyle w:val="29"/>
        <w:numPr>
          <w:ilvl w:val="0"/>
          <w:numId w:val="2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乙方保证其所交付的货物不存在任何权利瑕疵，如任何第三方就乙方交付的货物向甲方提起侵权索赔，乙方应负责与第三方交涉，并承担由此引起的一切法律责任，相关费用由乙方承担。</w:t>
      </w:r>
    </w:p>
    <w:p w14:paraId="602ABE28">
      <w:pPr>
        <w:pStyle w:val="29"/>
        <w:numPr>
          <w:ilvl w:val="0"/>
          <w:numId w:val="25"/>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7B480F6C">
      <w:pPr>
        <w:pStyle w:val="29"/>
        <w:numPr>
          <w:ilvl w:val="0"/>
          <w:numId w:val="25"/>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乙方对依照本合同向甲方提供的货物在安装、调试、使用、维修、保养等过程中所获得的所有数据及甲方商业秘密或其它技术及经营信息均负有保密义务，不得向任何第三方透露或泄露。</w:t>
      </w:r>
    </w:p>
    <w:p w14:paraId="4ADEECC4">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违约责任</w:t>
      </w:r>
      <w:r>
        <w:rPr>
          <w:rFonts w:hint="eastAsia" w:ascii="Times New Roman" w:hAnsi="Times New Roman"/>
          <w:i/>
          <w:iCs/>
          <w:szCs w:val="21"/>
          <w:highlight w:val="none"/>
        </w:rPr>
        <w:t>&lt;本条款中违约金比例可根据项目实际情况确定&gt;</w:t>
      </w:r>
    </w:p>
    <w:p w14:paraId="4D8C3A12">
      <w:pPr>
        <w:pStyle w:val="29"/>
        <w:snapToGrid w:val="0"/>
        <w:ind w:firstLine="0" w:firstLineChars="0"/>
        <w:rPr>
          <w:rFonts w:ascii="Times New Roman" w:hAnsi="Times New Roman"/>
          <w:szCs w:val="21"/>
          <w:highlight w:val="none"/>
        </w:rPr>
      </w:pPr>
      <w:r>
        <w:rPr>
          <w:rFonts w:ascii="Times New Roman" w:hAnsi="Times New Roman"/>
          <w:szCs w:val="21"/>
          <w:highlight w:val="none"/>
        </w:rPr>
        <w:t>1.甲方违约责任：甲方无正当理由拒收货物的，甲方应偿付合同总</w:t>
      </w:r>
      <w:r>
        <w:rPr>
          <w:rFonts w:hint="eastAsia" w:ascii="Times New Roman" w:hAnsi="Times New Roman"/>
          <w:szCs w:val="21"/>
          <w:highlight w:val="none"/>
        </w:rPr>
        <w:t>金额的</w:t>
      </w:r>
      <w:r>
        <w:rPr>
          <w:rFonts w:hint="eastAsia" w:ascii="Times New Roman" w:hAnsi="Times New Roman"/>
          <w:szCs w:val="21"/>
          <w:highlight w:val="none"/>
          <w:u w:val="single"/>
        </w:rPr>
        <w:t>1</w:t>
      </w:r>
      <w:r>
        <w:rPr>
          <w:rFonts w:ascii="Times New Roman" w:hAnsi="Times New Roman"/>
          <w:szCs w:val="21"/>
          <w:highlight w:val="none"/>
          <w:u w:val="single"/>
        </w:rPr>
        <w:t>0%</w:t>
      </w:r>
      <w:r>
        <w:rPr>
          <w:rFonts w:hint="eastAsia" w:ascii="Times New Roman" w:hAnsi="Times New Roman"/>
          <w:szCs w:val="21"/>
          <w:highlight w:val="none"/>
        </w:rPr>
        <w:t>作为</w:t>
      </w:r>
      <w:r>
        <w:rPr>
          <w:rFonts w:ascii="Times New Roman" w:hAnsi="Times New Roman"/>
          <w:szCs w:val="21"/>
          <w:highlight w:val="none"/>
        </w:rPr>
        <w:t>违约金。</w:t>
      </w:r>
    </w:p>
    <w:p w14:paraId="5712C6F1">
      <w:pPr>
        <w:pStyle w:val="29"/>
        <w:snapToGrid w:val="0"/>
        <w:ind w:firstLine="0" w:firstLineChars="0"/>
        <w:rPr>
          <w:rFonts w:ascii="Times New Roman" w:hAnsi="Times New Roman"/>
          <w:szCs w:val="21"/>
          <w:highlight w:val="none"/>
        </w:rPr>
      </w:pPr>
      <w:r>
        <w:rPr>
          <w:rFonts w:ascii="Times New Roman" w:hAnsi="Times New Roman"/>
          <w:szCs w:val="21"/>
          <w:highlight w:val="none"/>
        </w:rPr>
        <w:t>2.乙方违约责任：</w:t>
      </w:r>
    </w:p>
    <w:p w14:paraId="4D47F66A">
      <w:pPr>
        <w:pStyle w:val="29"/>
        <w:numPr>
          <w:ilvl w:val="0"/>
          <w:numId w:val="26"/>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乙方拒绝交付货物，或交付的货物经两次验收仍不符合本合同约定的验收标准，甲方有权解除合同，乙方须向甲方支付合同总金额的</w:t>
      </w:r>
      <w:r>
        <w:rPr>
          <w:rFonts w:hint="eastAsia" w:ascii="Times New Roman" w:hAnsi="Times New Roman"/>
          <w:szCs w:val="21"/>
          <w:highlight w:val="none"/>
          <w:u w:val="single"/>
        </w:rPr>
        <w:t>10</w:t>
      </w:r>
      <w:r>
        <w:rPr>
          <w:rFonts w:hint="eastAsia" w:ascii="Times New Roman" w:hAnsi="Times New Roman"/>
          <w:szCs w:val="21"/>
          <w:highlight w:val="none"/>
        </w:rPr>
        <w:t>%作为违约金，并承担其它相应的经济损失，</w:t>
      </w:r>
    </w:p>
    <w:p w14:paraId="69B3B8FD">
      <w:pPr>
        <w:pStyle w:val="29"/>
        <w:numPr>
          <w:ilvl w:val="0"/>
          <w:numId w:val="26"/>
        </w:numPr>
        <w:snapToGrid w:val="0"/>
        <w:ind w:left="525" w:hanging="525" w:hangingChars="250"/>
        <w:rPr>
          <w:rFonts w:ascii="Times New Roman" w:hAnsi="Times New Roman"/>
          <w:szCs w:val="21"/>
          <w:highlight w:val="none"/>
        </w:rPr>
      </w:pPr>
      <w:r>
        <w:rPr>
          <w:rFonts w:ascii="Times New Roman" w:hAnsi="Times New Roman"/>
          <w:szCs w:val="21"/>
          <w:highlight w:val="none"/>
        </w:rPr>
        <w:t>质保期内出现质量问题，</w:t>
      </w:r>
      <w:r>
        <w:rPr>
          <w:rFonts w:ascii="Times New Roman" w:hAnsi="Times New Roman"/>
          <w:highlight w:val="none"/>
        </w:rPr>
        <w:t>因同一故障经乙方两次维修</w:t>
      </w:r>
      <w:r>
        <w:rPr>
          <w:rFonts w:ascii="Times New Roman" w:hAnsi="Times New Roman"/>
          <w:szCs w:val="21"/>
          <w:highlight w:val="none"/>
        </w:rPr>
        <w:t>仍不能达到合同约定的</w:t>
      </w:r>
      <w:r>
        <w:rPr>
          <w:rFonts w:hint="eastAsia" w:ascii="Times New Roman" w:hAnsi="Times New Roman"/>
          <w:szCs w:val="21"/>
          <w:highlight w:val="none"/>
        </w:rPr>
        <w:t>功能</w:t>
      </w:r>
      <w:r>
        <w:rPr>
          <w:rFonts w:ascii="Times New Roman" w:hAnsi="Times New Roman"/>
          <w:szCs w:val="21"/>
          <w:highlight w:val="none"/>
        </w:rPr>
        <w:t>要求和技术指标，甲方有权解除合同并要求退货，乙方按照合同总</w:t>
      </w:r>
      <w:r>
        <w:rPr>
          <w:rFonts w:hint="eastAsia" w:ascii="Times New Roman" w:hAnsi="Times New Roman"/>
          <w:szCs w:val="21"/>
          <w:highlight w:val="none"/>
        </w:rPr>
        <w:t>金额</w:t>
      </w:r>
      <w:r>
        <w:rPr>
          <w:rFonts w:ascii="Times New Roman" w:hAnsi="Times New Roman"/>
          <w:szCs w:val="21"/>
          <w:highlight w:val="none"/>
        </w:rPr>
        <w:t>的</w:t>
      </w:r>
      <w:r>
        <w:rPr>
          <w:rFonts w:hint="eastAsia" w:ascii="Times New Roman" w:hAnsi="Times New Roman"/>
          <w:szCs w:val="21"/>
          <w:highlight w:val="none"/>
          <w:u w:val="single"/>
        </w:rPr>
        <w:t>10</w:t>
      </w:r>
      <w:r>
        <w:rPr>
          <w:rFonts w:ascii="Times New Roman" w:hAnsi="Times New Roman"/>
          <w:szCs w:val="21"/>
          <w:highlight w:val="none"/>
        </w:rPr>
        <w:t>%向甲方支付违约金。</w:t>
      </w:r>
    </w:p>
    <w:p w14:paraId="132EE5A3">
      <w:pPr>
        <w:pStyle w:val="29"/>
        <w:numPr>
          <w:ilvl w:val="0"/>
          <w:numId w:val="26"/>
        </w:numPr>
        <w:snapToGrid w:val="0"/>
        <w:ind w:left="525" w:hanging="525" w:hangingChars="250"/>
        <w:rPr>
          <w:rFonts w:ascii="Times New Roman" w:hAnsi="Times New Roman"/>
          <w:szCs w:val="21"/>
          <w:highlight w:val="none"/>
        </w:rPr>
      </w:pPr>
      <w:r>
        <w:rPr>
          <w:rFonts w:ascii="Times New Roman" w:hAnsi="Times New Roman"/>
          <w:szCs w:val="21"/>
          <w:highlight w:val="none"/>
        </w:rPr>
        <w:t>因乙方原因逾期</w:t>
      </w:r>
      <w:r>
        <w:rPr>
          <w:rFonts w:hint="eastAsia" w:ascii="Times New Roman" w:hAnsi="Times New Roman"/>
          <w:szCs w:val="21"/>
          <w:highlight w:val="none"/>
        </w:rPr>
        <w:t>交付</w:t>
      </w:r>
      <w:r>
        <w:rPr>
          <w:rFonts w:ascii="Times New Roman" w:hAnsi="Times New Roman"/>
          <w:szCs w:val="21"/>
          <w:highlight w:val="none"/>
        </w:rPr>
        <w:t>，每</w:t>
      </w:r>
      <w:r>
        <w:rPr>
          <w:rFonts w:hint="eastAsia" w:ascii="Times New Roman" w:hAnsi="Times New Roman"/>
          <w:szCs w:val="21"/>
          <w:highlight w:val="none"/>
        </w:rPr>
        <w:t>逾期</w:t>
      </w:r>
      <w:r>
        <w:rPr>
          <w:rFonts w:ascii="Times New Roman" w:hAnsi="Times New Roman"/>
          <w:szCs w:val="21"/>
          <w:highlight w:val="none"/>
        </w:rPr>
        <w:t>一天，须向甲方支付合同总</w:t>
      </w:r>
      <w:r>
        <w:rPr>
          <w:rFonts w:hint="eastAsia" w:ascii="Times New Roman" w:hAnsi="Times New Roman"/>
          <w:szCs w:val="21"/>
          <w:highlight w:val="none"/>
        </w:rPr>
        <w:t>金额的</w:t>
      </w:r>
      <w:r>
        <w:rPr>
          <w:rFonts w:hint="eastAsia" w:ascii="Times New Roman" w:hAnsi="Times New Roman"/>
          <w:szCs w:val="21"/>
          <w:highlight w:val="none"/>
          <w:u w:val="single"/>
        </w:rPr>
        <w:t>***</w:t>
      </w:r>
      <w:r>
        <w:rPr>
          <w:rFonts w:hint="eastAsia" w:ascii="Times New Roman" w:hAnsi="Times New Roman"/>
          <w:szCs w:val="21"/>
          <w:highlight w:val="none"/>
        </w:rPr>
        <w:t>‰作为</w:t>
      </w:r>
      <w:r>
        <w:rPr>
          <w:rFonts w:ascii="Times New Roman" w:hAnsi="Times New Roman"/>
          <w:szCs w:val="21"/>
          <w:highlight w:val="none"/>
        </w:rPr>
        <w:t>违约金。因乙方原因逾期交货超过</w:t>
      </w:r>
      <w:r>
        <w:rPr>
          <w:rFonts w:hint="eastAsia" w:ascii="Times New Roman" w:hAnsi="Times New Roman"/>
          <w:szCs w:val="21"/>
          <w:highlight w:val="none"/>
          <w:u w:val="single"/>
        </w:rPr>
        <w:t>10</w:t>
      </w:r>
      <w:r>
        <w:rPr>
          <w:rFonts w:ascii="Times New Roman" w:hAnsi="Times New Roman"/>
          <w:szCs w:val="21"/>
          <w:highlight w:val="none"/>
        </w:rPr>
        <w:t>天，甲方有权</w:t>
      </w:r>
      <w:r>
        <w:rPr>
          <w:rFonts w:hint="eastAsia" w:ascii="Times New Roman" w:hAnsi="Times New Roman"/>
          <w:szCs w:val="21"/>
          <w:highlight w:val="none"/>
        </w:rPr>
        <w:t>单方面解除</w:t>
      </w:r>
      <w:r>
        <w:rPr>
          <w:rFonts w:ascii="Times New Roman" w:hAnsi="Times New Roman"/>
          <w:szCs w:val="21"/>
          <w:highlight w:val="none"/>
        </w:rPr>
        <w:t>合同</w:t>
      </w:r>
      <w:r>
        <w:rPr>
          <w:rFonts w:hint="eastAsia" w:ascii="Times New Roman" w:hAnsi="Times New Roman"/>
          <w:szCs w:val="21"/>
          <w:highlight w:val="none"/>
        </w:rPr>
        <w:t>，乙方须按合同总金额的</w:t>
      </w:r>
      <w:r>
        <w:rPr>
          <w:rFonts w:hint="eastAsia" w:ascii="Times New Roman" w:hAnsi="Times New Roman"/>
          <w:szCs w:val="21"/>
          <w:highlight w:val="none"/>
          <w:u w:val="single"/>
        </w:rPr>
        <w:t>10</w:t>
      </w:r>
      <w:r>
        <w:rPr>
          <w:rFonts w:hint="eastAsia" w:ascii="Times New Roman" w:hAnsi="Times New Roman"/>
          <w:szCs w:val="21"/>
          <w:highlight w:val="none"/>
        </w:rPr>
        <w:t>%向甲方支付违约金，</w:t>
      </w:r>
    </w:p>
    <w:p w14:paraId="6DD24F83">
      <w:pPr>
        <w:pStyle w:val="29"/>
        <w:numPr>
          <w:ilvl w:val="0"/>
          <w:numId w:val="26"/>
        </w:numPr>
        <w:snapToGrid w:val="0"/>
        <w:ind w:left="525" w:hanging="525" w:hangingChars="250"/>
        <w:rPr>
          <w:rFonts w:ascii="Times New Roman" w:hAnsi="Times New Roman"/>
          <w:szCs w:val="21"/>
          <w:highlight w:val="none"/>
        </w:rPr>
      </w:pPr>
      <w:bookmarkStart w:id="98" w:name="OLE_LINK17"/>
      <w:bookmarkStart w:id="99" w:name="OLE_LINK18"/>
      <w:r>
        <w:rPr>
          <w:rFonts w:hint="eastAsia" w:ascii="Times New Roman" w:hAnsi="Times New Roman"/>
          <w:szCs w:val="21"/>
          <w:highlight w:val="none"/>
        </w:rPr>
        <w:t>乙方未按合同约定及时履行培训及维护义务时，每发生一次，乙方应按合同总金额的</w:t>
      </w:r>
      <w:r>
        <w:rPr>
          <w:rFonts w:hint="eastAsia" w:ascii="Times New Roman" w:hAnsi="Times New Roman"/>
          <w:szCs w:val="21"/>
          <w:highlight w:val="none"/>
          <w:u w:val="single"/>
        </w:rPr>
        <w:t>***</w:t>
      </w:r>
      <w:r>
        <w:rPr>
          <w:rFonts w:hint="eastAsia" w:ascii="Times New Roman" w:hAnsi="Times New Roman"/>
          <w:szCs w:val="21"/>
          <w:highlight w:val="none"/>
        </w:rPr>
        <w:t>‰向甲方支付违约金，乙方支付违约金的同时，仍有义务对甲方进行培训及对货物进行维护。</w:t>
      </w:r>
    </w:p>
    <w:p w14:paraId="1B38379E">
      <w:pPr>
        <w:pStyle w:val="29"/>
        <w:numPr>
          <w:ilvl w:val="0"/>
          <w:numId w:val="26"/>
        </w:numPr>
        <w:snapToGrid w:val="0"/>
        <w:ind w:left="525" w:hanging="525" w:hangingChars="250"/>
        <w:rPr>
          <w:rFonts w:hint="eastAsia" w:ascii="Times New Roman" w:hAnsi="Times New Roman"/>
          <w:szCs w:val="21"/>
          <w:highlight w:val="none"/>
        </w:rPr>
      </w:pPr>
      <w:r>
        <w:rPr>
          <w:rFonts w:ascii="Times New Roman" w:hAnsi="Times New Roman"/>
          <w:szCs w:val="21"/>
          <w:highlight w:val="none"/>
        </w:rPr>
        <w:t>乙方违反保密义务，甲方有权单方解除合同，乙方应按甲方实际损失向甲方进行赔偿并向甲方支付</w:t>
      </w:r>
      <w:r>
        <w:rPr>
          <w:rFonts w:hint="eastAsia" w:ascii="Times New Roman" w:hAnsi="Times New Roman"/>
          <w:szCs w:val="21"/>
          <w:highlight w:val="none"/>
        </w:rPr>
        <w:t>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作为违</w:t>
      </w:r>
      <w:r>
        <w:rPr>
          <w:rFonts w:ascii="Times New Roman" w:hAnsi="Times New Roman"/>
          <w:szCs w:val="21"/>
          <w:highlight w:val="none"/>
        </w:rPr>
        <w:t>约金。</w:t>
      </w:r>
    </w:p>
    <w:bookmarkEnd w:id="98"/>
    <w:bookmarkEnd w:id="99"/>
    <w:p w14:paraId="62E940E8">
      <w:pPr>
        <w:pStyle w:val="29"/>
        <w:numPr>
          <w:ilvl w:val="0"/>
          <w:numId w:val="26"/>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乙方偿付的违约金不足以弥补甲方损失的，还应按甲方损失尚未弥补的部分，支付赔偿金给甲方。</w:t>
      </w:r>
    </w:p>
    <w:p w14:paraId="375C65FC">
      <w:pPr>
        <w:pStyle w:val="29"/>
        <w:numPr>
          <w:ilvl w:val="0"/>
          <w:numId w:val="26"/>
        </w:numPr>
        <w:snapToGrid w:val="0"/>
        <w:ind w:left="525" w:hanging="525" w:hangingChars="250"/>
        <w:rPr>
          <w:rFonts w:ascii="Times New Roman" w:hAnsi="Times New Roman"/>
          <w:szCs w:val="21"/>
          <w:highlight w:val="none"/>
        </w:rPr>
      </w:pPr>
      <w:r>
        <w:rPr>
          <w:rFonts w:ascii="Times New Roman" w:hAnsi="Times New Roman"/>
          <w:szCs w:val="21"/>
          <w:highlight w:val="none"/>
        </w:rPr>
        <w:t>乙方</w:t>
      </w:r>
      <w:r>
        <w:rPr>
          <w:rFonts w:hint="eastAsia" w:ascii="Times New Roman" w:hAnsi="Times New Roman"/>
          <w:szCs w:val="21"/>
          <w:highlight w:val="none"/>
        </w:rPr>
        <w:t>交付货物因</w:t>
      </w:r>
      <w:r>
        <w:rPr>
          <w:rFonts w:ascii="Times New Roman" w:hAnsi="Times New Roman"/>
          <w:szCs w:val="21"/>
          <w:highlight w:val="none"/>
        </w:rPr>
        <w:t>质量问题导致甲方及第三方人身、财产损失的，乙方承担由此造成的全部法律责任。</w:t>
      </w:r>
    </w:p>
    <w:p w14:paraId="6F00705F">
      <w:pPr>
        <w:pStyle w:val="29"/>
        <w:numPr>
          <w:ilvl w:val="0"/>
          <w:numId w:val="26"/>
        </w:numPr>
        <w:snapToGrid w:val="0"/>
        <w:ind w:left="525" w:hanging="525" w:hangingChars="250"/>
        <w:rPr>
          <w:rFonts w:ascii="Times New Roman" w:hAnsi="Times New Roman"/>
          <w:szCs w:val="21"/>
          <w:highlight w:val="none"/>
        </w:rPr>
      </w:pPr>
      <w:r>
        <w:rPr>
          <w:rFonts w:ascii="Times New Roman" w:hAnsi="Times New Roman"/>
          <w:szCs w:val="21"/>
          <w:highlight w:val="none"/>
        </w:rPr>
        <w:t>乙方未按照本合同约定的时限提供合法发票或提供发票瑕疵（包括但不限于发票种类有误、发票金额有误等），甲方付款时限相应顺延并不承担任何延期支付的违约责任。</w:t>
      </w:r>
    </w:p>
    <w:p w14:paraId="686CDE02">
      <w:pPr>
        <w:pStyle w:val="29"/>
        <w:numPr>
          <w:ilvl w:val="0"/>
          <w:numId w:val="26"/>
        </w:numPr>
        <w:snapToGrid w:val="0"/>
        <w:ind w:left="525" w:hanging="525" w:hangingChars="250"/>
        <w:rPr>
          <w:rFonts w:ascii="Times New Roman" w:hAnsi="Times New Roman"/>
          <w:szCs w:val="21"/>
          <w:highlight w:val="none"/>
        </w:rPr>
      </w:pPr>
      <w:r>
        <w:rPr>
          <w:rFonts w:ascii="Times New Roman" w:hAnsi="Times New Roman"/>
          <w:szCs w:val="21"/>
          <w:highlight w:val="none"/>
        </w:rPr>
        <w:t>乙方在</w:t>
      </w:r>
      <w:r>
        <w:rPr>
          <w:rFonts w:hint="eastAsia" w:ascii="Times New Roman" w:hAnsi="Times New Roman"/>
          <w:szCs w:val="21"/>
          <w:highlight w:val="none"/>
        </w:rPr>
        <w:t>安装、</w:t>
      </w:r>
      <w:r>
        <w:rPr>
          <w:rFonts w:ascii="Times New Roman" w:hAnsi="Times New Roman"/>
          <w:szCs w:val="21"/>
          <w:highlight w:val="none"/>
        </w:rPr>
        <w:t>调试及售后服务过程中，因未按规程</w:t>
      </w:r>
      <w:r>
        <w:rPr>
          <w:rFonts w:hint="eastAsia" w:ascii="Times New Roman" w:hAnsi="Times New Roman"/>
          <w:szCs w:val="21"/>
          <w:highlight w:val="none"/>
        </w:rPr>
        <w:t>操作、</w:t>
      </w:r>
      <w:r>
        <w:rPr>
          <w:rFonts w:ascii="Times New Roman" w:hAnsi="Times New Roman"/>
          <w:szCs w:val="21"/>
          <w:highlight w:val="none"/>
        </w:rPr>
        <w:t>未采取必要的安全防范措施等原因直接或间接造成甲方及第三方人身、财产损失的，由乙方承担由此造成的全部法律责任。</w:t>
      </w:r>
    </w:p>
    <w:p w14:paraId="360BB375">
      <w:pPr>
        <w:pStyle w:val="29"/>
        <w:numPr>
          <w:ilvl w:val="0"/>
          <w:numId w:val="26"/>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22F6CD4B">
      <w:pPr>
        <w:pStyle w:val="29"/>
        <w:snapToGrid w:val="0"/>
        <w:ind w:firstLine="0" w:firstLineChars="0"/>
        <w:rPr>
          <w:rFonts w:hint="eastAsia" w:ascii="Times New Roman" w:hAnsi="Times New Roman"/>
          <w:szCs w:val="21"/>
          <w:highlight w:val="none"/>
        </w:rPr>
      </w:pPr>
      <w:r>
        <w:rPr>
          <w:rFonts w:hint="eastAsia" w:ascii="Times New Roman" w:hAnsi="Times New Roman"/>
          <w:szCs w:val="21"/>
          <w:highlight w:val="none"/>
        </w:rPr>
        <w:t>3</w:t>
      </w:r>
      <w:r>
        <w:rPr>
          <w:rFonts w:ascii="Times New Roman" w:hAnsi="Times New Roman"/>
          <w:szCs w:val="21"/>
          <w:highlight w:val="none"/>
        </w:rPr>
        <w:t>.本合同履行中如有任何一方违约，那么守约方为保障自己合法权益而产生的律师费、诉讼费、差旅费、公告费等，均由违约方承担。</w:t>
      </w:r>
    </w:p>
    <w:p w14:paraId="0BFD4189">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不可抗力</w:t>
      </w:r>
    </w:p>
    <w:p w14:paraId="0105B273">
      <w:pPr>
        <w:pStyle w:val="29"/>
        <w:snapToGrid w:val="0"/>
        <w:rPr>
          <w:rFonts w:ascii="Times New Roman" w:hAnsi="Times New Roman"/>
          <w:bCs/>
          <w:szCs w:val="21"/>
          <w:highlight w:val="none"/>
        </w:rPr>
      </w:pPr>
      <w:r>
        <w:rPr>
          <w:rFonts w:ascii="Times New Roman" w:hAnsi="Times New Roman"/>
          <w:bCs/>
          <w:szCs w:val="21"/>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highlight w:val="none"/>
        </w:rPr>
        <w:t>日</w:t>
      </w:r>
      <w:r>
        <w:rPr>
          <w:rFonts w:ascii="Times New Roman" w:hAnsi="Times New Roman"/>
          <w:bCs/>
          <w:szCs w:val="21"/>
          <w:highlight w:val="none"/>
        </w:rPr>
        <w:t>，甲方有权解除合同，双方互不承担违约责任。</w:t>
      </w:r>
    </w:p>
    <w:p w14:paraId="04CAB842">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争议解决办法</w:t>
      </w:r>
    </w:p>
    <w:p w14:paraId="7029CB9D">
      <w:pPr>
        <w:pStyle w:val="29"/>
        <w:numPr>
          <w:ilvl w:val="0"/>
          <w:numId w:val="27"/>
        </w:numPr>
        <w:snapToGrid w:val="0"/>
        <w:ind w:left="0" w:firstLine="0" w:firstLineChars="0"/>
        <w:rPr>
          <w:rFonts w:ascii="Times New Roman" w:hAnsi="Times New Roman"/>
          <w:szCs w:val="21"/>
          <w:highlight w:val="none"/>
        </w:rPr>
      </w:pPr>
      <w:r>
        <w:rPr>
          <w:rFonts w:ascii="Times New Roman" w:hAnsi="Times New Roman"/>
          <w:szCs w:val="21"/>
          <w:highlight w:val="none"/>
        </w:rPr>
        <w:t>因</w:t>
      </w:r>
      <w:r>
        <w:rPr>
          <w:rFonts w:hint="eastAsia" w:ascii="Times New Roman" w:hAnsi="Times New Roman"/>
          <w:szCs w:val="21"/>
          <w:highlight w:val="none"/>
        </w:rPr>
        <w:t>货物</w:t>
      </w:r>
      <w:r>
        <w:rPr>
          <w:rFonts w:ascii="Times New Roman" w:hAnsi="Times New Roman"/>
          <w:szCs w:val="21"/>
          <w:highlight w:val="none"/>
        </w:rPr>
        <w:t>的质量问题发生争议，由质量技术监督部门或其指定的质量鉴定机构进行质量鉴定。货物符合标准的，鉴定费由甲方承担；货物不符合质量标准的，鉴定费由乙方承担。</w:t>
      </w:r>
    </w:p>
    <w:p w14:paraId="6E790A97">
      <w:pPr>
        <w:pStyle w:val="29"/>
        <w:numPr>
          <w:ilvl w:val="0"/>
          <w:numId w:val="27"/>
        </w:numPr>
        <w:snapToGrid w:val="0"/>
        <w:ind w:left="0" w:firstLine="0" w:firstLineChars="0"/>
        <w:rPr>
          <w:rFonts w:ascii="Times New Roman" w:hAnsi="Times New Roman"/>
          <w:szCs w:val="21"/>
          <w:highlight w:val="none"/>
        </w:rPr>
      </w:pPr>
      <w:r>
        <w:rPr>
          <w:rFonts w:ascii="Times New Roman" w:hAnsi="Times New Roman"/>
          <w:szCs w:val="21"/>
          <w:highlight w:val="none"/>
        </w:rPr>
        <w:t>合同履行期间,若双方发生争议，可协商或由有关部门调解解决，协商或调解不成的，任何一方均有权向甲方</w:t>
      </w:r>
      <w:r>
        <w:rPr>
          <w:rFonts w:hint="eastAsia" w:ascii="Times New Roman" w:hAnsi="Times New Roman"/>
          <w:szCs w:val="21"/>
          <w:highlight w:val="none"/>
        </w:rPr>
        <w:t>所在地</w:t>
      </w:r>
      <w:r>
        <w:rPr>
          <w:rFonts w:ascii="Times New Roman" w:hAnsi="Times New Roman"/>
          <w:szCs w:val="21"/>
          <w:highlight w:val="none"/>
        </w:rPr>
        <w:t>具有管辖权的人民法院起诉。</w:t>
      </w:r>
    </w:p>
    <w:p w14:paraId="1A08EB03">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送达</w:t>
      </w:r>
      <w:r>
        <w:rPr>
          <w:rFonts w:hint="eastAsia" w:ascii="Times New Roman" w:hAnsi="Times New Roman"/>
          <w:b/>
          <w:bCs/>
          <w:szCs w:val="21"/>
          <w:highlight w:val="none"/>
        </w:rPr>
        <w:t>（送达地址是司法机关、执法机关和仲裁机关将法律文书送达给当事人的收件地址）</w:t>
      </w:r>
    </w:p>
    <w:p w14:paraId="16CE152C">
      <w:pPr>
        <w:pStyle w:val="34"/>
        <w:numPr>
          <w:ilvl w:val="0"/>
          <w:numId w:val="28"/>
        </w:numPr>
        <w:snapToGrid w:val="0"/>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048D239D">
      <w:pPr>
        <w:pStyle w:val="34"/>
        <w:numPr>
          <w:ilvl w:val="0"/>
          <w:numId w:val="28"/>
        </w:numPr>
        <w:snapToGrid w:val="0"/>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208D3F4D">
      <w:pPr>
        <w:pStyle w:val="34"/>
        <w:numPr>
          <w:ilvl w:val="0"/>
          <w:numId w:val="28"/>
        </w:numPr>
        <w:snapToGrid w:val="0"/>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448AEB9">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其他</w:t>
      </w:r>
    </w:p>
    <w:p w14:paraId="103FBE37">
      <w:pPr>
        <w:pStyle w:val="29"/>
        <w:numPr>
          <w:ilvl w:val="0"/>
          <w:numId w:val="29"/>
        </w:numPr>
        <w:snapToGrid w:val="0"/>
        <w:ind w:left="0" w:firstLine="0" w:firstLineChars="0"/>
        <w:rPr>
          <w:rFonts w:ascii="Times New Roman" w:hAnsi="Times New Roman"/>
          <w:szCs w:val="21"/>
          <w:highlight w:val="none"/>
        </w:rPr>
      </w:pPr>
      <w:r>
        <w:rPr>
          <w:rFonts w:ascii="Times New Roman" w:hAnsi="Times New Roman"/>
          <w:szCs w:val="21"/>
          <w:highlight w:val="none"/>
        </w:rPr>
        <w:t>如有未尽事宜，由双方依法订立补充合同。补充合同</w:t>
      </w:r>
      <w:r>
        <w:rPr>
          <w:rFonts w:hint="eastAsia" w:ascii="Times New Roman" w:hAnsi="Times New Roman"/>
          <w:szCs w:val="21"/>
          <w:highlight w:val="none"/>
        </w:rPr>
        <w:t>及本合同</w:t>
      </w:r>
      <w:r>
        <w:rPr>
          <w:rFonts w:ascii="Times New Roman" w:hAnsi="Times New Roman"/>
          <w:szCs w:val="21"/>
          <w:highlight w:val="none"/>
        </w:rPr>
        <w:t>附件</w:t>
      </w:r>
      <w:r>
        <w:rPr>
          <w:rFonts w:hint="eastAsia" w:ascii="Times New Roman" w:hAnsi="Times New Roman"/>
          <w:szCs w:val="21"/>
          <w:highlight w:val="none"/>
        </w:rPr>
        <w:t>均</w:t>
      </w:r>
      <w:r>
        <w:rPr>
          <w:rFonts w:ascii="Times New Roman" w:hAnsi="Times New Roman"/>
          <w:szCs w:val="21"/>
          <w:highlight w:val="none"/>
        </w:rPr>
        <w:t>为本合同的组成部分，与本合同具有同等法律效力。</w:t>
      </w:r>
    </w:p>
    <w:p w14:paraId="73748810">
      <w:pPr>
        <w:pStyle w:val="29"/>
        <w:numPr>
          <w:ilvl w:val="0"/>
          <w:numId w:val="29"/>
        </w:numPr>
        <w:snapToGrid w:val="0"/>
        <w:ind w:left="0" w:firstLine="0" w:firstLineChars="0"/>
        <w:rPr>
          <w:rFonts w:ascii="Times New Roman" w:hAnsi="Times New Roman"/>
          <w:szCs w:val="21"/>
          <w:highlight w:val="none"/>
        </w:rPr>
      </w:pPr>
      <w:r>
        <w:rPr>
          <w:rFonts w:ascii="Times New Roman" w:hAnsi="Times New Roman"/>
          <w:szCs w:val="21"/>
          <w:highlight w:val="none"/>
        </w:rPr>
        <w:t>本合同一式</w:t>
      </w:r>
      <w:r>
        <w:rPr>
          <w:rFonts w:hint="eastAsia" w:ascii="Times New Roman" w:hAnsi="Times New Roman"/>
          <w:szCs w:val="21"/>
          <w:highlight w:val="none"/>
        </w:rPr>
        <w:t>四</w:t>
      </w:r>
      <w:r>
        <w:rPr>
          <w:rFonts w:ascii="Times New Roman" w:hAnsi="Times New Roman"/>
          <w:szCs w:val="21"/>
          <w:highlight w:val="none"/>
        </w:rPr>
        <w:t>份，自双方</w:t>
      </w:r>
      <w:r>
        <w:rPr>
          <w:rFonts w:hint="eastAsia" w:ascii="Times New Roman" w:hAnsi="Times New Roman"/>
          <w:szCs w:val="21"/>
          <w:highlight w:val="none"/>
        </w:rPr>
        <w:t>签字且盖章</w:t>
      </w:r>
      <w:r>
        <w:rPr>
          <w:rFonts w:ascii="Times New Roman" w:hAnsi="Times New Roman"/>
          <w:szCs w:val="21"/>
          <w:highlight w:val="none"/>
        </w:rPr>
        <w:t>之日起生效。甲方三份，乙方一份。</w:t>
      </w:r>
    </w:p>
    <w:p w14:paraId="39EF7BC6">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合同附件</w:t>
      </w:r>
    </w:p>
    <w:p w14:paraId="199B2652">
      <w:pPr>
        <w:snapToGrid w:val="0"/>
        <w:rPr>
          <w:rFonts w:ascii="Times New Roman" w:hAnsi="Times New Roman"/>
          <w:szCs w:val="21"/>
          <w:highlight w:val="none"/>
        </w:rPr>
      </w:pPr>
      <w:r>
        <w:rPr>
          <w:rFonts w:ascii="Times New Roman" w:hAnsi="Times New Roman"/>
          <w:szCs w:val="21"/>
          <w:highlight w:val="none"/>
        </w:rPr>
        <w:t>附件1：配置清单</w:t>
      </w:r>
    </w:p>
    <w:p w14:paraId="0DCFE41E">
      <w:pPr>
        <w:snapToGrid w:val="0"/>
        <w:jc w:val="left"/>
        <w:rPr>
          <w:rFonts w:ascii="Times New Roman" w:hAnsi="Times New Roman"/>
          <w:szCs w:val="21"/>
          <w:highlight w:val="none"/>
        </w:rPr>
      </w:pPr>
      <w:r>
        <w:rPr>
          <w:rFonts w:ascii="Times New Roman" w:hAnsi="Times New Roman"/>
          <w:szCs w:val="21"/>
          <w:highlight w:val="none"/>
        </w:rPr>
        <w:t>附件2：</w:t>
      </w:r>
      <w:r>
        <w:rPr>
          <w:rFonts w:hint="eastAsia" w:ascii="Times New Roman" w:hAnsi="Times New Roman"/>
          <w:szCs w:val="21"/>
          <w:highlight w:val="none"/>
        </w:rPr>
        <w:t>货物</w:t>
      </w:r>
      <w:r>
        <w:rPr>
          <w:rFonts w:ascii="Times New Roman" w:hAnsi="Times New Roman"/>
          <w:szCs w:val="21"/>
          <w:highlight w:val="none"/>
        </w:rPr>
        <w:t>技术参数</w:t>
      </w:r>
    </w:p>
    <w:p w14:paraId="4CBA2706">
      <w:pPr>
        <w:jc w:val="center"/>
        <w:rPr>
          <w:rFonts w:ascii="Times New Roman" w:hAnsi="Times New Roman"/>
          <w:szCs w:val="21"/>
          <w:highlight w:val="none"/>
        </w:rPr>
      </w:pPr>
      <w:r>
        <w:rPr>
          <w:rFonts w:ascii="Times New Roman" w:hAnsi="Times New Roman"/>
          <w:szCs w:val="21"/>
          <w:highlight w:val="none"/>
        </w:rPr>
        <w:t>——</w:t>
      </w:r>
      <w:r>
        <w:rPr>
          <w:rFonts w:ascii="Times New Roman" w:hAnsi="Times New Roman"/>
          <w:sz w:val="18"/>
          <w:szCs w:val="18"/>
          <w:highlight w:val="none"/>
        </w:rPr>
        <w:t>以下无正文</w:t>
      </w:r>
      <w:r>
        <w:rPr>
          <w:rFonts w:ascii="Times New Roman" w:hAnsi="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320A26C3">
        <w:tblPrEx>
          <w:tblCellMar>
            <w:top w:w="0" w:type="dxa"/>
            <w:left w:w="0" w:type="dxa"/>
            <w:bottom w:w="0" w:type="dxa"/>
            <w:right w:w="0" w:type="dxa"/>
          </w:tblCellMar>
        </w:tblPrEx>
        <w:trPr>
          <w:trHeight w:val="519" w:hRule="atLeast"/>
          <w:jc w:val="center"/>
        </w:trPr>
        <w:tc>
          <w:tcPr>
            <w:tcW w:w="10214" w:type="dxa"/>
            <w:gridSpan w:val="2"/>
            <w:noWrap w:val="0"/>
            <w:vAlign w:val="top"/>
          </w:tcPr>
          <w:p w14:paraId="2C12065F">
            <w:pPr>
              <w:rPr>
                <w:rFonts w:ascii="Times New Roman" w:hAnsi="Times New Roman"/>
                <w:szCs w:val="21"/>
                <w:highlight w:val="none"/>
              </w:rPr>
            </w:pPr>
            <w:r>
              <w:rPr>
                <w:rFonts w:hint="eastAsia" w:ascii="Times New Roman" w:hAnsi="Times New Roman"/>
                <w:szCs w:val="21"/>
                <w:highlight w:val="none"/>
              </w:rPr>
              <w:t>签订时间：</w:t>
            </w:r>
            <w:r>
              <w:rPr>
                <w:rFonts w:ascii="Times New Roman" w:hAnsi="Times New Roman"/>
                <w:highlight w:val="none"/>
              </w:rPr>
              <w:t>202</w:t>
            </w:r>
            <w:r>
              <w:rPr>
                <w:rFonts w:hint="eastAsia" w:ascii="Times New Roman" w:hAnsi="Times New Roman"/>
                <w:highlight w:val="none"/>
              </w:rPr>
              <w:t>*</w:t>
            </w:r>
            <w:r>
              <w:rPr>
                <w:rFonts w:ascii="Times New Roman" w:hAnsi="Times New Roman"/>
                <w:szCs w:val="21"/>
                <w:highlight w:val="none"/>
              </w:rPr>
              <w:t>年***月***</w:t>
            </w:r>
            <w:r>
              <w:rPr>
                <w:rFonts w:hint="eastAsia" w:ascii="Times New Roman" w:hAnsi="Times New Roman"/>
                <w:szCs w:val="21"/>
                <w:highlight w:val="none"/>
              </w:rPr>
              <w:t>日</w:t>
            </w:r>
          </w:p>
        </w:tc>
      </w:tr>
      <w:tr w14:paraId="519E55B1">
        <w:tblPrEx>
          <w:tblCellMar>
            <w:top w:w="0" w:type="dxa"/>
            <w:left w:w="0" w:type="dxa"/>
            <w:bottom w:w="0" w:type="dxa"/>
            <w:right w:w="0" w:type="dxa"/>
          </w:tblCellMar>
        </w:tblPrEx>
        <w:trPr>
          <w:jc w:val="center"/>
        </w:trPr>
        <w:tc>
          <w:tcPr>
            <w:tcW w:w="4967" w:type="dxa"/>
            <w:noWrap w:val="0"/>
            <w:vAlign w:val="top"/>
          </w:tcPr>
          <w:p w14:paraId="2CE0100D">
            <w:pPr>
              <w:rPr>
                <w:rFonts w:ascii="Times New Roman" w:hAnsi="Times New Roman"/>
                <w:szCs w:val="21"/>
                <w:highlight w:val="none"/>
              </w:rPr>
            </w:pPr>
            <w:r>
              <w:rPr>
                <w:rFonts w:ascii="Times New Roman" w:hAnsi="Times New Roman"/>
                <w:szCs w:val="21"/>
                <w:highlight w:val="none"/>
              </w:rPr>
              <w:t>甲方：四川省人民医院（盖章）</w:t>
            </w:r>
          </w:p>
          <w:p w14:paraId="3059DCF9">
            <w:pPr>
              <w:rPr>
                <w:rFonts w:ascii="Times New Roman" w:hAnsi="Times New Roman"/>
                <w:szCs w:val="21"/>
                <w:highlight w:val="none"/>
              </w:rPr>
            </w:pPr>
            <w:r>
              <w:rPr>
                <w:rFonts w:ascii="Times New Roman" w:hAnsi="Times New Roman"/>
                <w:szCs w:val="21"/>
                <w:highlight w:val="none"/>
              </w:rPr>
              <w:t>法定代表人（授权代表签字）：</w:t>
            </w:r>
          </w:p>
          <w:p w14:paraId="22916757">
            <w:pPr>
              <w:rPr>
                <w:rFonts w:ascii="Times New Roman" w:hAnsi="Times New Roman"/>
                <w:szCs w:val="21"/>
                <w:highlight w:val="none"/>
              </w:rPr>
            </w:pPr>
            <w:r>
              <w:rPr>
                <w:rFonts w:ascii="Times New Roman" w:hAnsi="Times New Roman"/>
                <w:szCs w:val="21"/>
                <w:highlight w:val="none"/>
              </w:rPr>
              <w:t>地    址：四川省成都市一环路西二段32号</w:t>
            </w:r>
          </w:p>
          <w:p w14:paraId="70795C16">
            <w:pPr>
              <w:rPr>
                <w:rFonts w:ascii="Times New Roman" w:hAnsi="Times New Roman"/>
                <w:szCs w:val="21"/>
                <w:highlight w:val="none"/>
              </w:rPr>
            </w:pPr>
            <w:r>
              <w:rPr>
                <w:rFonts w:ascii="Times New Roman" w:hAnsi="Times New Roman"/>
                <w:szCs w:val="21"/>
                <w:highlight w:val="none"/>
              </w:rPr>
              <w:t>开户银行：建设银行成都青羊支行</w:t>
            </w:r>
          </w:p>
          <w:p w14:paraId="2A085999">
            <w:pPr>
              <w:rPr>
                <w:rFonts w:hint="eastAsia" w:ascii="Times New Roman" w:hAnsi="Times New Roman"/>
                <w:szCs w:val="21"/>
                <w:highlight w:val="none"/>
              </w:rPr>
            </w:pPr>
            <w:r>
              <w:rPr>
                <w:rFonts w:ascii="Times New Roman" w:hAnsi="Times New Roman"/>
                <w:szCs w:val="21"/>
                <w:highlight w:val="none"/>
              </w:rPr>
              <w:t>账号：5100 1446 4360 5037 4282</w:t>
            </w:r>
          </w:p>
        </w:tc>
        <w:tc>
          <w:tcPr>
            <w:tcW w:w="5247" w:type="dxa"/>
            <w:noWrap w:val="0"/>
            <w:vAlign w:val="top"/>
          </w:tcPr>
          <w:p w14:paraId="49B85B7D">
            <w:pPr>
              <w:rPr>
                <w:rFonts w:ascii="Times New Roman" w:hAnsi="Times New Roman"/>
                <w:szCs w:val="21"/>
                <w:highlight w:val="none"/>
              </w:rPr>
            </w:pPr>
            <w:r>
              <w:rPr>
                <w:rFonts w:ascii="Times New Roman" w:hAnsi="Times New Roman"/>
                <w:szCs w:val="21"/>
                <w:highlight w:val="none"/>
              </w:rPr>
              <w:t>乙方：***（盖章）</w:t>
            </w:r>
          </w:p>
          <w:p w14:paraId="56780D81">
            <w:pPr>
              <w:rPr>
                <w:rFonts w:ascii="Times New Roman" w:hAnsi="Times New Roman"/>
                <w:szCs w:val="21"/>
                <w:highlight w:val="none"/>
              </w:rPr>
            </w:pPr>
            <w:r>
              <w:rPr>
                <w:rFonts w:ascii="Times New Roman" w:hAnsi="Times New Roman"/>
                <w:szCs w:val="21"/>
                <w:highlight w:val="none"/>
              </w:rPr>
              <w:t>法定代表人（授权代表签字）：</w:t>
            </w:r>
          </w:p>
          <w:p w14:paraId="6B0D0155">
            <w:pPr>
              <w:rPr>
                <w:rFonts w:ascii="Times New Roman" w:hAnsi="Times New Roman"/>
                <w:szCs w:val="21"/>
                <w:highlight w:val="none"/>
              </w:rPr>
            </w:pPr>
            <w:r>
              <w:rPr>
                <w:rFonts w:ascii="Times New Roman" w:hAnsi="Times New Roman"/>
                <w:szCs w:val="21"/>
                <w:highlight w:val="none"/>
              </w:rPr>
              <w:t>地址：***</w:t>
            </w:r>
          </w:p>
          <w:p w14:paraId="224A1C58">
            <w:pPr>
              <w:rPr>
                <w:rFonts w:ascii="Times New Roman" w:hAnsi="Times New Roman"/>
                <w:szCs w:val="21"/>
                <w:highlight w:val="none"/>
              </w:rPr>
            </w:pPr>
            <w:r>
              <w:rPr>
                <w:rFonts w:ascii="Times New Roman" w:hAnsi="Times New Roman"/>
                <w:szCs w:val="21"/>
                <w:highlight w:val="none"/>
              </w:rPr>
              <w:t>开户银行：***</w:t>
            </w:r>
          </w:p>
          <w:p w14:paraId="72695631">
            <w:pPr>
              <w:widowControl/>
              <w:jc w:val="left"/>
              <w:rPr>
                <w:rFonts w:hint="eastAsia" w:ascii="Times New Roman" w:hAnsi="Times New Roman"/>
                <w:highlight w:val="none"/>
              </w:rPr>
            </w:pPr>
            <w:r>
              <w:rPr>
                <w:rFonts w:ascii="Times New Roman" w:hAnsi="Times New Roman"/>
                <w:szCs w:val="21"/>
                <w:highlight w:val="none"/>
              </w:rPr>
              <w:t>账号：***</w:t>
            </w:r>
          </w:p>
        </w:tc>
      </w:tr>
    </w:tbl>
    <w:p w14:paraId="2495D825">
      <w:pPr>
        <w:widowControl/>
        <w:jc w:val="left"/>
        <w:rPr>
          <w:rFonts w:ascii="Times New Roman" w:hAnsi="Times New Roman"/>
          <w:b/>
          <w:bCs/>
          <w:szCs w:val="21"/>
          <w:highlight w:val="none"/>
        </w:rPr>
        <w:sectPr>
          <w:headerReference r:id="rId7" w:type="default"/>
          <w:footerReference r:id="rId8" w:type="default"/>
          <w:pgSz w:w="11906" w:h="16838"/>
          <w:pgMar w:top="1134" w:right="851" w:bottom="1134" w:left="851" w:header="851" w:footer="567" w:gutter="0"/>
          <w:pgNumType w:fmt="decimal" w:start="1"/>
          <w:cols w:space="720" w:num="1"/>
          <w:docGrid w:type="lines" w:linePitch="312" w:charSpace="0"/>
        </w:sectPr>
      </w:pPr>
    </w:p>
    <w:p w14:paraId="7FADDE97">
      <w:pPr>
        <w:widowControl/>
        <w:jc w:val="left"/>
        <w:rPr>
          <w:rFonts w:ascii="Times New Roman" w:hAnsi="Times New Roman"/>
          <w:b/>
          <w:bCs/>
          <w:szCs w:val="21"/>
          <w:highlight w:val="none"/>
        </w:rPr>
      </w:pPr>
      <w:r>
        <w:rPr>
          <w:rFonts w:ascii="Times New Roman" w:hAnsi="Times New Roman"/>
          <w:b/>
          <w:bCs/>
          <w:szCs w:val="21"/>
          <w:highlight w:val="none"/>
        </w:rPr>
        <w:t>附件1：配置清单</w:t>
      </w:r>
    </w:p>
    <w:p w14:paraId="1D06A56F">
      <w:pPr>
        <w:pStyle w:val="7"/>
        <w:rPr>
          <w:rFonts w:hint="eastAsia"/>
          <w:highlight w:val="none"/>
        </w:rPr>
      </w:pPr>
    </w:p>
    <w:p w14:paraId="3E982B9B">
      <w:pPr>
        <w:rPr>
          <w:rFonts w:hint="eastAsia" w:ascii="Times New Roman" w:hAnsi="Times New Roman"/>
          <w:szCs w:val="21"/>
          <w:highlight w:val="none"/>
        </w:rPr>
      </w:pPr>
      <w:r>
        <w:rPr>
          <w:rFonts w:ascii="Times New Roman" w:hAnsi="Times New Roman"/>
          <w:szCs w:val="21"/>
          <w:highlight w:val="none"/>
        </w:rPr>
        <w:t>注：本合同第一条中写明的</w:t>
      </w:r>
      <w:r>
        <w:rPr>
          <w:rFonts w:hint="eastAsia" w:ascii="Times New Roman" w:hAnsi="Times New Roman"/>
          <w:szCs w:val="21"/>
          <w:highlight w:val="none"/>
        </w:rPr>
        <w:t>货物</w:t>
      </w:r>
      <w:r>
        <w:rPr>
          <w:rFonts w:ascii="Times New Roman" w:hAnsi="Times New Roman"/>
          <w:szCs w:val="21"/>
          <w:highlight w:val="none"/>
        </w:rPr>
        <w:t>均须单独填写配置清单。</w:t>
      </w:r>
    </w:p>
    <w:p w14:paraId="24AB499E">
      <w:pPr>
        <w:rPr>
          <w:rFonts w:ascii="Times New Roman" w:hAnsi="Times New Roman"/>
          <w:szCs w:val="21"/>
          <w:highlight w:val="none"/>
        </w:rPr>
      </w:pPr>
      <w:r>
        <w:rPr>
          <w:rFonts w:ascii="Times New Roman" w:hAnsi="Times New Roman"/>
          <w:szCs w:val="21"/>
          <w:highlight w:val="none"/>
        </w:rPr>
        <w:t>序号1：</w:t>
      </w:r>
      <w:r>
        <w:rPr>
          <w:rFonts w:hint="eastAsia" w:ascii="Times New Roman" w:hAnsi="Times New Roman"/>
          <w:szCs w:val="21"/>
          <w:highlight w:val="none"/>
        </w:rPr>
        <w:t>货物</w:t>
      </w:r>
      <w:r>
        <w:rPr>
          <w:rFonts w:ascii="Times New Roman" w:hAnsi="Times New Roman"/>
          <w:szCs w:val="21"/>
          <w:highlight w:val="none"/>
        </w:rPr>
        <w:t>名称：***</w:t>
      </w:r>
    </w:p>
    <w:p w14:paraId="3935E5CC">
      <w:pPr>
        <w:rPr>
          <w:rFonts w:ascii="Times New Roman" w:hAnsi="Times New Roman"/>
          <w:szCs w:val="21"/>
          <w:highlight w:val="none"/>
        </w:rPr>
      </w:pPr>
      <w:r>
        <w:rPr>
          <w:rFonts w:ascii="Times New Roman" w:hAnsi="Times New Roman"/>
          <w:szCs w:val="21"/>
          <w:highlight w:val="none"/>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14:paraId="4E6A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67FA80CE">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序号</w:t>
            </w:r>
          </w:p>
        </w:tc>
        <w:tc>
          <w:tcPr>
            <w:tcW w:w="3073" w:type="dxa"/>
            <w:noWrap w:val="0"/>
            <w:vAlign w:val="center"/>
          </w:tcPr>
          <w:p w14:paraId="0C860C42">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组件名称</w:t>
            </w:r>
          </w:p>
        </w:tc>
        <w:tc>
          <w:tcPr>
            <w:tcW w:w="2609" w:type="dxa"/>
            <w:noWrap w:val="0"/>
            <w:vAlign w:val="center"/>
          </w:tcPr>
          <w:p w14:paraId="38B81252">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型号/规格（如有）</w:t>
            </w:r>
          </w:p>
        </w:tc>
        <w:tc>
          <w:tcPr>
            <w:tcW w:w="1562" w:type="dxa"/>
            <w:noWrap w:val="0"/>
            <w:vAlign w:val="center"/>
          </w:tcPr>
          <w:p w14:paraId="27AD7ACF">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单位</w:t>
            </w:r>
          </w:p>
        </w:tc>
        <w:tc>
          <w:tcPr>
            <w:tcW w:w="1410" w:type="dxa"/>
            <w:noWrap w:val="0"/>
            <w:vAlign w:val="center"/>
          </w:tcPr>
          <w:p w14:paraId="3BD86270">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数量</w:t>
            </w:r>
          </w:p>
        </w:tc>
        <w:tc>
          <w:tcPr>
            <w:tcW w:w="1104" w:type="dxa"/>
            <w:noWrap w:val="0"/>
            <w:vAlign w:val="center"/>
          </w:tcPr>
          <w:p w14:paraId="4E2E9F8C">
            <w:pPr>
              <w:contextualSpacing/>
              <w:jc w:val="center"/>
              <w:outlineLvl w:val="0"/>
              <w:rPr>
                <w:rFonts w:ascii="Times New Roman" w:hAnsi="Times New Roman"/>
                <w:b/>
                <w:kern w:val="0"/>
                <w:szCs w:val="21"/>
                <w:highlight w:val="none"/>
              </w:rPr>
            </w:pPr>
            <w:r>
              <w:rPr>
                <w:rFonts w:ascii="Times New Roman" w:hAnsi="Times New Roman"/>
                <w:b/>
                <w:kern w:val="0"/>
                <w:szCs w:val="21"/>
                <w:highlight w:val="none"/>
              </w:rPr>
              <w:t>备注</w:t>
            </w:r>
          </w:p>
        </w:tc>
      </w:tr>
      <w:tr w14:paraId="5178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62A0962">
            <w:pPr>
              <w:pStyle w:val="7"/>
              <w:spacing w:after="0"/>
              <w:contextualSpacing/>
              <w:jc w:val="center"/>
              <w:rPr>
                <w:rFonts w:ascii="Times New Roman" w:hAnsi="Times New Roman"/>
                <w:kern w:val="0"/>
                <w:szCs w:val="21"/>
                <w:highlight w:val="none"/>
              </w:rPr>
            </w:pPr>
            <w:r>
              <w:rPr>
                <w:rFonts w:ascii="Times New Roman" w:hAnsi="Times New Roman"/>
                <w:szCs w:val="21"/>
                <w:highlight w:val="none"/>
              </w:rPr>
              <w:t>1</w:t>
            </w:r>
          </w:p>
        </w:tc>
        <w:tc>
          <w:tcPr>
            <w:tcW w:w="3073" w:type="dxa"/>
            <w:noWrap w:val="0"/>
            <w:vAlign w:val="center"/>
          </w:tcPr>
          <w:p w14:paraId="7BE3BFA3">
            <w:pPr>
              <w:pStyle w:val="7"/>
              <w:spacing w:after="0"/>
              <w:contextualSpacing/>
              <w:rPr>
                <w:rFonts w:ascii="Times New Roman" w:hAnsi="Times New Roman"/>
                <w:b/>
                <w:bCs/>
                <w:szCs w:val="21"/>
                <w:highlight w:val="none"/>
              </w:rPr>
            </w:pPr>
          </w:p>
        </w:tc>
        <w:tc>
          <w:tcPr>
            <w:tcW w:w="2609" w:type="dxa"/>
            <w:noWrap w:val="0"/>
            <w:vAlign w:val="center"/>
          </w:tcPr>
          <w:p w14:paraId="2C1F99CB">
            <w:pPr>
              <w:pStyle w:val="7"/>
              <w:spacing w:after="0"/>
              <w:contextualSpacing/>
              <w:rPr>
                <w:rFonts w:ascii="Times New Roman" w:hAnsi="Times New Roman"/>
                <w:b/>
                <w:bCs/>
                <w:szCs w:val="21"/>
                <w:highlight w:val="none"/>
              </w:rPr>
            </w:pPr>
          </w:p>
        </w:tc>
        <w:tc>
          <w:tcPr>
            <w:tcW w:w="1562" w:type="dxa"/>
            <w:noWrap w:val="0"/>
            <w:vAlign w:val="center"/>
          </w:tcPr>
          <w:p w14:paraId="45C16D74">
            <w:pPr>
              <w:pStyle w:val="7"/>
              <w:spacing w:after="0"/>
              <w:contextualSpacing/>
              <w:rPr>
                <w:rFonts w:ascii="Times New Roman" w:hAnsi="Times New Roman"/>
                <w:b/>
                <w:bCs/>
                <w:szCs w:val="21"/>
                <w:highlight w:val="none"/>
              </w:rPr>
            </w:pPr>
          </w:p>
        </w:tc>
        <w:tc>
          <w:tcPr>
            <w:tcW w:w="1410" w:type="dxa"/>
            <w:noWrap w:val="0"/>
            <w:vAlign w:val="center"/>
          </w:tcPr>
          <w:p w14:paraId="160E7FD7">
            <w:pPr>
              <w:pStyle w:val="7"/>
              <w:spacing w:after="0"/>
              <w:contextualSpacing/>
              <w:rPr>
                <w:rFonts w:ascii="Times New Roman" w:hAnsi="Times New Roman"/>
                <w:b/>
                <w:bCs/>
                <w:szCs w:val="21"/>
                <w:highlight w:val="none"/>
              </w:rPr>
            </w:pPr>
          </w:p>
        </w:tc>
        <w:tc>
          <w:tcPr>
            <w:tcW w:w="1104" w:type="dxa"/>
            <w:noWrap w:val="0"/>
            <w:vAlign w:val="center"/>
          </w:tcPr>
          <w:p w14:paraId="11453825">
            <w:pPr>
              <w:contextualSpacing/>
              <w:rPr>
                <w:rFonts w:ascii="Times New Roman" w:hAnsi="Times New Roman"/>
                <w:b/>
                <w:bCs/>
                <w:szCs w:val="21"/>
                <w:highlight w:val="none"/>
              </w:rPr>
            </w:pPr>
          </w:p>
        </w:tc>
      </w:tr>
      <w:tr w14:paraId="728E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05CF3DE4">
            <w:pPr>
              <w:pStyle w:val="7"/>
              <w:spacing w:after="0"/>
              <w:contextualSpacing/>
              <w:jc w:val="center"/>
              <w:rPr>
                <w:rFonts w:ascii="Times New Roman" w:hAnsi="Times New Roman"/>
                <w:b/>
                <w:bCs/>
                <w:szCs w:val="21"/>
                <w:highlight w:val="none"/>
              </w:rPr>
            </w:pPr>
            <w:r>
              <w:rPr>
                <w:rFonts w:ascii="Times New Roman" w:hAnsi="Times New Roman"/>
                <w:szCs w:val="21"/>
                <w:highlight w:val="none"/>
              </w:rPr>
              <w:t>2</w:t>
            </w:r>
          </w:p>
        </w:tc>
        <w:tc>
          <w:tcPr>
            <w:tcW w:w="3073" w:type="dxa"/>
            <w:noWrap w:val="0"/>
            <w:vAlign w:val="center"/>
          </w:tcPr>
          <w:p w14:paraId="2AA1B92E">
            <w:pPr>
              <w:pStyle w:val="7"/>
              <w:spacing w:after="0"/>
              <w:contextualSpacing/>
              <w:rPr>
                <w:rFonts w:ascii="Times New Roman" w:hAnsi="Times New Roman"/>
                <w:b/>
                <w:bCs/>
                <w:szCs w:val="21"/>
                <w:highlight w:val="none"/>
              </w:rPr>
            </w:pPr>
          </w:p>
        </w:tc>
        <w:tc>
          <w:tcPr>
            <w:tcW w:w="2609" w:type="dxa"/>
            <w:noWrap w:val="0"/>
            <w:vAlign w:val="center"/>
          </w:tcPr>
          <w:p w14:paraId="05B7514D">
            <w:pPr>
              <w:pStyle w:val="7"/>
              <w:spacing w:after="0"/>
              <w:contextualSpacing/>
              <w:rPr>
                <w:rFonts w:ascii="Times New Roman" w:hAnsi="Times New Roman"/>
                <w:b/>
                <w:bCs/>
                <w:szCs w:val="21"/>
                <w:highlight w:val="none"/>
              </w:rPr>
            </w:pPr>
          </w:p>
        </w:tc>
        <w:tc>
          <w:tcPr>
            <w:tcW w:w="1562" w:type="dxa"/>
            <w:noWrap w:val="0"/>
            <w:vAlign w:val="center"/>
          </w:tcPr>
          <w:p w14:paraId="1E7B83C7">
            <w:pPr>
              <w:contextualSpacing/>
              <w:rPr>
                <w:rFonts w:ascii="Times New Roman" w:hAnsi="Times New Roman"/>
                <w:b/>
                <w:bCs/>
                <w:szCs w:val="21"/>
                <w:highlight w:val="none"/>
              </w:rPr>
            </w:pPr>
          </w:p>
        </w:tc>
        <w:tc>
          <w:tcPr>
            <w:tcW w:w="1410" w:type="dxa"/>
            <w:noWrap w:val="0"/>
            <w:vAlign w:val="center"/>
          </w:tcPr>
          <w:p w14:paraId="290F02D1">
            <w:pPr>
              <w:contextualSpacing/>
              <w:rPr>
                <w:rFonts w:ascii="Times New Roman" w:hAnsi="Times New Roman"/>
                <w:b/>
                <w:bCs/>
                <w:szCs w:val="21"/>
                <w:highlight w:val="none"/>
              </w:rPr>
            </w:pPr>
          </w:p>
        </w:tc>
        <w:tc>
          <w:tcPr>
            <w:tcW w:w="1104" w:type="dxa"/>
            <w:noWrap w:val="0"/>
            <w:vAlign w:val="center"/>
          </w:tcPr>
          <w:p w14:paraId="7C3F00FA">
            <w:pPr>
              <w:contextualSpacing/>
              <w:rPr>
                <w:rFonts w:ascii="Times New Roman" w:hAnsi="Times New Roman"/>
                <w:b/>
                <w:bCs/>
                <w:szCs w:val="21"/>
                <w:highlight w:val="none"/>
              </w:rPr>
            </w:pPr>
          </w:p>
        </w:tc>
      </w:tr>
      <w:tr w14:paraId="0543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399A07B9">
            <w:pPr>
              <w:pStyle w:val="7"/>
              <w:spacing w:after="0"/>
              <w:contextualSpacing/>
              <w:jc w:val="center"/>
              <w:rPr>
                <w:rFonts w:ascii="Times New Roman" w:hAnsi="Times New Roman"/>
                <w:b/>
                <w:bCs/>
                <w:szCs w:val="21"/>
                <w:highlight w:val="none"/>
              </w:rPr>
            </w:pPr>
            <w:r>
              <w:rPr>
                <w:rFonts w:ascii="Times New Roman" w:hAnsi="Times New Roman"/>
                <w:b/>
                <w:bCs/>
                <w:szCs w:val="21"/>
                <w:highlight w:val="none"/>
              </w:rPr>
              <w:t>...</w:t>
            </w:r>
          </w:p>
        </w:tc>
        <w:tc>
          <w:tcPr>
            <w:tcW w:w="3073" w:type="dxa"/>
            <w:noWrap w:val="0"/>
            <w:vAlign w:val="center"/>
          </w:tcPr>
          <w:p w14:paraId="78EE3A27">
            <w:pPr>
              <w:pStyle w:val="7"/>
              <w:spacing w:after="0"/>
              <w:contextualSpacing/>
              <w:rPr>
                <w:rFonts w:ascii="Times New Roman" w:hAnsi="Times New Roman"/>
                <w:b/>
                <w:bCs/>
                <w:szCs w:val="21"/>
                <w:highlight w:val="none"/>
              </w:rPr>
            </w:pPr>
          </w:p>
        </w:tc>
        <w:tc>
          <w:tcPr>
            <w:tcW w:w="2609" w:type="dxa"/>
            <w:noWrap w:val="0"/>
            <w:vAlign w:val="center"/>
          </w:tcPr>
          <w:p w14:paraId="025B47A4">
            <w:pPr>
              <w:pStyle w:val="7"/>
              <w:spacing w:after="0"/>
              <w:contextualSpacing/>
              <w:rPr>
                <w:rFonts w:ascii="Times New Roman" w:hAnsi="Times New Roman"/>
                <w:b/>
                <w:bCs/>
                <w:szCs w:val="21"/>
                <w:highlight w:val="none"/>
              </w:rPr>
            </w:pPr>
          </w:p>
        </w:tc>
        <w:tc>
          <w:tcPr>
            <w:tcW w:w="1562" w:type="dxa"/>
            <w:noWrap w:val="0"/>
            <w:vAlign w:val="center"/>
          </w:tcPr>
          <w:p w14:paraId="2C47D3F0">
            <w:pPr>
              <w:contextualSpacing/>
              <w:rPr>
                <w:rFonts w:ascii="Times New Roman" w:hAnsi="Times New Roman"/>
                <w:b/>
                <w:bCs/>
                <w:szCs w:val="21"/>
                <w:highlight w:val="none"/>
              </w:rPr>
            </w:pPr>
          </w:p>
        </w:tc>
        <w:tc>
          <w:tcPr>
            <w:tcW w:w="1410" w:type="dxa"/>
            <w:noWrap w:val="0"/>
            <w:vAlign w:val="center"/>
          </w:tcPr>
          <w:p w14:paraId="6D2842EE">
            <w:pPr>
              <w:contextualSpacing/>
              <w:rPr>
                <w:rFonts w:ascii="Times New Roman" w:hAnsi="Times New Roman"/>
                <w:b/>
                <w:bCs/>
                <w:szCs w:val="21"/>
                <w:highlight w:val="none"/>
              </w:rPr>
            </w:pPr>
          </w:p>
        </w:tc>
        <w:tc>
          <w:tcPr>
            <w:tcW w:w="1104" w:type="dxa"/>
            <w:noWrap w:val="0"/>
            <w:vAlign w:val="center"/>
          </w:tcPr>
          <w:p w14:paraId="530AD84B">
            <w:pPr>
              <w:contextualSpacing/>
              <w:rPr>
                <w:rFonts w:ascii="Times New Roman" w:hAnsi="Times New Roman"/>
                <w:b/>
                <w:bCs/>
                <w:szCs w:val="21"/>
                <w:highlight w:val="none"/>
              </w:rPr>
            </w:pPr>
          </w:p>
        </w:tc>
      </w:tr>
    </w:tbl>
    <w:p w14:paraId="06E5C1E6">
      <w:pPr>
        <w:pStyle w:val="7"/>
        <w:rPr>
          <w:highlight w:val="none"/>
        </w:rPr>
        <w:sectPr>
          <w:pgSz w:w="11906" w:h="16838"/>
          <w:pgMar w:top="1134" w:right="851" w:bottom="1134" w:left="851" w:header="851" w:footer="567" w:gutter="0"/>
          <w:pgNumType w:fmt="decimal"/>
          <w:cols w:space="720" w:num="1"/>
          <w:docGrid w:type="lines" w:linePitch="312" w:charSpace="0"/>
        </w:sectPr>
      </w:pPr>
    </w:p>
    <w:p w14:paraId="0D8D8651">
      <w:pPr>
        <w:pStyle w:val="7"/>
        <w:rPr>
          <w:rFonts w:ascii="Times New Roman" w:hAnsi="Times New Roman"/>
          <w:b/>
          <w:bCs/>
          <w:highlight w:val="none"/>
        </w:rPr>
      </w:pPr>
      <w:r>
        <w:rPr>
          <w:rFonts w:ascii="Times New Roman" w:hAnsi="Times New Roman"/>
          <w:b/>
          <w:bCs/>
          <w:highlight w:val="none"/>
        </w:rPr>
        <w:t>附件2：货物技术参数</w:t>
      </w:r>
    </w:p>
    <w:p w14:paraId="3FFBF613">
      <w:pPr>
        <w:pStyle w:val="7"/>
        <w:rPr>
          <w:rFonts w:ascii="Times New Roman" w:hAnsi="Times New Roman"/>
          <w:highlight w:val="none"/>
        </w:rPr>
      </w:pPr>
    </w:p>
    <w:p w14:paraId="28120D07">
      <w:pPr>
        <w:pStyle w:val="16"/>
        <w:ind w:firstLine="0" w:firstLineChars="0"/>
        <w:rPr>
          <w:rFonts w:hint="eastAsia"/>
          <w:highlight w:val="none"/>
        </w:rPr>
      </w:pPr>
      <w:r>
        <w:rPr>
          <w:rFonts w:hint="eastAsia"/>
          <w:highlight w:val="none"/>
        </w:rPr>
        <w:t>*</w:t>
      </w:r>
      <w:r>
        <w:rPr>
          <w:highlight w:val="none"/>
        </w:rPr>
        <w:t>**</w:t>
      </w:r>
    </w:p>
    <w:p w14:paraId="35A9B34F">
      <w:pPr>
        <w:rPr>
          <w:highlight w:val="none"/>
        </w:rPr>
      </w:pPr>
    </w:p>
    <w:p w14:paraId="62483AF1">
      <w:pPr>
        <w:rPr>
          <w:rFonts w:ascii="Times New Roman" w:hAnsi="Times New Roman" w:cs="Times New Roman"/>
          <w:b/>
          <w:bCs/>
          <w:sz w:val="44"/>
          <w:szCs w:val="52"/>
          <w:highlight w:val="none"/>
        </w:rPr>
      </w:pPr>
    </w:p>
    <w:p w14:paraId="0CA01D3C">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790BAD3-D3DA-49BB-862D-F6F066A0105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95D49BC-14E0-4AF4-84C2-2F33E6FB34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CB8FF9C-4543-47B8-BA1F-7EF5A669682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EC2A54C-929A-4DEC-AE88-E485E9727A27}"/>
  </w:font>
  <w:font w:name="Segoe UI Symbol">
    <w:panose1 w:val="020B0502040204020203"/>
    <w:charset w:val="00"/>
    <w:family w:val="swiss"/>
    <w:pitch w:val="default"/>
    <w:sig w:usb0="800001E3" w:usb1="1200FFEF" w:usb2="00040000" w:usb3="04000000" w:csb0="00000001" w:csb1="40000000"/>
    <w:embedRegular r:id="rId5" w:fontKey="{6F059CF8-A1DC-4C0E-A2DA-F4D85EB72A44}"/>
  </w:font>
  <w:font w:name="Wingdings 2">
    <w:altName w:val="Wingdings"/>
    <w:panose1 w:val="05020102010507070707"/>
    <w:charset w:val="4D"/>
    <w:family w:val="decorative"/>
    <w:pitch w:val="default"/>
    <w:sig w:usb0="00000000" w:usb1="00000000" w:usb2="00000000" w:usb3="00000000" w:csb0="80000001" w:csb1="00000000"/>
    <w:embedRegular r:id="rId6" w:fontKey="{4B1F6FE5-D759-477D-BE77-ED310859817E}"/>
  </w:font>
  <w:font w:name="Songti SC">
    <w:altName w:val="宋体"/>
    <w:panose1 w:val="02010600040101010101"/>
    <w:charset w:val="86"/>
    <w:family w:val="auto"/>
    <w:pitch w:val="default"/>
    <w:sig w:usb0="00000000" w:usb1="00000000" w:usb2="00000010" w:usb3="00000000" w:csb0="0004009F" w:csb1="00000000"/>
    <w:embedRegular r:id="rId7" w:fontKey="{329756F7-6AB5-41AB-86DC-10F22F2C192B}"/>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F1CC2">
    <w:pPr>
      <w:pStyle w:val="11"/>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6CEE5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F6CEE5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CA7AA">
                          <w:pPr>
                            <w:pStyle w:val="11"/>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51</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72CA7AA">
                    <w:pPr>
                      <w:pStyle w:val="11"/>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51</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7C06B">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8">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3"/>
  </w:num>
  <w:num w:numId="3">
    <w:abstractNumId w:val="17"/>
  </w:num>
  <w:num w:numId="4">
    <w:abstractNumId w:val="27"/>
  </w:num>
  <w:num w:numId="5">
    <w:abstractNumId w:val="11"/>
  </w:num>
  <w:num w:numId="6">
    <w:abstractNumId w:val="22"/>
  </w:num>
  <w:num w:numId="7">
    <w:abstractNumId w:val="16"/>
  </w:num>
  <w:num w:numId="8">
    <w:abstractNumId w:val="2"/>
  </w:num>
  <w:num w:numId="9">
    <w:abstractNumId w:val="1"/>
  </w:num>
  <w:num w:numId="10">
    <w:abstractNumId w:val="0"/>
  </w:num>
  <w:num w:numId="11">
    <w:abstractNumId w:val="4"/>
  </w:num>
  <w:num w:numId="12">
    <w:abstractNumId w:val="7"/>
  </w:num>
  <w:num w:numId="13">
    <w:abstractNumId w:val="24"/>
  </w:num>
  <w:num w:numId="14">
    <w:abstractNumId w:val="5"/>
  </w:num>
  <w:num w:numId="15">
    <w:abstractNumId w:val="28"/>
  </w:num>
  <w:num w:numId="16">
    <w:abstractNumId w:val="26"/>
  </w:num>
  <w:num w:numId="17">
    <w:abstractNumId w:val="20"/>
  </w:num>
  <w:num w:numId="18">
    <w:abstractNumId w:val="8"/>
  </w:num>
  <w:num w:numId="19">
    <w:abstractNumId w:val="12"/>
  </w:num>
  <w:num w:numId="20">
    <w:abstractNumId w:val="6"/>
  </w:num>
  <w:num w:numId="21">
    <w:abstractNumId w:val="15"/>
  </w:num>
  <w:num w:numId="22">
    <w:abstractNumId w:val="25"/>
  </w:num>
  <w:num w:numId="23">
    <w:abstractNumId w:val="23"/>
  </w:num>
  <w:num w:numId="24">
    <w:abstractNumId w:val="18"/>
  </w:num>
  <w:num w:numId="25">
    <w:abstractNumId w:val="14"/>
  </w:num>
  <w:num w:numId="26">
    <w:abstractNumId w:val="9"/>
  </w:num>
  <w:num w:numId="27">
    <w:abstractNumId w:val="19"/>
  </w:num>
  <w:num w:numId="28">
    <w:abstractNumId w:val="1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86FB8"/>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BF5575"/>
    <w:rsid w:val="01D50A7C"/>
    <w:rsid w:val="01EA636A"/>
    <w:rsid w:val="01FF7230"/>
    <w:rsid w:val="023C235A"/>
    <w:rsid w:val="024C0DD3"/>
    <w:rsid w:val="028319CE"/>
    <w:rsid w:val="02CF7A3A"/>
    <w:rsid w:val="038A3960"/>
    <w:rsid w:val="039C3694"/>
    <w:rsid w:val="03D1158F"/>
    <w:rsid w:val="041F679F"/>
    <w:rsid w:val="04BC1856"/>
    <w:rsid w:val="05834B0B"/>
    <w:rsid w:val="058C78B0"/>
    <w:rsid w:val="05E13064"/>
    <w:rsid w:val="05E51322"/>
    <w:rsid w:val="05FD48BE"/>
    <w:rsid w:val="06897EFF"/>
    <w:rsid w:val="06BC02D5"/>
    <w:rsid w:val="06E31D05"/>
    <w:rsid w:val="078828AD"/>
    <w:rsid w:val="078A573C"/>
    <w:rsid w:val="082425D6"/>
    <w:rsid w:val="083251D0"/>
    <w:rsid w:val="08326375"/>
    <w:rsid w:val="0837398B"/>
    <w:rsid w:val="083A1BBD"/>
    <w:rsid w:val="08745B19"/>
    <w:rsid w:val="08EE39BE"/>
    <w:rsid w:val="093A3733"/>
    <w:rsid w:val="0A220AAD"/>
    <w:rsid w:val="0A5151D8"/>
    <w:rsid w:val="0A726EFC"/>
    <w:rsid w:val="0B09160F"/>
    <w:rsid w:val="0B4508AE"/>
    <w:rsid w:val="0BCB2D68"/>
    <w:rsid w:val="0BCB720C"/>
    <w:rsid w:val="0C0E70CD"/>
    <w:rsid w:val="0C120997"/>
    <w:rsid w:val="0C774C9E"/>
    <w:rsid w:val="0C965124"/>
    <w:rsid w:val="0CF161C9"/>
    <w:rsid w:val="0D26294C"/>
    <w:rsid w:val="0D5C636E"/>
    <w:rsid w:val="0D7D4536"/>
    <w:rsid w:val="0DB74E46"/>
    <w:rsid w:val="0DF742E8"/>
    <w:rsid w:val="0E0B7FF0"/>
    <w:rsid w:val="0E356BBF"/>
    <w:rsid w:val="0E5B6625"/>
    <w:rsid w:val="0EAC189D"/>
    <w:rsid w:val="0F5D2ECD"/>
    <w:rsid w:val="0FC14BAE"/>
    <w:rsid w:val="101A497B"/>
    <w:rsid w:val="10391935"/>
    <w:rsid w:val="10432B4B"/>
    <w:rsid w:val="105736F4"/>
    <w:rsid w:val="10A15B58"/>
    <w:rsid w:val="110E1F50"/>
    <w:rsid w:val="113A21A1"/>
    <w:rsid w:val="117A5014"/>
    <w:rsid w:val="127F05A0"/>
    <w:rsid w:val="1299771C"/>
    <w:rsid w:val="12BC165D"/>
    <w:rsid w:val="130A5001"/>
    <w:rsid w:val="136D78F8"/>
    <w:rsid w:val="13806B2E"/>
    <w:rsid w:val="13AC16D1"/>
    <w:rsid w:val="14221993"/>
    <w:rsid w:val="1425798C"/>
    <w:rsid w:val="142E32FB"/>
    <w:rsid w:val="144B0EEA"/>
    <w:rsid w:val="14A32AD4"/>
    <w:rsid w:val="14D42C8D"/>
    <w:rsid w:val="15567E5A"/>
    <w:rsid w:val="157306F8"/>
    <w:rsid w:val="157955E3"/>
    <w:rsid w:val="15A563D8"/>
    <w:rsid w:val="15C545A9"/>
    <w:rsid w:val="15CC4977"/>
    <w:rsid w:val="16077093"/>
    <w:rsid w:val="162A4F7D"/>
    <w:rsid w:val="16A82A66"/>
    <w:rsid w:val="16DE614F"/>
    <w:rsid w:val="16ED396B"/>
    <w:rsid w:val="1712445D"/>
    <w:rsid w:val="17233056"/>
    <w:rsid w:val="17471E3D"/>
    <w:rsid w:val="17726A0E"/>
    <w:rsid w:val="17826121"/>
    <w:rsid w:val="17B46632"/>
    <w:rsid w:val="17BD20FF"/>
    <w:rsid w:val="18316649"/>
    <w:rsid w:val="18695DE3"/>
    <w:rsid w:val="189E76B5"/>
    <w:rsid w:val="189E7B72"/>
    <w:rsid w:val="18E216F1"/>
    <w:rsid w:val="1954595C"/>
    <w:rsid w:val="195762E2"/>
    <w:rsid w:val="1994787E"/>
    <w:rsid w:val="1A4308FD"/>
    <w:rsid w:val="1A82318C"/>
    <w:rsid w:val="1B0B27A2"/>
    <w:rsid w:val="1B120345"/>
    <w:rsid w:val="1B634D6B"/>
    <w:rsid w:val="1B642891"/>
    <w:rsid w:val="1BC9751D"/>
    <w:rsid w:val="1C625023"/>
    <w:rsid w:val="1C746B04"/>
    <w:rsid w:val="1CA97497"/>
    <w:rsid w:val="1D203C5E"/>
    <w:rsid w:val="1D2821E4"/>
    <w:rsid w:val="1D8C2C2E"/>
    <w:rsid w:val="1DB4365C"/>
    <w:rsid w:val="1DC35F95"/>
    <w:rsid w:val="1DD000AF"/>
    <w:rsid w:val="1DE7719E"/>
    <w:rsid w:val="1E09745A"/>
    <w:rsid w:val="1E0D2131"/>
    <w:rsid w:val="1E114F52"/>
    <w:rsid w:val="1E176351"/>
    <w:rsid w:val="1ECD615C"/>
    <w:rsid w:val="1FE21EC2"/>
    <w:rsid w:val="1FF95C9E"/>
    <w:rsid w:val="209239FD"/>
    <w:rsid w:val="20CF13CE"/>
    <w:rsid w:val="215D225D"/>
    <w:rsid w:val="21A62E3B"/>
    <w:rsid w:val="21B53E47"/>
    <w:rsid w:val="22935D1D"/>
    <w:rsid w:val="234611FA"/>
    <w:rsid w:val="2393373D"/>
    <w:rsid w:val="23B24AE2"/>
    <w:rsid w:val="23D4489F"/>
    <w:rsid w:val="23D83E1C"/>
    <w:rsid w:val="24466FD8"/>
    <w:rsid w:val="247104F9"/>
    <w:rsid w:val="24727DCD"/>
    <w:rsid w:val="250273A3"/>
    <w:rsid w:val="25186BC6"/>
    <w:rsid w:val="252B6033"/>
    <w:rsid w:val="25537BFE"/>
    <w:rsid w:val="25F95EEC"/>
    <w:rsid w:val="262001B9"/>
    <w:rsid w:val="263317DE"/>
    <w:rsid w:val="264F486A"/>
    <w:rsid w:val="26E06790"/>
    <w:rsid w:val="26FF6A6F"/>
    <w:rsid w:val="271635BC"/>
    <w:rsid w:val="27B87AF9"/>
    <w:rsid w:val="27DA0163"/>
    <w:rsid w:val="27E80EA9"/>
    <w:rsid w:val="280414A1"/>
    <w:rsid w:val="283D6BE2"/>
    <w:rsid w:val="28570368"/>
    <w:rsid w:val="28A27020"/>
    <w:rsid w:val="28AC5FA3"/>
    <w:rsid w:val="28E14F1E"/>
    <w:rsid w:val="29C5318E"/>
    <w:rsid w:val="2A142F93"/>
    <w:rsid w:val="2A81391B"/>
    <w:rsid w:val="2A9A6739"/>
    <w:rsid w:val="2B502F98"/>
    <w:rsid w:val="2BE05F64"/>
    <w:rsid w:val="2C0734F1"/>
    <w:rsid w:val="2C9A0A9E"/>
    <w:rsid w:val="2D2F2FAF"/>
    <w:rsid w:val="2DA70D65"/>
    <w:rsid w:val="2DBC4548"/>
    <w:rsid w:val="2E3D31FA"/>
    <w:rsid w:val="2E693FEF"/>
    <w:rsid w:val="2E9C2616"/>
    <w:rsid w:val="2F575E37"/>
    <w:rsid w:val="2FEF6776"/>
    <w:rsid w:val="300E150D"/>
    <w:rsid w:val="30136908"/>
    <w:rsid w:val="30DF2EF5"/>
    <w:rsid w:val="30E31FB7"/>
    <w:rsid w:val="311F308B"/>
    <w:rsid w:val="31322DBE"/>
    <w:rsid w:val="31A50888"/>
    <w:rsid w:val="32165D3B"/>
    <w:rsid w:val="32416CFE"/>
    <w:rsid w:val="325356E2"/>
    <w:rsid w:val="332B5D17"/>
    <w:rsid w:val="333F7A14"/>
    <w:rsid w:val="3427766B"/>
    <w:rsid w:val="343706EB"/>
    <w:rsid w:val="343E2262"/>
    <w:rsid w:val="34713BFD"/>
    <w:rsid w:val="34830DA6"/>
    <w:rsid w:val="351A08D0"/>
    <w:rsid w:val="35805CB0"/>
    <w:rsid w:val="35A26038"/>
    <w:rsid w:val="35A41DB0"/>
    <w:rsid w:val="35BC70FA"/>
    <w:rsid w:val="36334CE5"/>
    <w:rsid w:val="3701395E"/>
    <w:rsid w:val="375D490D"/>
    <w:rsid w:val="378123A9"/>
    <w:rsid w:val="37920A5A"/>
    <w:rsid w:val="37BE35FD"/>
    <w:rsid w:val="380A6843"/>
    <w:rsid w:val="381B27FE"/>
    <w:rsid w:val="382B5F8F"/>
    <w:rsid w:val="384F3EE7"/>
    <w:rsid w:val="38C474F4"/>
    <w:rsid w:val="391E6AEA"/>
    <w:rsid w:val="393671C3"/>
    <w:rsid w:val="39895872"/>
    <w:rsid w:val="3A117902"/>
    <w:rsid w:val="3A3F1B1E"/>
    <w:rsid w:val="3A551407"/>
    <w:rsid w:val="3B033C36"/>
    <w:rsid w:val="3B2C2F74"/>
    <w:rsid w:val="3B6444BC"/>
    <w:rsid w:val="3B9C7486"/>
    <w:rsid w:val="3C323D6F"/>
    <w:rsid w:val="3C333E8E"/>
    <w:rsid w:val="3C8A61A4"/>
    <w:rsid w:val="3CB90F2D"/>
    <w:rsid w:val="3CBF4D79"/>
    <w:rsid w:val="3CE05DC4"/>
    <w:rsid w:val="3CEE6201"/>
    <w:rsid w:val="3D385C00"/>
    <w:rsid w:val="3DBF7BA4"/>
    <w:rsid w:val="3E3D0FF4"/>
    <w:rsid w:val="3E57579A"/>
    <w:rsid w:val="3E5D4E8E"/>
    <w:rsid w:val="3EF618CF"/>
    <w:rsid w:val="3F713CF6"/>
    <w:rsid w:val="3FE25336"/>
    <w:rsid w:val="40073668"/>
    <w:rsid w:val="40866C82"/>
    <w:rsid w:val="40C31C84"/>
    <w:rsid w:val="41076015"/>
    <w:rsid w:val="42075FF8"/>
    <w:rsid w:val="422C3859"/>
    <w:rsid w:val="42842020"/>
    <w:rsid w:val="42876CE2"/>
    <w:rsid w:val="42DF0823"/>
    <w:rsid w:val="44150A49"/>
    <w:rsid w:val="444340B2"/>
    <w:rsid w:val="44A1408B"/>
    <w:rsid w:val="44E81B7F"/>
    <w:rsid w:val="450D34CE"/>
    <w:rsid w:val="4513485D"/>
    <w:rsid w:val="4555504E"/>
    <w:rsid w:val="456B28EB"/>
    <w:rsid w:val="46113492"/>
    <w:rsid w:val="462A6302"/>
    <w:rsid w:val="468567BB"/>
    <w:rsid w:val="4734568A"/>
    <w:rsid w:val="476060E7"/>
    <w:rsid w:val="4782487D"/>
    <w:rsid w:val="47B71E17"/>
    <w:rsid w:val="4800731A"/>
    <w:rsid w:val="49A10689"/>
    <w:rsid w:val="49D56585"/>
    <w:rsid w:val="49FC25C6"/>
    <w:rsid w:val="4A3D2AA8"/>
    <w:rsid w:val="4A475610"/>
    <w:rsid w:val="4ABD5996"/>
    <w:rsid w:val="4B31068E"/>
    <w:rsid w:val="4B410375"/>
    <w:rsid w:val="4BA55220"/>
    <w:rsid w:val="4BAD0151"/>
    <w:rsid w:val="4BCA036B"/>
    <w:rsid w:val="4BCF5981"/>
    <w:rsid w:val="4BF453E8"/>
    <w:rsid w:val="4C184E09"/>
    <w:rsid w:val="4C2757BD"/>
    <w:rsid w:val="4C2A705C"/>
    <w:rsid w:val="4C7E73A7"/>
    <w:rsid w:val="4C8F75A2"/>
    <w:rsid w:val="4CC43351"/>
    <w:rsid w:val="4DAD4403"/>
    <w:rsid w:val="4E0336C0"/>
    <w:rsid w:val="4E6F0D56"/>
    <w:rsid w:val="4E895866"/>
    <w:rsid w:val="4E8C008E"/>
    <w:rsid w:val="4E9B1B4B"/>
    <w:rsid w:val="4EA312FE"/>
    <w:rsid w:val="4EB40E5E"/>
    <w:rsid w:val="4EDC5ADC"/>
    <w:rsid w:val="4EE002CE"/>
    <w:rsid w:val="4F0B7A65"/>
    <w:rsid w:val="4FE43F41"/>
    <w:rsid w:val="4FEF758C"/>
    <w:rsid w:val="501A6E72"/>
    <w:rsid w:val="501C4F0D"/>
    <w:rsid w:val="50201D6B"/>
    <w:rsid w:val="503A2AB3"/>
    <w:rsid w:val="504F54ED"/>
    <w:rsid w:val="50771A9C"/>
    <w:rsid w:val="51B11685"/>
    <w:rsid w:val="51C47F6D"/>
    <w:rsid w:val="52994B72"/>
    <w:rsid w:val="529C2335"/>
    <w:rsid w:val="52B256B5"/>
    <w:rsid w:val="52FB52AE"/>
    <w:rsid w:val="54063F0A"/>
    <w:rsid w:val="5455382C"/>
    <w:rsid w:val="547F7727"/>
    <w:rsid w:val="54D77655"/>
    <w:rsid w:val="54E47657"/>
    <w:rsid w:val="55342CF9"/>
    <w:rsid w:val="554674F7"/>
    <w:rsid w:val="55821CB6"/>
    <w:rsid w:val="560662B2"/>
    <w:rsid w:val="56E12A0D"/>
    <w:rsid w:val="57A920EF"/>
    <w:rsid w:val="589C07F4"/>
    <w:rsid w:val="59357973"/>
    <w:rsid w:val="5988617E"/>
    <w:rsid w:val="59965D30"/>
    <w:rsid w:val="5A3727CC"/>
    <w:rsid w:val="5A6307F6"/>
    <w:rsid w:val="5AA47FD9"/>
    <w:rsid w:val="5BA529F7"/>
    <w:rsid w:val="5C205D85"/>
    <w:rsid w:val="5C6043D4"/>
    <w:rsid w:val="5D0A3490"/>
    <w:rsid w:val="5D7E0D39"/>
    <w:rsid w:val="5DDF2DD1"/>
    <w:rsid w:val="5DE057CC"/>
    <w:rsid w:val="5E2E5CB0"/>
    <w:rsid w:val="5E490A40"/>
    <w:rsid w:val="5E9D3F29"/>
    <w:rsid w:val="5ED750F1"/>
    <w:rsid w:val="5EDF45D6"/>
    <w:rsid w:val="5F0E6369"/>
    <w:rsid w:val="5F223BC2"/>
    <w:rsid w:val="5F353859"/>
    <w:rsid w:val="5F64242D"/>
    <w:rsid w:val="5FB63195"/>
    <w:rsid w:val="60384CD1"/>
    <w:rsid w:val="60557590"/>
    <w:rsid w:val="60655808"/>
    <w:rsid w:val="606C7EF8"/>
    <w:rsid w:val="608E1541"/>
    <w:rsid w:val="60BF5BC6"/>
    <w:rsid w:val="60F86CEE"/>
    <w:rsid w:val="612E7483"/>
    <w:rsid w:val="617D1584"/>
    <w:rsid w:val="61AD00BB"/>
    <w:rsid w:val="6220263B"/>
    <w:rsid w:val="62210161"/>
    <w:rsid w:val="63A9427A"/>
    <w:rsid w:val="63D462B1"/>
    <w:rsid w:val="63E678B4"/>
    <w:rsid w:val="63FF44D2"/>
    <w:rsid w:val="641A3596"/>
    <w:rsid w:val="64590086"/>
    <w:rsid w:val="64996C5F"/>
    <w:rsid w:val="64C00105"/>
    <w:rsid w:val="64C36D7E"/>
    <w:rsid w:val="64D96647"/>
    <w:rsid w:val="64F90F01"/>
    <w:rsid w:val="655B51E5"/>
    <w:rsid w:val="65E40ADA"/>
    <w:rsid w:val="66330B86"/>
    <w:rsid w:val="66794234"/>
    <w:rsid w:val="66E22203"/>
    <w:rsid w:val="677B6565"/>
    <w:rsid w:val="67AB0BF9"/>
    <w:rsid w:val="67B43BAE"/>
    <w:rsid w:val="68B812C9"/>
    <w:rsid w:val="68C850E1"/>
    <w:rsid w:val="694A4441"/>
    <w:rsid w:val="698536CB"/>
    <w:rsid w:val="69D50CF4"/>
    <w:rsid w:val="69D73D89"/>
    <w:rsid w:val="69FF522C"/>
    <w:rsid w:val="6A535578"/>
    <w:rsid w:val="6AE34B4E"/>
    <w:rsid w:val="6B803980"/>
    <w:rsid w:val="6BBB1173"/>
    <w:rsid w:val="6BCE4EB6"/>
    <w:rsid w:val="6C3E2441"/>
    <w:rsid w:val="6C487AFD"/>
    <w:rsid w:val="6C81461E"/>
    <w:rsid w:val="6C8664BC"/>
    <w:rsid w:val="6C8D2FC3"/>
    <w:rsid w:val="6CB24363"/>
    <w:rsid w:val="6D3E7C18"/>
    <w:rsid w:val="6DBB3A8B"/>
    <w:rsid w:val="6E721F63"/>
    <w:rsid w:val="6E78714C"/>
    <w:rsid w:val="6EA93466"/>
    <w:rsid w:val="6EBE56B6"/>
    <w:rsid w:val="6EFF37D8"/>
    <w:rsid w:val="6F146151"/>
    <w:rsid w:val="6F276F27"/>
    <w:rsid w:val="6F6F4C02"/>
    <w:rsid w:val="6F7D4948"/>
    <w:rsid w:val="6F960C48"/>
    <w:rsid w:val="6FCF0795"/>
    <w:rsid w:val="6FE70C3C"/>
    <w:rsid w:val="700560CB"/>
    <w:rsid w:val="70643A4D"/>
    <w:rsid w:val="70C90342"/>
    <w:rsid w:val="70F10A19"/>
    <w:rsid w:val="71381023"/>
    <w:rsid w:val="732B6917"/>
    <w:rsid w:val="735465E8"/>
    <w:rsid w:val="73714961"/>
    <w:rsid w:val="74060F7A"/>
    <w:rsid w:val="740B676D"/>
    <w:rsid w:val="74D27DA9"/>
    <w:rsid w:val="74D925D0"/>
    <w:rsid w:val="754825D6"/>
    <w:rsid w:val="754D1D92"/>
    <w:rsid w:val="75676A2A"/>
    <w:rsid w:val="758350A9"/>
    <w:rsid w:val="75AB44BA"/>
    <w:rsid w:val="75DE488F"/>
    <w:rsid w:val="76EE55AC"/>
    <w:rsid w:val="773521BD"/>
    <w:rsid w:val="77BE6726"/>
    <w:rsid w:val="77EE068E"/>
    <w:rsid w:val="77F55EC0"/>
    <w:rsid w:val="78412EB3"/>
    <w:rsid w:val="788B412F"/>
    <w:rsid w:val="78AA2807"/>
    <w:rsid w:val="79687E1D"/>
    <w:rsid w:val="7B530E93"/>
    <w:rsid w:val="7B560FD7"/>
    <w:rsid w:val="7B5F74F8"/>
    <w:rsid w:val="7B690630"/>
    <w:rsid w:val="7BC01667"/>
    <w:rsid w:val="7BD0027A"/>
    <w:rsid w:val="7C091F3A"/>
    <w:rsid w:val="7C5123F4"/>
    <w:rsid w:val="7C7E6FA2"/>
    <w:rsid w:val="7D040AB6"/>
    <w:rsid w:val="7D4119E6"/>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4">
    <w:name w:val="17"/>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1223</Words>
  <Characters>1294</Characters>
  <Lines>72</Lines>
  <Paragraphs>20</Paragraphs>
  <TotalTime>3</TotalTime>
  <ScaleCrop>false</ScaleCrop>
  <LinksUpToDate>false</LinksUpToDate>
  <CharactersWithSpaces>1356</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2026-07-09T00:32:49Z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