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四川省人民医院2026年自动发药机维保采购项目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1907"/>
      <w:bookmarkStart w:id="2" w:name="_Toc3240"/>
      <w:bookmarkStart w:id="3" w:name="_Toc21919"/>
      <w:bookmarkStart w:id="4" w:name="_Toc471310326"/>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4"/>
        <w:gridCol w:w="1998"/>
        <w:gridCol w:w="7695"/>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四川省人民医院2026年自动发药机维保采购项目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CGZX-YXZ20261586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395000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w:t>
            </w:r>
            <w:r>
              <w:rPr>
                <w:rFonts w:hint="eastAsia" w:ascii="Times New Roman" w:hAnsi="Times New Roman" w:eastAsia="仿宋" w:cs="Times New Roman"/>
                <w:sz w:val="22"/>
                <w:szCs w:val="22"/>
                <w:lang w:val="en-US" w:eastAsia="zh-CN"/>
              </w:rPr>
              <w:t>5</w:t>
            </w:r>
            <w:r>
              <w:rPr>
                <w:rFonts w:hint="eastAsia" w:ascii="Times New Roman" w:hAnsi="Times New Roman" w:eastAsia="仿宋" w:cs="Times New Roman"/>
                <w:sz w:val="22"/>
                <w:szCs w:val="22"/>
                <w:lang w:val="zh-CN"/>
              </w:rPr>
              <w:t>%</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2A343953">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通过资格、符合性审查且满足谈判文件全部实质性要求的供应商达到3家以上（含3家），若合格供应商只有2家，且谈判文件没有不合理条款，同时采购程序亦符合规定的，仍可以继续开展采购活动。谈判小组按照评审因素进行评分，得分最高的供应商为成交供应商。若得分相同则报价&lt;最低&g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27AACB8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1"/>
        <w:gridCol w:w="3403"/>
        <w:gridCol w:w="5921"/>
        <w:gridCol w:w="25"/>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1"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1"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1"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1"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1"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1"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1"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1"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1"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本项目为四川省人民医院202</w:t>
      </w:r>
      <w:r>
        <w:rPr>
          <w:rFonts w:hint="eastAsia" w:ascii="Times New Roman" w:hAnsi="Times New Roman" w:eastAsia="仿宋" w:cs="Times New Roman"/>
          <w:sz w:val="24"/>
          <w:szCs w:val="24"/>
          <w:lang w:val="en-US" w:eastAsia="zh-CN"/>
        </w:rPr>
        <w:t>6</w:t>
      </w:r>
      <w:r>
        <w:rPr>
          <w:rFonts w:hint="eastAsia" w:ascii="Times New Roman" w:hAnsi="Times New Roman" w:eastAsia="仿宋" w:cs="Times New Roman"/>
          <w:sz w:val="24"/>
          <w:szCs w:val="24"/>
        </w:rPr>
        <w:t>年</w:t>
      </w:r>
      <w:r>
        <w:rPr>
          <w:rFonts w:hint="eastAsia" w:ascii="Times New Roman" w:hAnsi="Times New Roman" w:eastAsia="仿宋" w:cs="Times New Roman"/>
          <w:sz w:val="24"/>
          <w:szCs w:val="24"/>
          <w:lang w:eastAsia="zh-CN"/>
        </w:rPr>
        <w:t>自动发药机</w:t>
      </w:r>
      <w:r>
        <w:rPr>
          <w:rFonts w:hint="eastAsia" w:ascii="Times New Roman" w:hAnsi="Times New Roman" w:eastAsia="仿宋" w:cs="Times New Roman"/>
          <w:sz w:val="24"/>
          <w:szCs w:val="24"/>
        </w:rPr>
        <w:t>维保采购项目，拟定招一家供应商承接采购人</w:t>
      </w:r>
      <w:r>
        <w:rPr>
          <w:rFonts w:hint="eastAsia" w:ascii="Times New Roman" w:hAnsi="Times New Roman" w:eastAsia="仿宋" w:cs="Times New Roman"/>
          <w:sz w:val="24"/>
          <w:szCs w:val="24"/>
          <w:lang w:eastAsia="zh-CN"/>
        </w:rPr>
        <w:t>自动发药机</w:t>
      </w:r>
      <w:r>
        <w:rPr>
          <w:rFonts w:hint="eastAsia" w:ascii="Times New Roman" w:hAnsi="Times New Roman" w:eastAsia="仿宋" w:cs="Times New Roman"/>
          <w:sz w:val="24"/>
          <w:szCs w:val="24"/>
        </w:rPr>
        <w:t>维保事宜。</w:t>
      </w:r>
      <w:r>
        <w:rPr>
          <w:rFonts w:ascii="Times New Roman" w:hAnsi="Times New Roman" w:eastAsia="仿宋" w:cs="Times New Roman"/>
          <w:sz w:val="24"/>
          <w:szCs w:val="24"/>
        </w:rPr>
        <w:cr/>
      </w:r>
      <w:r>
        <w:rPr>
          <w:rFonts w:hint="eastAsia" w:ascii="仿宋" w:hAnsi="仿宋" w:eastAsia="仿宋" w:cs="仿宋"/>
          <w:b/>
          <w:bCs/>
          <w:sz w:val="24"/>
          <w:szCs w:val="24"/>
        </w:rPr>
        <w:t>★</w:t>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lang w:val="en-US" w:eastAsia="zh-CN"/>
        </w:rPr>
        <w:t>设备维保清单</w:t>
      </w:r>
    </w:p>
    <w:tbl>
      <w:tblPr>
        <w:tblStyle w:val="19"/>
        <w:tblW w:w="10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927"/>
        <w:gridCol w:w="1405"/>
        <w:gridCol w:w="1582"/>
        <w:gridCol w:w="1295"/>
        <w:gridCol w:w="900"/>
        <w:gridCol w:w="2663"/>
      </w:tblGrid>
      <w:tr w14:paraId="6CAD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776" w:type="dxa"/>
            <w:vAlign w:val="center"/>
          </w:tcPr>
          <w:p w14:paraId="337B2220">
            <w:pPr>
              <w:jc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rPr>
              <w:t>设备名称</w:t>
            </w:r>
          </w:p>
        </w:tc>
        <w:tc>
          <w:tcPr>
            <w:tcW w:w="927" w:type="dxa"/>
            <w:vAlign w:val="center"/>
          </w:tcPr>
          <w:p w14:paraId="66FF26B6">
            <w:pPr>
              <w:jc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rPr>
              <w:t>品牌</w:t>
            </w:r>
          </w:p>
        </w:tc>
        <w:tc>
          <w:tcPr>
            <w:tcW w:w="1405" w:type="dxa"/>
            <w:vAlign w:val="center"/>
          </w:tcPr>
          <w:p w14:paraId="6361D623">
            <w:pPr>
              <w:jc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rPr>
              <w:t>型号</w:t>
            </w:r>
          </w:p>
        </w:tc>
        <w:tc>
          <w:tcPr>
            <w:tcW w:w="1582" w:type="dxa"/>
            <w:vAlign w:val="center"/>
          </w:tcPr>
          <w:p w14:paraId="40CC5A76">
            <w:pPr>
              <w:jc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rPr>
              <w:t>安装时间</w:t>
            </w:r>
          </w:p>
        </w:tc>
        <w:tc>
          <w:tcPr>
            <w:tcW w:w="1295" w:type="dxa"/>
            <w:vAlign w:val="center"/>
          </w:tcPr>
          <w:p w14:paraId="6C5D91AD">
            <w:pPr>
              <w:jc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rPr>
              <w:t>使用年限</w:t>
            </w:r>
          </w:p>
        </w:tc>
        <w:tc>
          <w:tcPr>
            <w:tcW w:w="900" w:type="dxa"/>
            <w:vAlign w:val="center"/>
          </w:tcPr>
          <w:p w14:paraId="316DA959">
            <w:pPr>
              <w:jc w:val="center"/>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rPr>
              <w:t>数量</w:t>
            </w:r>
          </w:p>
        </w:tc>
        <w:tc>
          <w:tcPr>
            <w:tcW w:w="2663" w:type="dxa"/>
            <w:vAlign w:val="center"/>
          </w:tcPr>
          <w:p w14:paraId="0B3904CF">
            <w:pPr>
              <w:jc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序列号</w:t>
            </w:r>
          </w:p>
        </w:tc>
      </w:tr>
      <w:tr w14:paraId="494C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76" w:type="dxa"/>
            <w:vAlign w:val="center"/>
          </w:tcPr>
          <w:p w14:paraId="1BE39817">
            <w:pPr>
              <w:widowControl/>
              <w:jc w:val="center"/>
              <w:rPr>
                <w:rFonts w:hint="eastAsia" w:ascii="仿宋" w:hAnsi="仿宋" w:eastAsia="仿宋" w:cs="仿宋"/>
                <w:sz w:val="24"/>
                <w:szCs w:val="24"/>
                <w:highlight w:val="none"/>
              </w:rPr>
            </w:pPr>
            <w:r>
              <w:rPr>
                <w:rFonts w:hint="eastAsia" w:ascii="仿宋" w:hAnsi="仿宋" w:eastAsia="仿宋" w:cs="仿宋"/>
                <w:sz w:val="24"/>
                <w:szCs w:val="24"/>
                <w:lang w:eastAsia="zh-CN"/>
              </w:rPr>
              <w:t>快速发药系统</w:t>
            </w:r>
          </w:p>
        </w:tc>
        <w:tc>
          <w:tcPr>
            <w:tcW w:w="927" w:type="dxa"/>
            <w:vAlign w:val="center"/>
          </w:tcPr>
          <w:p w14:paraId="08DDF6DA">
            <w:pPr>
              <w:jc w:val="center"/>
              <w:rPr>
                <w:rFonts w:hint="eastAsia" w:ascii="仿宋" w:hAnsi="仿宋" w:eastAsia="仿宋" w:cs="仿宋"/>
                <w:sz w:val="24"/>
                <w:szCs w:val="24"/>
                <w:highlight w:val="none"/>
              </w:rPr>
            </w:pPr>
            <w:r>
              <w:rPr>
                <w:rFonts w:hint="eastAsia" w:ascii="仿宋" w:hAnsi="仿宋" w:eastAsia="仿宋" w:cs="仿宋"/>
                <w:sz w:val="24"/>
                <w:szCs w:val="24"/>
                <w:lang w:eastAsia="zh-CN"/>
              </w:rPr>
              <w:t>艾隆</w:t>
            </w:r>
          </w:p>
        </w:tc>
        <w:tc>
          <w:tcPr>
            <w:tcW w:w="1405" w:type="dxa"/>
            <w:vAlign w:val="center"/>
          </w:tcPr>
          <w:p w14:paraId="1B76F8D1">
            <w:pPr>
              <w:pStyle w:val="14"/>
              <w:widowControl/>
              <w:spacing w:beforeAutospacing="0" w:after="0" w:afterAutospacing="0" w:line="27" w:lineRule="atLeast"/>
              <w:ind w:left="0" w:right="0" w:firstLine="0"/>
              <w:jc w:val="center"/>
              <w:rPr>
                <w:rFonts w:hint="eastAsia" w:ascii="仿宋" w:hAnsi="仿宋" w:eastAsia="仿宋" w:cs="仿宋"/>
                <w:sz w:val="24"/>
                <w:szCs w:val="24"/>
                <w:highlight w:val="none"/>
              </w:rPr>
            </w:pPr>
            <w:r>
              <w:rPr>
                <w:rFonts w:hint="eastAsia" w:ascii="仿宋" w:hAnsi="仿宋" w:eastAsia="仿宋" w:cs="仿宋"/>
                <w:i w:val="0"/>
                <w:caps w:val="0"/>
                <w:color w:val="000000"/>
                <w:spacing w:val="0"/>
                <w:sz w:val="24"/>
                <w:szCs w:val="24"/>
                <w:u w:val="none"/>
              </w:rPr>
              <w:t>IRON-1200</w:t>
            </w:r>
          </w:p>
        </w:tc>
        <w:tc>
          <w:tcPr>
            <w:tcW w:w="1582" w:type="dxa"/>
            <w:vAlign w:val="center"/>
          </w:tcPr>
          <w:p w14:paraId="2C70300D">
            <w:pPr>
              <w:jc w:val="center"/>
              <w:rPr>
                <w:rFonts w:hint="eastAsia" w:ascii="仿宋" w:hAnsi="仿宋" w:eastAsia="仿宋" w:cs="仿宋"/>
                <w:sz w:val="24"/>
                <w:szCs w:val="24"/>
                <w:highlight w:val="none"/>
              </w:rPr>
            </w:pPr>
            <w:r>
              <w:rPr>
                <w:rFonts w:hint="eastAsia" w:ascii="仿宋" w:hAnsi="仿宋" w:eastAsia="仿宋" w:cs="仿宋"/>
                <w:sz w:val="24"/>
                <w:szCs w:val="24"/>
                <w:lang w:eastAsia="zh-CN"/>
              </w:rPr>
              <w:t>2014年9月</w:t>
            </w:r>
          </w:p>
        </w:tc>
        <w:tc>
          <w:tcPr>
            <w:tcW w:w="1295" w:type="dxa"/>
            <w:vAlign w:val="center"/>
          </w:tcPr>
          <w:p w14:paraId="23518FEE">
            <w:pPr>
              <w:jc w:val="center"/>
              <w:rPr>
                <w:rFonts w:hint="eastAsia" w:ascii="仿宋" w:hAnsi="仿宋" w:eastAsia="仿宋" w:cs="仿宋"/>
                <w:sz w:val="24"/>
                <w:szCs w:val="24"/>
                <w:highlight w:val="none"/>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2</w:t>
            </w:r>
          </w:p>
        </w:tc>
        <w:tc>
          <w:tcPr>
            <w:tcW w:w="900" w:type="dxa"/>
            <w:vAlign w:val="center"/>
          </w:tcPr>
          <w:p w14:paraId="3F34CF1A">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lang w:eastAsia="zh-CN"/>
              </w:rPr>
              <w:t>3</w:t>
            </w:r>
          </w:p>
        </w:tc>
        <w:tc>
          <w:tcPr>
            <w:tcW w:w="2663" w:type="dxa"/>
            <w:shd w:val="clear" w:color="auto" w:fill="auto"/>
            <w:vAlign w:val="center"/>
          </w:tcPr>
          <w:p w14:paraId="2A606A50">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IRONAZ140-KF-02801</w:t>
            </w:r>
          </w:p>
          <w:p w14:paraId="5CCBCC3D">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IRONAZ140-KF-02802</w:t>
            </w:r>
          </w:p>
          <w:p w14:paraId="44887AE9">
            <w:pPr>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IRONAZ140-KF-02803</w:t>
            </w:r>
          </w:p>
        </w:tc>
      </w:tr>
      <w:tr w14:paraId="0B80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76" w:type="dxa"/>
            <w:vAlign w:val="center"/>
          </w:tcPr>
          <w:p w14:paraId="570068E6">
            <w:pPr>
              <w:widowControl/>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高速发药机</w:t>
            </w:r>
          </w:p>
        </w:tc>
        <w:tc>
          <w:tcPr>
            <w:tcW w:w="927" w:type="dxa"/>
            <w:vAlign w:val="center"/>
          </w:tcPr>
          <w:p w14:paraId="204AB60D">
            <w:pPr>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艾隆</w:t>
            </w:r>
          </w:p>
        </w:tc>
        <w:tc>
          <w:tcPr>
            <w:tcW w:w="1405" w:type="dxa"/>
            <w:vAlign w:val="center"/>
          </w:tcPr>
          <w:p w14:paraId="02AED0B4">
            <w:pPr>
              <w:widowControl/>
              <w:jc w:val="center"/>
              <w:rPr>
                <w:rFonts w:hint="eastAsia" w:ascii="仿宋" w:hAnsi="仿宋" w:eastAsia="仿宋" w:cs="仿宋"/>
                <w:color w:val="000000"/>
                <w:sz w:val="24"/>
                <w:szCs w:val="24"/>
                <w:highlight w:val="none"/>
              </w:rPr>
            </w:pPr>
            <w:r>
              <w:rPr>
                <w:rFonts w:hint="eastAsia" w:ascii="仿宋" w:hAnsi="仿宋" w:eastAsia="仿宋" w:cs="仿宋"/>
                <w:i w:val="0"/>
                <w:caps w:val="0"/>
                <w:color w:val="000000"/>
                <w:spacing w:val="0"/>
                <w:sz w:val="24"/>
                <w:szCs w:val="24"/>
                <w:u w:val="none"/>
              </w:rPr>
              <w:t>IRON-GF</w:t>
            </w:r>
          </w:p>
        </w:tc>
        <w:tc>
          <w:tcPr>
            <w:tcW w:w="1582" w:type="dxa"/>
            <w:vAlign w:val="center"/>
          </w:tcPr>
          <w:p w14:paraId="54F1C81C">
            <w:pPr>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2014年9月</w:t>
            </w:r>
          </w:p>
        </w:tc>
        <w:tc>
          <w:tcPr>
            <w:tcW w:w="1295" w:type="dxa"/>
            <w:vAlign w:val="center"/>
          </w:tcPr>
          <w:p w14:paraId="2368EA1D">
            <w:pPr>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2</w:t>
            </w:r>
          </w:p>
        </w:tc>
        <w:tc>
          <w:tcPr>
            <w:tcW w:w="900" w:type="dxa"/>
            <w:vAlign w:val="center"/>
          </w:tcPr>
          <w:p w14:paraId="15678D35">
            <w:pPr>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eastAsia="zh-CN"/>
              </w:rPr>
              <w:t>3</w:t>
            </w:r>
          </w:p>
        </w:tc>
        <w:tc>
          <w:tcPr>
            <w:tcW w:w="2663" w:type="dxa"/>
            <w:shd w:val="clear" w:color="auto" w:fill="auto"/>
            <w:vAlign w:val="center"/>
          </w:tcPr>
          <w:p w14:paraId="41FD6620">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IRONAZ140-GF-02798</w:t>
            </w:r>
          </w:p>
          <w:p w14:paraId="5B233E89">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IRONAZ140-GF-02799</w:t>
            </w:r>
          </w:p>
          <w:p w14:paraId="3CF2011F">
            <w:pPr>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IRONAZ140-GF-02800</w:t>
            </w:r>
          </w:p>
        </w:tc>
      </w:tr>
      <w:tr w14:paraId="06348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776" w:type="dxa"/>
            <w:vAlign w:val="center"/>
          </w:tcPr>
          <w:p w14:paraId="00002B5C">
            <w:pPr>
              <w:widowControl/>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智能存取系统</w:t>
            </w:r>
          </w:p>
        </w:tc>
        <w:tc>
          <w:tcPr>
            <w:tcW w:w="927" w:type="dxa"/>
            <w:vAlign w:val="center"/>
          </w:tcPr>
          <w:p w14:paraId="5DA6A671">
            <w:pPr>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艾隆</w:t>
            </w:r>
          </w:p>
        </w:tc>
        <w:tc>
          <w:tcPr>
            <w:tcW w:w="1405" w:type="dxa"/>
            <w:vAlign w:val="center"/>
          </w:tcPr>
          <w:p w14:paraId="66360166">
            <w:pPr>
              <w:widowControl/>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val="en-US"/>
              </w:rPr>
              <w:t>IRON-108S</w:t>
            </w:r>
          </w:p>
        </w:tc>
        <w:tc>
          <w:tcPr>
            <w:tcW w:w="1582" w:type="dxa"/>
            <w:vAlign w:val="center"/>
          </w:tcPr>
          <w:p w14:paraId="15040C55">
            <w:pPr>
              <w:jc w:val="center"/>
              <w:rPr>
                <w:rFonts w:hint="eastAsia" w:ascii="仿宋" w:hAnsi="仿宋" w:eastAsia="仿宋" w:cs="仿宋"/>
                <w:color w:val="000000"/>
                <w:sz w:val="24"/>
                <w:szCs w:val="24"/>
                <w:highlight w:val="none"/>
              </w:rPr>
            </w:pPr>
            <w:r>
              <w:rPr>
                <w:rFonts w:hint="eastAsia" w:ascii="仿宋" w:hAnsi="仿宋" w:eastAsia="仿宋" w:cs="仿宋"/>
                <w:sz w:val="24"/>
                <w:szCs w:val="24"/>
              </w:rPr>
              <w:t>20</w:t>
            </w:r>
            <w:r>
              <w:rPr>
                <w:rFonts w:hint="eastAsia" w:ascii="仿宋" w:hAnsi="仿宋" w:eastAsia="仿宋" w:cs="仿宋"/>
                <w:sz w:val="24"/>
                <w:szCs w:val="24"/>
                <w:lang w:eastAsia="zh-CN"/>
              </w:rPr>
              <w:t>14</w:t>
            </w:r>
            <w:r>
              <w:rPr>
                <w:rFonts w:hint="eastAsia" w:ascii="仿宋" w:hAnsi="仿宋" w:eastAsia="仿宋" w:cs="仿宋"/>
                <w:sz w:val="24"/>
                <w:szCs w:val="24"/>
              </w:rPr>
              <w:t>年</w:t>
            </w:r>
            <w:r>
              <w:rPr>
                <w:rFonts w:hint="eastAsia" w:ascii="仿宋" w:hAnsi="仿宋" w:eastAsia="仿宋" w:cs="仿宋"/>
                <w:sz w:val="24"/>
                <w:szCs w:val="24"/>
                <w:lang w:eastAsia="zh-CN"/>
              </w:rPr>
              <w:t>9月</w:t>
            </w:r>
          </w:p>
        </w:tc>
        <w:tc>
          <w:tcPr>
            <w:tcW w:w="1295" w:type="dxa"/>
            <w:vAlign w:val="center"/>
          </w:tcPr>
          <w:p w14:paraId="023DD3E2">
            <w:pPr>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2</w:t>
            </w:r>
          </w:p>
        </w:tc>
        <w:tc>
          <w:tcPr>
            <w:tcW w:w="900" w:type="dxa"/>
            <w:vAlign w:val="center"/>
          </w:tcPr>
          <w:p w14:paraId="22992946">
            <w:pPr>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eastAsia="zh-CN"/>
              </w:rPr>
              <w:t>3</w:t>
            </w:r>
          </w:p>
        </w:tc>
        <w:tc>
          <w:tcPr>
            <w:tcW w:w="2663" w:type="dxa"/>
            <w:shd w:val="clear" w:color="auto" w:fill="auto"/>
            <w:vAlign w:val="center"/>
          </w:tcPr>
          <w:p w14:paraId="1B65B24C">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IRONAZ140-ZT-02809</w:t>
            </w:r>
          </w:p>
          <w:p w14:paraId="0F31BA99">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IRONAZ140-ZT-02810</w:t>
            </w:r>
          </w:p>
          <w:p w14:paraId="42991993">
            <w:pPr>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IRONAZ140-ZT-02811</w:t>
            </w:r>
          </w:p>
        </w:tc>
      </w:tr>
      <w:tr w14:paraId="4304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776" w:type="dxa"/>
            <w:vAlign w:val="center"/>
          </w:tcPr>
          <w:p w14:paraId="3C3DFF30">
            <w:pPr>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整处方传输系统</w:t>
            </w:r>
          </w:p>
        </w:tc>
        <w:tc>
          <w:tcPr>
            <w:tcW w:w="927" w:type="dxa"/>
            <w:vAlign w:val="center"/>
          </w:tcPr>
          <w:p w14:paraId="2BEC92CD">
            <w:pPr>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艾隆</w:t>
            </w:r>
          </w:p>
        </w:tc>
        <w:tc>
          <w:tcPr>
            <w:tcW w:w="1405" w:type="dxa"/>
            <w:vAlign w:val="center"/>
          </w:tcPr>
          <w:p w14:paraId="33FB2F25">
            <w:pPr>
              <w:widowControl/>
              <w:jc w:val="center"/>
              <w:rPr>
                <w:rFonts w:hint="eastAsia" w:ascii="仿宋" w:hAnsi="仿宋" w:eastAsia="仿宋" w:cs="仿宋"/>
                <w:color w:val="000000"/>
                <w:sz w:val="24"/>
                <w:szCs w:val="24"/>
                <w:highlight w:val="none"/>
              </w:rPr>
            </w:pPr>
            <w:r>
              <w:rPr>
                <w:rFonts w:hint="eastAsia" w:ascii="仿宋" w:hAnsi="仿宋" w:eastAsia="仿宋" w:cs="仿宋"/>
                <w:i w:val="0"/>
                <w:caps w:val="0"/>
                <w:color w:val="000000"/>
                <w:spacing w:val="0"/>
                <w:kern w:val="0"/>
                <w:sz w:val="24"/>
                <w:szCs w:val="24"/>
                <w:u w:val="none"/>
                <w:shd w:val="clear" w:fill="FFFFFF"/>
                <w:lang w:val="en-US" w:eastAsia="zh-CN" w:bidi="ar"/>
              </w:rPr>
              <w:t>IRON-ZCF</w:t>
            </w:r>
          </w:p>
        </w:tc>
        <w:tc>
          <w:tcPr>
            <w:tcW w:w="1582" w:type="dxa"/>
            <w:vAlign w:val="center"/>
          </w:tcPr>
          <w:p w14:paraId="1CC89C79">
            <w:pPr>
              <w:jc w:val="center"/>
              <w:rPr>
                <w:rFonts w:hint="eastAsia" w:ascii="仿宋" w:hAnsi="仿宋" w:eastAsia="仿宋" w:cs="仿宋"/>
                <w:color w:val="000000"/>
                <w:sz w:val="24"/>
                <w:szCs w:val="24"/>
                <w:highlight w:val="none"/>
              </w:rPr>
            </w:pPr>
            <w:r>
              <w:rPr>
                <w:rFonts w:hint="eastAsia" w:ascii="仿宋" w:hAnsi="仿宋" w:eastAsia="仿宋" w:cs="仿宋"/>
                <w:sz w:val="24"/>
                <w:szCs w:val="24"/>
              </w:rPr>
              <w:t>20</w:t>
            </w:r>
            <w:r>
              <w:rPr>
                <w:rFonts w:hint="eastAsia" w:ascii="仿宋" w:hAnsi="仿宋" w:eastAsia="仿宋" w:cs="仿宋"/>
                <w:sz w:val="24"/>
                <w:szCs w:val="24"/>
                <w:lang w:eastAsia="zh-CN"/>
              </w:rPr>
              <w:t>14</w:t>
            </w:r>
            <w:r>
              <w:rPr>
                <w:rFonts w:hint="eastAsia" w:ascii="仿宋" w:hAnsi="仿宋" w:eastAsia="仿宋" w:cs="仿宋"/>
                <w:sz w:val="24"/>
                <w:szCs w:val="24"/>
              </w:rPr>
              <w:t>年</w:t>
            </w:r>
            <w:r>
              <w:rPr>
                <w:rFonts w:hint="eastAsia" w:ascii="仿宋" w:hAnsi="仿宋" w:eastAsia="仿宋" w:cs="仿宋"/>
                <w:sz w:val="24"/>
                <w:szCs w:val="24"/>
                <w:lang w:eastAsia="zh-CN"/>
              </w:rPr>
              <w:t>9月</w:t>
            </w:r>
          </w:p>
        </w:tc>
        <w:tc>
          <w:tcPr>
            <w:tcW w:w="1295" w:type="dxa"/>
            <w:vAlign w:val="center"/>
          </w:tcPr>
          <w:p w14:paraId="6FFD3041">
            <w:pPr>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2</w:t>
            </w:r>
          </w:p>
        </w:tc>
        <w:tc>
          <w:tcPr>
            <w:tcW w:w="900" w:type="dxa"/>
            <w:vAlign w:val="center"/>
          </w:tcPr>
          <w:p w14:paraId="6FCEBD90">
            <w:pPr>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eastAsia="zh-CN"/>
              </w:rPr>
              <w:t>2</w:t>
            </w:r>
          </w:p>
        </w:tc>
        <w:tc>
          <w:tcPr>
            <w:tcW w:w="2663" w:type="dxa"/>
            <w:shd w:val="clear" w:color="auto" w:fill="auto"/>
            <w:vAlign w:val="center"/>
          </w:tcPr>
          <w:p w14:paraId="69FEA601">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IRONAZ140-ZC-02807</w:t>
            </w:r>
          </w:p>
          <w:p w14:paraId="06AD7AE2">
            <w:pPr>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IRONAZ140-ZC-02808</w:t>
            </w:r>
          </w:p>
        </w:tc>
      </w:tr>
      <w:tr w14:paraId="5574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776" w:type="dxa"/>
            <w:vAlign w:val="center"/>
          </w:tcPr>
          <w:p w14:paraId="1E862D12">
            <w:pPr>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智能发药系统</w:t>
            </w:r>
          </w:p>
        </w:tc>
        <w:tc>
          <w:tcPr>
            <w:tcW w:w="927" w:type="dxa"/>
            <w:vAlign w:val="center"/>
          </w:tcPr>
          <w:p w14:paraId="2B1D976A">
            <w:pPr>
              <w:jc w:val="center"/>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艾隆</w:t>
            </w:r>
          </w:p>
        </w:tc>
        <w:tc>
          <w:tcPr>
            <w:tcW w:w="1405" w:type="dxa"/>
            <w:vAlign w:val="center"/>
          </w:tcPr>
          <w:p w14:paraId="4B780449">
            <w:pPr>
              <w:widowControl/>
              <w:jc w:val="center"/>
              <w:rPr>
                <w:rFonts w:hint="eastAsia" w:ascii="仿宋" w:hAnsi="仿宋" w:eastAsia="仿宋" w:cs="仿宋"/>
                <w:color w:val="000000"/>
                <w:sz w:val="24"/>
                <w:szCs w:val="24"/>
                <w:highlight w:val="none"/>
              </w:rPr>
            </w:pPr>
            <w:r>
              <w:rPr>
                <w:rFonts w:hint="eastAsia" w:ascii="仿宋" w:hAnsi="仿宋" w:eastAsia="仿宋" w:cs="仿宋"/>
                <w:i w:val="0"/>
                <w:caps w:val="0"/>
                <w:color w:val="000000"/>
                <w:spacing w:val="0"/>
                <w:kern w:val="0"/>
                <w:sz w:val="24"/>
                <w:szCs w:val="24"/>
                <w:u w:val="none"/>
                <w:shd w:val="clear" w:fill="FFFFFF"/>
                <w:lang w:val="en-US" w:eastAsia="zh-CN" w:bidi="ar"/>
              </w:rPr>
              <w:t>IRON-SmartBox-04L</w:t>
            </w:r>
          </w:p>
        </w:tc>
        <w:tc>
          <w:tcPr>
            <w:tcW w:w="1582" w:type="dxa"/>
            <w:vAlign w:val="center"/>
          </w:tcPr>
          <w:p w14:paraId="284EF9C5">
            <w:pPr>
              <w:jc w:val="center"/>
              <w:rPr>
                <w:rFonts w:hint="eastAsia" w:ascii="仿宋" w:hAnsi="仿宋" w:eastAsia="仿宋" w:cs="仿宋"/>
                <w:color w:val="000000"/>
                <w:sz w:val="24"/>
                <w:szCs w:val="24"/>
                <w:highlight w:val="none"/>
              </w:rPr>
            </w:pPr>
            <w:r>
              <w:rPr>
                <w:rFonts w:hint="eastAsia" w:ascii="仿宋" w:hAnsi="仿宋" w:eastAsia="仿宋" w:cs="仿宋"/>
                <w:sz w:val="24"/>
                <w:szCs w:val="24"/>
              </w:rPr>
              <w:t>20</w:t>
            </w:r>
            <w:r>
              <w:rPr>
                <w:rFonts w:hint="eastAsia" w:ascii="仿宋" w:hAnsi="仿宋" w:eastAsia="仿宋" w:cs="仿宋"/>
                <w:sz w:val="24"/>
                <w:szCs w:val="24"/>
                <w:lang w:eastAsia="zh-CN"/>
              </w:rPr>
              <w:t>14</w:t>
            </w:r>
            <w:r>
              <w:rPr>
                <w:rFonts w:hint="eastAsia" w:ascii="仿宋" w:hAnsi="仿宋" w:eastAsia="仿宋" w:cs="仿宋"/>
                <w:sz w:val="24"/>
                <w:szCs w:val="24"/>
              </w:rPr>
              <w:t>年</w:t>
            </w:r>
            <w:r>
              <w:rPr>
                <w:rFonts w:hint="eastAsia" w:ascii="仿宋" w:hAnsi="仿宋" w:eastAsia="仿宋" w:cs="仿宋"/>
                <w:sz w:val="24"/>
                <w:szCs w:val="24"/>
                <w:lang w:eastAsia="zh-CN"/>
              </w:rPr>
              <w:t>9月</w:t>
            </w:r>
          </w:p>
        </w:tc>
        <w:tc>
          <w:tcPr>
            <w:tcW w:w="1295" w:type="dxa"/>
            <w:vAlign w:val="center"/>
          </w:tcPr>
          <w:p w14:paraId="7A1A5141">
            <w:pPr>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2</w:t>
            </w:r>
          </w:p>
        </w:tc>
        <w:tc>
          <w:tcPr>
            <w:tcW w:w="900" w:type="dxa"/>
            <w:vAlign w:val="center"/>
          </w:tcPr>
          <w:p w14:paraId="26A449FD">
            <w:pPr>
              <w:jc w:val="center"/>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eastAsia="zh-CN"/>
              </w:rPr>
              <w:t>3</w:t>
            </w:r>
          </w:p>
        </w:tc>
        <w:tc>
          <w:tcPr>
            <w:tcW w:w="2663" w:type="dxa"/>
            <w:shd w:val="clear" w:color="auto" w:fill="auto"/>
            <w:vAlign w:val="center"/>
          </w:tcPr>
          <w:p w14:paraId="2D7D4BD2">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IRONAZ140-YK-02805</w:t>
            </w:r>
          </w:p>
          <w:p w14:paraId="4B7F389A">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IRONAZ140-YK-02806</w:t>
            </w:r>
          </w:p>
          <w:p w14:paraId="0FDA39DC">
            <w:pPr>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IRONAZ140-YK-02804</w:t>
            </w:r>
          </w:p>
        </w:tc>
      </w:tr>
    </w:tbl>
    <w:p w14:paraId="089B4B4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ascii="Times New Roman" w:hAnsi="Times New Roman" w:eastAsia="仿宋" w:cs="Times New Roman"/>
          <w:b/>
          <w:bCs/>
          <w:sz w:val="24"/>
          <w:szCs w:val="24"/>
        </w:rPr>
      </w:pPr>
    </w:p>
    <w:p w14:paraId="45C6D40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Times New Roman" w:hAnsi="Times New Roman" w:eastAsia="仿宋" w:cs="Times New Roman"/>
          <w:b/>
          <w:bCs/>
          <w:sz w:val="24"/>
          <w:szCs w:val="24"/>
          <w:lang w:eastAsia="zh-CN"/>
        </w:rPr>
      </w:pP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14:paraId="2A9BB5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★1.工作日保证现场有1名工程师驻点，当设备出现问题时现场排除设备问题，非工作日保证设备遇到问题工程师2小时内响应并开始现场排除设备问题。</w:t>
      </w:r>
    </w:p>
    <w:p w14:paraId="1B27C9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2.日常的异常槽位要及时清理并查明原因。</w:t>
      </w:r>
    </w:p>
    <w:p w14:paraId="7B839F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3.易损配件一但损坏要在保证正常使用的前提下更换。</w:t>
      </w:r>
    </w:p>
    <w:p w14:paraId="224DE8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★4.大保养每两个月一次，按《保养手册》要求认真完成，请使用单位签字确认。</w:t>
      </w:r>
    </w:p>
    <w:p w14:paraId="61421C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5.U型导药槽除尘，打蜡，使用的蜡体为液体性蜡，在打蜡过程中要注意力度不得将U型槽变形。</w:t>
      </w:r>
    </w:p>
    <w:p w14:paraId="4AC9FA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6.设备在日常运行中要注意听翻版弹出的声音变化，如有异常情况需及时处理。</w:t>
      </w:r>
    </w:p>
    <w:p w14:paraId="76EFE8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7.定期紧固各部件的固定螺丝，如有螺丝松动引起的异响噪声要注意固定这些螺丝。</w:t>
      </w:r>
    </w:p>
    <w:p w14:paraId="0DB31C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8.智能药框定期更换电池，不能使用的药框要及时更换并保证药框清洁。</w:t>
      </w:r>
    </w:p>
    <w:p w14:paraId="293F1A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9.药房老师提出要求更改程序或功能要及时答复并完成修改。</w:t>
      </w:r>
    </w:p>
    <w:p w14:paraId="221ADC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10.设备下遗留的药品要每月清理一次。</w:t>
      </w:r>
    </w:p>
    <w:p w14:paraId="7DD433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▲1</w:t>
      </w:r>
      <w:r>
        <w:rPr>
          <w:rFonts w:hint="eastAsia" w:ascii="Times New Roman" w:hAnsi="Times New Roman" w:eastAsia="仿宋" w:cs="Times New Roman"/>
          <w:b w:val="0"/>
          <w:bCs w:val="0"/>
          <w:sz w:val="24"/>
          <w:szCs w:val="24"/>
          <w:lang w:val="en-US" w:eastAsia="zh-CN"/>
        </w:rPr>
        <w:t>1</w:t>
      </w:r>
      <w:r>
        <w:rPr>
          <w:rFonts w:hint="eastAsia" w:ascii="Times New Roman" w:hAnsi="Times New Roman" w:eastAsia="仿宋" w:cs="Times New Roman"/>
          <w:b w:val="0"/>
          <w:bCs w:val="0"/>
          <w:sz w:val="24"/>
          <w:szCs w:val="24"/>
        </w:rPr>
        <w:t>.负责本项目的所有维修工程师需经过维保设备制造厂商原厂考核合格，具备履行合同所需的设备和专业技术能力证明材料并颁发合格证书,合格证书须在有效期内。（应提供原厂考核合格并颁发合格证书的扫描件）</w:t>
      </w:r>
    </w:p>
    <w:p w14:paraId="1DDAC2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1</w:t>
      </w:r>
      <w:r>
        <w:rPr>
          <w:rFonts w:hint="eastAsia" w:ascii="Times New Roman" w:hAnsi="Times New Roman" w:eastAsia="仿宋" w:cs="Times New Roman"/>
          <w:b w:val="0"/>
          <w:bCs w:val="0"/>
          <w:sz w:val="24"/>
          <w:szCs w:val="24"/>
          <w:lang w:val="en-US" w:eastAsia="zh-CN"/>
        </w:rPr>
        <w:t>2</w:t>
      </w:r>
      <w:r>
        <w:rPr>
          <w:rFonts w:hint="eastAsia" w:ascii="Times New Roman" w:hAnsi="Times New Roman" w:eastAsia="仿宋" w:cs="Times New Roman"/>
          <w:b w:val="0"/>
          <w:bCs w:val="0"/>
          <w:sz w:val="24"/>
          <w:szCs w:val="24"/>
        </w:rPr>
        <w:t>.能提供7*24小时服务热线或手机电话及时响应技术咨询、故障申告等。</w:t>
      </w:r>
    </w:p>
    <w:p w14:paraId="498956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b w:val="0"/>
          <w:bCs w:val="0"/>
          <w:sz w:val="24"/>
          <w:szCs w:val="24"/>
        </w:rPr>
      </w:pPr>
      <w:r>
        <w:rPr>
          <w:rFonts w:hint="eastAsia" w:ascii="Times New Roman" w:hAnsi="Times New Roman" w:eastAsia="仿宋" w:cs="Times New Roman"/>
          <w:b w:val="0"/>
          <w:bCs w:val="0"/>
          <w:sz w:val="24"/>
          <w:szCs w:val="24"/>
        </w:rPr>
        <w:t>▲1</w:t>
      </w:r>
      <w:r>
        <w:rPr>
          <w:rFonts w:hint="eastAsia" w:ascii="Times New Roman" w:hAnsi="Times New Roman" w:eastAsia="仿宋" w:cs="Times New Roman"/>
          <w:b w:val="0"/>
          <w:bCs w:val="0"/>
          <w:sz w:val="24"/>
          <w:szCs w:val="24"/>
          <w:lang w:val="en-US" w:eastAsia="zh-CN"/>
        </w:rPr>
        <w:t>3</w:t>
      </w:r>
      <w:r>
        <w:rPr>
          <w:rFonts w:hint="eastAsia" w:ascii="Times New Roman" w:hAnsi="Times New Roman" w:eastAsia="仿宋" w:cs="Times New Roman"/>
          <w:b w:val="0"/>
          <w:bCs w:val="0"/>
          <w:sz w:val="24"/>
          <w:szCs w:val="24"/>
        </w:rPr>
        <w:t>.为保证设备正常运行，需设有备件库及保证备件可在48 小时内运抵现场更换，并提供备件库相关证明材料（含租赁合同或房产证明）。</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合同签订生效，以供应商实际开始提供维保服务的时间（以采购人书面确认为准）起算达到半年，供应商应于之后5日内向采购人提供合法有效票据及其它相关请款资料，采购人在收到上述票据及资料确认无误后，于10个工作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2.服务期：2026年12月10日至2027年12月9日</w:t>
      </w:r>
      <w:r>
        <w:rPr>
          <w:rFonts w:hint="eastAsia" w:ascii="仿宋" w:hAnsi="仿宋" w:eastAsia="仿宋" w:cs="仿宋"/>
          <w:color w:val="000000" w:themeColor="text1"/>
          <w:sz w:val="24"/>
          <w:szCs w:val="24"/>
          <w:lang w:eastAsia="zh-CN"/>
          <w14:textFill>
            <w14:solidFill>
              <w14:schemeClr w14:val="tx1"/>
            </w14:solidFill>
          </w14:textFill>
        </w:rPr>
        <w:t>。</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3.服务地点：四川省人民医院（院本部）。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4.服务类型及限高价：总价包干：本项目限高价为39.5万元。</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5.中标</w:t>
      </w:r>
      <w:r>
        <w:rPr>
          <w:rFonts w:hint="eastAsia" w:ascii="仿宋" w:hAnsi="仿宋" w:eastAsia="仿宋" w:cs="仿宋"/>
          <w:color w:val="000000" w:themeColor="text1"/>
          <w:sz w:val="24"/>
          <w:szCs w:val="24"/>
          <w:lang w:val="en-US"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须指派专人负责与采购人联系服务事宜。</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6.其他要求：如因服</w:t>
      </w:r>
      <w:bookmarkStart w:id="102" w:name="_GoBack"/>
      <w:bookmarkEnd w:id="102"/>
      <w:r>
        <w:rPr>
          <w:rFonts w:hint="eastAsia" w:ascii="仿宋" w:hAnsi="仿宋" w:eastAsia="仿宋" w:cs="仿宋"/>
          <w:color w:val="000000" w:themeColor="text1"/>
          <w:sz w:val="24"/>
          <w:szCs w:val="24"/>
          <w:lang w:val="en-US" w:eastAsia="zh-CN"/>
          <w14:textFill>
            <w14:solidFill>
              <w14:schemeClr w14:val="tx1"/>
            </w14:solidFill>
          </w14:textFill>
        </w:rPr>
        <w:t>务期间设备报废或其它不可控因素而导致不再具备实施服务的条件，供应商应根据实际未能提供服务的时段（以供应商收到采购人通知之次日至服务期限最后一日的总天数计算），按比例退还采购人相应金额，具体计算方式为：退还金额=合同金额（如涉及设备为维保服务对象的其中一台或几台的，应以涉及各设备的分项报价计算）×（实际未提供服务时段长度/合同服务期限））。</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0"/>
        <w:gridCol w:w="7187"/>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服务期满且供应商完成所有服务内容后5日内通知采购人验收，采购人接供应商通知后10日内组织验收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6.其他标准：如本项目验收方式为考核验收，则考核结果须为合格</w:t>
            </w:r>
            <w:r>
              <w:rPr>
                <w:rFonts w:hint="eastAsia" w:ascii="仿宋" w:hAnsi="仿宋" w:eastAsia="仿宋" w:cs="仿宋"/>
                <w:sz w:val="24"/>
                <w:lang w:eastAsia="zh-CN"/>
              </w:rPr>
              <w:t>。7.其它标准：无。</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25337976">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.供应商针对本项目提供项目整体方案，方案内容至少包含：①巡检维保计划;②零配件配备情况;③质量保障措施;④培训计划;⑤应急措施。</w:t>
      </w:r>
    </w:p>
    <w:p w14:paraId="51037AA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.供应商针对本项目提供项目管理方案，方案内容至少包含：①人员管理制度;②人员作业规范要求;③售后服务保障措施;④设备维保档案管理。</w:t>
      </w:r>
    </w:p>
    <w:p w14:paraId="642BCA35">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供应商</w:t>
      </w:r>
      <w:r>
        <w:rPr>
          <w:rFonts w:hint="eastAsia" w:ascii="仿宋" w:hAnsi="仿宋" w:eastAsia="仿宋" w:cs="仿宋"/>
          <w:color w:val="000000" w:themeColor="text1"/>
          <w:sz w:val="24"/>
          <w:szCs w:val="24"/>
          <w:lang w:val="en-US" w:eastAsia="zh-CN"/>
          <w14:textFill>
            <w14:solidFill>
              <w14:schemeClr w14:val="tx1"/>
            </w14:solidFill>
          </w14:textFill>
        </w:rPr>
        <w:t>自2023年1月1日（含）至今（以合同签订时间为准）具有类似项目业绩。提供合同（协议）影印件，加盖供应商电子印章。以合同签订时间为准，若合同甲乙双方签订时间不一致的，以更早时间为准。类似项目业绩是指本项目同类设备维保服务业绩。</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1315"/>
        <w:gridCol w:w="1044"/>
        <w:gridCol w:w="781"/>
        <w:gridCol w:w="4252"/>
        <w:gridCol w:w="2303"/>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lang w:val="en-US" w:eastAsia="zh-CN"/>
              </w:rPr>
              <w:t>1</w:t>
            </w:r>
            <w:r>
              <w:rPr>
                <w:rFonts w:hint="eastAsia" w:ascii="仿宋" w:hAnsi="仿宋" w:eastAsia="仿宋" w:cs="仿宋"/>
                <w:sz w:val="24"/>
              </w:rPr>
              <w:t>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4"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60</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60</w:t>
            </w:r>
            <w:r>
              <w:rPr>
                <w:rFonts w:hint="eastAsia" w:ascii="仿宋" w:hAnsi="仿宋" w:eastAsia="仿宋" w:cs="仿宋"/>
                <w:sz w:val="24"/>
              </w:rPr>
              <w:t>分</w:t>
            </w:r>
          </w:p>
        </w:tc>
        <w:tc>
          <w:tcPr>
            <w:tcW w:w="2069" w:type="pct"/>
            <w:vAlign w:val="center"/>
          </w:tcPr>
          <w:p w14:paraId="02BD52A7">
            <w:pPr>
              <w:wordWrap w:val="0"/>
              <w:ind w:left="63" w:leftChars="30"/>
              <w:jc w:val="left"/>
              <w:rPr>
                <w:rFonts w:hint="eastAsia" w:ascii="仿宋" w:hAnsi="仿宋" w:eastAsia="仿宋" w:cs="仿宋"/>
                <w:sz w:val="24"/>
              </w:rPr>
            </w:pPr>
            <w:r>
              <w:rPr>
                <w:rFonts w:hint="eastAsia" w:ascii="仿宋" w:hAnsi="仿宋" w:eastAsia="仿宋" w:cs="仿宋"/>
                <w:sz w:val="24"/>
              </w:rPr>
              <w:t>技术指标和配置完全符合</w:t>
            </w:r>
            <w:r>
              <w:rPr>
                <w:rFonts w:hint="eastAsia" w:ascii="仿宋" w:hAnsi="仿宋" w:eastAsia="仿宋" w:cs="仿宋"/>
                <w:sz w:val="24"/>
                <w:lang w:val="en-US" w:eastAsia="zh-CN"/>
              </w:rPr>
              <w:t>谈判</w:t>
            </w:r>
            <w:r>
              <w:rPr>
                <w:rFonts w:hint="eastAsia" w:ascii="仿宋" w:hAnsi="仿宋" w:eastAsia="仿宋" w:cs="仿宋"/>
                <w:sz w:val="24"/>
              </w:rPr>
              <w:t>文件</w:t>
            </w:r>
            <w:r>
              <w:rPr>
                <w:rFonts w:hint="eastAsia" w:ascii="仿宋" w:hAnsi="仿宋" w:eastAsia="仿宋" w:cs="仿宋"/>
                <w:sz w:val="24"/>
                <w:lang w:eastAsia="zh-CN"/>
              </w:rPr>
              <w:t>“</w:t>
            </w:r>
            <w:r>
              <w:rPr>
                <w:rFonts w:hint="eastAsia" w:ascii="仿宋" w:hAnsi="仿宋" w:eastAsia="仿宋" w:cs="仿宋"/>
                <w:sz w:val="24"/>
              </w:rPr>
              <w:t>第四章 采购需求三、技术、服务要求：</w:t>
            </w:r>
            <w:r>
              <w:rPr>
                <w:rFonts w:hint="eastAsia" w:ascii="仿宋" w:hAnsi="仿宋" w:eastAsia="仿宋" w:cs="仿宋"/>
                <w:sz w:val="24"/>
                <w:lang w:eastAsia="zh-CN"/>
              </w:rPr>
              <w:t>”</w:t>
            </w:r>
            <w:r>
              <w:rPr>
                <w:rFonts w:hint="eastAsia" w:ascii="仿宋" w:hAnsi="仿宋" w:eastAsia="仿宋" w:cs="仿宋"/>
                <w:sz w:val="24"/>
                <w:lang w:val="en-US" w:eastAsia="zh-CN"/>
              </w:rPr>
              <w:t>内容，</w:t>
            </w:r>
            <w:r>
              <w:rPr>
                <w:rFonts w:hint="eastAsia" w:ascii="仿宋" w:hAnsi="仿宋" w:eastAsia="仿宋" w:cs="仿宋"/>
                <w:sz w:val="24"/>
              </w:rPr>
              <w:t>没有负偏离得60分。</w:t>
            </w:r>
          </w:p>
          <w:p w14:paraId="35010329">
            <w:pPr>
              <w:numPr>
                <w:ilvl w:val="0"/>
                <w:numId w:val="13"/>
              </w:numPr>
              <w:wordWrap w:val="0"/>
              <w:ind w:left="63" w:leftChars="30"/>
              <w:jc w:val="left"/>
              <w:rPr>
                <w:rFonts w:hint="eastAsia" w:ascii="仿宋" w:hAnsi="仿宋" w:eastAsia="仿宋" w:cs="仿宋"/>
                <w:sz w:val="24"/>
              </w:rPr>
            </w:pPr>
            <w:r>
              <w:rPr>
                <w:rFonts w:hint="eastAsia" w:ascii="仿宋" w:hAnsi="仿宋" w:eastAsia="仿宋" w:cs="仿宋"/>
                <w:sz w:val="24"/>
                <w:lang w:val="en-US" w:eastAsia="zh-CN"/>
              </w:rPr>
              <w:t>供应商</w:t>
            </w:r>
            <w:r>
              <w:rPr>
                <w:rFonts w:hint="eastAsia" w:ascii="仿宋" w:hAnsi="仿宋" w:eastAsia="仿宋" w:cs="仿宋"/>
                <w:sz w:val="24"/>
              </w:rPr>
              <w:t>针对谈判文件中的一般技术参数条款的响应得分规则如下：（一般技术参数条款指未标注“▲”或“★”的条款） 一般技术参数条款响应得分=（</w:t>
            </w:r>
            <w:r>
              <w:rPr>
                <w:rFonts w:hint="eastAsia" w:ascii="仿宋" w:hAnsi="仿宋" w:eastAsia="仿宋" w:cs="仿宋"/>
                <w:sz w:val="24"/>
                <w:lang w:val="en-US" w:eastAsia="zh-CN"/>
              </w:rPr>
              <w:t>供应商</w:t>
            </w:r>
            <w:r>
              <w:rPr>
                <w:rFonts w:hint="eastAsia" w:ascii="仿宋" w:hAnsi="仿宋" w:eastAsia="仿宋" w:cs="仿宋"/>
                <w:sz w:val="24"/>
              </w:rPr>
              <w:t>满足 一般技术参数条款的数量÷一般技术参数 条款的总数量）×</w:t>
            </w:r>
            <w:r>
              <w:rPr>
                <w:rFonts w:hint="eastAsia" w:ascii="仿宋" w:hAnsi="仿宋" w:eastAsia="仿宋" w:cs="仿宋"/>
                <w:sz w:val="24"/>
                <w:lang w:val="en-US" w:eastAsia="zh-CN"/>
              </w:rPr>
              <w:t>4</w:t>
            </w:r>
            <w:r>
              <w:rPr>
                <w:rFonts w:hint="eastAsia" w:ascii="仿宋" w:hAnsi="仿宋" w:eastAsia="仿宋" w:cs="仿宋"/>
                <w:sz w:val="24"/>
              </w:rPr>
              <w:t>0分。</w:t>
            </w:r>
          </w:p>
          <w:p w14:paraId="605DFC42">
            <w:pPr>
              <w:numPr>
                <w:ilvl w:val="0"/>
                <w:numId w:val="13"/>
              </w:numPr>
              <w:wordWrap w:val="0"/>
              <w:ind w:left="63" w:leftChars="30"/>
              <w:jc w:val="left"/>
              <w:rPr>
                <w:rFonts w:ascii="仿宋" w:hAnsi="仿宋" w:eastAsia="仿宋" w:cs="仿宋"/>
              </w:rPr>
            </w:pPr>
            <w:r>
              <w:rPr>
                <w:rFonts w:hint="eastAsia" w:ascii="仿宋" w:hAnsi="仿宋" w:eastAsia="仿宋" w:cs="仿宋"/>
                <w:sz w:val="24"/>
              </w:rPr>
              <w:t xml:space="preserve"> </w:t>
            </w:r>
            <w:r>
              <w:rPr>
                <w:rFonts w:hint="eastAsia" w:ascii="仿宋" w:hAnsi="仿宋" w:eastAsia="仿宋" w:cs="仿宋"/>
                <w:sz w:val="24"/>
                <w:lang w:val="en-US" w:eastAsia="zh-CN"/>
              </w:rPr>
              <w:t>供应商</w:t>
            </w:r>
            <w:r>
              <w:rPr>
                <w:rFonts w:hint="eastAsia" w:ascii="仿宋" w:hAnsi="仿宋" w:eastAsia="仿宋" w:cs="仿宋"/>
                <w:sz w:val="24"/>
              </w:rPr>
              <w:t>针对谈判文件“▲”技术 参数条款的响应得分规则如下： “▲”技术参数条款响应得分=（</w:t>
            </w:r>
            <w:r>
              <w:rPr>
                <w:rFonts w:hint="eastAsia" w:ascii="仿宋" w:hAnsi="仿宋" w:eastAsia="仿宋" w:cs="仿宋"/>
                <w:sz w:val="24"/>
                <w:lang w:val="en-US" w:eastAsia="zh-CN"/>
              </w:rPr>
              <w:t>供应商</w:t>
            </w:r>
            <w:r>
              <w:rPr>
                <w:rFonts w:hint="eastAsia" w:ascii="仿宋" w:hAnsi="仿宋" w:eastAsia="仿宋" w:cs="仿宋"/>
                <w:sz w:val="24"/>
              </w:rPr>
              <w:t>满 足“▲”技术参数条款的数量÷“▲”技 术参数条款的总数量）×</w:t>
            </w:r>
            <w:r>
              <w:rPr>
                <w:rFonts w:hint="eastAsia" w:ascii="仿宋" w:hAnsi="仿宋" w:eastAsia="仿宋" w:cs="仿宋"/>
                <w:sz w:val="24"/>
                <w:lang w:val="en-US" w:eastAsia="zh-CN"/>
              </w:rPr>
              <w:t>2</w:t>
            </w:r>
            <w:r>
              <w:rPr>
                <w:rFonts w:hint="eastAsia" w:ascii="仿宋" w:hAnsi="仿宋" w:eastAsia="仿宋" w:cs="仿宋"/>
                <w:sz w:val="24"/>
              </w:rPr>
              <w:t>0分。 注： ①得分保留小数点后两位小数，四舍五入。 ②参数条款以最小级别为一项。 若每一项技术指标项均有负偏离，此处分 值应扣完，得0分。③若技术要求中要求了证明材料的按技术要 求中的要求提供，如未提供视为不满足要求。</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30</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履约能力</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15</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供应商</w:t>
            </w:r>
            <w:r>
              <w:rPr>
                <w:rFonts w:hint="eastAsia" w:ascii="仿宋" w:hAnsi="仿宋" w:eastAsia="仿宋" w:cs="仿宋"/>
                <w:bCs/>
                <w:sz w:val="24"/>
                <w:szCs w:val="24"/>
                <w:lang w:eastAsia="zh-CN"/>
              </w:rPr>
              <w:t>自2023年1月1日（含）至今（以合同签订时间为准）具有类似项目业绩，每提供1个业绩得3分，最多得15分，没有不得分。 提供合同（协议）影印件，加盖</w:t>
            </w:r>
            <w:r>
              <w:rPr>
                <w:rFonts w:hint="eastAsia" w:ascii="仿宋" w:hAnsi="仿宋" w:eastAsia="仿宋" w:cs="仿宋"/>
                <w:bCs/>
                <w:sz w:val="24"/>
                <w:szCs w:val="24"/>
                <w:lang w:val="en-US" w:eastAsia="zh-CN"/>
              </w:rPr>
              <w:t>供应商</w:t>
            </w:r>
            <w:r>
              <w:rPr>
                <w:rFonts w:hint="eastAsia" w:ascii="仿宋" w:hAnsi="仿宋" w:eastAsia="仿宋" w:cs="仿宋"/>
                <w:bCs/>
                <w:sz w:val="24"/>
                <w:szCs w:val="24"/>
                <w:lang w:eastAsia="zh-CN"/>
              </w:rPr>
              <w:t>电子印章。以合同签订时间为准，若合同甲乙双方签订时间不一致的，以更早时间为准。类似项目业绩是指本项目同类设备维保服务业绩。</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项目整体方案</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lang w:val="en-US" w:eastAsia="zh-CN"/>
              </w:rPr>
              <w:t>10</w:t>
            </w:r>
            <w:r>
              <w:rPr>
                <w:rFonts w:hint="eastAsia" w:ascii="仿宋" w:hAnsi="仿宋" w:eastAsia="仿宋" w:cs="仿宋"/>
                <w:sz w:val="24"/>
              </w:rPr>
              <w:t>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 w:val="0"/>
                <w:bCs/>
                <w:sz w:val="24"/>
                <w:szCs w:val="24"/>
              </w:rPr>
              <w:t>供应商针对本项目提供项目整体方案，方案内容至少包含：①巡检维保计划;②零配件配备情况;③质量保障措施;④培训计划;⑤应急措施。 完整提供上述5项内容的得10分；每有一项未提供扣2分，扣完为止；每有一处有缺陷扣1分，单项最多扣2分，扣完为止。内容存在缺陷是指以下任意情况之一：①项目名称、实施地点、涉及的规范、标准、所阐述的项目信息与本项目要求不一致；②引用的规定、规范错误或不符合国家相关法律法规、规范要求；③阐述的方式方法明显不符合本项目实际情况或套用与本项目无关的其他项目方案；④照搬采购文件内容且未作出进一步描述。</w:t>
            </w:r>
          </w:p>
        </w:tc>
        <w:tc>
          <w:tcPr>
            <w:tcW w:w="1120" w:type="pct"/>
            <w:vAlign w:val="center"/>
          </w:tcPr>
          <w:p w14:paraId="2A587E3F">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项目管理方案</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lang w:val="en-US" w:eastAsia="zh-CN"/>
              </w:rPr>
              <w:t>5</w:t>
            </w:r>
            <w:r>
              <w:rPr>
                <w:rFonts w:hint="eastAsia" w:ascii="仿宋" w:hAnsi="仿宋" w:eastAsia="仿宋" w:cs="仿宋"/>
                <w:sz w:val="24"/>
              </w:rPr>
              <w:t>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lang w:val="en-US" w:eastAsia="zh-CN"/>
              </w:rPr>
              <w:t>供应商</w:t>
            </w:r>
            <w:r>
              <w:rPr>
                <w:rFonts w:hint="eastAsia" w:ascii="仿宋" w:hAnsi="仿宋" w:eastAsia="仿宋" w:cs="仿宋"/>
                <w:bCs/>
                <w:sz w:val="24"/>
              </w:rPr>
              <w:t>针对本项目提供项目管理方案，方案内容至少包含：①人员管理制度;②人员作业规范要求;③售后服务保障措施;④设备维保档案管理。 完整提供上述4项内容的得5分；每有一项未提供扣1.25分，扣完为止；每有一处有缺陷扣0.625分，单项最多扣1.25分，扣完为止。 内容存在缺陷是指以下任意情况之一：①项目名称、实施地点、涉及的规范、标准、所阐述的项目信息与本项目要求不一致；②引用的规定、规范错误或不符合国家相关法律法规、规范要求；③阐述的方式方法明显不符合本项目实际情况或套用与本项目无关的其他项目方案；④照搬采购文件内容且未作出进一步描述。</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hint="eastAsia" w:ascii="仿宋" w:hAnsi="仿宋" w:eastAsia="仿宋" w:cs="仿宋"/>
                <w:sz w:val="24"/>
                <w:lang w:eastAsia="zh-CN"/>
              </w:rPr>
            </w:pPr>
            <w:r>
              <w:rPr>
                <w:rFonts w:hint="eastAsia" w:ascii="仿宋" w:hAnsi="仿宋" w:eastAsia="仿宋" w:cs="仿宋"/>
                <w:sz w:val="24"/>
                <w:lang w:val="en-US" w:eastAsia="zh-CN"/>
              </w:rPr>
              <w:t>/</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32749"/>
      <w:bookmarkStart w:id="36" w:name="_Toc2485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24123"/>
      <w:bookmarkStart w:id="40" w:name="_Toc17905"/>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7526"/>
      <w:bookmarkStart w:id="44" w:name="_Toc2989"/>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19987"/>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21519"/>
      <w:bookmarkStart w:id="52" w:name="_Toc3023"/>
      <w:bookmarkStart w:id="53" w:name="_Toc16029"/>
      <w:bookmarkStart w:id="54" w:name="_Toc11352"/>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left="4410" w:leftChars="0" w:firstLine="0" w:firstLineChars="0"/>
        <w:jc w:val="both"/>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17857"/>
      <w:bookmarkStart w:id="58" w:name="_Toc31838"/>
      <w:bookmarkStart w:id="59" w:name="_Toc30971"/>
      <w:bookmarkStart w:id="60" w:name="_Toc4305"/>
      <w:r>
        <w:rPr>
          <w:rFonts w:ascii="Times New Roman" w:hAnsi="Times New Roman" w:cs="Times New Roman"/>
        </w:rPr>
        <w:br w:type="page"/>
      </w:r>
    </w:p>
    <w:p w14:paraId="72845348">
      <w:pPr>
        <w:pStyle w:val="3"/>
        <w:numPr>
          <w:ilvl w:val="0"/>
          <w:numId w:val="0"/>
        </w:numPr>
        <w:jc w:val="center"/>
      </w:pPr>
      <w:r>
        <w:rPr>
          <w:rFonts w:hint="eastAsia"/>
          <w:lang w:val="en-US" w:eastAsia="zh-CN"/>
        </w:rPr>
        <w:t>二、</w:t>
      </w: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numPr>
          <w:ilvl w:val="0"/>
          <w:numId w:val="0"/>
        </w:numPr>
        <w:jc w:val="center"/>
        <w:rPr>
          <w:rStyle w:val="32"/>
          <w:szCs w:val="28"/>
        </w:rPr>
      </w:pPr>
      <w:r>
        <w:rPr>
          <w:bCs/>
        </w:rPr>
        <w:br w:type="page"/>
      </w:r>
      <w:bookmarkStart w:id="61" w:name="_Toc15613"/>
      <w:bookmarkStart w:id="62" w:name="_Toc27186"/>
      <w:bookmarkStart w:id="63" w:name="_Toc30158"/>
      <w:r>
        <w:rPr>
          <w:rFonts w:hint="eastAsia"/>
          <w:bCs/>
          <w:lang w:val="en-US" w:eastAsia="zh-CN"/>
        </w:rPr>
        <w:t>三、</w:t>
      </w:r>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3"/>
        <w:numPr>
          <w:ilvl w:val="0"/>
          <w:numId w:val="0"/>
        </w:numPr>
        <w:jc w:val="center"/>
        <w:rPr>
          <w:szCs w:val="32"/>
        </w:rPr>
      </w:pPr>
      <w:bookmarkStart w:id="67" w:name="_Toc23146"/>
      <w:bookmarkStart w:id="68" w:name="_Toc15508"/>
      <w:r>
        <w:rPr>
          <w:rFonts w:hint="eastAsia"/>
          <w:lang w:val="en-US" w:eastAsia="zh-CN"/>
        </w:rPr>
        <w:t>四、</w:t>
      </w:r>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numPr>
          <w:ilvl w:val="0"/>
          <w:numId w:val="0"/>
        </w:numPr>
        <w:jc w:val="center"/>
        <w:rPr>
          <w:szCs w:val="32"/>
        </w:rPr>
      </w:pPr>
      <w:r>
        <w:rPr>
          <w:szCs w:val="32"/>
        </w:rPr>
        <w:br w:type="page"/>
      </w:r>
      <w:bookmarkStart w:id="69" w:name="_Toc15526"/>
      <w:bookmarkStart w:id="70" w:name="_Toc20589"/>
      <w:bookmarkStart w:id="71" w:name="_Toc11351"/>
      <w:bookmarkStart w:id="72" w:name="_Toc12015"/>
      <w:bookmarkStart w:id="73" w:name="_Toc27661"/>
      <w:bookmarkStart w:id="74" w:name="_Toc25638"/>
      <w:r>
        <w:rPr>
          <w:rFonts w:hint="eastAsia"/>
          <w:szCs w:val="32"/>
          <w:lang w:val="en-US" w:eastAsia="zh-CN"/>
        </w:rPr>
        <w:t>五、</w:t>
      </w:r>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numPr>
          <w:ilvl w:val="0"/>
          <w:numId w:val="0"/>
        </w:numPr>
        <w:jc w:val="center"/>
        <w:rPr>
          <w:szCs w:val="32"/>
        </w:rPr>
      </w:pPr>
      <w:r>
        <w:rPr>
          <w:szCs w:val="32"/>
        </w:rPr>
        <w:br w:type="page"/>
      </w:r>
      <w:bookmarkStart w:id="75" w:name="_Toc12967"/>
      <w:bookmarkStart w:id="76" w:name="_Toc2041"/>
      <w:bookmarkStart w:id="77" w:name="_Toc23967"/>
      <w:bookmarkStart w:id="78" w:name="_Toc26969"/>
      <w:bookmarkStart w:id="79" w:name="_Toc1074"/>
      <w:bookmarkStart w:id="80" w:name="_Toc16435"/>
      <w:r>
        <w:rPr>
          <w:rFonts w:hint="eastAsia"/>
          <w:szCs w:val="32"/>
          <w:lang w:val="en-US" w:eastAsia="zh-CN"/>
        </w:rPr>
        <w:t>六、</w:t>
      </w:r>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numPr>
          <w:ilvl w:val="0"/>
          <w:numId w:val="0"/>
        </w:numPr>
        <w:jc w:val="center"/>
        <w:rPr>
          <w:bCs/>
          <w:szCs w:val="32"/>
        </w:rPr>
      </w:pPr>
      <w:r>
        <w:rPr>
          <w:szCs w:val="32"/>
        </w:rPr>
        <w:br w:type="page"/>
      </w:r>
      <w:bookmarkStart w:id="81" w:name="_Toc28634"/>
      <w:bookmarkStart w:id="82" w:name="_Toc31686"/>
      <w:bookmarkStart w:id="83" w:name="_Toc21082"/>
      <w:bookmarkStart w:id="84" w:name="_Toc26839"/>
      <w:bookmarkStart w:id="85" w:name="_Toc24806"/>
      <w:bookmarkStart w:id="86" w:name="_Toc1369"/>
      <w:r>
        <w:rPr>
          <w:rFonts w:hint="eastAsia"/>
          <w:szCs w:val="32"/>
          <w:lang w:val="en-US" w:eastAsia="zh-CN"/>
        </w:rPr>
        <w:t>七、</w:t>
      </w:r>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w:t>
      </w:r>
      <w:r>
        <w:rPr>
          <w:rFonts w:hint="eastAsia" w:ascii="Times New Roman" w:hAnsi="Times New Roman" w:eastAsia="仿宋" w:cs="Times New Roman"/>
          <w:sz w:val="24"/>
          <w:szCs w:val="24"/>
        </w:rPr>
        <w:t>履约能力</w:t>
      </w:r>
      <w:r>
        <w:rPr>
          <w:rFonts w:ascii="Times New Roman" w:hAnsi="Times New Roman" w:eastAsia="仿宋" w:cs="Times New Roman"/>
          <w:sz w:val="24"/>
          <w:szCs w:val="24"/>
        </w:rPr>
        <w:t>：</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w:t>
      </w:r>
      <w:r>
        <w:rPr>
          <w:rFonts w:hint="eastAsia" w:ascii="Times New Roman" w:hAnsi="Times New Roman" w:eastAsia="仿宋" w:cs="Times New Roman"/>
          <w:sz w:val="24"/>
          <w:szCs w:val="24"/>
        </w:rPr>
        <w:t>项目整体方案</w:t>
      </w:r>
      <w:r>
        <w:rPr>
          <w:rFonts w:ascii="Times New Roman" w:hAnsi="Times New Roman" w:eastAsia="仿宋" w:cs="Times New Roman"/>
          <w:sz w:val="24"/>
          <w:szCs w:val="24"/>
        </w:rPr>
        <w:t>：</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w:t>
      </w:r>
      <w:r>
        <w:rPr>
          <w:rFonts w:hint="eastAsia" w:ascii="Times New Roman" w:hAnsi="Times New Roman" w:eastAsia="仿宋" w:cs="Times New Roman"/>
          <w:sz w:val="24"/>
          <w:szCs w:val="24"/>
        </w:rPr>
        <w:t>项目管理方案</w:t>
      </w:r>
      <w:r>
        <w:rPr>
          <w:rFonts w:ascii="Times New Roman" w:hAnsi="Times New Roman" w:eastAsia="仿宋" w:cs="Times New Roman"/>
          <w:sz w:val="24"/>
          <w:szCs w:val="24"/>
        </w:rPr>
        <w:t>：</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left"/>
        <w:rPr>
          <w:rStyle w:val="32"/>
          <w:rFonts w:ascii="Times New Roman" w:hAnsi="Times New Roman" w:eastAsia="仿宋" w:cs="Times New Roman"/>
          <w:sz w:val="32"/>
          <w:szCs w:val="28"/>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四</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......（其他内容）：</w:t>
      </w: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numPr>
          <w:ilvl w:val="0"/>
          <w:numId w:val="0"/>
        </w:numPr>
        <w:ind w:left="4410" w:leftChars="0"/>
        <w:jc w:val="both"/>
      </w:pPr>
      <w:bookmarkStart w:id="90" w:name="_Toc15065"/>
      <w:r>
        <w:rPr>
          <w:rFonts w:hint="eastAsia"/>
          <w:lang w:val="en-US" w:eastAsia="zh-CN"/>
        </w:rPr>
        <w:t>八、</w:t>
      </w:r>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1FD5FA7D">
      <w:pPr>
        <w:pStyle w:val="16"/>
        <w:numPr>
          <w:ilvl w:val="0"/>
          <w:numId w:val="14"/>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w:t>
      </w:r>
    </w:p>
    <w:tbl>
      <w:tblPr>
        <w:tblStyle w:val="18"/>
        <w:tblpPr w:leftFromText="180" w:rightFromText="180" w:vertAnchor="text" w:horzAnchor="page" w:tblpX="1532" w:tblpY="328"/>
        <w:tblOverlap w:val="never"/>
        <w:tblW w:w="46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546"/>
        <w:gridCol w:w="3039"/>
        <w:gridCol w:w="2651"/>
        <w:gridCol w:w="1605"/>
      </w:tblGrid>
      <w:tr w14:paraId="4CC4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429" w:type="pct"/>
            <w:tcBorders>
              <w:top w:val="single" w:color="auto" w:sz="4" w:space="0"/>
              <w:left w:val="single" w:color="auto" w:sz="4" w:space="0"/>
              <w:bottom w:val="single" w:color="auto" w:sz="4" w:space="0"/>
              <w:right w:val="single" w:color="auto" w:sz="4" w:space="0"/>
            </w:tcBorders>
            <w:vAlign w:val="center"/>
          </w:tcPr>
          <w:p w14:paraId="1F3C7182">
            <w:pPr>
              <w:spacing w:line="360" w:lineRule="auto"/>
              <w:jc w:val="center"/>
              <w:rPr>
                <w:rFonts w:ascii="仿宋" w:hAnsi="仿宋" w:eastAsia="仿宋" w:cs="仿宋"/>
                <w:b/>
                <w:bCs/>
                <w:color w:val="000000"/>
                <w:sz w:val="22"/>
              </w:rPr>
            </w:pPr>
            <w:r>
              <w:rPr>
                <w:rFonts w:hint="eastAsia" w:ascii="仿宋" w:hAnsi="仿宋" w:eastAsia="仿宋" w:cs="仿宋"/>
                <w:b/>
                <w:bCs/>
                <w:color w:val="000000"/>
                <w:sz w:val="22"/>
              </w:rPr>
              <w:t>序号</w:t>
            </w:r>
          </w:p>
        </w:tc>
        <w:tc>
          <w:tcPr>
            <w:tcW w:w="799" w:type="pct"/>
            <w:tcBorders>
              <w:top w:val="single" w:color="auto" w:sz="4" w:space="0"/>
              <w:left w:val="single" w:color="auto" w:sz="4" w:space="0"/>
              <w:bottom w:val="single" w:color="auto" w:sz="4" w:space="0"/>
              <w:right w:val="single" w:color="auto" w:sz="4" w:space="0"/>
            </w:tcBorders>
            <w:vAlign w:val="center"/>
          </w:tcPr>
          <w:p w14:paraId="1F8257BE">
            <w:pPr>
              <w:spacing w:line="360" w:lineRule="auto"/>
              <w:jc w:val="center"/>
              <w:rPr>
                <w:rFonts w:ascii="仿宋" w:hAnsi="仿宋" w:eastAsia="仿宋" w:cs="仿宋"/>
                <w:b/>
                <w:bCs/>
                <w:color w:val="000000"/>
                <w:sz w:val="22"/>
              </w:rPr>
            </w:pPr>
            <w:r>
              <w:rPr>
                <w:rFonts w:hint="eastAsia" w:ascii="仿宋" w:hAnsi="仿宋" w:eastAsia="仿宋" w:cs="仿宋"/>
                <w:b/>
                <w:bCs/>
                <w:color w:val="000000"/>
                <w:sz w:val="22"/>
              </w:rPr>
              <w:t>报价内容</w:t>
            </w:r>
          </w:p>
        </w:tc>
        <w:tc>
          <w:tcPr>
            <w:tcW w:w="1571" w:type="pct"/>
            <w:tcBorders>
              <w:top w:val="single" w:color="auto" w:sz="4" w:space="0"/>
              <w:left w:val="single" w:color="auto" w:sz="4" w:space="0"/>
              <w:bottom w:val="single" w:color="auto" w:sz="4" w:space="0"/>
              <w:right w:val="single" w:color="auto" w:sz="4" w:space="0"/>
            </w:tcBorders>
            <w:vAlign w:val="center"/>
          </w:tcPr>
          <w:p w14:paraId="56262A87">
            <w:pPr>
              <w:spacing w:line="360" w:lineRule="auto"/>
              <w:jc w:val="center"/>
              <w:rPr>
                <w:rFonts w:hint="eastAsia" w:ascii="仿宋" w:hAnsi="仿宋" w:eastAsia="仿宋" w:cs="仿宋"/>
                <w:b/>
                <w:bCs/>
                <w:color w:val="000000"/>
                <w:sz w:val="22"/>
                <w:lang w:eastAsia="zh-CN"/>
              </w:rPr>
            </w:pPr>
            <w:r>
              <w:rPr>
                <w:rFonts w:hint="eastAsia" w:ascii="仿宋" w:hAnsi="仿宋" w:eastAsia="仿宋" w:cs="仿宋"/>
                <w:b/>
                <w:bCs/>
                <w:color w:val="000000"/>
                <w:sz w:val="22"/>
              </w:rPr>
              <w:t>报价</w:t>
            </w:r>
            <w:r>
              <w:rPr>
                <w:rFonts w:hint="eastAsia" w:ascii="仿宋" w:hAnsi="仿宋" w:eastAsia="仿宋" w:cs="仿宋"/>
                <w:b/>
                <w:bCs/>
                <w:color w:val="000000"/>
                <w:sz w:val="22"/>
                <w:lang w:eastAsia="zh-CN"/>
              </w:rPr>
              <w:t>（</w:t>
            </w:r>
            <w:r>
              <w:rPr>
                <w:rFonts w:hint="eastAsia" w:ascii="仿宋" w:hAnsi="仿宋" w:eastAsia="仿宋" w:cs="仿宋"/>
                <w:b/>
                <w:bCs/>
                <w:color w:val="000000"/>
                <w:sz w:val="22"/>
                <w:lang w:val="en-US" w:eastAsia="zh-CN"/>
              </w:rPr>
              <w:t>人民币：元</w:t>
            </w:r>
            <w:r>
              <w:rPr>
                <w:rFonts w:hint="eastAsia" w:ascii="仿宋" w:hAnsi="仿宋" w:eastAsia="仿宋" w:cs="仿宋"/>
                <w:b/>
                <w:bCs/>
                <w:color w:val="000000"/>
                <w:sz w:val="22"/>
                <w:lang w:eastAsia="zh-CN"/>
              </w:rPr>
              <w:t>）</w:t>
            </w:r>
          </w:p>
        </w:tc>
        <w:tc>
          <w:tcPr>
            <w:tcW w:w="1370" w:type="pct"/>
            <w:tcBorders>
              <w:top w:val="single" w:color="auto" w:sz="4" w:space="0"/>
              <w:left w:val="single" w:color="auto" w:sz="4" w:space="0"/>
              <w:bottom w:val="single" w:color="auto" w:sz="4" w:space="0"/>
              <w:right w:val="single" w:color="auto" w:sz="4" w:space="0"/>
            </w:tcBorders>
            <w:vAlign w:val="center"/>
          </w:tcPr>
          <w:p w14:paraId="76513EFB">
            <w:pPr>
              <w:spacing w:line="360" w:lineRule="auto"/>
              <w:ind w:left="332" w:hanging="327" w:hangingChars="148"/>
              <w:jc w:val="center"/>
              <w:rPr>
                <w:rFonts w:ascii="仿宋" w:hAnsi="仿宋" w:eastAsia="仿宋" w:cs="仿宋"/>
                <w:b/>
                <w:bCs/>
                <w:color w:val="000000"/>
                <w:sz w:val="22"/>
              </w:rPr>
            </w:pPr>
            <w:r>
              <w:rPr>
                <w:rFonts w:hint="eastAsia" w:ascii="仿宋" w:hAnsi="仿宋" w:eastAsia="仿宋" w:cs="仿宋"/>
                <w:b/>
                <w:bCs/>
                <w:color w:val="000000"/>
                <w:sz w:val="22"/>
              </w:rPr>
              <w:t>服务期</w:t>
            </w:r>
          </w:p>
        </w:tc>
        <w:tc>
          <w:tcPr>
            <w:tcW w:w="829" w:type="pct"/>
            <w:tcBorders>
              <w:top w:val="single" w:color="auto" w:sz="4" w:space="0"/>
              <w:left w:val="single" w:color="auto" w:sz="4" w:space="0"/>
              <w:bottom w:val="single" w:color="auto" w:sz="4" w:space="0"/>
              <w:right w:val="single" w:color="auto" w:sz="4" w:space="0"/>
            </w:tcBorders>
            <w:vAlign w:val="center"/>
          </w:tcPr>
          <w:p w14:paraId="37818627">
            <w:pPr>
              <w:spacing w:line="360" w:lineRule="auto"/>
              <w:ind w:left="332" w:hanging="327" w:hangingChars="148"/>
              <w:jc w:val="center"/>
              <w:rPr>
                <w:rFonts w:ascii="仿宋" w:hAnsi="仿宋" w:eastAsia="仿宋" w:cs="仿宋"/>
                <w:b/>
                <w:bCs/>
                <w:color w:val="000000"/>
                <w:sz w:val="22"/>
              </w:rPr>
            </w:pPr>
            <w:r>
              <w:rPr>
                <w:rFonts w:hint="eastAsia" w:ascii="仿宋" w:hAnsi="仿宋" w:eastAsia="仿宋" w:cs="仿宋"/>
                <w:b/>
                <w:bCs/>
                <w:color w:val="000000"/>
                <w:sz w:val="22"/>
              </w:rPr>
              <w:t>备注</w:t>
            </w:r>
          </w:p>
        </w:tc>
      </w:tr>
      <w:tr w14:paraId="4855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429" w:type="pct"/>
            <w:tcBorders>
              <w:top w:val="single" w:color="auto" w:sz="4" w:space="0"/>
              <w:left w:val="single" w:color="auto" w:sz="4" w:space="0"/>
              <w:right w:val="single" w:color="auto" w:sz="4" w:space="0"/>
            </w:tcBorders>
          </w:tcPr>
          <w:p w14:paraId="6ACCD055">
            <w:pPr>
              <w:rPr>
                <w:rFonts w:ascii="仿宋" w:hAnsi="仿宋" w:eastAsia="仿宋" w:cs="仿宋"/>
                <w:sz w:val="22"/>
              </w:rPr>
            </w:pPr>
          </w:p>
          <w:p w14:paraId="30FD7119">
            <w:pPr>
              <w:spacing w:line="360" w:lineRule="auto"/>
              <w:rPr>
                <w:rFonts w:ascii="仿宋" w:hAnsi="仿宋" w:eastAsia="仿宋" w:cs="仿宋"/>
                <w:color w:val="000000"/>
                <w:sz w:val="22"/>
              </w:rPr>
            </w:pPr>
          </w:p>
          <w:p w14:paraId="3586C2A8">
            <w:pPr>
              <w:spacing w:line="360" w:lineRule="auto"/>
              <w:jc w:val="center"/>
              <w:rPr>
                <w:rFonts w:ascii="仿宋" w:hAnsi="仿宋" w:eastAsia="仿宋" w:cs="仿宋"/>
                <w:color w:val="000000"/>
                <w:sz w:val="22"/>
              </w:rPr>
            </w:pPr>
          </w:p>
          <w:p w14:paraId="17CCFCAF">
            <w:pPr>
              <w:spacing w:line="360" w:lineRule="auto"/>
              <w:jc w:val="center"/>
              <w:rPr>
                <w:rFonts w:ascii="仿宋" w:hAnsi="仿宋" w:eastAsia="仿宋" w:cs="仿宋"/>
                <w:color w:val="000000"/>
                <w:sz w:val="22"/>
              </w:rPr>
            </w:pPr>
          </w:p>
          <w:p w14:paraId="344B80C9">
            <w:pPr>
              <w:spacing w:line="360" w:lineRule="auto"/>
              <w:jc w:val="center"/>
              <w:rPr>
                <w:rFonts w:ascii="仿宋" w:hAnsi="仿宋" w:eastAsia="仿宋" w:cs="仿宋"/>
                <w:color w:val="000000"/>
                <w:sz w:val="22"/>
              </w:rPr>
            </w:pPr>
          </w:p>
        </w:tc>
        <w:tc>
          <w:tcPr>
            <w:tcW w:w="799" w:type="pct"/>
            <w:tcBorders>
              <w:top w:val="single" w:color="auto" w:sz="4" w:space="0"/>
              <w:left w:val="single" w:color="auto" w:sz="4" w:space="0"/>
              <w:right w:val="single" w:color="auto" w:sz="4" w:space="0"/>
            </w:tcBorders>
            <w:vAlign w:val="center"/>
          </w:tcPr>
          <w:p w14:paraId="01334CD5">
            <w:pPr>
              <w:spacing w:line="360" w:lineRule="auto"/>
              <w:jc w:val="center"/>
              <w:rPr>
                <w:rFonts w:ascii="仿宋" w:hAnsi="仿宋" w:eastAsia="仿宋" w:cs="仿宋"/>
                <w:color w:val="000000"/>
                <w:sz w:val="22"/>
              </w:rPr>
            </w:pPr>
          </w:p>
        </w:tc>
        <w:tc>
          <w:tcPr>
            <w:tcW w:w="1571" w:type="pct"/>
            <w:tcBorders>
              <w:top w:val="single" w:color="auto" w:sz="4" w:space="0"/>
              <w:left w:val="single" w:color="auto" w:sz="4" w:space="0"/>
              <w:bottom w:val="single" w:color="auto" w:sz="4" w:space="0"/>
              <w:right w:val="single" w:color="auto" w:sz="4" w:space="0"/>
            </w:tcBorders>
            <w:vAlign w:val="center"/>
          </w:tcPr>
          <w:p w14:paraId="4B3E308B">
            <w:pPr>
              <w:spacing w:line="360" w:lineRule="auto"/>
              <w:rPr>
                <w:rFonts w:hint="eastAsia" w:ascii="仿宋" w:hAnsi="仿宋" w:eastAsia="仿宋" w:cs="仿宋"/>
                <w:color w:val="000000"/>
                <w:sz w:val="22"/>
                <w:highlight w:val="none"/>
                <w:lang w:val="en-US" w:eastAsia="zh-CN"/>
              </w:rPr>
            </w:pPr>
            <w:r>
              <w:rPr>
                <w:rFonts w:hint="eastAsia" w:ascii="仿宋" w:hAnsi="仿宋" w:eastAsia="仿宋" w:cs="仿宋"/>
                <w:color w:val="000000"/>
                <w:sz w:val="22"/>
                <w:highlight w:val="none"/>
              </w:rPr>
              <w:t>含税总</w:t>
            </w:r>
            <w:r>
              <w:rPr>
                <w:rFonts w:hint="eastAsia" w:ascii="仿宋" w:hAnsi="仿宋" w:eastAsia="仿宋" w:cs="仿宋"/>
                <w:color w:val="000000"/>
                <w:sz w:val="22"/>
                <w:highlight w:val="none"/>
                <w:lang w:val="en-US" w:eastAsia="zh-CN"/>
              </w:rPr>
              <w:t>价（人民币）</w:t>
            </w:r>
          </w:p>
          <w:p w14:paraId="26AB1D78">
            <w:pPr>
              <w:spacing w:line="360" w:lineRule="auto"/>
              <w:rPr>
                <w:rFonts w:hint="default" w:ascii="仿宋" w:hAnsi="仿宋" w:eastAsia="仿宋" w:cs="仿宋"/>
                <w:color w:val="000000"/>
                <w:sz w:val="22"/>
                <w:highlight w:val="none"/>
                <w:lang w:val="en-US" w:eastAsia="zh-CN"/>
              </w:rPr>
            </w:pPr>
            <w:r>
              <w:rPr>
                <w:rFonts w:hint="eastAsia" w:ascii="仿宋" w:hAnsi="仿宋" w:eastAsia="仿宋" w:cs="仿宋"/>
                <w:color w:val="000000"/>
                <w:sz w:val="22"/>
                <w:highlight w:val="none"/>
                <w:lang w:val="en-US" w:eastAsia="zh-CN"/>
              </w:rPr>
              <w:t>小写：</w:t>
            </w:r>
            <w:r>
              <w:rPr>
                <w:rFonts w:hint="eastAsia" w:ascii="仿宋" w:hAnsi="仿宋" w:eastAsia="仿宋" w:cs="仿宋"/>
                <w:color w:val="000000"/>
                <w:sz w:val="22"/>
                <w:highlight w:val="none"/>
                <w:u w:val="single"/>
              </w:rPr>
              <w:t xml:space="preserve">      </w:t>
            </w:r>
            <w:r>
              <w:rPr>
                <w:rFonts w:hint="eastAsia" w:ascii="仿宋" w:hAnsi="仿宋" w:eastAsia="仿宋" w:cs="仿宋"/>
                <w:color w:val="000000"/>
                <w:sz w:val="22"/>
                <w:highlight w:val="none"/>
                <w:u w:val="single"/>
                <w:lang w:val="en-US" w:eastAsia="zh-CN"/>
              </w:rPr>
              <w:t xml:space="preserve">   </w:t>
            </w:r>
          </w:p>
          <w:p w14:paraId="04CFD756">
            <w:pPr>
              <w:spacing w:line="360" w:lineRule="auto"/>
              <w:jc w:val="both"/>
              <w:rPr>
                <w:rFonts w:hint="default" w:eastAsia="仿宋"/>
                <w:highlight w:val="yellow"/>
                <w:lang w:val="en-US" w:eastAsia="zh-CN"/>
              </w:rPr>
            </w:pPr>
            <w:r>
              <w:rPr>
                <w:rFonts w:hint="eastAsia" w:ascii="仿宋" w:hAnsi="仿宋" w:eastAsia="仿宋" w:cs="仿宋"/>
                <w:color w:val="000000"/>
                <w:sz w:val="22"/>
                <w:highlight w:val="none"/>
                <w:lang w:val="en-US" w:eastAsia="zh-CN"/>
              </w:rPr>
              <w:t>大写：</w:t>
            </w:r>
            <w:r>
              <w:rPr>
                <w:rFonts w:hint="eastAsia" w:ascii="仿宋" w:hAnsi="仿宋" w:eastAsia="仿宋" w:cs="仿宋"/>
                <w:color w:val="000000"/>
                <w:sz w:val="22"/>
                <w:highlight w:val="none"/>
                <w:u w:val="single"/>
              </w:rPr>
              <w:t xml:space="preserve">      </w:t>
            </w:r>
            <w:r>
              <w:rPr>
                <w:rFonts w:hint="eastAsia" w:ascii="仿宋" w:hAnsi="仿宋" w:eastAsia="仿宋" w:cs="仿宋"/>
                <w:color w:val="000000"/>
                <w:sz w:val="22"/>
                <w:highlight w:val="none"/>
                <w:u w:val="single"/>
                <w:lang w:val="en-US" w:eastAsia="zh-CN"/>
              </w:rPr>
              <w:t xml:space="preserve">   </w:t>
            </w:r>
          </w:p>
        </w:tc>
        <w:tc>
          <w:tcPr>
            <w:tcW w:w="1370" w:type="pct"/>
            <w:tcBorders>
              <w:top w:val="single" w:color="auto" w:sz="4" w:space="0"/>
              <w:left w:val="single" w:color="auto" w:sz="4" w:space="0"/>
              <w:right w:val="single" w:color="auto" w:sz="4" w:space="0"/>
            </w:tcBorders>
            <w:vAlign w:val="center"/>
          </w:tcPr>
          <w:p w14:paraId="2A1BC3D9">
            <w:pPr>
              <w:spacing w:line="360" w:lineRule="auto"/>
              <w:rPr>
                <w:rFonts w:ascii="仿宋" w:hAnsi="仿宋" w:eastAsia="仿宋" w:cs="仿宋"/>
                <w:color w:val="000000"/>
                <w:sz w:val="22"/>
                <w:highlight w:val="yellow"/>
              </w:rPr>
            </w:pPr>
            <w:r>
              <w:rPr>
                <w:rFonts w:hint="eastAsia" w:ascii="仿宋" w:hAnsi="仿宋" w:eastAsia="仿宋" w:cs="仿宋"/>
                <w:color w:val="000000"/>
                <w:sz w:val="22"/>
                <w:highlight w:val="none"/>
              </w:rPr>
              <w:t>2026年12月10日至2027年12月9日</w:t>
            </w:r>
          </w:p>
        </w:tc>
        <w:tc>
          <w:tcPr>
            <w:tcW w:w="829" w:type="pct"/>
            <w:tcBorders>
              <w:top w:val="single" w:color="auto" w:sz="4" w:space="0"/>
              <w:left w:val="single" w:color="auto" w:sz="4" w:space="0"/>
              <w:right w:val="single" w:color="auto" w:sz="4" w:space="0"/>
            </w:tcBorders>
            <w:vAlign w:val="center"/>
          </w:tcPr>
          <w:p w14:paraId="32DD5715">
            <w:pPr>
              <w:spacing w:line="360" w:lineRule="auto"/>
              <w:rPr>
                <w:rFonts w:ascii="仿宋" w:hAnsi="仿宋" w:eastAsia="仿宋" w:cs="仿宋"/>
                <w:color w:val="000000"/>
                <w:sz w:val="22"/>
              </w:rPr>
            </w:pPr>
          </w:p>
        </w:tc>
      </w:tr>
    </w:tbl>
    <w:p w14:paraId="5A975E7F">
      <w:pPr>
        <w:pStyle w:val="16"/>
        <w:ind w:firstLine="0"/>
        <w:jc w:val="left"/>
        <w:rPr>
          <w:rFonts w:ascii="宋体" w:hAnsi="宋体" w:eastAsia="宋体"/>
          <w:b/>
          <w:bCs/>
          <w:color w:val="auto"/>
          <w:szCs w:val="21"/>
          <w:highlight w:val="none"/>
        </w:rPr>
      </w:pPr>
    </w:p>
    <w:p w14:paraId="2F7077BB">
      <w:pPr>
        <w:widowControl/>
        <w:jc w:val="left"/>
        <w:rPr>
          <w:rFonts w:ascii="Times New Roman" w:hAnsi="Times New Roman" w:eastAsia="仿宋" w:cs="Times New Roman"/>
          <w:szCs w:val="21"/>
          <w:lang w:val="zh-TW"/>
        </w:rPr>
      </w:pPr>
    </w:p>
    <w:p w14:paraId="1F18EC97">
      <w:pPr>
        <w:widowControl/>
        <w:jc w:val="left"/>
        <w:rPr>
          <w:rFonts w:ascii="Times New Roman" w:hAnsi="Times New Roman" w:eastAsia="仿宋" w:cs="Times New Roman"/>
          <w:szCs w:val="21"/>
          <w:lang w:val="zh-TW"/>
        </w:rPr>
      </w:pPr>
    </w:p>
    <w:p w14:paraId="2778C643">
      <w:pPr>
        <w:widowControl/>
        <w:jc w:val="left"/>
        <w:rPr>
          <w:rFonts w:ascii="Times New Roman" w:hAnsi="Times New Roman" w:eastAsia="仿宋" w:cs="Times New Roman"/>
          <w:szCs w:val="21"/>
          <w:lang w:val="zh-TW"/>
        </w:rPr>
      </w:pPr>
    </w:p>
    <w:p w14:paraId="4C8107FB">
      <w:pPr>
        <w:widowControl/>
        <w:jc w:val="left"/>
        <w:rPr>
          <w:rFonts w:ascii="Times New Roman" w:hAnsi="Times New Roman" w:eastAsia="仿宋" w:cs="Times New Roman"/>
          <w:szCs w:val="21"/>
          <w:lang w:val="zh-TW"/>
        </w:rPr>
      </w:pPr>
    </w:p>
    <w:p w14:paraId="7E45899E">
      <w:pPr>
        <w:widowControl/>
        <w:jc w:val="left"/>
        <w:rPr>
          <w:rFonts w:ascii="Times New Roman" w:hAnsi="Times New Roman" w:eastAsia="仿宋" w:cs="Times New Roman"/>
          <w:szCs w:val="21"/>
          <w:lang w:val="zh-TW"/>
        </w:rPr>
      </w:pPr>
    </w:p>
    <w:p w14:paraId="4DD52020">
      <w:pPr>
        <w:widowControl/>
        <w:jc w:val="left"/>
        <w:rPr>
          <w:rFonts w:ascii="Times New Roman" w:hAnsi="Times New Roman" w:eastAsia="仿宋" w:cs="Times New Roman"/>
          <w:szCs w:val="21"/>
          <w:lang w:val="zh-TW"/>
        </w:rPr>
      </w:pPr>
    </w:p>
    <w:p w14:paraId="40901E54">
      <w:pPr>
        <w:widowControl/>
        <w:jc w:val="left"/>
        <w:rPr>
          <w:rFonts w:ascii="Times New Roman" w:hAnsi="Times New Roman" w:eastAsia="仿宋" w:cs="Times New Roman"/>
          <w:szCs w:val="21"/>
          <w:lang w:val="zh-TW"/>
        </w:rPr>
      </w:pPr>
    </w:p>
    <w:p w14:paraId="3E260231">
      <w:pPr>
        <w:widowControl/>
        <w:jc w:val="left"/>
        <w:rPr>
          <w:rFonts w:ascii="Times New Roman" w:hAnsi="Times New Roman" w:eastAsia="仿宋" w:cs="Times New Roman"/>
          <w:szCs w:val="21"/>
          <w:lang w:val="zh-TW"/>
        </w:rPr>
      </w:pPr>
    </w:p>
    <w:p w14:paraId="66D77436">
      <w:pPr>
        <w:widowControl/>
        <w:jc w:val="left"/>
        <w:rPr>
          <w:rFonts w:ascii="Times New Roman" w:hAnsi="Times New Roman" w:eastAsia="仿宋" w:cs="Times New Roman"/>
          <w:szCs w:val="21"/>
          <w:lang w:val="zh-TW"/>
        </w:rPr>
      </w:pPr>
    </w:p>
    <w:p w14:paraId="50E4B71B">
      <w:pPr>
        <w:widowControl/>
        <w:jc w:val="left"/>
        <w:rPr>
          <w:rFonts w:ascii="Times New Roman" w:hAnsi="Times New Roman" w:eastAsia="仿宋" w:cs="Times New Roman"/>
          <w:szCs w:val="21"/>
          <w:lang w:val="zh-TW"/>
        </w:rPr>
      </w:pPr>
    </w:p>
    <w:p w14:paraId="5101BE61">
      <w:pPr>
        <w:widowControl/>
        <w:jc w:val="left"/>
        <w:rPr>
          <w:rFonts w:ascii="Times New Roman" w:hAnsi="Times New Roman" w:eastAsia="仿宋" w:cs="Times New Roman"/>
          <w:szCs w:val="21"/>
          <w:lang w:val="zh-TW"/>
        </w:rPr>
      </w:pPr>
    </w:p>
    <w:p w14:paraId="4BE50497">
      <w:pPr>
        <w:widowControl/>
        <w:jc w:val="left"/>
        <w:rPr>
          <w:rFonts w:ascii="Times New Roman" w:hAnsi="Times New Roman" w:eastAsia="仿宋" w:cs="Times New Roman"/>
          <w:szCs w:val="21"/>
          <w:lang w:val="zh-TW"/>
        </w:rPr>
      </w:pPr>
    </w:p>
    <w:p w14:paraId="413A8C28">
      <w:pPr>
        <w:widowControl/>
        <w:jc w:val="left"/>
        <w:rPr>
          <w:rFonts w:ascii="Times New Roman" w:hAnsi="Times New Roman" w:eastAsia="仿宋" w:cs="Times New Roman"/>
          <w:szCs w:val="21"/>
          <w:lang w:val="zh-TW"/>
        </w:rPr>
      </w:pPr>
    </w:p>
    <w:p w14:paraId="20A0525A">
      <w:pPr>
        <w:widowControl/>
        <w:jc w:val="left"/>
        <w:rPr>
          <w:rFonts w:ascii="Times New Roman" w:hAnsi="Times New Roman" w:eastAsia="仿宋" w:cs="Times New Roman"/>
          <w:szCs w:val="21"/>
          <w:lang w:val="zh-TW"/>
        </w:rPr>
      </w:pPr>
    </w:p>
    <w:p w14:paraId="52E56B32">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52E1940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eastAsia" w:ascii="仿宋" w:hAnsi="仿宋" w:eastAsia="仿宋" w:cs="仿宋"/>
          <w:b/>
          <w:sz w:val="32"/>
          <w:szCs w:val="32"/>
          <w:highlight w:val="none"/>
          <w:lang w:eastAsia="zh-CN"/>
        </w:rPr>
      </w:pPr>
      <w:r>
        <w:rPr>
          <w:rFonts w:ascii="Times New Roman" w:hAnsi="Times New Roman" w:eastAsia="仿宋" w:cs="Times New Roman"/>
          <w:sz w:val="24"/>
          <w:szCs w:val="24"/>
          <w:u w:val="single"/>
        </w:rPr>
        <w:br w:type="page"/>
      </w:r>
      <w:r>
        <w:rPr>
          <w:rFonts w:hint="eastAsia" w:ascii="仿宋" w:hAnsi="仿宋" w:eastAsia="仿宋" w:cs="仿宋"/>
          <w:b/>
          <w:sz w:val="32"/>
          <w:szCs w:val="32"/>
          <w:highlight w:val="none"/>
          <w:lang w:val="en-US" w:eastAsia="zh-CN"/>
        </w:rPr>
        <w:t>报价明细表</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3589"/>
        <w:gridCol w:w="1369"/>
        <w:gridCol w:w="1780"/>
        <w:gridCol w:w="1751"/>
        <w:gridCol w:w="1082"/>
      </w:tblGrid>
      <w:tr w14:paraId="58D6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408" w:type="pct"/>
            <w:vAlign w:val="center"/>
          </w:tcPr>
          <w:p w14:paraId="07B3B3E4">
            <w:pPr>
              <w:spacing w:line="240" w:lineRule="auto"/>
              <w:jc w:val="center"/>
              <w:rPr>
                <w:rFonts w:hint="eastAsia" w:ascii="仿宋" w:hAnsi="仿宋" w:eastAsia="仿宋" w:cs="仿宋"/>
                <w:b/>
                <w:bCs/>
                <w:color w:val="000000"/>
                <w:sz w:val="22"/>
              </w:rPr>
            </w:pPr>
            <w:r>
              <w:rPr>
                <w:rFonts w:hint="eastAsia" w:ascii="仿宋" w:hAnsi="仿宋" w:eastAsia="仿宋" w:cs="仿宋"/>
                <w:b/>
                <w:bCs/>
                <w:color w:val="000000"/>
                <w:sz w:val="22"/>
              </w:rPr>
              <w:t>序号</w:t>
            </w:r>
          </w:p>
        </w:tc>
        <w:tc>
          <w:tcPr>
            <w:tcW w:w="1722" w:type="pct"/>
            <w:vAlign w:val="center"/>
          </w:tcPr>
          <w:p w14:paraId="41398FD8">
            <w:pPr>
              <w:spacing w:line="240" w:lineRule="auto"/>
              <w:jc w:val="center"/>
              <w:rPr>
                <w:rFonts w:hint="eastAsia" w:ascii="仿宋" w:hAnsi="仿宋" w:eastAsia="仿宋" w:cs="仿宋"/>
                <w:b/>
                <w:bCs/>
                <w:color w:val="000000"/>
                <w:sz w:val="22"/>
                <w:lang w:val="en-US" w:eastAsia="zh-CN"/>
              </w:rPr>
            </w:pPr>
            <w:r>
              <w:rPr>
                <w:rFonts w:hint="eastAsia" w:ascii="仿宋" w:hAnsi="仿宋" w:eastAsia="仿宋" w:cs="仿宋"/>
                <w:b/>
                <w:bCs/>
                <w:color w:val="000000"/>
                <w:sz w:val="22"/>
                <w:lang w:val="en-US" w:eastAsia="zh-CN"/>
              </w:rPr>
              <w:t>维保</w:t>
            </w:r>
            <w:r>
              <w:rPr>
                <w:rFonts w:hint="eastAsia" w:ascii="仿宋" w:hAnsi="仿宋" w:eastAsia="仿宋" w:cs="仿宋"/>
                <w:b/>
                <w:bCs/>
                <w:color w:val="000000"/>
                <w:sz w:val="22"/>
              </w:rPr>
              <w:t>内容</w:t>
            </w:r>
            <w:r>
              <w:rPr>
                <w:rFonts w:hint="eastAsia" w:ascii="仿宋" w:hAnsi="仿宋" w:eastAsia="仿宋" w:cs="仿宋"/>
                <w:b/>
                <w:bCs/>
                <w:color w:val="000000"/>
                <w:sz w:val="22"/>
                <w:lang w:val="en-US" w:eastAsia="zh-CN"/>
              </w:rPr>
              <w:t>明细</w:t>
            </w:r>
          </w:p>
        </w:tc>
        <w:tc>
          <w:tcPr>
            <w:tcW w:w="657" w:type="pct"/>
            <w:vAlign w:val="center"/>
          </w:tcPr>
          <w:p w14:paraId="088AE2CD">
            <w:pPr>
              <w:spacing w:line="240" w:lineRule="auto"/>
              <w:jc w:val="center"/>
              <w:rPr>
                <w:rFonts w:hint="eastAsia" w:ascii="仿宋" w:hAnsi="仿宋" w:eastAsia="仿宋" w:cs="仿宋"/>
                <w:b/>
                <w:bCs/>
                <w:color w:val="000000"/>
                <w:sz w:val="22"/>
                <w:lang w:val="en-US" w:eastAsia="zh-CN"/>
              </w:rPr>
            </w:pPr>
            <w:r>
              <w:rPr>
                <w:rFonts w:hint="eastAsia" w:ascii="仿宋" w:hAnsi="仿宋" w:eastAsia="仿宋" w:cs="仿宋"/>
                <w:b/>
                <w:bCs/>
                <w:color w:val="000000"/>
                <w:sz w:val="22"/>
                <w:lang w:val="en-US" w:eastAsia="zh-CN"/>
              </w:rPr>
              <w:t>数量</w:t>
            </w:r>
          </w:p>
        </w:tc>
        <w:tc>
          <w:tcPr>
            <w:tcW w:w="854" w:type="pct"/>
            <w:vAlign w:val="center"/>
          </w:tcPr>
          <w:p w14:paraId="1D918559">
            <w:pPr>
              <w:spacing w:line="240" w:lineRule="auto"/>
              <w:jc w:val="center"/>
              <w:rPr>
                <w:rFonts w:hint="eastAsia" w:ascii="仿宋" w:hAnsi="仿宋" w:eastAsia="仿宋" w:cs="仿宋"/>
                <w:b/>
                <w:bCs/>
                <w:color w:val="000000"/>
                <w:sz w:val="22"/>
              </w:rPr>
            </w:pPr>
            <w:r>
              <w:rPr>
                <w:rFonts w:hint="eastAsia" w:ascii="仿宋" w:hAnsi="仿宋" w:eastAsia="仿宋" w:cs="仿宋"/>
                <w:b/>
                <w:bCs/>
                <w:color w:val="000000"/>
                <w:sz w:val="22"/>
              </w:rPr>
              <w:t>单项价格</w:t>
            </w:r>
          </w:p>
          <w:p w14:paraId="63CA0C1A">
            <w:pPr>
              <w:spacing w:line="240" w:lineRule="auto"/>
              <w:jc w:val="center"/>
              <w:rPr>
                <w:rFonts w:hint="eastAsia" w:ascii="仿宋" w:hAnsi="仿宋" w:eastAsia="仿宋" w:cs="仿宋"/>
                <w:b/>
                <w:bCs/>
                <w:color w:val="000000"/>
                <w:sz w:val="22"/>
              </w:rPr>
            </w:pPr>
            <w:r>
              <w:rPr>
                <w:rFonts w:hint="eastAsia" w:ascii="仿宋" w:hAnsi="仿宋" w:eastAsia="仿宋" w:cs="仿宋"/>
                <w:b/>
                <w:bCs/>
                <w:color w:val="000000"/>
                <w:sz w:val="22"/>
              </w:rPr>
              <w:t>（元）</w:t>
            </w:r>
          </w:p>
        </w:tc>
        <w:tc>
          <w:tcPr>
            <w:tcW w:w="840" w:type="pct"/>
            <w:vAlign w:val="center"/>
          </w:tcPr>
          <w:p w14:paraId="576C1F09">
            <w:pPr>
              <w:spacing w:line="240" w:lineRule="auto"/>
              <w:jc w:val="center"/>
              <w:rPr>
                <w:rFonts w:hint="eastAsia" w:ascii="仿宋" w:hAnsi="仿宋" w:eastAsia="仿宋" w:cs="仿宋"/>
                <w:b/>
                <w:bCs/>
                <w:color w:val="000000"/>
                <w:sz w:val="22"/>
                <w:lang w:val="en-US" w:eastAsia="zh-CN"/>
              </w:rPr>
            </w:pPr>
            <w:r>
              <w:rPr>
                <w:rFonts w:hint="eastAsia" w:ascii="仿宋" w:hAnsi="仿宋" w:eastAsia="仿宋" w:cs="仿宋"/>
                <w:b/>
                <w:bCs/>
                <w:color w:val="000000"/>
                <w:sz w:val="22"/>
                <w:lang w:val="en-US" w:eastAsia="zh-CN"/>
              </w:rPr>
              <w:t>单项合计金额（元）</w:t>
            </w:r>
          </w:p>
        </w:tc>
        <w:tc>
          <w:tcPr>
            <w:tcW w:w="516" w:type="pct"/>
            <w:vAlign w:val="center"/>
          </w:tcPr>
          <w:p w14:paraId="6CF93827">
            <w:pPr>
              <w:spacing w:line="240" w:lineRule="auto"/>
              <w:jc w:val="center"/>
              <w:rPr>
                <w:rFonts w:hint="eastAsia" w:ascii="仿宋" w:hAnsi="仿宋" w:eastAsia="仿宋" w:cs="仿宋"/>
                <w:b/>
                <w:bCs/>
                <w:color w:val="000000"/>
                <w:sz w:val="22"/>
              </w:rPr>
            </w:pPr>
            <w:r>
              <w:rPr>
                <w:rFonts w:hint="eastAsia" w:ascii="仿宋" w:hAnsi="仿宋" w:eastAsia="仿宋" w:cs="仿宋"/>
                <w:b/>
                <w:bCs/>
                <w:color w:val="000000"/>
                <w:sz w:val="22"/>
              </w:rPr>
              <w:t>备注</w:t>
            </w:r>
          </w:p>
        </w:tc>
      </w:tr>
      <w:tr w14:paraId="20647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vAlign w:val="center"/>
          </w:tcPr>
          <w:p w14:paraId="20B8038D">
            <w:pPr>
              <w:spacing w:line="480" w:lineRule="auto"/>
              <w:jc w:val="center"/>
              <w:rPr>
                <w:rFonts w:hint="eastAsia" w:ascii="仿宋" w:hAnsi="仿宋" w:eastAsia="仿宋" w:cs="仿宋"/>
                <w:b/>
                <w:bCs/>
                <w:sz w:val="24"/>
                <w:szCs w:val="24"/>
                <w:highlight w:val="none"/>
              </w:rPr>
            </w:pPr>
          </w:p>
        </w:tc>
        <w:tc>
          <w:tcPr>
            <w:tcW w:w="1722" w:type="pct"/>
            <w:vAlign w:val="center"/>
          </w:tcPr>
          <w:p w14:paraId="5D2C3C24">
            <w:pPr>
              <w:spacing w:line="480" w:lineRule="auto"/>
              <w:jc w:val="center"/>
              <w:rPr>
                <w:rFonts w:hint="eastAsia" w:ascii="仿宋" w:hAnsi="仿宋" w:eastAsia="仿宋" w:cs="仿宋"/>
                <w:b/>
                <w:bCs/>
                <w:sz w:val="24"/>
                <w:szCs w:val="24"/>
                <w:highlight w:val="none"/>
              </w:rPr>
            </w:pPr>
          </w:p>
        </w:tc>
        <w:tc>
          <w:tcPr>
            <w:tcW w:w="657" w:type="pct"/>
            <w:vAlign w:val="center"/>
          </w:tcPr>
          <w:p w14:paraId="4B03ED79">
            <w:pPr>
              <w:spacing w:line="480" w:lineRule="auto"/>
              <w:jc w:val="center"/>
              <w:rPr>
                <w:rFonts w:hint="eastAsia" w:ascii="仿宋" w:hAnsi="仿宋" w:eastAsia="仿宋" w:cs="仿宋"/>
                <w:b/>
                <w:bCs/>
                <w:sz w:val="24"/>
                <w:szCs w:val="24"/>
                <w:highlight w:val="none"/>
              </w:rPr>
            </w:pPr>
          </w:p>
        </w:tc>
        <w:tc>
          <w:tcPr>
            <w:tcW w:w="854" w:type="pct"/>
            <w:vAlign w:val="center"/>
          </w:tcPr>
          <w:p w14:paraId="705D370A">
            <w:pPr>
              <w:spacing w:line="480" w:lineRule="auto"/>
              <w:jc w:val="center"/>
              <w:rPr>
                <w:rFonts w:hint="eastAsia" w:ascii="仿宋" w:hAnsi="仿宋" w:eastAsia="仿宋" w:cs="仿宋"/>
                <w:b/>
                <w:bCs/>
                <w:sz w:val="24"/>
                <w:szCs w:val="24"/>
                <w:highlight w:val="none"/>
              </w:rPr>
            </w:pPr>
          </w:p>
        </w:tc>
        <w:tc>
          <w:tcPr>
            <w:tcW w:w="840" w:type="pct"/>
            <w:vAlign w:val="center"/>
          </w:tcPr>
          <w:p w14:paraId="56D6AD3B">
            <w:pPr>
              <w:spacing w:line="480" w:lineRule="auto"/>
              <w:jc w:val="center"/>
              <w:rPr>
                <w:rFonts w:hint="eastAsia" w:ascii="仿宋" w:hAnsi="仿宋" w:eastAsia="仿宋" w:cs="仿宋"/>
                <w:b/>
                <w:bCs/>
                <w:sz w:val="24"/>
                <w:szCs w:val="24"/>
                <w:highlight w:val="none"/>
              </w:rPr>
            </w:pPr>
          </w:p>
        </w:tc>
        <w:tc>
          <w:tcPr>
            <w:tcW w:w="516" w:type="pct"/>
            <w:vAlign w:val="center"/>
          </w:tcPr>
          <w:p w14:paraId="5C303CAB">
            <w:pPr>
              <w:spacing w:line="480" w:lineRule="auto"/>
              <w:jc w:val="center"/>
              <w:rPr>
                <w:rFonts w:hint="eastAsia" w:ascii="仿宋" w:hAnsi="仿宋" w:eastAsia="仿宋" w:cs="仿宋"/>
                <w:b/>
                <w:bCs/>
                <w:sz w:val="24"/>
                <w:szCs w:val="24"/>
                <w:highlight w:val="none"/>
              </w:rPr>
            </w:pPr>
          </w:p>
        </w:tc>
      </w:tr>
      <w:tr w14:paraId="34C4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vAlign w:val="center"/>
          </w:tcPr>
          <w:p w14:paraId="46F33AA2">
            <w:pPr>
              <w:spacing w:line="480" w:lineRule="auto"/>
              <w:jc w:val="center"/>
              <w:rPr>
                <w:rFonts w:hint="eastAsia" w:ascii="仿宋" w:hAnsi="仿宋" w:eastAsia="仿宋" w:cs="仿宋"/>
                <w:b/>
                <w:bCs/>
                <w:sz w:val="24"/>
                <w:szCs w:val="24"/>
                <w:highlight w:val="none"/>
              </w:rPr>
            </w:pPr>
          </w:p>
        </w:tc>
        <w:tc>
          <w:tcPr>
            <w:tcW w:w="1722" w:type="pct"/>
            <w:vAlign w:val="center"/>
          </w:tcPr>
          <w:p w14:paraId="1257D074">
            <w:pPr>
              <w:spacing w:line="480" w:lineRule="auto"/>
              <w:jc w:val="center"/>
              <w:rPr>
                <w:rFonts w:hint="eastAsia" w:ascii="仿宋" w:hAnsi="仿宋" w:eastAsia="仿宋" w:cs="仿宋"/>
                <w:b/>
                <w:bCs/>
                <w:sz w:val="24"/>
                <w:szCs w:val="24"/>
                <w:highlight w:val="none"/>
              </w:rPr>
            </w:pPr>
          </w:p>
        </w:tc>
        <w:tc>
          <w:tcPr>
            <w:tcW w:w="657" w:type="pct"/>
            <w:vAlign w:val="center"/>
          </w:tcPr>
          <w:p w14:paraId="05586990">
            <w:pPr>
              <w:spacing w:line="480" w:lineRule="auto"/>
              <w:jc w:val="center"/>
              <w:rPr>
                <w:rFonts w:hint="eastAsia" w:ascii="仿宋" w:hAnsi="仿宋" w:eastAsia="仿宋" w:cs="仿宋"/>
                <w:b/>
                <w:bCs/>
                <w:sz w:val="24"/>
                <w:szCs w:val="24"/>
                <w:highlight w:val="none"/>
              </w:rPr>
            </w:pPr>
          </w:p>
        </w:tc>
        <w:tc>
          <w:tcPr>
            <w:tcW w:w="854" w:type="pct"/>
            <w:vAlign w:val="center"/>
          </w:tcPr>
          <w:p w14:paraId="379CFA9B">
            <w:pPr>
              <w:spacing w:line="480" w:lineRule="auto"/>
              <w:jc w:val="center"/>
              <w:rPr>
                <w:rFonts w:hint="eastAsia" w:ascii="仿宋" w:hAnsi="仿宋" w:eastAsia="仿宋" w:cs="仿宋"/>
                <w:b/>
                <w:bCs/>
                <w:sz w:val="24"/>
                <w:szCs w:val="24"/>
                <w:highlight w:val="none"/>
              </w:rPr>
            </w:pPr>
          </w:p>
        </w:tc>
        <w:tc>
          <w:tcPr>
            <w:tcW w:w="840" w:type="pct"/>
            <w:vAlign w:val="center"/>
          </w:tcPr>
          <w:p w14:paraId="0A3BAF7C">
            <w:pPr>
              <w:spacing w:line="480" w:lineRule="auto"/>
              <w:jc w:val="center"/>
              <w:rPr>
                <w:rFonts w:hint="eastAsia" w:ascii="仿宋" w:hAnsi="仿宋" w:eastAsia="仿宋" w:cs="仿宋"/>
                <w:b/>
                <w:bCs/>
                <w:sz w:val="24"/>
                <w:szCs w:val="24"/>
                <w:highlight w:val="none"/>
              </w:rPr>
            </w:pPr>
          </w:p>
        </w:tc>
        <w:tc>
          <w:tcPr>
            <w:tcW w:w="516" w:type="pct"/>
            <w:vAlign w:val="center"/>
          </w:tcPr>
          <w:p w14:paraId="633EE5D0">
            <w:pPr>
              <w:spacing w:line="480" w:lineRule="auto"/>
              <w:jc w:val="center"/>
              <w:rPr>
                <w:rFonts w:hint="eastAsia" w:ascii="仿宋" w:hAnsi="仿宋" w:eastAsia="仿宋" w:cs="仿宋"/>
                <w:b/>
                <w:bCs/>
                <w:sz w:val="24"/>
                <w:szCs w:val="24"/>
                <w:highlight w:val="none"/>
              </w:rPr>
            </w:pPr>
          </w:p>
        </w:tc>
      </w:tr>
      <w:tr w14:paraId="44F7E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vAlign w:val="center"/>
          </w:tcPr>
          <w:p w14:paraId="4B6AA3DD">
            <w:pPr>
              <w:spacing w:line="480" w:lineRule="auto"/>
              <w:jc w:val="center"/>
              <w:rPr>
                <w:rFonts w:hint="eastAsia" w:ascii="仿宋" w:hAnsi="仿宋" w:eastAsia="仿宋" w:cs="仿宋"/>
                <w:b/>
                <w:bCs/>
                <w:sz w:val="24"/>
                <w:szCs w:val="24"/>
                <w:highlight w:val="none"/>
              </w:rPr>
            </w:pPr>
          </w:p>
        </w:tc>
        <w:tc>
          <w:tcPr>
            <w:tcW w:w="1722" w:type="pct"/>
            <w:vAlign w:val="center"/>
          </w:tcPr>
          <w:p w14:paraId="1290026F">
            <w:pPr>
              <w:spacing w:line="480" w:lineRule="auto"/>
              <w:jc w:val="center"/>
              <w:rPr>
                <w:rFonts w:hint="eastAsia" w:ascii="仿宋" w:hAnsi="仿宋" w:eastAsia="仿宋" w:cs="仿宋"/>
                <w:b/>
                <w:bCs/>
                <w:sz w:val="24"/>
                <w:szCs w:val="24"/>
                <w:highlight w:val="none"/>
              </w:rPr>
            </w:pPr>
          </w:p>
        </w:tc>
        <w:tc>
          <w:tcPr>
            <w:tcW w:w="657" w:type="pct"/>
            <w:vAlign w:val="center"/>
          </w:tcPr>
          <w:p w14:paraId="4E726673">
            <w:pPr>
              <w:spacing w:line="480" w:lineRule="auto"/>
              <w:jc w:val="center"/>
              <w:rPr>
                <w:rFonts w:hint="eastAsia" w:ascii="仿宋" w:hAnsi="仿宋" w:eastAsia="仿宋" w:cs="仿宋"/>
                <w:b/>
                <w:bCs/>
                <w:sz w:val="24"/>
                <w:szCs w:val="24"/>
                <w:highlight w:val="none"/>
              </w:rPr>
            </w:pPr>
          </w:p>
        </w:tc>
        <w:tc>
          <w:tcPr>
            <w:tcW w:w="854" w:type="pct"/>
            <w:vAlign w:val="center"/>
          </w:tcPr>
          <w:p w14:paraId="597F5E4C">
            <w:pPr>
              <w:spacing w:line="480" w:lineRule="auto"/>
              <w:jc w:val="center"/>
              <w:rPr>
                <w:rFonts w:hint="eastAsia" w:ascii="仿宋" w:hAnsi="仿宋" w:eastAsia="仿宋" w:cs="仿宋"/>
                <w:b/>
                <w:bCs/>
                <w:sz w:val="24"/>
                <w:szCs w:val="24"/>
                <w:highlight w:val="none"/>
              </w:rPr>
            </w:pPr>
          </w:p>
        </w:tc>
        <w:tc>
          <w:tcPr>
            <w:tcW w:w="840" w:type="pct"/>
            <w:vAlign w:val="center"/>
          </w:tcPr>
          <w:p w14:paraId="124AA946">
            <w:pPr>
              <w:spacing w:line="480" w:lineRule="auto"/>
              <w:jc w:val="center"/>
              <w:rPr>
                <w:rFonts w:hint="eastAsia" w:ascii="仿宋" w:hAnsi="仿宋" w:eastAsia="仿宋" w:cs="仿宋"/>
                <w:b/>
                <w:bCs/>
                <w:sz w:val="24"/>
                <w:szCs w:val="24"/>
                <w:highlight w:val="none"/>
              </w:rPr>
            </w:pPr>
          </w:p>
        </w:tc>
        <w:tc>
          <w:tcPr>
            <w:tcW w:w="516" w:type="pct"/>
            <w:vAlign w:val="center"/>
          </w:tcPr>
          <w:p w14:paraId="15AAD197">
            <w:pPr>
              <w:spacing w:line="480" w:lineRule="auto"/>
              <w:jc w:val="center"/>
              <w:rPr>
                <w:rFonts w:hint="eastAsia" w:ascii="仿宋" w:hAnsi="仿宋" w:eastAsia="仿宋" w:cs="仿宋"/>
                <w:b/>
                <w:bCs/>
                <w:sz w:val="24"/>
                <w:szCs w:val="24"/>
                <w:highlight w:val="none"/>
              </w:rPr>
            </w:pPr>
          </w:p>
        </w:tc>
      </w:tr>
      <w:tr w14:paraId="7E8A3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vAlign w:val="center"/>
          </w:tcPr>
          <w:p w14:paraId="594134C3">
            <w:pPr>
              <w:spacing w:line="480" w:lineRule="auto"/>
              <w:jc w:val="center"/>
              <w:rPr>
                <w:rFonts w:hint="eastAsia" w:ascii="仿宋" w:hAnsi="仿宋" w:eastAsia="仿宋" w:cs="仿宋"/>
                <w:b/>
                <w:bCs/>
                <w:sz w:val="24"/>
                <w:szCs w:val="24"/>
                <w:highlight w:val="none"/>
              </w:rPr>
            </w:pPr>
          </w:p>
        </w:tc>
        <w:tc>
          <w:tcPr>
            <w:tcW w:w="1722" w:type="pct"/>
            <w:vAlign w:val="center"/>
          </w:tcPr>
          <w:p w14:paraId="0DC1C7B2">
            <w:pPr>
              <w:spacing w:line="480" w:lineRule="auto"/>
              <w:jc w:val="center"/>
              <w:rPr>
                <w:rFonts w:hint="eastAsia" w:ascii="仿宋" w:hAnsi="仿宋" w:eastAsia="仿宋" w:cs="仿宋"/>
                <w:b/>
                <w:bCs/>
                <w:sz w:val="24"/>
                <w:szCs w:val="24"/>
                <w:highlight w:val="none"/>
              </w:rPr>
            </w:pPr>
          </w:p>
        </w:tc>
        <w:tc>
          <w:tcPr>
            <w:tcW w:w="657" w:type="pct"/>
            <w:vAlign w:val="center"/>
          </w:tcPr>
          <w:p w14:paraId="10308E94">
            <w:pPr>
              <w:spacing w:line="480" w:lineRule="auto"/>
              <w:jc w:val="center"/>
              <w:rPr>
                <w:rFonts w:hint="eastAsia" w:ascii="仿宋" w:hAnsi="仿宋" w:eastAsia="仿宋" w:cs="仿宋"/>
                <w:b/>
                <w:bCs/>
                <w:sz w:val="24"/>
                <w:szCs w:val="24"/>
                <w:highlight w:val="none"/>
              </w:rPr>
            </w:pPr>
          </w:p>
        </w:tc>
        <w:tc>
          <w:tcPr>
            <w:tcW w:w="854" w:type="pct"/>
            <w:vAlign w:val="center"/>
          </w:tcPr>
          <w:p w14:paraId="6FCEE0FD">
            <w:pPr>
              <w:spacing w:line="480" w:lineRule="auto"/>
              <w:jc w:val="center"/>
              <w:rPr>
                <w:rFonts w:hint="eastAsia" w:ascii="仿宋" w:hAnsi="仿宋" w:eastAsia="仿宋" w:cs="仿宋"/>
                <w:b/>
                <w:bCs/>
                <w:sz w:val="24"/>
                <w:szCs w:val="24"/>
                <w:highlight w:val="none"/>
              </w:rPr>
            </w:pPr>
          </w:p>
        </w:tc>
        <w:tc>
          <w:tcPr>
            <w:tcW w:w="840" w:type="pct"/>
            <w:vAlign w:val="center"/>
          </w:tcPr>
          <w:p w14:paraId="2B97C6B6">
            <w:pPr>
              <w:spacing w:line="480" w:lineRule="auto"/>
              <w:jc w:val="center"/>
              <w:rPr>
                <w:rFonts w:hint="eastAsia" w:ascii="仿宋" w:hAnsi="仿宋" w:eastAsia="仿宋" w:cs="仿宋"/>
                <w:b/>
                <w:bCs/>
                <w:sz w:val="24"/>
                <w:szCs w:val="24"/>
                <w:highlight w:val="none"/>
              </w:rPr>
            </w:pPr>
          </w:p>
        </w:tc>
        <w:tc>
          <w:tcPr>
            <w:tcW w:w="516" w:type="pct"/>
            <w:vAlign w:val="center"/>
          </w:tcPr>
          <w:p w14:paraId="72CA6768">
            <w:pPr>
              <w:spacing w:line="480" w:lineRule="auto"/>
              <w:jc w:val="center"/>
              <w:rPr>
                <w:rFonts w:hint="eastAsia" w:ascii="仿宋" w:hAnsi="仿宋" w:eastAsia="仿宋" w:cs="仿宋"/>
                <w:b/>
                <w:bCs/>
                <w:sz w:val="24"/>
                <w:szCs w:val="24"/>
                <w:highlight w:val="none"/>
              </w:rPr>
            </w:pPr>
          </w:p>
        </w:tc>
      </w:tr>
      <w:tr w14:paraId="301E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vAlign w:val="center"/>
          </w:tcPr>
          <w:p w14:paraId="68CAFE71">
            <w:pPr>
              <w:spacing w:line="480" w:lineRule="auto"/>
              <w:jc w:val="center"/>
              <w:rPr>
                <w:rFonts w:hint="eastAsia" w:ascii="仿宋" w:hAnsi="仿宋" w:eastAsia="仿宋" w:cs="仿宋"/>
                <w:b/>
                <w:bCs/>
                <w:sz w:val="24"/>
                <w:szCs w:val="24"/>
                <w:highlight w:val="none"/>
              </w:rPr>
            </w:pPr>
          </w:p>
        </w:tc>
        <w:tc>
          <w:tcPr>
            <w:tcW w:w="1722" w:type="pct"/>
            <w:vAlign w:val="center"/>
          </w:tcPr>
          <w:p w14:paraId="32F2420F">
            <w:pPr>
              <w:spacing w:line="480" w:lineRule="auto"/>
              <w:jc w:val="center"/>
              <w:rPr>
                <w:rFonts w:hint="eastAsia" w:ascii="仿宋" w:hAnsi="仿宋" w:eastAsia="仿宋" w:cs="仿宋"/>
                <w:b/>
                <w:bCs/>
                <w:sz w:val="24"/>
                <w:szCs w:val="24"/>
                <w:highlight w:val="none"/>
              </w:rPr>
            </w:pPr>
          </w:p>
        </w:tc>
        <w:tc>
          <w:tcPr>
            <w:tcW w:w="657" w:type="pct"/>
            <w:vAlign w:val="center"/>
          </w:tcPr>
          <w:p w14:paraId="7BA0FF92">
            <w:pPr>
              <w:spacing w:line="480" w:lineRule="auto"/>
              <w:jc w:val="center"/>
              <w:rPr>
                <w:rFonts w:hint="eastAsia" w:ascii="仿宋" w:hAnsi="仿宋" w:eastAsia="仿宋" w:cs="仿宋"/>
                <w:b/>
                <w:bCs/>
                <w:sz w:val="24"/>
                <w:szCs w:val="24"/>
                <w:highlight w:val="none"/>
              </w:rPr>
            </w:pPr>
          </w:p>
        </w:tc>
        <w:tc>
          <w:tcPr>
            <w:tcW w:w="854" w:type="pct"/>
            <w:vAlign w:val="center"/>
          </w:tcPr>
          <w:p w14:paraId="6A1BA4C7">
            <w:pPr>
              <w:spacing w:line="480" w:lineRule="auto"/>
              <w:jc w:val="center"/>
              <w:rPr>
                <w:rFonts w:hint="eastAsia" w:ascii="仿宋" w:hAnsi="仿宋" w:eastAsia="仿宋" w:cs="仿宋"/>
                <w:b/>
                <w:bCs/>
                <w:sz w:val="24"/>
                <w:szCs w:val="24"/>
                <w:highlight w:val="none"/>
              </w:rPr>
            </w:pPr>
          </w:p>
        </w:tc>
        <w:tc>
          <w:tcPr>
            <w:tcW w:w="840" w:type="pct"/>
            <w:vAlign w:val="center"/>
          </w:tcPr>
          <w:p w14:paraId="1439291A">
            <w:pPr>
              <w:spacing w:line="480" w:lineRule="auto"/>
              <w:jc w:val="center"/>
              <w:rPr>
                <w:rFonts w:hint="eastAsia" w:ascii="仿宋" w:hAnsi="仿宋" w:eastAsia="仿宋" w:cs="仿宋"/>
                <w:b/>
                <w:bCs/>
                <w:sz w:val="24"/>
                <w:szCs w:val="24"/>
                <w:highlight w:val="none"/>
              </w:rPr>
            </w:pPr>
          </w:p>
        </w:tc>
        <w:tc>
          <w:tcPr>
            <w:tcW w:w="516" w:type="pct"/>
            <w:vAlign w:val="center"/>
          </w:tcPr>
          <w:p w14:paraId="3E4A6518">
            <w:pPr>
              <w:spacing w:line="480" w:lineRule="auto"/>
              <w:jc w:val="center"/>
              <w:rPr>
                <w:rFonts w:hint="eastAsia" w:ascii="仿宋" w:hAnsi="仿宋" w:eastAsia="仿宋" w:cs="仿宋"/>
                <w:b/>
                <w:bCs/>
                <w:sz w:val="24"/>
                <w:szCs w:val="24"/>
                <w:highlight w:val="none"/>
              </w:rPr>
            </w:pPr>
          </w:p>
        </w:tc>
      </w:tr>
      <w:tr w14:paraId="6B58B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vAlign w:val="center"/>
          </w:tcPr>
          <w:p w14:paraId="0355D616">
            <w:pPr>
              <w:spacing w:line="480" w:lineRule="auto"/>
              <w:jc w:val="both"/>
              <w:rPr>
                <w:rFonts w:hint="eastAsia" w:ascii="仿宋" w:hAnsi="仿宋" w:eastAsia="仿宋" w:cs="仿宋"/>
                <w:b/>
                <w:bCs/>
                <w:sz w:val="22"/>
                <w:szCs w:val="22"/>
                <w:highlight w:val="none"/>
                <w:lang w:val="en-US" w:eastAsia="zh-CN"/>
              </w:rPr>
            </w:pPr>
            <w:r>
              <w:rPr>
                <w:rFonts w:hint="eastAsia" w:ascii="仿宋" w:hAnsi="仿宋" w:eastAsia="仿宋" w:cs="仿宋"/>
                <w:b/>
                <w:bCs/>
                <w:sz w:val="22"/>
                <w:szCs w:val="22"/>
                <w:highlight w:val="none"/>
              </w:rPr>
              <w:t>报价合计</w:t>
            </w:r>
            <w:r>
              <w:rPr>
                <w:rFonts w:hint="eastAsia" w:ascii="仿宋" w:hAnsi="仿宋" w:eastAsia="仿宋" w:cs="仿宋"/>
                <w:b/>
                <w:bCs/>
                <w:sz w:val="22"/>
                <w:szCs w:val="22"/>
                <w:highlight w:val="none"/>
                <w:lang w:eastAsia="zh-CN"/>
              </w:rPr>
              <w:t>：</w:t>
            </w:r>
            <w:r>
              <w:rPr>
                <w:rFonts w:hint="eastAsia" w:ascii="仿宋" w:hAnsi="仿宋" w:eastAsia="仿宋" w:cs="仿宋"/>
                <w:b/>
                <w:bCs/>
                <w:sz w:val="22"/>
                <w:szCs w:val="22"/>
                <w:highlight w:val="none"/>
                <w:u w:val="single"/>
                <w:lang w:val="en-US" w:eastAsia="zh-CN"/>
              </w:rPr>
              <w:t xml:space="preserve">               </w:t>
            </w:r>
          </w:p>
        </w:tc>
      </w:tr>
    </w:tbl>
    <w:p w14:paraId="6AACC11A">
      <w:pPr>
        <w:keepNext w:val="0"/>
        <w:keepLines w:val="0"/>
        <w:pageBreakBefore w:val="0"/>
        <w:widowControl/>
        <w:kinsoku/>
        <w:wordWrap/>
        <w:overflowPunct/>
        <w:topLinePunct w:val="0"/>
        <w:autoSpaceDE/>
        <w:autoSpaceDN/>
        <w:bidi w:val="0"/>
        <w:adjustRightInd/>
        <w:snapToGrid/>
        <w:spacing w:line="360" w:lineRule="atLeast"/>
        <w:jc w:val="left"/>
        <w:textAlignment w:val="auto"/>
        <w:outlineLvl w:val="9"/>
        <w:rPr>
          <w:rFonts w:hint="eastAsia" w:ascii="仿宋" w:hAnsi="仿宋" w:eastAsia="仿宋" w:cs="仿宋"/>
          <w:sz w:val="24"/>
          <w:highlight w:val="none"/>
        </w:rPr>
      </w:pPr>
    </w:p>
    <w:p w14:paraId="7042E6DF">
      <w:pPr>
        <w:keepNext w:val="0"/>
        <w:keepLines w:val="0"/>
        <w:pageBreakBefore w:val="0"/>
        <w:widowControl/>
        <w:kinsoku/>
        <w:wordWrap/>
        <w:overflowPunct/>
        <w:topLinePunct w:val="0"/>
        <w:autoSpaceDE/>
        <w:autoSpaceDN/>
        <w:bidi w:val="0"/>
        <w:adjustRightInd/>
        <w:snapToGrid/>
        <w:spacing w:line="360" w:lineRule="atLeast"/>
        <w:ind w:firstLine="413" w:firstLineChars="196"/>
        <w:jc w:val="left"/>
        <w:textAlignment w:val="auto"/>
        <w:outlineLvl w:val="9"/>
        <w:rPr>
          <w:rFonts w:hint="eastAsia" w:ascii="仿宋" w:hAnsi="仿宋" w:eastAsia="仿宋" w:cs="仿宋"/>
          <w:b/>
          <w:bCs/>
          <w:kern w:val="2"/>
          <w:sz w:val="21"/>
          <w:szCs w:val="22"/>
          <w:lang w:val="en-US" w:eastAsia="zh-CN" w:bidi="ar-SA"/>
        </w:rPr>
      </w:pPr>
      <w:r>
        <w:rPr>
          <w:rFonts w:hint="eastAsia" w:ascii="仿宋" w:hAnsi="仿宋" w:eastAsia="仿宋" w:cs="仿宋"/>
          <w:b/>
          <w:bCs/>
          <w:kern w:val="2"/>
          <w:sz w:val="21"/>
          <w:szCs w:val="22"/>
          <w:lang w:val="en-US" w:eastAsia="zh-CN" w:bidi="ar-SA"/>
        </w:rPr>
        <w:t>注：1.供应商应按“报价明细表”详细报出响应总价的各个组成部分的报价。</w:t>
      </w:r>
    </w:p>
    <w:p w14:paraId="17D55F57">
      <w:pPr>
        <w:keepNext w:val="0"/>
        <w:keepLines w:val="0"/>
        <w:pageBreakBefore w:val="0"/>
        <w:widowControl/>
        <w:kinsoku/>
        <w:wordWrap/>
        <w:overflowPunct/>
        <w:topLinePunct w:val="0"/>
        <w:autoSpaceDE/>
        <w:autoSpaceDN/>
        <w:bidi w:val="0"/>
        <w:adjustRightInd/>
        <w:snapToGrid/>
        <w:spacing w:line="360" w:lineRule="atLeast"/>
        <w:ind w:firstLine="413" w:firstLineChars="196"/>
        <w:jc w:val="left"/>
        <w:textAlignment w:val="auto"/>
        <w:outlineLvl w:val="9"/>
        <w:rPr>
          <w:rFonts w:hint="eastAsia" w:ascii="仿宋" w:hAnsi="仿宋" w:eastAsia="仿宋" w:cs="仿宋"/>
          <w:b/>
          <w:bCs/>
          <w:kern w:val="2"/>
          <w:sz w:val="21"/>
          <w:szCs w:val="22"/>
          <w:lang w:val="en-US" w:eastAsia="zh-CN" w:bidi="ar-SA"/>
        </w:rPr>
      </w:pPr>
      <w:r>
        <w:rPr>
          <w:rFonts w:hint="eastAsia" w:ascii="仿宋" w:hAnsi="仿宋" w:eastAsia="仿宋" w:cs="仿宋"/>
          <w:b/>
          <w:bCs/>
          <w:kern w:val="2"/>
          <w:sz w:val="21"/>
          <w:szCs w:val="22"/>
          <w:lang w:val="en-US" w:eastAsia="zh-CN" w:bidi="ar-SA"/>
        </w:rPr>
        <w:t xml:space="preserve">    2.“报价明细表”报价合计应当与“报价表”响应报价合计相等。</w:t>
      </w:r>
    </w:p>
    <w:p w14:paraId="35474C43">
      <w:pPr>
        <w:keepNext w:val="0"/>
        <w:keepLines w:val="0"/>
        <w:pageBreakBefore w:val="0"/>
        <w:widowControl/>
        <w:kinsoku/>
        <w:wordWrap/>
        <w:overflowPunct/>
        <w:topLinePunct w:val="0"/>
        <w:autoSpaceDE/>
        <w:autoSpaceDN/>
        <w:bidi w:val="0"/>
        <w:adjustRightInd/>
        <w:snapToGrid/>
        <w:spacing w:line="360" w:lineRule="atLeast"/>
        <w:ind w:firstLine="835" w:firstLineChars="396"/>
        <w:jc w:val="left"/>
        <w:textAlignment w:val="auto"/>
        <w:outlineLvl w:val="9"/>
        <w:rPr>
          <w:rFonts w:hint="eastAsia" w:ascii="仿宋" w:hAnsi="仿宋" w:eastAsia="仿宋" w:cs="仿宋"/>
          <w:b/>
          <w:bCs/>
          <w:kern w:val="2"/>
          <w:sz w:val="21"/>
          <w:szCs w:val="22"/>
          <w:lang w:val="en-US" w:eastAsia="zh-CN" w:bidi="ar-SA"/>
        </w:rPr>
      </w:pPr>
      <w:r>
        <w:rPr>
          <w:rFonts w:hint="eastAsia" w:ascii="仿宋" w:hAnsi="仿宋" w:eastAsia="仿宋" w:cs="仿宋"/>
          <w:b/>
          <w:bCs/>
          <w:kern w:val="2"/>
          <w:sz w:val="21"/>
          <w:szCs w:val="22"/>
          <w:lang w:val="en-US" w:eastAsia="zh-CN" w:bidi="ar-SA"/>
        </w:rPr>
        <w:t>3.本项目均不做分项限高价，由供应商自行做分项报价价格响应。</w:t>
      </w:r>
    </w:p>
    <w:p w14:paraId="369C9591">
      <w:pPr>
        <w:keepNext w:val="0"/>
        <w:keepLines w:val="0"/>
        <w:pageBreakBefore w:val="0"/>
        <w:widowControl/>
        <w:kinsoku/>
        <w:wordWrap/>
        <w:overflowPunct/>
        <w:topLinePunct w:val="0"/>
        <w:autoSpaceDE/>
        <w:autoSpaceDN/>
        <w:bidi w:val="0"/>
        <w:adjustRightInd/>
        <w:snapToGrid/>
        <w:spacing w:line="360" w:lineRule="atLeast"/>
        <w:ind w:firstLine="413" w:firstLineChars="196"/>
        <w:jc w:val="left"/>
        <w:textAlignment w:val="auto"/>
        <w:outlineLvl w:val="9"/>
        <w:rPr>
          <w:rFonts w:hint="eastAsia" w:ascii="仿宋" w:hAnsi="仿宋" w:eastAsia="仿宋" w:cs="仿宋"/>
          <w:b/>
          <w:bCs/>
          <w:kern w:val="2"/>
          <w:sz w:val="21"/>
          <w:szCs w:val="22"/>
          <w:lang w:val="en-US" w:eastAsia="zh-CN" w:bidi="ar-SA"/>
        </w:rPr>
      </w:pPr>
    </w:p>
    <w:p w14:paraId="384F372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0D7F0502">
      <w:pPr>
        <w:pStyle w:val="7"/>
        <w:rPr>
          <w:rFonts w:ascii="Times New Roman" w:hAnsi="Times New Roman" w:eastAsia="仿宋" w:cs="Times New Roman"/>
          <w:szCs w:val="21"/>
          <w:lang w:val="zh-TW" w:eastAsia="zh-TW"/>
        </w:rPr>
      </w:pPr>
    </w:p>
    <w:p w14:paraId="4A49BF1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1C41F18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6C982863">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6911A010">
      <w:pPr>
        <w:pStyle w:val="3"/>
        <w:numPr>
          <w:ilvl w:val="0"/>
          <w:numId w:val="0"/>
        </w:numPr>
        <w:ind w:leftChars="0"/>
        <w:jc w:val="center"/>
        <w:rPr>
          <w:rFonts w:hint="eastAsia"/>
          <w:lang w:val="en-US" w:eastAsia="zh-CN"/>
        </w:rPr>
        <w:sectPr>
          <w:pgSz w:w="11906" w:h="16838"/>
          <w:pgMar w:top="1134" w:right="851" w:bottom="1134" w:left="851" w:header="850" w:footer="567" w:gutter="0"/>
          <w:pgNumType w:fmt="decimal"/>
          <w:cols w:space="425" w:num="1"/>
          <w:docGrid w:linePitch="312" w:charSpace="0"/>
        </w:sectPr>
      </w:pPr>
    </w:p>
    <w:p w14:paraId="515E49B0">
      <w:pPr>
        <w:rPr>
          <w:rFonts w:ascii="Times New Roman" w:hAnsi="Times New Roman" w:eastAsia="仿宋" w:cs="Times New Roman"/>
          <w:sz w:val="24"/>
          <w:szCs w:val="24"/>
          <w:u w:val="single"/>
        </w:rPr>
      </w:pPr>
    </w:p>
    <w:p w14:paraId="5189AD1E">
      <w:pPr>
        <w:pStyle w:val="3"/>
        <w:numPr>
          <w:ilvl w:val="0"/>
          <w:numId w:val="0"/>
        </w:numPr>
        <w:jc w:val="center"/>
      </w:pPr>
      <w:r>
        <w:rPr>
          <w:rFonts w:hint="eastAsia"/>
          <w:lang w:val="en-US" w:eastAsia="zh-CN"/>
        </w:rPr>
        <w:t>九、</w:t>
      </w: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6" w:name="_Toc10625"/>
      <w:r>
        <w:rPr>
          <w:rFonts w:ascii="Times New Roman" w:hAnsi="Times New Roman" w:cs="Times New Roman"/>
        </w:rPr>
        <w:t>合同条款（仅成交后使用）</w:t>
      </w:r>
      <w:bookmarkEnd w:id="94"/>
      <w:bookmarkEnd w:id="95"/>
      <w:bookmarkEnd w:id="96"/>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054E2568">
      <w:pPr>
        <w:pStyle w:val="42"/>
        <w:rPr>
          <w:sz w:val="24"/>
        </w:rPr>
        <w:sectPr>
          <w:headerReference r:id="rId6" w:type="default"/>
          <w:footerReference r:id="rId7" w:type="default"/>
          <w:footerReference r:id="rId8" w:type="even"/>
          <w:pgSz w:w="11906" w:h="16838"/>
          <w:pgMar w:top="1134" w:right="1134" w:bottom="1134" w:left="1134" w:header="850" w:footer="567" w:gutter="0"/>
          <w:cols w:space="425" w:num="1"/>
          <w:docGrid w:linePitch="312" w:charSpace="0"/>
        </w:sectPr>
      </w:pPr>
      <w:r>
        <w:rPr>
          <w:sz w:val="48"/>
          <w:szCs w:val="48"/>
        </w:rPr>
        <w:t>设备维保服务合同</w:t>
      </w:r>
    </w:p>
    <w:p w14:paraId="16E25E88">
      <w:pPr>
        <w:numPr>
          <w:ilvl w:val="0"/>
          <w:numId w:val="0"/>
        </w:numPr>
        <w:spacing w:line="240" w:lineRule="auto"/>
        <w:jc w:val="both"/>
        <w:outlineLvl w:val="9"/>
        <w:rPr>
          <w:rFonts w:ascii="Times New Roman" w:hAnsi="Times New Roman" w:eastAsia="宋体"/>
          <w:sz w:val="21"/>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5E9DC41B">
        <w:tblPrEx>
          <w:tblCellMar>
            <w:top w:w="0" w:type="dxa"/>
            <w:left w:w="0" w:type="dxa"/>
            <w:bottom w:w="0" w:type="dxa"/>
            <w:right w:w="0" w:type="dxa"/>
          </w:tblCellMar>
        </w:tblPrEx>
        <w:trPr>
          <w:trHeight w:val="767" w:hRule="atLeast"/>
          <w:jc w:val="center"/>
        </w:trPr>
        <w:tc>
          <w:tcPr>
            <w:tcW w:w="10204" w:type="dxa"/>
            <w:gridSpan w:val="2"/>
          </w:tcPr>
          <w:p w14:paraId="44D85B52">
            <w:pPr>
              <w:contextualSpacing/>
              <w:rPr>
                <w:color w:val="000000"/>
                <w:szCs w:val="21"/>
              </w:rPr>
            </w:pPr>
            <w:r>
              <w:rPr>
                <w:b/>
                <w:bCs/>
                <w:color w:val="000000"/>
                <w:szCs w:val="21"/>
              </w:rPr>
              <w:t>合同编号</w:t>
            </w:r>
            <w:r>
              <w:rPr>
                <w:color w:val="000000"/>
                <w:szCs w:val="21"/>
              </w:rPr>
              <w:t>：CGZX-***</w:t>
            </w:r>
          </w:p>
          <w:p w14:paraId="3B344091">
            <w:pPr>
              <w:contextualSpacing/>
              <w:rPr>
                <w:color w:val="000000"/>
                <w:szCs w:val="21"/>
              </w:rPr>
            </w:pPr>
            <w:r>
              <w:rPr>
                <w:b/>
                <w:bCs/>
                <w:color w:val="000000"/>
                <w:szCs w:val="21"/>
              </w:rPr>
              <w:t>签订地点</w:t>
            </w:r>
            <w:r>
              <w:rPr>
                <w:color w:val="000000"/>
                <w:szCs w:val="21"/>
              </w:rPr>
              <w:t>：四川省人民医院</w:t>
            </w:r>
          </w:p>
        </w:tc>
      </w:tr>
      <w:tr w14:paraId="27A90D16">
        <w:tblPrEx>
          <w:tblCellMar>
            <w:top w:w="0" w:type="dxa"/>
            <w:left w:w="0" w:type="dxa"/>
            <w:bottom w:w="0" w:type="dxa"/>
            <w:right w:w="0" w:type="dxa"/>
          </w:tblCellMar>
        </w:tblPrEx>
        <w:trPr>
          <w:jc w:val="center"/>
        </w:trPr>
        <w:tc>
          <w:tcPr>
            <w:tcW w:w="4962" w:type="dxa"/>
          </w:tcPr>
          <w:p w14:paraId="657919F2">
            <w:pPr>
              <w:rPr>
                <w:szCs w:val="21"/>
              </w:rPr>
            </w:pPr>
            <w:r>
              <w:rPr>
                <w:b/>
                <w:bCs/>
                <w:szCs w:val="21"/>
              </w:rPr>
              <w:t>采购人（以下简称甲方）</w:t>
            </w:r>
            <w:r>
              <w:rPr>
                <w:szCs w:val="21"/>
              </w:rPr>
              <w:t>：四川省人民医院</w:t>
            </w:r>
          </w:p>
          <w:p w14:paraId="71E54675">
            <w:pPr>
              <w:rPr>
                <w:szCs w:val="21"/>
              </w:rPr>
            </w:pPr>
            <w:r>
              <w:rPr>
                <w:b/>
                <w:bCs/>
                <w:szCs w:val="21"/>
              </w:rPr>
              <w:t>地址</w:t>
            </w:r>
            <w:r>
              <w:rPr>
                <w:szCs w:val="21"/>
              </w:rPr>
              <w:t>：四川省成都市一环路西二段32号</w:t>
            </w:r>
          </w:p>
          <w:p w14:paraId="422AE604">
            <w:r>
              <w:rPr>
                <w:b/>
                <w:bCs/>
              </w:rPr>
              <w:t>项目联系人</w:t>
            </w:r>
            <w:r>
              <w:t xml:space="preserve">：*** </w:t>
            </w:r>
            <w:r>
              <w:rPr>
                <w:b/>
                <w:bCs/>
              </w:rPr>
              <w:t>电话</w:t>
            </w:r>
            <w:r>
              <w:t>：***</w:t>
            </w:r>
          </w:p>
          <w:p w14:paraId="03CCE5C7">
            <w:r>
              <w:rPr>
                <w:rFonts w:hint="eastAsia"/>
                <w:b/>
                <w:bCs/>
              </w:rPr>
              <w:t>电子邮件：</w:t>
            </w:r>
            <w:r>
              <w:rPr>
                <w:rFonts w:hint="eastAsia"/>
              </w:rPr>
              <w:t>*</w:t>
            </w:r>
            <w:r>
              <w:t>**</w:t>
            </w:r>
          </w:p>
        </w:tc>
        <w:tc>
          <w:tcPr>
            <w:tcW w:w="5242" w:type="dxa"/>
          </w:tcPr>
          <w:p w14:paraId="6697ACBA">
            <w:pPr>
              <w:rPr>
                <w:szCs w:val="21"/>
              </w:rPr>
            </w:pPr>
            <w:r>
              <w:rPr>
                <w:b/>
                <w:bCs/>
                <w:szCs w:val="21"/>
              </w:rPr>
              <w:t>供应商（以下简称乙方）</w:t>
            </w:r>
            <w:r>
              <w:rPr>
                <w:szCs w:val="21"/>
              </w:rPr>
              <w:t>：***</w:t>
            </w:r>
          </w:p>
          <w:p w14:paraId="63CA4691">
            <w:pPr>
              <w:rPr>
                <w:szCs w:val="21"/>
              </w:rPr>
            </w:pPr>
            <w:r>
              <w:rPr>
                <w:b/>
                <w:bCs/>
                <w:szCs w:val="21"/>
              </w:rPr>
              <w:t>地址</w:t>
            </w:r>
            <w:r>
              <w:rPr>
                <w:szCs w:val="21"/>
              </w:rPr>
              <w:t>：***</w:t>
            </w:r>
          </w:p>
          <w:p w14:paraId="62021133">
            <w:pPr>
              <w:rPr>
                <w:szCs w:val="21"/>
              </w:rPr>
            </w:pPr>
            <w:r>
              <w:rPr>
                <w:b/>
                <w:bCs/>
                <w:szCs w:val="21"/>
              </w:rPr>
              <w:t>移动电话</w:t>
            </w:r>
            <w:r>
              <w:rPr>
                <w:szCs w:val="21"/>
              </w:rPr>
              <w:t>：***</w:t>
            </w:r>
          </w:p>
          <w:p w14:paraId="5C64222C">
            <w:pPr>
              <w:contextualSpacing/>
              <w:rPr>
                <w:szCs w:val="21"/>
              </w:rPr>
            </w:pPr>
            <w:r>
              <w:rPr>
                <w:b/>
                <w:bCs/>
                <w:szCs w:val="21"/>
              </w:rPr>
              <w:t>联系人</w:t>
            </w:r>
            <w:r>
              <w:rPr>
                <w:szCs w:val="21"/>
              </w:rPr>
              <w:t>：***</w:t>
            </w:r>
          </w:p>
          <w:p w14:paraId="045ABA48">
            <w:r>
              <w:rPr>
                <w:rFonts w:hint="eastAsia"/>
                <w:b/>
                <w:bCs/>
              </w:rPr>
              <w:t>电子邮件：</w:t>
            </w:r>
            <w:r>
              <w:rPr>
                <w:rFonts w:hint="eastAsia"/>
              </w:rPr>
              <w:t>*</w:t>
            </w:r>
            <w:r>
              <w:t>**</w:t>
            </w:r>
          </w:p>
        </w:tc>
      </w:tr>
    </w:tbl>
    <w:p w14:paraId="40FB5E49">
      <w:pPr>
        <w:ind w:firstLine="420" w:firstLineChars="200"/>
        <w:contextualSpacing/>
        <w:jc w:val="left"/>
        <w:rPr>
          <w:color w:val="000000"/>
          <w:szCs w:val="21"/>
        </w:rPr>
      </w:pPr>
    </w:p>
    <w:p w14:paraId="587E9AF1">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38E3EB7D">
      <w:pPr>
        <w:contextualSpacing/>
        <w:jc w:val="left"/>
        <w:rPr>
          <w:b/>
          <w:szCs w:val="21"/>
        </w:rPr>
      </w:pPr>
    </w:p>
    <w:p w14:paraId="1ACDEF75">
      <w:pPr>
        <w:pStyle w:val="29"/>
        <w:numPr>
          <w:ilvl w:val="0"/>
          <w:numId w:val="15"/>
        </w:numPr>
        <w:ind w:left="0" w:firstLine="0" w:firstLineChars="0"/>
        <w:contextualSpacing/>
        <w:jc w:val="left"/>
        <w:rPr>
          <w:b/>
          <w:szCs w:val="21"/>
        </w:rPr>
      </w:pPr>
      <w:r>
        <w:rPr>
          <w:b/>
          <w:szCs w:val="21"/>
        </w:rPr>
        <w:t>合同标的</w:t>
      </w:r>
    </w:p>
    <w:p w14:paraId="69681532">
      <w:pPr>
        <w:pStyle w:val="9"/>
        <w:numPr>
          <w:ilvl w:val="0"/>
          <w:numId w:val="16"/>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0B0F3E0">
      <w:pPr>
        <w:pStyle w:val="9"/>
        <w:numPr>
          <w:ilvl w:val="0"/>
          <w:numId w:val="16"/>
        </w:numPr>
        <w:spacing w:after="0" w:line="240" w:lineRule="auto"/>
        <w:ind w:left="210" w:leftChars="0" w:hanging="210" w:hangingChars="100"/>
        <w:contextualSpacing/>
        <w:jc w:val="left"/>
        <w:rPr>
          <w:szCs w:val="21"/>
        </w:rPr>
      </w:pPr>
      <w:r>
        <w:rPr>
          <w:szCs w:val="21"/>
        </w:rPr>
        <w:t>维保服务涉及的</w:t>
      </w:r>
      <w:r>
        <w:rPr>
          <w:rFonts w:hint="eastAsia"/>
          <w:szCs w:val="21"/>
        </w:rPr>
        <w:t>分项明细</w:t>
      </w:r>
      <w:r>
        <w:rPr>
          <w:szCs w:val="21"/>
        </w:rPr>
        <w:t>（如设备为医疗器械，则以下表格中填写的相关内容均须与医疗器械注册证或备案证信息保持一致）。</w:t>
      </w:r>
      <w:r>
        <w:rPr>
          <w:rFonts w:hint="eastAsia"/>
          <w:i/>
          <w:iCs/>
          <w:color w:val="000000"/>
          <w:szCs w:val="21"/>
          <w:highlight w:val="yellow"/>
          <w:lang w:val="zh-CN"/>
        </w:rPr>
        <w:t>&lt;根据项目实际情况调整&gt;</w:t>
      </w:r>
    </w:p>
    <w:tbl>
      <w:tblPr>
        <w:tblStyle w:val="18"/>
        <w:tblW w:w="5000" w:type="pct"/>
        <w:jc w:val="center"/>
        <w:tblLayout w:type="fixed"/>
        <w:tblCellMar>
          <w:top w:w="0" w:type="dxa"/>
          <w:left w:w="0" w:type="dxa"/>
          <w:bottom w:w="0" w:type="dxa"/>
          <w:right w:w="0" w:type="dxa"/>
        </w:tblCellMar>
      </w:tblPr>
      <w:tblGrid>
        <w:gridCol w:w="421"/>
        <w:gridCol w:w="1846"/>
        <w:gridCol w:w="1850"/>
        <w:gridCol w:w="1423"/>
        <w:gridCol w:w="1423"/>
        <w:gridCol w:w="1137"/>
        <w:gridCol w:w="1554"/>
      </w:tblGrid>
      <w:tr w14:paraId="3AD4BC8E">
        <w:tblPrEx>
          <w:tblCellMar>
            <w:top w:w="0" w:type="dxa"/>
            <w:left w:w="0" w:type="dxa"/>
            <w:bottom w:w="0" w:type="dxa"/>
            <w:right w:w="0" w:type="dxa"/>
          </w:tblCellMar>
        </w:tblPrEx>
        <w:trPr>
          <w:cantSplit/>
          <w:trHeight w:val="495"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00E44D1A">
            <w:pPr>
              <w:autoSpaceDE w:val="0"/>
              <w:autoSpaceDN w:val="0"/>
              <w:adjustRightInd w:val="0"/>
              <w:contextualSpacing/>
              <w:jc w:val="center"/>
              <w:rPr>
                <w:b/>
                <w:bCs/>
                <w:sz w:val="18"/>
                <w:szCs w:val="18"/>
              </w:rPr>
            </w:pPr>
            <w:permStart w:id="2" w:edGrp="everyone"/>
            <w:r>
              <w:rPr>
                <w:b/>
                <w:bCs/>
                <w:sz w:val="18"/>
                <w:szCs w:val="18"/>
              </w:rPr>
              <w:t>序号</w:t>
            </w:r>
          </w:p>
        </w:tc>
        <w:tc>
          <w:tcPr>
            <w:tcW w:w="956" w:type="pct"/>
            <w:tcBorders>
              <w:top w:val="single" w:color="auto" w:sz="6" w:space="0"/>
              <w:left w:val="single" w:color="auto" w:sz="6" w:space="0"/>
              <w:bottom w:val="single" w:color="auto" w:sz="6" w:space="0"/>
              <w:right w:val="single" w:color="auto" w:sz="4" w:space="0"/>
            </w:tcBorders>
            <w:vAlign w:val="center"/>
          </w:tcPr>
          <w:p w14:paraId="516E82A3">
            <w:pPr>
              <w:autoSpaceDE w:val="0"/>
              <w:autoSpaceDN w:val="0"/>
              <w:adjustRightInd w:val="0"/>
              <w:contextualSpacing/>
              <w:jc w:val="center"/>
              <w:rPr>
                <w:b/>
                <w:bCs/>
                <w:sz w:val="18"/>
                <w:szCs w:val="18"/>
              </w:rPr>
            </w:pPr>
            <w:r>
              <w:rPr>
                <w:b/>
                <w:bCs/>
                <w:sz w:val="18"/>
                <w:szCs w:val="18"/>
              </w:rPr>
              <w:t>设备名称</w:t>
            </w:r>
          </w:p>
        </w:tc>
        <w:tc>
          <w:tcPr>
            <w:tcW w:w="958" w:type="pct"/>
            <w:tcBorders>
              <w:top w:val="single" w:color="auto" w:sz="6" w:space="0"/>
              <w:left w:val="single" w:color="auto" w:sz="4" w:space="0"/>
              <w:bottom w:val="single" w:color="auto" w:sz="6" w:space="0"/>
              <w:right w:val="single" w:color="auto" w:sz="4" w:space="0"/>
            </w:tcBorders>
            <w:vAlign w:val="center"/>
          </w:tcPr>
          <w:p w14:paraId="179676CB">
            <w:pPr>
              <w:autoSpaceDE w:val="0"/>
              <w:autoSpaceDN w:val="0"/>
              <w:adjustRightInd w:val="0"/>
              <w:contextualSpacing/>
              <w:jc w:val="center"/>
              <w:rPr>
                <w:b/>
                <w:bCs/>
                <w:sz w:val="18"/>
                <w:szCs w:val="18"/>
              </w:rPr>
            </w:pPr>
            <w:r>
              <w:rPr>
                <w:b/>
                <w:bCs/>
                <w:sz w:val="18"/>
                <w:szCs w:val="18"/>
              </w:rPr>
              <w:t>生产厂家</w:t>
            </w:r>
          </w:p>
        </w:tc>
        <w:tc>
          <w:tcPr>
            <w:tcW w:w="737" w:type="pct"/>
            <w:tcBorders>
              <w:top w:val="single" w:color="auto" w:sz="6" w:space="0"/>
              <w:left w:val="single" w:color="auto" w:sz="4" w:space="0"/>
              <w:bottom w:val="single" w:color="auto" w:sz="6" w:space="0"/>
              <w:right w:val="single" w:color="auto" w:sz="6" w:space="0"/>
            </w:tcBorders>
            <w:vAlign w:val="center"/>
          </w:tcPr>
          <w:p w14:paraId="025804F2">
            <w:pPr>
              <w:autoSpaceDE w:val="0"/>
              <w:autoSpaceDN w:val="0"/>
              <w:adjustRightInd w:val="0"/>
              <w:contextualSpacing/>
              <w:jc w:val="center"/>
              <w:rPr>
                <w:b/>
                <w:bCs/>
                <w:sz w:val="18"/>
                <w:szCs w:val="18"/>
              </w:rPr>
            </w:pPr>
            <w:r>
              <w:rPr>
                <w:b/>
                <w:bCs/>
                <w:sz w:val="18"/>
                <w:szCs w:val="18"/>
              </w:rPr>
              <w:t>型号规格</w:t>
            </w:r>
          </w:p>
        </w:tc>
        <w:tc>
          <w:tcPr>
            <w:tcW w:w="737" w:type="pct"/>
            <w:tcBorders>
              <w:top w:val="single" w:color="auto" w:sz="6" w:space="0"/>
              <w:left w:val="single" w:color="auto" w:sz="6" w:space="0"/>
              <w:bottom w:val="single" w:color="auto" w:sz="6" w:space="0"/>
              <w:right w:val="single" w:color="auto" w:sz="6" w:space="0"/>
            </w:tcBorders>
            <w:vAlign w:val="center"/>
          </w:tcPr>
          <w:p w14:paraId="05C25810">
            <w:pPr>
              <w:autoSpaceDE w:val="0"/>
              <w:autoSpaceDN w:val="0"/>
              <w:adjustRightInd w:val="0"/>
              <w:contextualSpacing/>
              <w:jc w:val="center"/>
              <w:rPr>
                <w:b/>
                <w:bCs/>
                <w:sz w:val="18"/>
                <w:szCs w:val="18"/>
              </w:rPr>
            </w:pPr>
            <w:r>
              <w:rPr>
                <w:b/>
                <w:bCs/>
                <w:sz w:val="18"/>
                <w:szCs w:val="18"/>
              </w:rPr>
              <w:t>机身号</w:t>
            </w:r>
          </w:p>
        </w:tc>
        <w:tc>
          <w:tcPr>
            <w:tcW w:w="589" w:type="pct"/>
            <w:tcBorders>
              <w:top w:val="single" w:color="auto" w:sz="6" w:space="0"/>
              <w:left w:val="single" w:color="auto" w:sz="6" w:space="0"/>
              <w:bottom w:val="single" w:color="auto" w:sz="6" w:space="0"/>
              <w:right w:val="single" w:color="auto" w:sz="6" w:space="0"/>
            </w:tcBorders>
            <w:vAlign w:val="center"/>
          </w:tcPr>
          <w:p w14:paraId="0BB90E5F">
            <w:pPr>
              <w:autoSpaceDE w:val="0"/>
              <w:autoSpaceDN w:val="0"/>
              <w:adjustRightInd w:val="0"/>
              <w:contextualSpacing/>
              <w:jc w:val="center"/>
              <w:rPr>
                <w:b/>
                <w:bCs/>
                <w:sz w:val="18"/>
                <w:szCs w:val="18"/>
              </w:rPr>
            </w:pPr>
            <w:r>
              <w:rPr>
                <w:rFonts w:hint="eastAsia"/>
                <w:b/>
                <w:bCs/>
                <w:sz w:val="18"/>
                <w:szCs w:val="18"/>
              </w:rPr>
              <w:t>维保分项价格（万元）</w:t>
            </w:r>
          </w:p>
        </w:tc>
        <w:tc>
          <w:tcPr>
            <w:tcW w:w="805" w:type="pct"/>
            <w:tcBorders>
              <w:top w:val="single" w:color="auto" w:sz="6" w:space="0"/>
              <w:left w:val="single" w:color="auto" w:sz="6" w:space="0"/>
              <w:bottom w:val="single" w:color="auto" w:sz="6" w:space="0"/>
              <w:right w:val="single" w:color="auto" w:sz="6" w:space="0"/>
            </w:tcBorders>
            <w:vAlign w:val="center"/>
          </w:tcPr>
          <w:p w14:paraId="55691197">
            <w:pPr>
              <w:autoSpaceDE w:val="0"/>
              <w:autoSpaceDN w:val="0"/>
              <w:adjustRightInd w:val="0"/>
              <w:contextualSpacing/>
              <w:jc w:val="center"/>
              <w:rPr>
                <w:b/>
                <w:bCs/>
                <w:sz w:val="18"/>
                <w:szCs w:val="18"/>
              </w:rPr>
            </w:pPr>
            <w:r>
              <w:rPr>
                <w:rFonts w:hint="eastAsia"/>
                <w:b/>
                <w:bCs/>
                <w:sz w:val="18"/>
                <w:szCs w:val="18"/>
              </w:rPr>
              <w:t>备注</w:t>
            </w:r>
          </w:p>
        </w:tc>
      </w:tr>
      <w:tr w14:paraId="0D8EC2F5">
        <w:tblPrEx>
          <w:tblCellMar>
            <w:top w:w="0" w:type="dxa"/>
            <w:left w:w="0" w:type="dxa"/>
            <w:bottom w:w="0" w:type="dxa"/>
            <w:right w:w="0" w:type="dxa"/>
          </w:tblCellMar>
        </w:tblPrEx>
        <w:trPr>
          <w:cantSplit/>
          <w:trHeight w:val="767" w:hRule="atLeast"/>
          <w:jc w:val="center"/>
        </w:trPr>
        <w:tc>
          <w:tcPr>
            <w:tcW w:w="218" w:type="pct"/>
            <w:tcBorders>
              <w:top w:val="single" w:color="auto" w:sz="6" w:space="0"/>
              <w:left w:val="single" w:color="auto" w:sz="6" w:space="0"/>
              <w:bottom w:val="single" w:color="auto" w:sz="6" w:space="0"/>
              <w:right w:val="single" w:color="auto" w:sz="6" w:space="0"/>
            </w:tcBorders>
            <w:vAlign w:val="center"/>
          </w:tcPr>
          <w:p w14:paraId="0E525959">
            <w:pPr>
              <w:autoSpaceDE w:val="0"/>
              <w:autoSpaceDN w:val="0"/>
              <w:adjustRightInd w:val="0"/>
              <w:contextualSpacing/>
              <w:jc w:val="center"/>
              <w:rPr>
                <w:rFonts w:eastAsiaTheme="minorEastAsia"/>
                <w:sz w:val="18"/>
                <w:szCs w:val="18"/>
              </w:rPr>
            </w:pPr>
            <w:r>
              <w:rPr>
                <w:rFonts w:eastAsiaTheme="minorEastAsia"/>
                <w:sz w:val="18"/>
                <w:szCs w:val="18"/>
              </w:rPr>
              <w:t>1</w:t>
            </w:r>
          </w:p>
        </w:tc>
        <w:tc>
          <w:tcPr>
            <w:tcW w:w="956" w:type="pct"/>
            <w:tcBorders>
              <w:top w:val="single" w:color="auto" w:sz="6" w:space="0"/>
              <w:left w:val="single" w:color="auto" w:sz="6" w:space="0"/>
              <w:bottom w:val="single" w:color="auto" w:sz="6" w:space="0"/>
              <w:right w:val="single" w:color="auto" w:sz="4" w:space="0"/>
            </w:tcBorders>
            <w:vAlign w:val="center"/>
          </w:tcPr>
          <w:p w14:paraId="083A62EF">
            <w:pPr>
              <w:autoSpaceDE w:val="0"/>
              <w:autoSpaceDN w:val="0"/>
              <w:adjustRightInd w:val="0"/>
              <w:contextualSpacing/>
              <w:rPr>
                <w:rFonts w:eastAsiaTheme="minorEastAsia"/>
                <w:sz w:val="18"/>
                <w:szCs w:val="18"/>
              </w:rPr>
            </w:pPr>
            <w:r>
              <w:rPr>
                <w:rFonts w:eastAsiaTheme="minorEastAsia"/>
                <w:sz w:val="18"/>
                <w:szCs w:val="18"/>
              </w:rPr>
              <w:t>***</w:t>
            </w:r>
          </w:p>
        </w:tc>
        <w:tc>
          <w:tcPr>
            <w:tcW w:w="958" w:type="pct"/>
            <w:tcBorders>
              <w:top w:val="single" w:color="auto" w:sz="6" w:space="0"/>
              <w:left w:val="single" w:color="auto" w:sz="4" w:space="0"/>
              <w:bottom w:val="single" w:color="auto" w:sz="6" w:space="0"/>
              <w:right w:val="single" w:color="auto" w:sz="4" w:space="0"/>
            </w:tcBorders>
            <w:vAlign w:val="center"/>
          </w:tcPr>
          <w:p w14:paraId="42F215C2">
            <w:pPr>
              <w:autoSpaceDE w:val="0"/>
              <w:autoSpaceDN w:val="0"/>
              <w:adjustRightInd w:val="0"/>
              <w:contextualSpacing/>
              <w:jc w:val="center"/>
              <w:rPr>
                <w:rFonts w:eastAsiaTheme="minorEastAsia"/>
                <w:sz w:val="18"/>
                <w:szCs w:val="18"/>
              </w:rPr>
            </w:pPr>
            <w:r>
              <w:rPr>
                <w:rFonts w:eastAsiaTheme="minorEastAsia"/>
                <w:sz w:val="18"/>
                <w:szCs w:val="18"/>
              </w:rPr>
              <w:t>***</w:t>
            </w:r>
          </w:p>
        </w:tc>
        <w:tc>
          <w:tcPr>
            <w:tcW w:w="737" w:type="pct"/>
            <w:tcBorders>
              <w:top w:val="single" w:color="auto" w:sz="6" w:space="0"/>
              <w:left w:val="single" w:color="auto" w:sz="4" w:space="0"/>
              <w:bottom w:val="single" w:color="auto" w:sz="6" w:space="0"/>
              <w:right w:val="single" w:color="auto" w:sz="6" w:space="0"/>
            </w:tcBorders>
            <w:vAlign w:val="center"/>
          </w:tcPr>
          <w:p w14:paraId="5C399063">
            <w:pPr>
              <w:autoSpaceDE w:val="0"/>
              <w:autoSpaceDN w:val="0"/>
              <w:adjustRightInd w:val="0"/>
              <w:contextualSpacing/>
              <w:jc w:val="center"/>
              <w:rPr>
                <w:rFonts w:eastAsiaTheme="minorEastAsia"/>
                <w:sz w:val="18"/>
                <w:szCs w:val="18"/>
              </w:rPr>
            </w:pPr>
            <w:r>
              <w:rPr>
                <w:rFonts w:eastAsiaTheme="minorEastAsia"/>
                <w:sz w:val="18"/>
                <w:szCs w:val="18"/>
              </w:rPr>
              <w:t>***</w:t>
            </w:r>
          </w:p>
        </w:tc>
        <w:tc>
          <w:tcPr>
            <w:tcW w:w="737" w:type="pct"/>
            <w:tcBorders>
              <w:top w:val="single" w:color="auto" w:sz="6" w:space="0"/>
              <w:left w:val="single" w:color="auto" w:sz="6" w:space="0"/>
              <w:bottom w:val="single" w:color="auto" w:sz="6" w:space="0"/>
              <w:right w:val="single" w:color="auto" w:sz="6" w:space="0"/>
            </w:tcBorders>
            <w:vAlign w:val="center"/>
          </w:tcPr>
          <w:p w14:paraId="276508CC">
            <w:pPr>
              <w:autoSpaceDE w:val="0"/>
              <w:autoSpaceDN w:val="0"/>
              <w:adjustRightInd w:val="0"/>
              <w:contextualSpacing/>
              <w:jc w:val="center"/>
              <w:rPr>
                <w:rFonts w:eastAsiaTheme="minorEastAsia"/>
                <w:sz w:val="18"/>
                <w:szCs w:val="18"/>
              </w:rPr>
            </w:pPr>
            <w:r>
              <w:rPr>
                <w:rFonts w:eastAsiaTheme="minorEastAsia"/>
                <w:sz w:val="18"/>
                <w:szCs w:val="18"/>
              </w:rPr>
              <w:t>***</w:t>
            </w:r>
          </w:p>
        </w:tc>
        <w:tc>
          <w:tcPr>
            <w:tcW w:w="589" w:type="pct"/>
            <w:tcBorders>
              <w:top w:val="single" w:color="auto" w:sz="6" w:space="0"/>
              <w:left w:val="single" w:color="auto" w:sz="6" w:space="0"/>
              <w:bottom w:val="single" w:color="auto" w:sz="6" w:space="0"/>
              <w:right w:val="single" w:color="auto" w:sz="6" w:space="0"/>
            </w:tcBorders>
            <w:vAlign w:val="center"/>
          </w:tcPr>
          <w:p w14:paraId="6A0F43FD">
            <w:pPr>
              <w:autoSpaceDE w:val="0"/>
              <w:autoSpaceDN w:val="0"/>
              <w:adjustRightInd w:val="0"/>
              <w:contextualSpacing/>
              <w:jc w:val="center"/>
              <w:rPr>
                <w:rFonts w:eastAsiaTheme="minorEastAsia"/>
                <w:sz w:val="18"/>
                <w:szCs w:val="18"/>
              </w:rPr>
            </w:pPr>
          </w:p>
        </w:tc>
        <w:tc>
          <w:tcPr>
            <w:tcW w:w="805" w:type="pct"/>
            <w:tcBorders>
              <w:top w:val="single" w:color="auto" w:sz="6" w:space="0"/>
              <w:left w:val="single" w:color="auto" w:sz="6" w:space="0"/>
              <w:bottom w:val="single" w:color="auto" w:sz="6" w:space="0"/>
              <w:right w:val="single" w:color="auto" w:sz="6" w:space="0"/>
            </w:tcBorders>
            <w:vAlign w:val="center"/>
          </w:tcPr>
          <w:p w14:paraId="66B01E7E">
            <w:pPr>
              <w:autoSpaceDE w:val="0"/>
              <w:autoSpaceDN w:val="0"/>
              <w:adjustRightInd w:val="0"/>
              <w:contextualSpacing/>
              <w:jc w:val="center"/>
              <w:rPr>
                <w:rFonts w:eastAsiaTheme="minorEastAsia"/>
                <w:sz w:val="18"/>
                <w:szCs w:val="18"/>
              </w:rPr>
            </w:pPr>
          </w:p>
        </w:tc>
      </w:tr>
      <w:permEnd w:id="2"/>
    </w:tbl>
    <w:p w14:paraId="1D4A876A">
      <w:pPr>
        <w:contextualSpacing/>
        <w:jc w:val="left"/>
        <w:rPr>
          <w:b/>
          <w:szCs w:val="21"/>
        </w:rPr>
      </w:pPr>
      <w:r>
        <w:rPr>
          <w:bCs/>
          <w:szCs w:val="21"/>
        </w:rPr>
        <w:t>合计：*** 台（件）</w:t>
      </w:r>
    </w:p>
    <w:p w14:paraId="6C072A90">
      <w:pPr>
        <w:pStyle w:val="29"/>
        <w:numPr>
          <w:ilvl w:val="0"/>
          <w:numId w:val="15"/>
        </w:numPr>
        <w:ind w:firstLineChars="0"/>
        <w:jc w:val="left"/>
        <w:rPr>
          <w:b/>
          <w:szCs w:val="21"/>
        </w:rPr>
      </w:pPr>
      <w:r>
        <w:rPr>
          <w:b/>
          <w:szCs w:val="21"/>
        </w:rPr>
        <w:t>合同总价</w:t>
      </w:r>
    </w:p>
    <w:p w14:paraId="5C32E844">
      <w:pPr>
        <w:ind w:firstLine="480"/>
        <w:contextualSpacing/>
        <w:jc w:val="left"/>
        <w:rPr>
          <w:szCs w:val="21"/>
        </w:rPr>
      </w:pPr>
      <w:r>
        <w:rPr>
          <w:color w:val="000000"/>
          <w:szCs w:val="21"/>
        </w:rPr>
        <w:sym w:font="Wingdings 2" w:char="F052"/>
      </w:r>
      <w:r>
        <w:rPr>
          <w:rFonts w:hint="eastAsia"/>
          <w:szCs w:val="21"/>
        </w:rPr>
        <w:t>全包服务</w:t>
      </w:r>
    </w:p>
    <w:p w14:paraId="2805547E">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6F872CCE">
      <w:pPr>
        <w:ind w:firstLine="480"/>
        <w:contextualSpacing/>
        <w:jc w:val="left"/>
      </w:pPr>
      <w:r>
        <w:rPr>
          <w:color w:val="000000"/>
          <w:szCs w:val="21"/>
          <w:shd w:val="clear" w:color="auto" w:fill="FFFFFF"/>
        </w:rPr>
        <w:sym w:font="Wingdings" w:char="F0A8"/>
      </w:r>
      <w:r>
        <w:rPr>
          <w:rFonts w:hint="eastAsia"/>
        </w:rPr>
        <w:t>半包服务</w:t>
      </w:r>
    </w:p>
    <w:p w14:paraId="2FCEBC2B">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91595AA">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3C1B5EA5">
      <w:pPr>
        <w:ind w:firstLine="480"/>
        <w:contextualSpacing/>
        <w:jc w:val="left"/>
      </w:pPr>
      <w:r>
        <w:rPr>
          <w:color w:val="000000"/>
          <w:szCs w:val="21"/>
          <w:shd w:val="clear" w:color="auto" w:fill="FFFFFF"/>
        </w:rPr>
        <w:sym w:font="Wingdings" w:char="F0A8"/>
      </w:r>
      <w:r>
        <w:rPr>
          <w:rFonts w:hint="eastAsia"/>
        </w:rPr>
        <w:t>按实结算</w:t>
      </w:r>
    </w:p>
    <w:p w14:paraId="5A315F3E">
      <w:pPr>
        <w:ind w:left="420" w:leftChars="200" w:firstLine="420" w:firstLineChars="200"/>
        <w:contextualSpacing/>
        <w:jc w:val="left"/>
        <w:rPr>
          <w:bCs/>
          <w:szCs w:val="21"/>
        </w:rPr>
      </w:pPr>
      <w:r>
        <w:rPr>
          <w:rFonts w:hint="eastAsia"/>
          <w:szCs w:val="21"/>
        </w:rPr>
        <w:t>本合同支付总额不超过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4F39B07E">
      <w:pPr>
        <w:pStyle w:val="29"/>
        <w:numPr>
          <w:ilvl w:val="0"/>
          <w:numId w:val="15"/>
        </w:numPr>
        <w:ind w:left="0" w:firstLine="0" w:firstLineChars="0"/>
        <w:jc w:val="left"/>
        <w:rPr>
          <w:b/>
          <w:szCs w:val="21"/>
        </w:rPr>
      </w:pPr>
      <w:r>
        <w:rPr>
          <w:b/>
          <w:szCs w:val="21"/>
        </w:rPr>
        <w:t>设备维保服务期限</w:t>
      </w:r>
      <w:r>
        <w:rPr>
          <w:i/>
          <w:iCs/>
          <w:szCs w:val="21"/>
          <w:highlight w:val="yellow"/>
        </w:rPr>
        <w:t>&lt;根据项目实际情况选择&gt;</w:t>
      </w:r>
    </w:p>
    <w:p w14:paraId="5D82E1D7">
      <w:pPr>
        <w:pStyle w:val="29"/>
        <w:jc w:val="left"/>
        <w:rPr>
          <w:bCs/>
          <w:szCs w:val="21"/>
        </w:rPr>
      </w:pPr>
      <w:r>
        <w:rPr>
          <w:bCs/>
          <w:szCs w:val="21"/>
        </w:rPr>
        <w:t xml:space="preserve">本合同维保服务期限为 </w:t>
      </w:r>
      <w:permStart w:id="3" w:edGrp="everyone"/>
      <w:r>
        <w:rPr>
          <w:bCs/>
          <w:szCs w:val="21"/>
        </w:rPr>
        <w:t>***</w:t>
      </w:r>
      <w:permEnd w:id="3"/>
      <w:r>
        <w:rPr>
          <w:bCs/>
          <w:szCs w:val="21"/>
        </w:rPr>
        <w:t xml:space="preserve"> 年，自 </w:t>
      </w:r>
      <w:permStart w:id="4" w:edGrp="everyone"/>
      <w:r>
        <w:rPr>
          <w:bCs/>
          <w:szCs w:val="21"/>
        </w:rPr>
        <w:t>***</w:t>
      </w:r>
      <w:permEnd w:id="4"/>
      <w:r>
        <w:rPr>
          <w:bCs/>
          <w:szCs w:val="21"/>
        </w:rPr>
        <w:t xml:space="preserve"> 年 </w:t>
      </w:r>
      <w:permStart w:id="5" w:edGrp="everyone"/>
      <w:r>
        <w:rPr>
          <w:bCs/>
          <w:szCs w:val="21"/>
        </w:rPr>
        <w:t>***</w:t>
      </w:r>
      <w:permEnd w:id="5"/>
      <w:r>
        <w:rPr>
          <w:bCs/>
          <w:szCs w:val="21"/>
        </w:rPr>
        <w:t xml:space="preserve"> 月 </w:t>
      </w:r>
      <w:permStart w:id="6" w:edGrp="everyone"/>
      <w:r>
        <w:rPr>
          <w:bCs/>
          <w:szCs w:val="21"/>
        </w:rPr>
        <w:t>***</w:t>
      </w:r>
      <w:permEnd w:id="6"/>
      <w:r>
        <w:rPr>
          <w:bCs/>
          <w:szCs w:val="21"/>
        </w:rPr>
        <w:t xml:space="preserve"> 日起至 </w:t>
      </w:r>
      <w:permStart w:id="7" w:edGrp="everyone"/>
      <w:r>
        <w:rPr>
          <w:bCs/>
          <w:szCs w:val="21"/>
        </w:rPr>
        <w:t>***</w:t>
      </w:r>
      <w:permEnd w:id="7"/>
      <w:r>
        <w:rPr>
          <w:bCs/>
          <w:szCs w:val="21"/>
        </w:rPr>
        <w:t xml:space="preserve"> 年 </w:t>
      </w:r>
      <w:permStart w:id="8" w:edGrp="everyone"/>
      <w:r>
        <w:rPr>
          <w:bCs/>
          <w:szCs w:val="21"/>
        </w:rPr>
        <w:t>***</w:t>
      </w:r>
      <w:permEnd w:id="8"/>
      <w:r>
        <w:rPr>
          <w:bCs/>
          <w:szCs w:val="21"/>
        </w:rPr>
        <w:t xml:space="preserve"> 月 </w:t>
      </w:r>
      <w:permStart w:id="9" w:edGrp="everyone"/>
      <w:r>
        <w:rPr>
          <w:bCs/>
          <w:szCs w:val="21"/>
        </w:rPr>
        <w:t>***</w:t>
      </w:r>
      <w:permEnd w:id="9"/>
      <w:r>
        <w:rPr>
          <w:bCs/>
          <w:szCs w:val="21"/>
        </w:rPr>
        <w:t xml:space="preserve"> 日。</w:t>
      </w:r>
    </w:p>
    <w:p w14:paraId="0185295B">
      <w:pPr>
        <w:pStyle w:val="29"/>
        <w:jc w:val="left"/>
        <w:rPr>
          <w:bCs/>
          <w:szCs w:val="21"/>
        </w:rPr>
      </w:pPr>
    </w:p>
    <w:p w14:paraId="187BBE7E">
      <w:pPr>
        <w:pStyle w:val="29"/>
        <w:ind w:left="105" w:leftChars="50" w:firstLine="315" w:firstLineChars="150"/>
        <w:jc w:val="left"/>
        <w:rPr>
          <w:b/>
          <w:szCs w:val="21"/>
        </w:rPr>
      </w:pP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27B1A7F">
      <w:pPr>
        <w:pStyle w:val="29"/>
        <w:numPr>
          <w:ilvl w:val="0"/>
          <w:numId w:val="15"/>
        </w:numPr>
        <w:ind w:left="0" w:firstLine="0" w:firstLineChars="0"/>
        <w:contextualSpacing/>
        <w:jc w:val="left"/>
        <w:rPr>
          <w:b/>
          <w:szCs w:val="21"/>
        </w:rPr>
      </w:pPr>
      <w:r>
        <w:rPr>
          <w:b/>
          <w:szCs w:val="21"/>
        </w:rPr>
        <w:t>维保服务内容</w:t>
      </w:r>
    </w:p>
    <w:p w14:paraId="0FD77310">
      <w:pPr>
        <w:ind w:firstLine="420" w:firstLineChars="200"/>
        <w:contextualSpacing/>
        <w:jc w:val="left"/>
        <w:rPr>
          <w:szCs w:val="21"/>
        </w:rPr>
      </w:pPr>
      <w:r>
        <w:rPr>
          <w:rFonts w:hint="eastAsia"/>
          <w:bCs/>
          <w:szCs w:val="21"/>
        </w:rPr>
        <w:t>乙方应严格按照本合同维保服务方案和甲方要求提供服务，</w:t>
      </w:r>
      <w:r>
        <w:rPr>
          <w:bCs/>
          <w:szCs w:val="21"/>
        </w:rPr>
        <w:t>详见《附件</w:t>
      </w:r>
      <w:r>
        <w:rPr>
          <w:rFonts w:hint="eastAsia"/>
          <w:bCs/>
          <w:szCs w:val="21"/>
        </w:rPr>
        <w:t>3</w:t>
      </w:r>
      <w:r>
        <w:rPr>
          <w:bCs/>
          <w:szCs w:val="21"/>
        </w:rPr>
        <w:t>：维保服务</w:t>
      </w:r>
      <w:r>
        <w:rPr>
          <w:rFonts w:hint="eastAsia"/>
          <w:bCs/>
          <w:szCs w:val="21"/>
        </w:rPr>
        <w:t>方案</w:t>
      </w:r>
      <w:r>
        <w:rPr>
          <w:bCs/>
          <w:szCs w:val="21"/>
        </w:rPr>
        <w:t>》</w:t>
      </w:r>
      <w:r>
        <w:rPr>
          <w:rFonts w:hint="eastAsia"/>
          <w:bCs/>
          <w:szCs w:val="21"/>
        </w:rPr>
        <w:t>。</w:t>
      </w:r>
    </w:p>
    <w:p w14:paraId="5765E622">
      <w:pPr>
        <w:pStyle w:val="29"/>
        <w:numPr>
          <w:ilvl w:val="0"/>
          <w:numId w:val="15"/>
        </w:numPr>
        <w:ind w:left="0" w:firstLine="0" w:firstLineChars="0"/>
        <w:contextualSpacing/>
        <w:jc w:val="left"/>
        <w:rPr>
          <w:b/>
          <w:szCs w:val="21"/>
        </w:rPr>
      </w:pPr>
      <w:r>
        <w:rPr>
          <w:b/>
          <w:szCs w:val="21"/>
        </w:rPr>
        <w:t>验收</w:t>
      </w:r>
    </w:p>
    <w:p w14:paraId="1AC98650">
      <w:pPr>
        <w:pStyle w:val="29"/>
        <w:numPr>
          <w:ilvl w:val="0"/>
          <w:numId w:val="17"/>
        </w:numPr>
        <w:ind w:left="0" w:firstLine="0" w:firstLineChars="0"/>
        <w:contextualSpacing/>
        <w:rPr>
          <w:szCs w:val="21"/>
        </w:rPr>
      </w:pPr>
      <w:r>
        <w:rPr>
          <w:szCs w:val="21"/>
        </w:rPr>
        <w:t>甲、乙双方确定，按照本合同约定的验收方案对乙方按本合同约定所提供的服务进行验收。</w:t>
      </w:r>
    </w:p>
    <w:p w14:paraId="4032638F">
      <w:pPr>
        <w:pStyle w:val="29"/>
        <w:numPr>
          <w:ilvl w:val="0"/>
          <w:numId w:val="17"/>
        </w:numPr>
        <w:ind w:left="0" w:firstLine="0" w:firstLineChars="0"/>
        <w:contextualSpacing/>
        <w:rPr>
          <w:szCs w:val="21"/>
        </w:rPr>
      </w:pPr>
      <w:r>
        <w:rPr>
          <w:szCs w:val="21"/>
        </w:rPr>
        <w:t>验收方案：</w:t>
      </w:r>
    </w:p>
    <w:p w14:paraId="2E2F1609">
      <w:pPr>
        <w:pStyle w:val="29"/>
        <w:numPr>
          <w:ilvl w:val="0"/>
          <w:numId w:val="18"/>
        </w:numPr>
        <w:ind w:firstLineChars="0"/>
        <w:contextualSpacing/>
        <w:rPr>
          <w:color w:val="000000"/>
          <w:szCs w:val="21"/>
        </w:rPr>
      </w:pPr>
      <w:r>
        <w:rPr>
          <w:rFonts w:hint="eastAsia"/>
          <w:color w:val="000000"/>
          <w:szCs w:val="21"/>
        </w:rPr>
        <w:t>验收主体：甲方</w:t>
      </w:r>
    </w:p>
    <w:p w14:paraId="5F6D2EB6">
      <w:pPr>
        <w:pStyle w:val="29"/>
        <w:numPr>
          <w:ilvl w:val="0"/>
          <w:numId w:val="18"/>
        </w:numPr>
        <w:ind w:firstLineChars="0"/>
        <w:contextualSpacing/>
        <w:rPr>
          <w:color w:val="000000"/>
          <w:szCs w:val="21"/>
        </w:rPr>
      </w:pPr>
      <w:r>
        <w:rPr>
          <w:rFonts w:hint="eastAsia"/>
          <w:color w:val="000000"/>
          <w:szCs w:val="21"/>
        </w:rPr>
        <w:t>验收组织方式：自行验收</w:t>
      </w:r>
    </w:p>
    <w:p w14:paraId="7AA5D4FB">
      <w:pPr>
        <w:pStyle w:val="29"/>
        <w:numPr>
          <w:ilvl w:val="0"/>
          <w:numId w:val="18"/>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46E88B5B">
      <w:pPr>
        <w:pStyle w:val="29"/>
        <w:numPr>
          <w:ilvl w:val="0"/>
          <w:numId w:val="18"/>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62370ABB">
      <w:pPr>
        <w:pStyle w:val="29"/>
        <w:numPr>
          <w:ilvl w:val="0"/>
          <w:numId w:val="18"/>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74A39E9E">
      <w:pPr>
        <w:pStyle w:val="29"/>
        <w:numPr>
          <w:ilvl w:val="0"/>
          <w:numId w:val="18"/>
        </w:numPr>
        <w:ind w:firstLineChars="0"/>
        <w:contextualSpacing/>
        <w:rPr>
          <w:color w:val="000000"/>
          <w:szCs w:val="21"/>
        </w:rPr>
      </w:pPr>
      <w:r>
        <w:rPr>
          <w:rFonts w:hint="eastAsia"/>
          <w:color w:val="000000"/>
          <w:szCs w:val="21"/>
        </w:rPr>
        <w:t>履约</w:t>
      </w:r>
      <w:r>
        <w:rPr>
          <w:color w:val="000000"/>
          <w:szCs w:val="21"/>
        </w:rPr>
        <w:t>验收时间：</w:t>
      </w:r>
    </w:p>
    <w:p w14:paraId="440908D0">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29A3DF51">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0EBAF268">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甲方</w:t>
      </w:r>
      <w:r>
        <w:rPr>
          <w:rFonts w:ascii="Times New Roman" w:hAnsi="Times New Roman"/>
          <w:color w:val="000000"/>
          <w:szCs w:val="21"/>
        </w:rPr>
        <w:t>完成考核后X日内组织验收</w:t>
      </w:r>
    </w:p>
    <w:p w14:paraId="34F23A4D">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4BB3707E">
      <w:pPr>
        <w:pStyle w:val="29"/>
        <w:numPr>
          <w:ilvl w:val="0"/>
          <w:numId w:val="18"/>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3DEF676B">
      <w:pPr>
        <w:pStyle w:val="29"/>
        <w:numPr>
          <w:ilvl w:val="0"/>
          <w:numId w:val="18"/>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45F3EF4">
      <w:pPr>
        <w:pStyle w:val="29"/>
        <w:numPr>
          <w:ilvl w:val="0"/>
          <w:numId w:val="18"/>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FECA43">
      <w:pPr>
        <w:pStyle w:val="29"/>
        <w:numPr>
          <w:ilvl w:val="0"/>
          <w:numId w:val="18"/>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6DA2724F">
      <w:pPr>
        <w:pStyle w:val="29"/>
        <w:numPr>
          <w:ilvl w:val="0"/>
          <w:numId w:val="18"/>
        </w:numPr>
        <w:ind w:firstLineChars="0"/>
        <w:contextualSpacing/>
        <w:rPr>
          <w:szCs w:val="21"/>
        </w:rPr>
      </w:pPr>
      <w:r>
        <w:rPr>
          <w:szCs w:val="21"/>
        </w:rPr>
        <w:t>验收标准：</w:t>
      </w:r>
    </w:p>
    <w:p w14:paraId="0C083837">
      <w:pPr>
        <w:pStyle w:val="16"/>
        <w:numPr>
          <w:ilvl w:val="0"/>
          <w:numId w:val="19"/>
        </w:numPr>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32613EAB">
      <w:pPr>
        <w:pStyle w:val="16"/>
        <w:numPr>
          <w:ilvl w:val="0"/>
          <w:numId w:val="19"/>
        </w:numPr>
        <w:spacing w:after="0"/>
        <w:ind w:firstLineChars="0"/>
        <w:contextualSpacing/>
        <w:rPr>
          <w:rFonts w:ascii="Times New Roman" w:hAnsi="Times New Roman"/>
          <w:szCs w:val="21"/>
        </w:rPr>
      </w:pPr>
      <w:r>
        <w:rPr>
          <w:rFonts w:hint="eastAsia" w:ascii="Times New Roman" w:hAnsi="Times New Roman"/>
          <w:szCs w:val="21"/>
        </w:rPr>
        <w:t>甲方的采购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57ADF1CC">
      <w:pPr>
        <w:pStyle w:val="16"/>
        <w:numPr>
          <w:ilvl w:val="0"/>
          <w:numId w:val="19"/>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p w14:paraId="47220A7B">
      <w:pPr>
        <w:pStyle w:val="16"/>
        <w:numPr>
          <w:ilvl w:val="0"/>
          <w:numId w:val="19"/>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7FF8F5AF">
      <w:pPr>
        <w:pStyle w:val="16"/>
        <w:numPr>
          <w:ilvl w:val="0"/>
          <w:numId w:val="19"/>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0CF63516">
      <w:pPr>
        <w:pStyle w:val="16"/>
        <w:numPr>
          <w:ilvl w:val="0"/>
          <w:numId w:val="19"/>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C5F3FDE">
      <w:pPr>
        <w:pStyle w:val="29"/>
        <w:numPr>
          <w:ilvl w:val="0"/>
          <w:numId w:val="18"/>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1B02AFC4">
      <w:pPr>
        <w:pStyle w:val="29"/>
        <w:numPr>
          <w:ilvl w:val="0"/>
          <w:numId w:val="17"/>
        </w:numPr>
        <w:ind w:left="0" w:firstLine="0" w:firstLineChars="0"/>
        <w:rPr>
          <w:szCs w:val="21"/>
        </w:rPr>
      </w:pPr>
      <w:r>
        <w:rPr>
          <w:szCs w:val="21"/>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的违约金给甲方，违约金不能弥补甲方损失的，乙方应全额赔偿。</w:t>
      </w:r>
    </w:p>
    <w:p w14:paraId="4F49C2C1">
      <w:pPr>
        <w:pStyle w:val="29"/>
        <w:numPr>
          <w:ilvl w:val="0"/>
          <w:numId w:val="15"/>
        </w:numPr>
        <w:ind w:left="0" w:firstLine="0" w:firstLineChars="0"/>
        <w:contextualSpacing/>
        <w:jc w:val="left"/>
        <w:rPr>
          <w:b/>
          <w:szCs w:val="21"/>
        </w:rPr>
      </w:pPr>
      <w:r>
        <w:rPr>
          <w:b/>
          <w:szCs w:val="21"/>
        </w:rPr>
        <w:t>付款方式</w:t>
      </w:r>
    </w:p>
    <w:p w14:paraId="42EA8089">
      <w:pPr>
        <w:pStyle w:val="9"/>
        <w:numPr>
          <w:ilvl w:val="0"/>
          <w:numId w:val="20"/>
        </w:numPr>
        <w:spacing w:after="0" w:line="240" w:lineRule="auto"/>
        <w:ind w:left="227" w:leftChars="0" w:hanging="227"/>
        <w:contextualSpacing/>
        <w:jc w:val="left"/>
        <w:rPr>
          <w:szCs w:val="21"/>
        </w:rPr>
      </w:pPr>
      <w:r>
        <w:rPr>
          <w:szCs w:val="21"/>
        </w:rPr>
        <w:t>履约保证金：</w:t>
      </w:r>
    </w:p>
    <w:p w14:paraId="3951D65F">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乙方在合同签订生效之日起的***个工作日内，按合同总价***%支付履约保证金；本合同维保服务结束</w:t>
      </w:r>
      <w:r>
        <w:rPr>
          <w:rFonts w:hint="eastAsia" w:ascii="Times New Roman" w:hAnsi="Times New Roman"/>
          <w:color w:val="000000"/>
          <w:szCs w:val="21"/>
        </w:rPr>
        <w:t>且验收合格</w:t>
      </w:r>
      <w:r>
        <w:rPr>
          <w:rFonts w:ascii="Times New Roman" w:hAnsi="Times New Roman"/>
          <w:color w:val="000000"/>
          <w:szCs w:val="21"/>
        </w:rPr>
        <w:t>后，甲方接到乙方付款申请后30个工作日内，甲方一次性无息退还乙方的履约保证金；经验收后乙方履约不合格的，履约保证金不予退还。</w:t>
      </w:r>
    </w:p>
    <w:p w14:paraId="1399C2BF">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CD0D0C3">
      <w:pPr>
        <w:pStyle w:val="9"/>
        <w:numPr>
          <w:ilvl w:val="0"/>
          <w:numId w:val="20"/>
        </w:numPr>
        <w:spacing w:after="0" w:line="240" w:lineRule="auto"/>
        <w:ind w:left="227" w:leftChars="0" w:hanging="227"/>
        <w:contextualSpacing/>
        <w:jc w:val="left"/>
        <w:rPr>
          <w:szCs w:val="21"/>
        </w:rPr>
      </w:pPr>
      <w:r>
        <w:rPr>
          <w:szCs w:val="21"/>
        </w:rPr>
        <w:t>本项目价款采用以下方式支付，以人民币结算：</w:t>
      </w:r>
    </w:p>
    <w:p w14:paraId="41E5853B">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1D3511B6">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维保服务期满且经甲方验收合格</w:t>
      </w:r>
      <w:r>
        <w:rPr>
          <w:rFonts w:ascii="Times New Roman" w:hAnsi="Times New Roman"/>
          <w:szCs w:val="21"/>
        </w:rPr>
        <w:t>后5日内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17F52E77">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分阶段支付，支付期限及额度如下：</w:t>
      </w:r>
    </w:p>
    <w:p w14:paraId="34043950">
      <w:pPr>
        <w:pStyle w:val="16"/>
        <w:spacing w:after="0"/>
        <w:ind w:left="840" w:leftChars="400" w:firstLine="0" w:firstLineChars="0"/>
        <w:contextualSpacing/>
        <w:jc w:val="left"/>
        <w:rPr>
          <w:rFonts w:ascii="Times New Roman" w:hAnsi="Times New Roman"/>
          <w:color w:val="000000"/>
          <w:szCs w:val="21"/>
        </w:rPr>
      </w:pPr>
      <w:r>
        <w:rPr>
          <w:rFonts w:ascii="Times New Roman" w:hAnsi="Times New Roman"/>
          <w:color w:val="000000"/>
          <w:szCs w:val="21"/>
        </w:rPr>
        <w:t>（1）预付款：本合同生效后***个工作日内，甲方预付本合同总价的***%，即人民币（大写） *** 圆整（RMB *** 元）。</w:t>
      </w:r>
    </w:p>
    <w:p w14:paraId="211780BD">
      <w:pPr>
        <w:pStyle w:val="16"/>
        <w:spacing w:after="0"/>
        <w:ind w:left="840" w:leftChars="400" w:firstLine="0" w:firstLineChars="0"/>
        <w:contextualSpacing/>
        <w:jc w:val="left"/>
        <w:rPr>
          <w:rFonts w:ascii="Times New Roman" w:hAnsi="Times New Roman"/>
          <w:color w:val="000000"/>
          <w:szCs w:val="21"/>
        </w:rPr>
      </w:pPr>
      <w:r>
        <w:rPr>
          <w:rFonts w:ascii="Times New Roman" w:hAnsi="Times New Roman"/>
          <w:color w:val="000000"/>
          <w:szCs w:val="21"/>
        </w:rPr>
        <w:t>（2）进度款，甲方应当按照下列方式支付进度款：</w:t>
      </w:r>
    </w:p>
    <w:p w14:paraId="1DB2A1DD">
      <w:pPr>
        <w:pStyle w:val="16"/>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乙方按照本合同约定完成阶段性工作后，甲方应于每一阶段性工作成果验收合格之日起***个工作日内，向乙方支付相应的费用。</w:t>
      </w:r>
    </w:p>
    <w:p w14:paraId="68F84E89">
      <w:pPr>
        <w:pStyle w:val="16"/>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乙方完成***，甲方支付项目费用总额的***%，即 人民币（大写）*** 圆整（RMB *** 元）。</w:t>
      </w:r>
    </w:p>
    <w:p w14:paraId="18E9C0E7">
      <w:pPr>
        <w:pStyle w:val="16"/>
        <w:spacing w:after="0"/>
        <w:ind w:left="945" w:leftChars="400" w:hanging="105" w:hangingChars="50"/>
        <w:contextualSpacing/>
        <w:jc w:val="left"/>
        <w:rPr>
          <w:rFonts w:ascii="Times New Roman" w:hAnsi="Times New Roman"/>
          <w:color w:val="000000"/>
          <w:szCs w:val="21"/>
        </w:rPr>
      </w:pPr>
      <w:r>
        <w:rPr>
          <w:rFonts w:ascii="Times New Roman" w:hAnsi="Times New Roman"/>
          <w:color w:val="000000"/>
          <w:szCs w:val="21"/>
        </w:rPr>
        <w:t>（3）结算款：本合同维保服务结束后，甲方向乙方支付剩余价款人民币（大写）*** 圆整（RMB *** 元）。</w:t>
      </w:r>
    </w:p>
    <w:p w14:paraId="1E07D32D">
      <w:pPr>
        <w:pStyle w:val="9"/>
        <w:numPr>
          <w:ilvl w:val="0"/>
          <w:numId w:val="20"/>
        </w:numPr>
        <w:spacing w:after="0" w:line="240" w:lineRule="auto"/>
        <w:ind w:left="227" w:leftChars="0" w:hanging="227"/>
        <w:contextualSpacing/>
        <w:jc w:val="left"/>
        <w:rPr>
          <w:szCs w:val="21"/>
        </w:rPr>
      </w:pPr>
      <w:r>
        <w:rPr>
          <w:szCs w:val="21"/>
        </w:rPr>
        <w:t>甲方付款前，乙方需出具</w:t>
      </w:r>
      <w:r>
        <w:rPr>
          <w:rFonts w:hint="eastAsia"/>
          <w:color w:val="000000"/>
          <w:szCs w:val="21"/>
        </w:rPr>
        <w:t>提供合法有效票据及其他相关请款资料</w:t>
      </w:r>
      <w:r>
        <w:rPr>
          <w:szCs w:val="21"/>
        </w:rPr>
        <w:t>，否则甲方有权拒绝支付且不承担任何违约责任，且乙方不得因此停止工作。</w:t>
      </w:r>
    </w:p>
    <w:p w14:paraId="1F9E191B">
      <w:pPr>
        <w:pStyle w:val="9"/>
        <w:numPr>
          <w:ilvl w:val="0"/>
          <w:numId w:val="20"/>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0F35DCD4">
      <w:pPr>
        <w:pStyle w:val="29"/>
        <w:numPr>
          <w:ilvl w:val="0"/>
          <w:numId w:val="15"/>
        </w:numPr>
        <w:ind w:left="0" w:firstLine="0" w:firstLineChars="0"/>
        <w:contextualSpacing/>
        <w:jc w:val="left"/>
        <w:rPr>
          <w:b/>
          <w:szCs w:val="21"/>
        </w:rPr>
      </w:pPr>
      <w:r>
        <w:rPr>
          <w:b/>
          <w:szCs w:val="21"/>
        </w:rPr>
        <w:t>双方权利与义务</w:t>
      </w:r>
    </w:p>
    <w:p w14:paraId="20657773">
      <w:pPr>
        <w:pStyle w:val="9"/>
        <w:numPr>
          <w:ilvl w:val="0"/>
          <w:numId w:val="21"/>
        </w:numPr>
        <w:spacing w:after="0" w:line="240" w:lineRule="auto"/>
        <w:ind w:left="227" w:leftChars="0" w:hanging="227"/>
        <w:contextualSpacing/>
        <w:jc w:val="left"/>
        <w:rPr>
          <w:szCs w:val="21"/>
        </w:rPr>
      </w:pPr>
      <w:r>
        <w:rPr>
          <w:szCs w:val="21"/>
        </w:rPr>
        <w:t>甲方权利与义务</w:t>
      </w:r>
    </w:p>
    <w:p w14:paraId="6FA446B9">
      <w:pPr>
        <w:pStyle w:val="29"/>
        <w:numPr>
          <w:ilvl w:val="0"/>
          <w:numId w:val="22"/>
        </w:numPr>
        <w:adjustRightInd w:val="0"/>
        <w:ind w:left="525" w:hanging="525" w:hangingChars="250"/>
        <w:contextualSpacing/>
        <w:jc w:val="left"/>
        <w:rPr>
          <w:szCs w:val="21"/>
        </w:rPr>
      </w:pPr>
      <w:r>
        <w:rPr>
          <w:szCs w:val="21"/>
        </w:rPr>
        <w:t>按合同约定向乙方支付费用。</w:t>
      </w:r>
    </w:p>
    <w:p w14:paraId="0C3A2025">
      <w:pPr>
        <w:pStyle w:val="29"/>
        <w:numPr>
          <w:ilvl w:val="0"/>
          <w:numId w:val="22"/>
        </w:numPr>
        <w:adjustRightInd w:val="0"/>
        <w:ind w:left="525" w:hanging="525" w:hangingChars="250"/>
        <w:contextualSpacing/>
        <w:jc w:val="left"/>
        <w:rPr>
          <w:szCs w:val="21"/>
        </w:rPr>
      </w:pPr>
      <w:r>
        <w:rPr>
          <w:szCs w:val="21"/>
        </w:rPr>
        <w:t>保证乙方实施维保服务所必须的外部条件如电源、水源的正常供应及开启、关闭等。</w:t>
      </w:r>
    </w:p>
    <w:p w14:paraId="2CEFE583">
      <w:pPr>
        <w:pStyle w:val="29"/>
        <w:numPr>
          <w:ilvl w:val="0"/>
          <w:numId w:val="22"/>
        </w:numPr>
        <w:adjustRightInd w:val="0"/>
        <w:ind w:left="525" w:hanging="525" w:hangingChars="250"/>
        <w:contextualSpacing/>
        <w:jc w:val="left"/>
        <w:rPr>
          <w:szCs w:val="21"/>
        </w:rPr>
      </w:pPr>
      <w:r>
        <w:rPr>
          <w:szCs w:val="21"/>
        </w:rPr>
        <w:t>对于乙方在提供保修保养期间所提供的信息，甲方应予保密，未经乙方书面同意，甲方不得擅自使用或透露给第三方。</w:t>
      </w:r>
    </w:p>
    <w:p w14:paraId="0EEECB16">
      <w:pPr>
        <w:pStyle w:val="29"/>
        <w:numPr>
          <w:ilvl w:val="0"/>
          <w:numId w:val="22"/>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0A44A3AA">
      <w:pPr>
        <w:pStyle w:val="9"/>
        <w:numPr>
          <w:ilvl w:val="0"/>
          <w:numId w:val="21"/>
        </w:numPr>
        <w:spacing w:after="0" w:line="240" w:lineRule="auto"/>
        <w:ind w:left="227" w:leftChars="0" w:hanging="227"/>
        <w:contextualSpacing/>
        <w:jc w:val="left"/>
        <w:rPr>
          <w:szCs w:val="21"/>
        </w:rPr>
      </w:pPr>
      <w:r>
        <w:rPr>
          <w:szCs w:val="21"/>
        </w:rPr>
        <w:t>乙方权利与义务</w:t>
      </w:r>
    </w:p>
    <w:p w14:paraId="064778C5">
      <w:pPr>
        <w:pStyle w:val="9"/>
        <w:numPr>
          <w:ilvl w:val="0"/>
          <w:numId w:val="23"/>
        </w:numPr>
        <w:spacing w:after="0" w:line="240" w:lineRule="auto"/>
        <w:ind w:left="525" w:leftChars="0" w:hanging="525" w:hangingChars="250"/>
        <w:contextualSpacing/>
        <w:jc w:val="left"/>
        <w:rPr>
          <w:szCs w:val="21"/>
        </w:rPr>
      </w:pPr>
      <w:r>
        <w:rPr>
          <w:szCs w:val="21"/>
        </w:rPr>
        <w:t>按本合同约定向甲方提供维保服务。</w:t>
      </w:r>
    </w:p>
    <w:p w14:paraId="2E4A6595">
      <w:pPr>
        <w:pStyle w:val="9"/>
        <w:numPr>
          <w:ilvl w:val="0"/>
          <w:numId w:val="23"/>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7EF0C008">
      <w:pPr>
        <w:pStyle w:val="9"/>
        <w:numPr>
          <w:ilvl w:val="0"/>
          <w:numId w:val="23"/>
        </w:numPr>
        <w:spacing w:after="0" w:line="240" w:lineRule="auto"/>
        <w:ind w:left="525" w:leftChars="0" w:hanging="525" w:hangingChars="250"/>
        <w:contextualSpacing/>
        <w:jc w:val="left"/>
        <w:rPr>
          <w:szCs w:val="21"/>
        </w:rPr>
      </w:pPr>
      <w:r>
        <w:rPr>
          <w:szCs w:val="21"/>
        </w:rPr>
        <w:t>乙方应保证服务中更换的</w:t>
      </w:r>
      <w:r>
        <w:rPr>
          <w:rFonts w:hint="eastAsia"/>
          <w:szCs w:val="21"/>
        </w:rPr>
        <w:t>备品</w:t>
      </w:r>
      <w:r>
        <w:rPr>
          <w:szCs w:val="21"/>
        </w:rPr>
        <w:t>备件、</w:t>
      </w:r>
      <w:r>
        <w:rPr>
          <w:rFonts w:hint="eastAsia"/>
          <w:szCs w:val="21"/>
        </w:rPr>
        <w:t>原</w:t>
      </w:r>
      <w:r>
        <w:rPr>
          <w:szCs w:val="21"/>
        </w:rPr>
        <w:t>材料</w:t>
      </w:r>
      <w:r>
        <w:rPr>
          <w:rFonts w:hint="eastAsia"/>
          <w:szCs w:val="21"/>
        </w:rPr>
        <w:t>达到本项目采购文件中的技术要求和质量标准且</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7503E206">
      <w:pPr>
        <w:pStyle w:val="9"/>
        <w:numPr>
          <w:ilvl w:val="0"/>
          <w:numId w:val="23"/>
        </w:numPr>
        <w:spacing w:after="0" w:line="240" w:lineRule="auto"/>
        <w:ind w:left="525" w:leftChars="0" w:hanging="525" w:hangingChars="250"/>
        <w:contextualSpacing/>
        <w:jc w:val="left"/>
        <w:rPr>
          <w:szCs w:val="21"/>
        </w:rPr>
      </w:pPr>
      <w:r>
        <w:rPr>
          <w:szCs w:val="21"/>
        </w:rPr>
        <w:t>如维保服务涉及计算机软件产品的，乙方须承诺在维保服务中设备安装的软件已获得软件厂商的正规授权。</w:t>
      </w:r>
    </w:p>
    <w:p w14:paraId="3102E868">
      <w:pPr>
        <w:pStyle w:val="9"/>
        <w:numPr>
          <w:ilvl w:val="0"/>
          <w:numId w:val="23"/>
        </w:numPr>
        <w:spacing w:after="0" w:line="240" w:lineRule="auto"/>
        <w:ind w:left="525" w:leftChars="0" w:hanging="525" w:hangingChars="250"/>
        <w:contextualSpacing/>
        <w:jc w:val="left"/>
        <w:rPr>
          <w:szCs w:val="21"/>
        </w:rPr>
      </w:pPr>
      <w:r>
        <w:rPr>
          <w:szCs w:val="21"/>
        </w:rPr>
        <w:t>乙方在提供维保服务的过程中，发现设备已经无法通过本合同第</w:t>
      </w:r>
      <w:r>
        <w:rPr>
          <w:rFonts w:hint="eastAsia"/>
          <w:szCs w:val="21"/>
        </w:rPr>
        <w:t>四</w:t>
      </w:r>
      <w:r>
        <w:rPr>
          <w:szCs w:val="21"/>
        </w:rPr>
        <w:t>条中说明的维保服务内容达到使用标准的情况，乙方须以书面形式告知甲方。</w:t>
      </w:r>
    </w:p>
    <w:p w14:paraId="73696737">
      <w:pPr>
        <w:pStyle w:val="9"/>
        <w:numPr>
          <w:ilvl w:val="0"/>
          <w:numId w:val="23"/>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0BFDA794">
      <w:pPr>
        <w:pStyle w:val="29"/>
        <w:numPr>
          <w:ilvl w:val="0"/>
          <w:numId w:val="15"/>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44FBD3EB">
      <w:pPr>
        <w:pStyle w:val="9"/>
        <w:numPr>
          <w:ilvl w:val="0"/>
          <w:numId w:val="24"/>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szCs w:val="21"/>
          <w:u w:val="none"/>
        </w:rPr>
        <w:t>%</w:t>
      </w:r>
      <w:r>
        <w:rPr>
          <w:rFonts w:hint="eastAsia"/>
          <w:szCs w:val="21"/>
        </w:rPr>
        <w:t>作为</w:t>
      </w:r>
      <w:r>
        <w:rPr>
          <w:szCs w:val="21"/>
        </w:rPr>
        <w:t>违约金。</w:t>
      </w:r>
    </w:p>
    <w:p w14:paraId="2318BCBB">
      <w:pPr>
        <w:pStyle w:val="29"/>
        <w:numPr>
          <w:ilvl w:val="0"/>
          <w:numId w:val="24"/>
        </w:numPr>
        <w:ind w:left="0" w:firstLine="0" w:firstLineChars="0"/>
        <w:rPr>
          <w:szCs w:val="21"/>
        </w:rPr>
      </w:pPr>
      <w:r>
        <w:rPr>
          <w:szCs w:val="21"/>
        </w:rPr>
        <w:t>乙方违约责任：</w:t>
      </w:r>
    </w:p>
    <w:p w14:paraId="43F1FFB8">
      <w:pPr>
        <w:pStyle w:val="9"/>
        <w:numPr>
          <w:ilvl w:val="0"/>
          <w:numId w:val="25"/>
        </w:numPr>
        <w:spacing w:after="0" w:line="240" w:lineRule="auto"/>
        <w:ind w:left="525" w:leftChars="0" w:hanging="525" w:hangingChars="250"/>
        <w:contextualSpacing/>
        <w:jc w:val="left"/>
        <w:rPr>
          <w:szCs w:val="21"/>
        </w:rPr>
      </w:pPr>
      <w:bookmarkStart w:id="99" w:name="OLE_LINK17"/>
      <w:bookmarkStart w:id="100" w:name="OLE_LINK18"/>
      <w:r>
        <w:rPr>
          <w:szCs w:val="21"/>
        </w:rPr>
        <w:t>乙方应派遣具备相关资质的技术人员为甲方提供维保服务，维保服务过程中，乙方技术人员因操作不当、未采取必要的安全防范措施等原因导致安全责任事故的，由乙方承担由此造成的全部法律责任。</w:t>
      </w:r>
    </w:p>
    <w:p w14:paraId="3B7EA59E">
      <w:pPr>
        <w:pStyle w:val="9"/>
        <w:numPr>
          <w:ilvl w:val="0"/>
          <w:numId w:val="25"/>
        </w:numPr>
        <w:spacing w:after="0" w:line="240" w:lineRule="auto"/>
        <w:ind w:left="525" w:leftChars="0" w:hanging="525" w:hangingChars="250"/>
        <w:contextualSpacing/>
        <w:jc w:val="left"/>
        <w:rPr>
          <w:szCs w:val="21"/>
        </w:rPr>
      </w:pPr>
      <w:r>
        <w:rPr>
          <w:szCs w:val="21"/>
        </w:rPr>
        <w:t>因乙方在维保服务中更换的备件或材料在质保期内并在正常使用情况下出现质量原因导致甲方或第三方财产或人身损害的，由乙方承担赔偿责任。</w:t>
      </w:r>
    </w:p>
    <w:p w14:paraId="04A47C83">
      <w:pPr>
        <w:pStyle w:val="9"/>
        <w:numPr>
          <w:ilvl w:val="0"/>
          <w:numId w:val="25"/>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乙方提供的维保服务存在重大的设计、工艺或材料缺陷（包括潜在缺陷），乙方应当对由于上述缺陷造成的损失负责。</w:t>
      </w:r>
    </w:p>
    <w:p w14:paraId="392919BC">
      <w:pPr>
        <w:pStyle w:val="9"/>
        <w:numPr>
          <w:ilvl w:val="0"/>
          <w:numId w:val="25"/>
        </w:numPr>
        <w:spacing w:after="0" w:line="240" w:lineRule="auto"/>
        <w:ind w:left="525" w:leftChars="0" w:hanging="525" w:hangingChars="250"/>
        <w:contextualSpacing/>
        <w:jc w:val="left"/>
        <w:rPr>
          <w:szCs w:val="21"/>
        </w:rPr>
      </w:pPr>
      <w:r>
        <w:rPr>
          <w:szCs w:val="21"/>
        </w:rPr>
        <w:t>在本合同履行中，设备出现故障时，如乙方在接到甲方或使用单位通知后，在本合同第三条中写明的响应时间内，没有作出响应措施，每发生一次，乙方应按</w:t>
      </w:r>
      <w:r>
        <w:rPr>
          <w:rFonts w:hint="eastAsia"/>
          <w:szCs w:val="21"/>
          <w:u w:val="single"/>
        </w:rPr>
        <w:t>合同总金额</w:t>
      </w:r>
      <w:r>
        <w:rPr>
          <w:szCs w:val="21"/>
        </w:rPr>
        <w:t>的</w:t>
      </w:r>
      <w:r>
        <w:rPr>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6E1BD5E6">
      <w:pPr>
        <w:pStyle w:val="9"/>
        <w:numPr>
          <w:ilvl w:val="0"/>
          <w:numId w:val="25"/>
        </w:numPr>
        <w:spacing w:after="0" w:line="240" w:lineRule="auto"/>
        <w:ind w:left="525" w:leftChars="0" w:hanging="525" w:hangingChars="250"/>
        <w:contextualSpacing/>
        <w:jc w:val="left"/>
        <w:rPr>
          <w:szCs w:val="21"/>
        </w:rPr>
      </w:pPr>
      <w:r>
        <w:rPr>
          <w:szCs w:val="21"/>
        </w:rPr>
        <w:t>乙方在</w:t>
      </w:r>
      <w:r>
        <w:rPr>
          <w:rFonts w:hint="eastAsia"/>
          <w:szCs w:val="21"/>
        </w:rPr>
        <w:t>提供维保服务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rFonts w:hint="eastAsia"/>
          <w:szCs w:val="21"/>
          <w:u w:val="single"/>
        </w:rPr>
        <w:t>10</w:t>
      </w:r>
      <w:r>
        <w:rPr>
          <w:szCs w:val="21"/>
        </w:rPr>
        <w:t>%作为赔偿违约金。</w:t>
      </w:r>
    </w:p>
    <w:p w14:paraId="3CE9D77C">
      <w:pPr>
        <w:pStyle w:val="9"/>
        <w:numPr>
          <w:ilvl w:val="0"/>
          <w:numId w:val="25"/>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rPr>
        <w:t>合同总金额的</w:t>
      </w:r>
      <w:r>
        <w:rPr>
          <w:rFonts w:hint="eastAsia"/>
          <w:szCs w:val="21"/>
          <w:u w:val="single"/>
        </w:rPr>
        <w:t>10</w:t>
      </w:r>
      <w:r>
        <w:rPr>
          <w:szCs w:val="21"/>
        </w:rPr>
        <w:t>%</w:t>
      </w:r>
      <w:r>
        <w:rPr>
          <w:rFonts w:hint="eastAsia"/>
          <w:szCs w:val="21"/>
        </w:rPr>
        <w:t>作为</w:t>
      </w:r>
      <w:r>
        <w:rPr>
          <w:szCs w:val="21"/>
        </w:rPr>
        <w:t>违约金。</w:t>
      </w:r>
    </w:p>
    <w:bookmarkEnd w:id="99"/>
    <w:bookmarkEnd w:id="100"/>
    <w:p w14:paraId="71FC7E7E">
      <w:pPr>
        <w:pStyle w:val="9"/>
        <w:numPr>
          <w:ilvl w:val="0"/>
          <w:numId w:val="25"/>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1C7787E0">
      <w:pPr>
        <w:pStyle w:val="9"/>
        <w:numPr>
          <w:ilvl w:val="0"/>
          <w:numId w:val="25"/>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7B29E042">
      <w:pPr>
        <w:pStyle w:val="9"/>
        <w:numPr>
          <w:ilvl w:val="0"/>
          <w:numId w:val="25"/>
        </w:numPr>
        <w:snapToGrid w:val="0"/>
        <w:spacing w:after="0" w:line="240" w:lineRule="auto"/>
        <w:ind w:left="525" w:leftChars="0" w:hanging="525" w:hangingChars="250"/>
        <w:contextualSpacing/>
        <w:jc w:val="left"/>
        <w:rPr>
          <w:rFonts w:hint="eastAsia"/>
          <w:szCs w:val="21"/>
        </w:rPr>
      </w:pPr>
      <w:r>
        <w:rPr>
          <w:rFonts w:hint="eastAsia"/>
          <w:szCs w:val="21"/>
        </w:rPr>
        <w:t>如本</w:t>
      </w:r>
      <w:r>
        <w:rPr>
          <w:rFonts w:ascii="宋体" w:hAnsi="宋体" w:cs="微软雅黑"/>
          <w:szCs w:val="21"/>
        </w:rPr>
        <w:t>合同</w:t>
      </w:r>
      <w:r>
        <w:rPr>
          <w:rFonts w:hint="eastAsia" w:ascii="宋体" w:hAnsi="宋体"/>
          <w:szCs w:val="21"/>
        </w:rPr>
        <w:t>要</w:t>
      </w:r>
      <w:r>
        <w:rPr>
          <w:rFonts w:hint="eastAsia"/>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33C15B0">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E11DDF7">
      <w:pPr>
        <w:pStyle w:val="29"/>
        <w:numPr>
          <w:ilvl w:val="0"/>
          <w:numId w:val="15"/>
        </w:numPr>
        <w:ind w:left="0" w:firstLine="0" w:firstLineChars="0"/>
        <w:contextualSpacing/>
        <w:jc w:val="left"/>
        <w:rPr>
          <w:b/>
          <w:szCs w:val="21"/>
        </w:rPr>
      </w:pPr>
      <w:r>
        <w:rPr>
          <w:b/>
          <w:szCs w:val="21"/>
        </w:rPr>
        <w:t>不可抗力</w:t>
      </w:r>
    </w:p>
    <w:p w14:paraId="0E7D5840">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lang w:val="en-US" w:eastAsia="zh-CN"/>
        </w:rPr>
        <w:t>日</w:t>
      </w:r>
      <w:r>
        <w:rPr>
          <w:bCs/>
          <w:szCs w:val="21"/>
        </w:rPr>
        <w:t>，甲方有权解除合同，双方互不承担违约责任。</w:t>
      </w:r>
    </w:p>
    <w:p w14:paraId="79AF4B1D">
      <w:pPr>
        <w:pStyle w:val="29"/>
        <w:numPr>
          <w:ilvl w:val="0"/>
          <w:numId w:val="15"/>
        </w:numPr>
        <w:ind w:left="0" w:firstLine="0" w:firstLineChars="0"/>
        <w:contextualSpacing/>
        <w:jc w:val="left"/>
        <w:rPr>
          <w:b/>
          <w:szCs w:val="21"/>
        </w:rPr>
      </w:pPr>
      <w:r>
        <w:rPr>
          <w:b/>
          <w:szCs w:val="21"/>
        </w:rPr>
        <w:t>合同终止及解除</w:t>
      </w:r>
    </w:p>
    <w:p w14:paraId="54E19CC2">
      <w:pPr>
        <w:pStyle w:val="29"/>
        <w:numPr>
          <w:ilvl w:val="0"/>
          <w:numId w:val="26"/>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6E4796D1">
      <w:pPr>
        <w:pStyle w:val="29"/>
        <w:numPr>
          <w:ilvl w:val="0"/>
          <w:numId w:val="26"/>
        </w:numPr>
        <w:ind w:left="0" w:firstLine="0" w:firstLineChars="0"/>
        <w:rPr>
          <w:szCs w:val="21"/>
        </w:rPr>
      </w:pPr>
      <w:r>
        <w:rPr>
          <w:szCs w:val="21"/>
        </w:rPr>
        <w:t>在甲、乙任何一方有严重违约行为时，另一方有权单方解除合同。</w:t>
      </w:r>
    </w:p>
    <w:p w14:paraId="4B71AFAF">
      <w:pPr>
        <w:pStyle w:val="29"/>
        <w:numPr>
          <w:ilvl w:val="0"/>
          <w:numId w:val="15"/>
        </w:numPr>
        <w:ind w:left="0" w:firstLine="0" w:firstLineChars="0"/>
        <w:contextualSpacing/>
        <w:jc w:val="left"/>
        <w:rPr>
          <w:b/>
          <w:szCs w:val="21"/>
        </w:rPr>
      </w:pPr>
      <w:r>
        <w:rPr>
          <w:b/>
          <w:szCs w:val="21"/>
        </w:rPr>
        <w:t>争议解决办法</w:t>
      </w:r>
    </w:p>
    <w:p w14:paraId="636DABCE">
      <w:pPr>
        <w:pStyle w:val="29"/>
        <w:numPr>
          <w:ilvl w:val="0"/>
          <w:numId w:val="27"/>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0164F8DF">
      <w:pPr>
        <w:pStyle w:val="29"/>
        <w:numPr>
          <w:ilvl w:val="0"/>
          <w:numId w:val="27"/>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19AC403B">
      <w:pPr>
        <w:pStyle w:val="29"/>
        <w:numPr>
          <w:ilvl w:val="0"/>
          <w:numId w:val="15"/>
        </w:numPr>
        <w:ind w:left="0" w:firstLine="0" w:firstLineChars="0"/>
        <w:contextualSpacing/>
        <w:jc w:val="left"/>
        <w:rPr>
          <w:b/>
          <w:szCs w:val="21"/>
        </w:rPr>
      </w:pPr>
      <w:r>
        <w:rPr>
          <w:b/>
          <w:szCs w:val="21"/>
        </w:rPr>
        <w:t>送达（送达地址是司法机关、执法机关和仲裁机关将法律文书送达给当事人的收件地址）</w:t>
      </w:r>
    </w:p>
    <w:p w14:paraId="0028DA46">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3A4A6F4F">
      <w:pPr>
        <w:pStyle w:val="34"/>
        <w:numPr>
          <w:ilvl w:val="0"/>
          <w:numId w:val="28"/>
        </w:numPr>
        <w:ind w:left="0" w:firstLine="0"/>
        <w:rPr>
          <w:rFonts w:hAnsi="Times New Roman" w:eastAsia="宋体" w:cs="Times New Roman"/>
          <w:color w:val="auto"/>
        </w:rPr>
      </w:pPr>
      <w:r>
        <w:rPr>
          <w:rFonts w:hAnsi="Times New Roman" w:eastAsia="宋体" w:cs="Times New Roman"/>
          <w:color w:val="auto"/>
        </w:rPr>
        <w:t>乙方送达地址：***</w:t>
      </w:r>
    </w:p>
    <w:p w14:paraId="549CEA8D">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2DF0049">
      <w:pPr>
        <w:pStyle w:val="29"/>
        <w:numPr>
          <w:ilvl w:val="0"/>
          <w:numId w:val="15"/>
        </w:numPr>
        <w:ind w:left="0" w:firstLine="0" w:firstLineChars="0"/>
        <w:contextualSpacing/>
        <w:jc w:val="left"/>
        <w:rPr>
          <w:b/>
          <w:szCs w:val="21"/>
        </w:rPr>
      </w:pPr>
      <w:r>
        <w:rPr>
          <w:b/>
          <w:szCs w:val="21"/>
        </w:rPr>
        <w:t>其他</w:t>
      </w:r>
    </w:p>
    <w:p w14:paraId="601ABAEC">
      <w:pPr>
        <w:pStyle w:val="29"/>
        <w:numPr>
          <w:ilvl w:val="0"/>
          <w:numId w:val="29"/>
        </w:numPr>
        <w:ind w:left="0" w:firstLine="0" w:firstLineChars="0"/>
        <w:rPr>
          <w:szCs w:val="21"/>
        </w:rPr>
      </w:pPr>
      <w:r>
        <w:rPr>
          <w:szCs w:val="21"/>
        </w:rPr>
        <w:t>如有未尽事宜，由双方依法订立补充合同。补充合同及本合同附件均为本合同的组成部分，与本合同具有同等法律效力。</w:t>
      </w:r>
    </w:p>
    <w:p w14:paraId="7C81D7BB">
      <w:pPr>
        <w:pStyle w:val="29"/>
        <w:numPr>
          <w:ilvl w:val="0"/>
          <w:numId w:val="29"/>
        </w:numPr>
        <w:ind w:left="0" w:firstLine="0" w:firstLineChars="0"/>
        <w:rPr>
          <w:szCs w:val="21"/>
        </w:rPr>
      </w:pPr>
      <w:r>
        <w:rPr>
          <w:szCs w:val="21"/>
        </w:rPr>
        <w:t>本合同一式四份，自双方</w:t>
      </w:r>
      <w:r>
        <w:rPr>
          <w:rFonts w:hint="eastAsia" w:ascii="Times New Roman" w:hAnsi="Times New Roman"/>
          <w:szCs w:val="21"/>
          <w:lang w:val="en-US" w:eastAsia="zh-CN"/>
        </w:rPr>
        <w:t>签字且盖章</w:t>
      </w:r>
      <w:r>
        <w:rPr>
          <w:szCs w:val="21"/>
        </w:rPr>
        <w:t>之日起生效。甲方三份，乙方一份。</w:t>
      </w:r>
    </w:p>
    <w:p w14:paraId="1C3E25A2">
      <w:pPr>
        <w:pStyle w:val="29"/>
        <w:numPr>
          <w:ilvl w:val="0"/>
          <w:numId w:val="15"/>
        </w:numPr>
        <w:ind w:left="0" w:firstLine="0" w:firstLineChars="0"/>
        <w:contextualSpacing/>
        <w:jc w:val="left"/>
        <w:rPr>
          <w:b/>
          <w:szCs w:val="21"/>
        </w:rPr>
      </w:pPr>
      <w:r>
        <w:rPr>
          <w:b/>
          <w:szCs w:val="21"/>
        </w:rPr>
        <w:t>合同附件</w:t>
      </w:r>
    </w:p>
    <w:p w14:paraId="173685B4">
      <w:pPr>
        <w:rPr>
          <w:szCs w:val="21"/>
        </w:rPr>
      </w:pPr>
      <w:r>
        <w:rPr>
          <w:szCs w:val="21"/>
        </w:rPr>
        <w:t>本合同为</w:t>
      </w:r>
      <w:r>
        <w:rPr>
          <w:rFonts w:hint="eastAsia"/>
          <w:szCs w:val="21"/>
        </w:rPr>
        <w:t>有</w:t>
      </w:r>
      <w:r>
        <w:rPr>
          <w:szCs w:val="21"/>
        </w:rPr>
        <w:t>附件合同</w:t>
      </w:r>
      <w:r>
        <w:rPr>
          <w:rFonts w:hint="eastAsia"/>
          <w:szCs w:val="21"/>
        </w:rPr>
        <w:t>，附件如下：</w:t>
      </w:r>
      <w:r>
        <w:rPr>
          <w:i/>
          <w:iCs/>
          <w:szCs w:val="21"/>
          <w:highlight w:val="yellow"/>
        </w:rPr>
        <w:t>&lt;根据项目实际情况编制&gt;</w:t>
      </w:r>
    </w:p>
    <w:p w14:paraId="3FBFD751">
      <w:pPr>
        <w:jc w:val="left"/>
        <w:outlineLvl w:val="0"/>
        <w:rPr>
          <w:szCs w:val="21"/>
        </w:rPr>
      </w:pPr>
      <w:r>
        <w:rPr>
          <w:rFonts w:hint="eastAsia"/>
          <w:szCs w:val="21"/>
        </w:rPr>
        <w:t>附件1《</w:t>
      </w:r>
      <w:bookmarkStart w:id="101" w:name="OLE_LINK32"/>
      <w:r>
        <w:rPr>
          <w:rFonts w:hint="eastAsia"/>
          <w:szCs w:val="21"/>
        </w:rPr>
        <w:t>结算单价清单</w:t>
      </w:r>
      <w:bookmarkEnd w:id="101"/>
      <w:r>
        <w:rPr>
          <w:rFonts w:hint="eastAsia"/>
          <w:szCs w:val="21"/>
        </w:rPr>
        <w:t>》</w:t>
      </w:r>
    </w:p>
    <w:p w14:paraId="3DB40CA7">
      <w:pPr>
        <w:jc w:val="left"/>
        <w:outlineLvl w:val="0"/>
        <w:rPr>
          <w:szCs w:val="21"/>
        </w:rPr>
      </w:pPr>
      <w:r>
        <w:rPr>
          <w:rFonts w:hint="eastAsia"/>
          <w:szCs w:val="21"/>
        </w:rPr>
        <w:t>附件2《考核标准》</w:t>
      </w:r>
    </w:p>
    <w:p w14:paraId="3F562E6C">
      <w:pPr>
        <w:jc w:val="left"/>
        <w:outlineLvl w:val="0"/>
        <w:rPr>
          <w:szCs w:val="21"/>
        </w:rPr>
      </w:pPr>
      <w:r>
        <w:rPr>
          <w:szCs w:val="21"/>
        </w:rPr>
        <w:t>附件3《服务</w:t>
      </w:r>
      <w:r>
        <w:rPr>
          <w:rFonts w:hint="eastAsia"/>
          <w:szCs w:val="21"/>
        </w:rPr>
        <w:t>方案</w:t>
      </w:r>
      <w:r>
        <w:rPr>
          <w:szCs w:val="21"/>
        </w:rPr>
        <w:t>》</w:t>
      </w:r>
    </w:p>
    <w:p w14:paraId="3666B086">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11368596">
        <w:tblPrEx>
          <w:tblCellMar>
            <w:top w:w="0" w:type="dxa"/>
            <w:left w:w="0" w:type="dxa"/>
            <w:bottom w:w="0" w:type="dxa"/>
            <w:right w:w="0" w:type="dxa"/>
          </w:tblCellMar>
        </w:tblPrEx>
        <w:trPr>
          <w:trHeight w:val="519" w:hRule="atLeast"/>
          <w:jc w:val="center"/>
        </w:trPr>
        <w:tc>
          <w:tcPr>
            <w:tcW w:w="10214" w:type="dxa"/>
            <w:gridSpan w:val="2"/>
          </w:tcPr>
          <w:p w14:paraId="5B66C8E9">
            <w:pPr>
              <w:rPr>
                <w:szCs w:val="21"/>
              </w:rPr>
            </w:pPr>
            <w:r>
              <w:rPr>
                <w:szCs w:val="21"/>
              </w:rPr>
              <w:t>签订时间：</w:t>
            </w:r>
            <w:r>
              <w:t>202</w:t>
            </w:r>
            <w:r>
              <w:rPr>
                <w:rFonts w:hint="eastAsia"/>
              </w:rPr>
              <w:t>*</w:t>
            </w:r>
            <w:r>
              <w:rPr>
                <w:szCs w:val="21"/>
              </w:rPr>
              <w:t>年***月***日</w:t>
            </w:r>
          </w:p>
        </w:tc>
      </w:tr>
      <w:tr w14:paraId="7BC71E8E">
        <w:tblPrEx>
          <w:tblCellMar>
            <w:top w:w="0" w:type="dxa"/>
            <w:left w:w="0" w:type="dxa"/>
            <w:bottom w:w="0" w:type="dxa"/>
            <w:right w:w="0" w:type="dxa"/>
          </w:tblCellMar>
        </w:tblPrEx>
        <w:trPr>
          <w:jc w:val="center"/>
        </w:trPr>
        <w:tc>
          <w:tcPr>
            <w:tcW w:w="4967" w:type="dxa"/>
          </w:tcPr>
          <w:p w14:paraId="73AF9764">
            <w:pPr>
              <w:rPr>
                <w:szCs w:val="21"/>
              </w:rPr>
            </w:pPr>
            <w:r>
              <w:rPr>
                <w:szCs w:val="21"/>
              </w:rPr>
              <w:t>甲方：四川省人民医院（盖章）</w:t>
            </w:r>
          </w:p>
          <w:p w14:paraId="324FD79B">
            <w:pPr>
              <w:rPr>
                <w:szCs w:val="21"/>
              </w:rPr>
            </w:pPr>
            <w:r>
              <w:rPr>
                <w:szCs w:val="21"/>
              </w:rPr>
              <w:t>法定代表人（授权代表签字）：</w:t>
            </w:r>
          </w:p>
          <w:p w14:paraId="3C0F2DF3">
            <w:pPr>
              <w:rPr>
                <w:szCs w:val="21"/>
              </w:rPr>
            </w:pPr>
            <w:r>
              <w:rPr>
                <w:szCs w:val="21"/>
              </w:rPr>
              <w:t>地    址：四川省成都市一环路西二段32号</w:t>
            </w:r>
          </w:p>
          <w:p w14:paraId="2D62988C">
            <w:pPr>
              <w:rPr>
                <w:szCs w:val="21"/>
              </w:rPr>
            </w:pPr>
            <w:r>
              <w:rPr>
                <w:szCs w:val="21"/>
              </w:rPr>
              <w:t>开户银行：建设银行成都青羊支行</w:t>
            </w:r>
          </w:p>
          <w:p w14:paraId="3A830176">
            <w:pPr>
              <w:rPr>
                <w:szCs w:val="21"/>
              </w:rPr>
            </w:pPr>
            <w:r>
              <w:rPr>
                <w:szCs w:val="21"/>
              </w:rPr>
              <w:t>账号：5100 1446 4360 5037 4282</w:t>
            </w:r>
          </w:p>
        </w:tc>
        <w:tc>
          <w:tcPr>
            <w:tcW w:w="5247" w:type="dxa"/>
          </w:tcPr>
          <w:p w14:paraId="4EDBD419">
            <w:pPr>
              <w:rPr>
                <w:szCs w:val="21"/>
              </w:rPr>
            </w:pPr>
            <w:r>
              <w:rPr>
                <w:szCs w:val="21"/>
              </w:rPr>
              <w:t>乙方：</w:t>
            </w:r>
            <w:permStart w:id="10" w:edGrp="everyone"/>
            <w:r>
              <w:rPr>
                <w:szCs w:val="21"/>
              </w:rPr>
              <w:t>***</w:t>
            </w:r>
            <w:permEnd w:id="10"/>
            <w:r>
              <w:rPr>
                <w:szCs w:val="21"/>
              </w:rPr>
              <w:t>（盖章）</w:t>
            </w:r>
          </w:p>
          <w:p w14:paraId="6264A0D1">
            <w:pPr>
              <w:rPr>
                <w:szCs w:val="21"/>
              </w:rPr>
            </w:pPr>
            <w:r>
              <w:rPr>
                <w:szCs w:val="21"/>
              </w:rPr>
              <w:t>法定代表人（授权代表签字）：</w:t>
            </w:r>
          </w:p>
          <w:p w14:paraId="497A54AE">
            <w:pPr>
              <w:rPr>
                <w:szCs w:val="21"/>
              </w:rPr>
            </w:pPr>
            <w:r>
              <w:rPr>
                <w:szCs w:val="21"/>
              </w:rPr>
              <w:t>地址：</w:t>
            </w:r>
            <w:permStart w:id="11" w:edGrp="everyone"/>
            <w:r>
              <w:rPr>
                <w:szCs w:val="21"/>
              </w:rPr>
              <w:t>***</w:t>
            </w:r>
            <w:permEnd w:id="11"/>
          </w:p>
          <w:p w14:paraId="750F807B">
            <w:pPr>
              <w:rPr>
                <w:szCs w:val="21"/>
              </w:rPr>
            </w:pPr>
            <w:r>
              <w:rPr>
                <w:szCs w:val="21"/>
              </w:rPr>
              <w:t>开户银行：</w:t>
            </w:r>
            <w:permStart w:id="12" w:edGrp="everyone"/>
            <w:r>
              <w:rPr>
                <w:szCs w:val="21"/>
              </w:rPr>
              <w:t>***</w:t>
            </w:r>
          </w:p>
          <w:permEnd w:id="12"/>
          <w:p w14:paraId="6EC0F6C0">
            <w:pPr>
              <w:widowControl/>
              <w:jc w:val="left"/>
            </w:pPr>
            <w:r>
              <w:rPr>
                <w:szCs w:val="21"/>
              </w:rPr>
              <w:t>账号：</w:t>
            </w:r>
            <w:permStart w:id="13" w:edGrp="everyone"/>
            <w:r>
              <w:rPr>
                <w:szCs w:val="21"/>
              </w:rPr>
              <w:t>***</w:t>
            </w:r>
            <w:permEnd w:id="13"/>
          </w:p>
        </w:tc>
      </w:tr>
    </w:tbl>
    <w:p w14:paraId="37526379">
      <w:pPr>
        <w:jc w:val="left"/>
        <w:outlineLvl w:val="0"/>
        <w:rPr>
          <w:b/>
          <w:bCs/>
          <w:szCs w:val="21"/>
        </w:rPr>
        <w:sectPr>
          <w:footerReference r:id="rId9" w:type="default"/>
          <w:type w:val="continuous"/>
          <w:pgSz w:w="11906" w:h="16838"/>
          <w:pgMar w:top="851" w:right="1134" w:bottom="851" w:left="1134" w:header="0" w:footer="567" w:gutter="0"/>
          <w:cols w:space="425" w:num="1"/>
          <w:docGrid w:linePitch="312" w:charSpace="0"/>
        </w:sectPr>
      </w:pPr>
    </w:p>
    <w:p w14:paraId="6E60DBBD">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4DADEC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4947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BA1D269">
            <w:pPr>
              <w:widowControl/>
              <w:jc w:val="center"/>
              <w:rPr>
                <w:b/>
                <w:bCs/>
                <w:szCs w:val="21"/>
              </w:rPr>
            </w:pPr>
            <w:r>
              <w:rPr>
                <w:rFonts w:hint="eastAsia"/>
                <w:b/>
                <w:bCs/>
                <w:szCs w:val="21"/>
              </w:rPr>
              <w:t>序号</w:t>
            </w:r>
          </w:p>
        </w:tc>
        <w:tc>
          <w:tcPr>
            <w:tcW w:w="3686" w:type="dxa"/>
            <w:vAlign w:val="center"/>
          </w:tcPr>
          <w:p w14:paraId="7A11D69D">
            <w:pPr>
              <w:widowControl/>
              <w:jc w:val="center"/>
              <w:rPr>
                <w:b/>
                <w:bCs/>
                <w:szCs w:val="21"/>
              </w:rPr>
            </w:pPr>
            <w:r>
              <w:rPr>
                <w:rFonts w:hint="eastAsia"/>
                <w:b/>
                <w:bCs/>
                <w:szCs w:val="21"/>
              </w:rPr>
              <w:t>结算项目名称</w:t>
            </w:r>
          </w:p>
        </w:tc>
        <w:tc>
          <w:tcPr>
            <w:tcW w:w="3402" w:type="dxa"/>
            <w:vAlign w:val="center"/>
          </w:tcPr>
          <w:p w14:paraId="19634863">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10DCC17A">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7FF7320B">
            <w:pPr>
              <w:widowControl/>
              <w:jc w:val="center"/>
              <w:rPr>
                <w:b/>
                <w:bCs/>
                <w:szCs w:val="21"/>
              </w:rPr>
            </w:pPr>
            <w:r>
              <w:rPr>
                <w:rFonts w:hint="eastAsia"/>
                <w:b/>
                <w:bCs/>
                <w:szCs w:val="21"/>
              </w:rPr>
              <w:t>结算单价</w:t>
            </w:r>
          </w:p>
        </w:tc>
      </w:tr>
      <w:tr w14:paraId="43E51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30B0646">
            <w:pPr>
              <w:widowControl/>
              <w:jc w:val="center"/>
              <w:rPr>
                <w:szCs w:val="21"/>
              </w:rPr>
            </w:pPr>
            <w:r>
              <w:rPr>
                <w:rFonts w:hint="eastAsia"/>
                <w:szCs w:val="21"/>
              </w:rPr>
              <w:t>1</w:t>
            </w:r>
          </w:p>
        </w:tc>
        <w:tc>
          <w:tcPr>
            <w:tcW w:w="3686" w:type="dxa"/>
            <w:vAlign w:val="center"/>
          </w:tcPr>
          <w:p w14:paraId="38FC8BCA">
            <w:pPr>
              <w:widowControl/>
              <w:jc w:val="left"/>
              <w:rPr>
                <w:szCs w:val="21"/>
              </w:rPr>
            </w:pPr>
          </w:p>
        </w:tc>
        <w:tc>
          <w:tcPr>
            <w:tcW w:w="3402" w:type="dxa"/>
            <w:vAlign w:val="center"/>
          </w:tcPr>
          <w:p w14:paraId="4B8B8E7D">
            <w:pPr>
              <w:widowControl/>
              <w:jc w:val="left"/>
              <w:rPr>
                <w:szCs w:val="21"/>
              </w:rPr>
            </w:pPr>
          </w:p>
        </w:tc>
        <w:tc>
          <w:tcPr>
            <w:tcW w:w="992" w:type="dxa"/>
            <w:vAlign w:val="center"/>
          </w:tcPr>
          <w:p w14:paraId="43E61D8A">
            <w:pPr>
              <w:widowControl/>
              <w:jc w:val="center"/>
              <w:rPr>
                <w:szCs w:val="21"/>
              </w:rPr>
            </w:pPr>
          </w:p>
        </w:tc>
        <w:tc>
          <w:tcPr>
            <w:tcW w:w="986" w:type="dxa"/>
            <w:vAlign w:val="center"/>
          </w:tcPr>
          <w:p w14:paraId="6E07FF96">
            <w:pPr>
              <w:widowControl/>
              <w:jc w:val="center"/>
              <w:rPr>
                <w:szCs w:val="21"/>
              </w:rPr>
            </w:pPr>
          </w:p>
        </w:tc>
      </w:tr>
      <w:tr w14:paraId="3434B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5A8BEE5">
            <w:pPr>
              <w:widowControl/>
              <w:jc w:val="center"/>
              <w:rPr>
                <w:szCs w:val="21"/>
              </w:rPr>
            </w:pPr>
            <w:r>
              <w:rPr>
                <w:rFonts w:hint="eastAsia"/>
                <w:szCs w:val="21"/>
              </w:rPr>
              <w:t>2</w:t>
            </w:r>
          </w:p>
        </w:tc>
        <w:tc>
          <w:tcPr>
            <w:tcW w:w="3686" w:type="dxa"/>
            <w:vAlign w:val="center"/>
          </w:tcPr>
          <w:p w14:paraId="75B02929">
            <w:pPr>
              <w:widowControl/>
              <w:jc w:val="left"/>
              <w:rPr>
                <w:szCs w:val="21"/>
              </w:rPr>
            </w:pPr>
          </w:p>
        </w:tc>
        <w:tc>
          <w:tcPr>
            <w:tcW w:w="3402" w:type="dxa"/>
            <w:vAlign w:val="center"/>
          </w:tcPr>
          <w:p w14:paraId="0227FF29">
            <w:pPr>
              <w:widowControl/>
              <w:jc w:val="left"/>
              <w:rPr>
                <w:szCs w:val="21"/>
              </w:rPr>
            </w:pPr>
          </w:p>
        </w:tc>
        <w:tc>
          <w:tcPr>
            <w:tcW w:w="992" w:type="dxa"/>
            <w:vAlign w:val="center"/>
          </w:tcPr>
          <w:p w14:paraId="537485B6">
            <w:pPr>
              <w:widowControl/>
              <w:jc w:val="center"/>
              <w:rPr>
                <w:szCs w:val="21"/>
              </w:rPr>
            </w:pPr>
          </w:p>
        </w:tc>
        <w:tc>
          <w:tcPr>
            <w:tcW w:w="986" w:type="dxa"/>
            <w:vAlign w:val="center"/>
          </w:tcPr>
          <w:p w14:paraId="383A6B57">
            <w:pPr>
              <w:widowControl/>
              <w:jc w:val="center"/>
              <w:rPr>
                <w:szCs w:val="21"/>
              </w:rPr>
            </w:pPr>
          </w:p>
        </w:tc>
      </w:tr>
      <w:tr w14:paraId="41A8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5B890BB">
            <w:pPr>
              <w:widowControl/>
              <w:jc w:val="center"/>
              <w:rPr>
                <w:szCs w:val="21"/>
              </w:rPr>
            </w:pPr>
            <w:r>
              <w:rPr>
                <w:szCs w:val="21"/>
              </w:rPr>
              <w:t>…</w:t>
            </w:r>
          </w:p>
        </w:tc>
        <w:tc>
          <w:tcPr>
            <w:tcW w:w="3686" w:type="dxa"/>
            <w:vAlign w:val="center"/>
          </w:tcPr>
          <w:p w14:paraId="7495559C">
            <w:pPr>
              <w:widowControl/>
              <w:jc w:val="left"/>
              <w:rPr>
                <w:szCs w:val="21"/>
              </w:rPr>
            </w:pPr>
          </w:p>
        </w:tc>
        <w:tc>
          <w:tcPr>
            <w:tcW w:w="3402" w:type="dxa"/>
            <w:vAlign w:val="center"/>
          </w:tcPr>
          <w:p w14:paraId="20022F4B">
            <w:pPr>
              <w:widowControl/>
              <w:jc w:val="left"/>
              <w:rPr>
                <w:szCs w:val="21"/>
              </w:rPr>
            </w:pPr>
          </w:p>
        </w:tc>
        <w:tc>
          <w:tcPr>
            <w:tcW w:w="992" w:type="dxa"/>
            <w:vAlign w:val="center"/>
          </w:tcPr>
          <w:p w14:paraId="0EDD2033">
            <w:pPr>
              <w:widowControl/>
              <w:jc w:val="center"/>
              <w:rPr>
                <w:szCs w:val="21"/>
              </w:rPr>
            </w:pPr>
          </w:p>
        </w:tc>
        <w:tc>
          <w:tcPr>
            <w:tcW w:w="986" w:type="dxa"/>
            <w:vAlign w:val="center"/>
          </w:tcPr>
          <w:p w14:paraId="5428F0BC">
            <w:pPr>
              <w:widowControl/>
              <w:jc w:val="center"/>
              <w:rPr>
                <w:szCs w:val="21"/>
              </w:rPr>
            </w:pPr>
          </w:p>
        </w:tc>
      </w:tr>
    </w:tbl>
    <w:p w14:paraId="2FA5D800">
      <w:pPr>
        <w:widowControl/>
        <w:jc w:val="left"/>
        <w:rPr>
          <w:szCs w:val="21"/>
        </w:rPr>
        <w:sectPr>
          <w:pgSz w:w="11906" w:h="16838"/>
          <w:pgMar w:top="851" w:right="1134" w:bottom="851" w:left="1134" w:header="0" w:footer="567" w:gutter="0"/>
          <w:pgNumType w:start="1"/>
          <w:cols w:space="425" w:num="1"/>
          <w:docGrid w:linePitch="312" w:charSpace="0"/>
        </w:sectPr>
      </w:pPr>
    </w:p>
    <w:p w14:paraId="49207082">
      <w:pPr>
        <w:widowControl/>
        <w:jc w:val="left"/>
        <w:rPr>
          <w:rFonts w:ascii="宋体" w:hAnsi="宋体"/>
          <w:b/>
          <w:bCs/>
          <w:szCs w:val="21"/>
        </w:rPr>
      </w:pPr>
      <w:r>
        <w:rPr>
          <w:rFonts w:hint="eastAsia" w:ascii="宋体" w:hAnsi="宋体"/>
          <w:b/>
          <w:bCs/>
          <w:szCs w:val="21"/>
        </w:rPr>
        <w:t>附件2：考核标准</w:t>
      </w:r>
      <w:r>
        <w:rPr>
          <w:rFonts w:hint="eastAsia"/>
          <w:b/>
          <w:bCs/>
          <w:i/>
          <w:iCs/>
          <w:szCs w:val="21"/>
          <w:highlight w:val="yellow"/>
        </w:rPr>
        <w:t>&lt;根据项目实际情况编制</w:t>
      </w:r>
      <w:r>
        <w:rPr>
          <w:b/>
          <w:bCs/>
          <w:i/>
          <w:iCs/>
          <w:szCs w:val="21"/>
          <w:highlight w:val="yellow"/>
        </w:rPr>
        <w:t>&gt;</w:t>
      </w:r>
    </w:p>
    <w:p w14:paraId="7C88F447"/>
    <w:p w14:paraId="4A703B0A">
      <w:pPr>
        <w:widowControl/>
        <w:jc w:val="left"/>
        <w:sectPr>
          <w:pgSz w:w="11906" w:h="16838"/>
          <w:pgMar w:top="851" w:right="1134" w:bottom="851" w:left="1134" w:header="0" w:footer="567" w:gutter="0"/>
          <w:pgNumType w:start="1"/>
          <w:cols w:space="425" w:num="1"/>
          <w:docGrid w:linePitch="312" w:charSpace="0"/>
        </w:sectPr>
      </w:pPr>
      <w:r>
        <w:rPr>
          <w:rFonts w:hint="eastAsia"/>
        </w:rPr>
        <w:t>*</w:t>
      </w:r>
      <w:r>
        <w:t>**</w:t>
      </w:r>
    </w:p>
    <w:p w14:paraId="608F479E">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：维保</w:t>
      </w:r>
      <w:r>
        <w:rPr>
          <w:rFonts w:ascii="宋体" w:hAnsi="宋体"/>
          <w:b/>
          <w:bCs/>
          <w:szCs w:val="21"/>
        </w:rPr>
        <w:t>服务</w:t>
      </w:r>
      <w:r>
        <w:rPr>
          <w:rFonts w:hint="eastAsia" w:ascii="宋体" w:hAnsi="宋体"/>
          <w:b/>
          <w:bCs/>
          <w:szCs w:val="21"/>
        </w:rPr>
        <w:t>方案</w:t>
      </w:r>
      <w:r>
        <w:rPr>
          <w:rFonts w:hint="eastAsia"/>
          <w:b/>
          <w:bCs/>
          <w:i/>
          <w:iCs/>
          <w:szCs w:val="21"/>
          <w:highlight w:val="yellow"/>
        </w:rPr>
        <w:t>&lt;根据项目实际情况编制</w:t>
      </w:r>
      <w:r>
        <w:rPr>
          <w:b/>
          <w:bCs/>
          <w:i/>
          <w:iCs/>
          <w:szCs w:val="21"/>
          <w:highlight w:val="yellow"/>
        </w:rPr>
        <w:t>&gt;</w:t>
      </w:r>
    </w:p>
    <w:p w14:paraId="3060B2D3"/>
    <w:p w14:paraId="252FA403">
      <w:r>
        <w:rPr>
          <w:rFonts w:hint="eastAsia"/>
        </w:rPr>
        <w:t>*</w:t>
      </w:r>
      <w:r>
        <w:t>**</w:t>
      </w:r>
    </w:p>
    <w:p w14:paraId="7EE0D467">
      <w:pPr>
        <w:jc w:val="center"/>
        <w:rPr>
          <w:rFonts w:ascii="Times New Roman" w:hAnsi="Times New Roman" w:cs="Times New Roman"/>
          <w:b/>
          <w:bCs/>
          <w:color w:val="auto"/>
          <w:sz w:val="44"/>
          <w:szCs w:val="52"/>
          <w:highlight w:val="none"/>
        </w:rPr>
        <w:sectPr>
          <w:headerReference r:id="rId10" w:type="default"/>
          <w:footerReference r:id="rId11"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2"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3"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7F07AEB-4D83-47F1-9632-708E031D66E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F419498-3E68-4320-918A-62E926EFCD0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BB9D1A1-7D02-4F2E-BDF6-5B48F15C0A7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06248B5-86A0-4701-9D02-D3C3C6EAD4D2}"/>
  </w:font>
  <w:font w:name="Segoe UI Symbol">
    <w:panose1 w:val="020B0502040204020203"/>
    <w:charset w:val="00"/>
    <w:family w:val="swiss"/>
    <w:pitch w:val="default"/>
    <w:sig w:usb0="800001E3" w:usb1="1200FFEF" w:usb2="00040000" w:usb3="04000000" w:csb0="00000001" w:csb1="40000000"/>
    <w:embedRegular r:id="rId5" w:fontKey="{CBFFAD5A-C531-4CC5-B3F5-D5422C24FD5A}"/>
  </w:font>
  <w:font w:name="Wingdings 2">
    <w:altName w:val="Wingdings"/>
    <w:panose1 w:val="05020102010507070707"/>
    <w:charset w:val="4D"/>
    <w:family w:val="decorative"/>
    <w:pitch w:val="default"/>
    <w:sig w:usb0="00000000" w:usb1="00000000" w:usb2="00000000" w:usb3="00000000" w:csb0="80000000" w:csb1="00000000"/>
    <w:embedRegular r:id="rId6" w:fontKey="{F4AD171F-2909-4B41-8F40-BA60C6F1852F}"/>
  </w:font>
  <w:font w:name="微软雅黑">
    <w:panose1 w:val="020B0503020204020204"/>
    <w:charset w:val="86"/>
    <w:family w:val="auto"/>
    <w:pitch w:val="default"/>
    <w:sig w:usb0="80000287" w:usb1="2ACF3C50" w:usb2="00000016" w:usb3="00000000" w:csb0="0004001F" w:csb1="00000000"/>
    <w:embedRegular r:id="rId7" w:fontKey="{BA01F22F-0F7C-4DEA-A71E-74AD86E8564F}"/>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B8557">
    <w:pPr>
      <w:pStyle w:val="11"/>
      <w:jc w:val="center"/>
    </w:pPr>
    <w:r>
      <w:rPr>
        <w:rStyle w:val="22"/>
        <w:rFonts w:hint="eastAsia"/>
      </w:rPr>
      <w:t>第</w:t>
    </w:r>
    <w:r>
      <w:rPr>
        <w:rStyle w:val="22"/>
      </w:rPr>
      <w:fldChar w:fldCharType="begin"/>
    </w:r>
    <w:r>
      <w:rPr>
        <w:rStyle w:val="22"/>
      </w:rPr>
      <w:instrText xml:space="preserve"> PAGE  \* Arabic  \* MERGEFORMAT </w:instrText>
    </w:r>
    <w:r>
      <w:rPr>
        <w:rStyle w:val="22"/>
      </w:rPr>
      <w:fldChar w:fldCharType="separate"/>
    </w:r>
    <w:r>
      <w:rPr>
        <w:rStyle w:val="22"/>
      </w:rPr>
      <w:t>4</w:t>
    </w:r>
    <w:r>
      <w:rPr>
        <w:rStyle w:val="22"/>
      </w:rPr>
      <w:fldChar w:fldCharType="end"/>
    </w:r>
    <w:r>
      <w:rPr>
        <w:rStyle w:val="22"/>
        <w:rFonts w:hint="eastAsia"/>
      </w:rPr>
      <w:t>页/共</w:t>
    </w:r>
    <w:r>
      <w:rPr>
        <w:rStyle w:val="22"/>
      </w:rPr>
      <w:fldChar w:fldCharType="begin"/>
    </w:r>
    <w:r>
      <w:rPr>
        <w:rStyle w:val="22"/>
      </w:rPr>
      <w:instrText xml:space="preserve"> </w:instrText>
    </w:r>
    <w:r>
      <w:rPr>
        <w:rStyle w:val="22"/>
        <w:rFonts w:hint="eastAsia"/>
      </w:rPr>
      <w:instrText xml:space="preserve">SECTIONPAGES  \* MERGEFORMAT</w:instrText>
    </w:r>
    <w:r>
      <w:rPr>
        <w:rStyle w:val="22"/>
      </w:rPr>
      <w:instrText xml:space="preserve"> </w:instrText>
    </w:r>
    <w:r>
      <w:rPr>
        <w:rStyle w:val="22"/>
      </w:rPr>
      <w:fldChar w:fldCharType="separate"/>
    </w:r>
    <w:r>
      <w:rPr>
        <w:rStyle w:val="22"/>
      </w:rPr>
      <w:t>1</w:t>
    </w:r>
    <w:r>
      <w:rPr>
        <w:rStyle w:val="22"/>
      </w:rPr>
      <w:fldChar w:fldCharType="end"/>
    </w:r>
    <w:r>
      <w:rPr>
        <w:rStyle w:val="22"/>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0C71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7D71915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E0272">
    <w:pPr>
      <w:pStyle w:val="11"/>
      <w:jc w:val="center"/>
    </w:pPr>
    <w:r>
      <w:rPr>
        <w:rStyle w:val="22"/>
        <w:rFonts w:hint="eastAsia"/>
      </w:rPr>
      <w:t>第</w:t>
    </w:r>
    <w:r>
      <w:rPr>
        <w:rStyle w:val="22"/>
      </w:rPr>
      <w:fldChar w:fldCharType="begin"/>
    </w:r>
    <w:r>
      <w:rPr>
        <w:rStyle w:val="22"/>
      </w:rPr>
      <w:instrText xml:space="preserve"> PAGE  \* Arabic  \* MERGEFORMAT </w:instrText>
    </w:r>
    <w:r>
      <w:rPr>
        <w:rStyle w:val="22"/>
      </w:rPr>
      <w:fldChar w:fldCharType="separate"/>
    </w:r>
    <w:r>
      <w:rPr>
        <w:rStyle w:val="22"/>
      </w:rPr>
      <w:t>4</w:t>
    </w:r>
    <w:r>
      <w:rPr>
        <w:rStyle w:val="22"/>
      </w:rPr>
      <w:fldChar w:fldCharType="end"/>
    </w:r>
    <w:r>
      <w:rPr>
        <w:rStyle w:val="22"/>
        <w:rFonts w:hint="eastAsia"/>
      </w:rPr>
      <w:t>页/共</w:t>
    </w:r>
    <w:r>
      <w:rPr>
        <w:rStyle w:val="22"/>
      </w:rPr>
      <w:fldChar w:fldCharType="begin"/>
    </w:r>
    <w:r>
      <w:rPr>
        <w:rStyle w:val="22"/>
      </w:rPr>
      <w:instrText xml:space="preserve"> </w:instrText>
    </w:r>
    <w:r>
      <w:rPr>
        <w:rStyle w:val="22"/>
        <w:rFonts w:hint="eastAsia"/>
      </w:rPr>
      <w:instrText xml:space="preserve">SECTIONPAGES  \* MERGEFORMAT</w:instrText>
    </w:r>
    <w:r>
      <w:rPr>
        <w:rStyle w:val="22"/>
      </w:rPr>
      <w:instrText xml:space="preserve"> </w:instrText>
    </w:r>
    <w:r>
      <w:rPr>
        <w:rStyle w:val="22"/>
      </w:rPr>
      <w:fldChar w:fldCharType="separate"/>
    </w:r>
    <w:r>
      <w:rPr>
        <w:rStyle w:val="22"/>
      </w:rPr>
      <w:t>1</w:t>
    </w:r>
    <w:r>
      <w:rPr>
        <w:rStyle w:val="22"/>
      </w:rPr>
      <w:fldChar w:fldCharType="end"/>
    </w:r>
    <w:r>
      <w:rPr>
        <w:rStyle w:val="22"/>
        <w:rFonts w:hint="eastAsia"/>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A697C">
    <w:pPr>
      <w:pStyle w:val="12"/>
      <w:jc w:val="right"/>
    </w:pPr>
    <w:r>
      <w:rPr>
        <w:kern w:val="0"/>
      </w:rPr>
      <w:t>HTMB-SBWB-YN01-202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441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12D49680"/>
    <w:multiLevelType w:val="singleLevel"/>
    <w:tmpl w:val="12D49680"/>
    <w:lvl w:ilvl="0" w:tentative="0">
      <w:start w:val="1"/>
      <w:numFmt w:val="decimal"/>
      <w:suff w:val="nothing"/>
      <w:lvlText w:val="%1、"/>
      <w:lvlJc w:val="left"/>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5E0DB4"/>
    <w:multiLevelType w:val="multilevel"/>
    <w:tmpl w:val="315E0DB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6"/>
  </w:num>
  <w:num w:numId="2">
    <w:abstractNumId w:val="5"/>
  </w:num>
  <w:num w:numId="3">
    <w:abstractNumId w:val="19"/>
  </w:num>
  <w:num w:numId="4">
    <w:abstractNumId w:val="28"/>
  </w:num>
  <w:num w:numId="5">
    <w:abstractNumId w:val="15"/>
  </w:num>
  <w:num w:numId="6">
    <w:abstractNumId w:val="23"/>
  </w:num>
  <w:num w:numId="7">
    <w:abstractNumId w:val="18"/>
  </w:num>
  <w:num w:numId="8">
    <w:abstractNumId w:val="4"/>
  </w:num>
  <w:num w:numId="9">
    <w:abstractNumId w:val="3"/>
  </w:num>
  <w:num w:numId="10">
    <w:abstractNumId w:val="1"/>
  </w:num>
  <w:num w:numId="11">
    <w:abstractNumId w:val="6"/>
  </w:num>
  <w:num w:numId="12">
    <w:abstractNumId w:val="0"/>
  </w:num>
  <w:num w:numId="13">
    <w:abstractNumId w:val="11"/>
  </w:num>
  <w:num w:numId="14">
    <w:abstractNumId w:val="2"/>
  </w:num>
  <w:num w:numId="15">
    <w:abstractNumId w:val="14"/>
  </w:num>
  <w:num w:numId="16">
    <w:abstractNumId w:val="24"/>
  </w:num>
  <w:num w:numId="17">
    <w:abstractNumId w:val="27"/>
  </w:num>
  <w:num w:numId="18">
    <w:abstractNumId w:val="21"/>
  </w:num>
  <w:num w:numId="19">
    <w:abstractNumId w:val="10"/>
  </w:num>
  <w:num w:numId="20">
    <w:abstractNumId w:val="8"/>
  </w:num>
  <w:num w:numId="21">
    <w:abstractNumId w:val="25"/>
  </w:num>
  <w:num w:numId="22">
    <w:abstractNumId w:val="20"/>
  </w:num>
  <w:num w:numId="23">
    <w:abstractNumId w:val="9"/>
  </w:num>
  <w:num w:numId="24">
    <w:abstractNumId w:val="13"/>
  </w:num>
  <w:num w:numId="25">
    <w:abstractNumId w:val="26"/>
  </w:num>
  <w:num w:numId="26">
    <w:abstractNumId w:val="7"/>
  </w:num>
  <w:num w:numId="27">
    <w:abstractNumId w:val="22"/>
  </w:num>
  <w:num w:numId="28">
    <w:abstractNumId w:val="1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33418"/>
    <w:rsid w:val="058C78B0"/>
    <w:rsid w:val="05C043BA"/>
    <w:rsid w:val="05E13064"/>
    <w:rsid w:val="065A4206"/>
    <w:rsid w:val="078A573C"/>
    <w:rsid w:val="093A3733"/>
    <w:rsid w:val="0B4508AE"/>
    <w:rsid w:val="0C9579FB"/>
    <w:rsid w:val="0CF161C9"/>
    <w:rsid w:val="0E0B7FF0"/>
    <w:rsid w:val="0E2477C6"/>
    <w:rsid w:val="117A5014"/>
    <w:rsid w:val="127F05A0"/>
    <w:rsid w:val="135048ED"/>
    <w:rsid w:val="136D78F8"/>
    <w:rsid w:val="158D0380"/>
    <w:rsid w:val="15CC4977"/>
    <w:rsid w:val="162A4F7D"/>
    <w:rsid w:val="16A82A66"/>
    <w:rsid w:val="16DC051F"/>
    <w:rsid w:val="16F4046A"/>
    <w:rsid w:val="1994787E"/>
    <w:rsid w:val="1C1E5BBE"/>
    <w:rsid w:val="1DD000AF"/>
    <w:rsid w:val="1E09745A"/>
    <w:rsid w:val="1E176351"/>
    <w:rsid w:val="1E8F7560"/>
    <w:rsid w:val="1F076EE2"/>
    <w:rsid w:val="1F1E1A47"/>
    <w:rsid w:val="20976DEE"/>
    <w:rsid w:val="22935D1D"/>
    <w:rsid w:val="23D4489F"/>
    <w:rsid w:val="24A71ECD"/>
    <w:rsid w:val="262001B9"/>
    <w:rsid w:val="27800DE3"/>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524729"/>
    <w:rsid w:val="397B37E6"/>
    <w:rsid w:val="39BB4DA4"/>
    <w:rsid w:val="3A551407"/>
    <w:rsid w:val="3B033C36"/>
    <w:rsid w:val="3B243AFF"/>
    <w:rsid w:val="3E5D4E8E"/>
    <w:rsid w:val="3FE25336"/>
    <w:rsid w:val="41076015"/>
    <w:rsid w:val="42075FF8"/>
    <w:rsid w:val="42842020"/>
    <w:rsid w:val="4565638E"/>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6881A0F"/>
    <w:rsid w:val="582B7DE7"/>
    <w:rsid w:val="58EA0B58"/>
    <w:rsid w:val="5A381CBB"/>
    <w:rsid w:val="5D0A3490"/>
    <w:rsid w:val="5D7E0D39"/>
    <w:rsid w:val="5E9D3F29"/>
    <w:rsid w:val="5F745DF0"/>
    <w:rsid w:val="60384CD1"/>
    <w:rsid w:val="60655808"/>
    <w:rsid w:val="60F86CEE"/>
    <w:rsid w:val="61EB38BF"/>
    <w:rsid w:val="62A8354B"/>
    <w:rsid w:val="63A9427A"/>
    <w:rsid w:val="63D462B1"/>
    <w:rsid w:val="641A3596"/>
    <w:rsid w:val="64D96647"/>
    <w:rsid w:val="655B51E5"/>
    <w:rsid w:val="65E40ADA"/>
    <w:rsid w:val="66330B86"/>
    <w:rsid w:val="66B71194"/>
    <w:rsid w:val="66CF404D"/>
    <w:rsid w:val="66E22203"/>
    <w:rsid w:val="674E1080"/>
    <w:rsid w:val="68B812C9"/>
    <w:rsid w:val="69D50CF4"/>
    <w:rsid w:val="6C487AFD"/>
    <w:rsid w:val="6CB24363"/>
    <w:rsid w:val="6D172FAA"/>
    <w:rsid w:val="6D7453C3"/>
    <w:rsid w:val="6E293742"/>
    <w:rsid w:val="6EA93466"/>
    <w:rsid w:val="6FCF0795"/>
    <w:rsid w:val="7011584E"/>
    <w:rsid w:val="71381023"/>
    <w:rsid w:val="733D74FA"/>
    <w:rsid w:val="73714961"/>
    <w:rsid w:val="7376641C"/>
    <w:rsid w:val="73DD4707"/>
    <w:rsid w:val="7421016F"/>
    <w:rsid w:val="754D1D92"/>
    <w:rsid w:val="755E72EB"/>
    <w:rsid w:val="758350A9"/>
    <w:rsid w:val="785D660D"/>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43</Words>
  <Characters>50</Characters>
  <Lines>72</Lines>
  <Paragraphs>20</Paragraphs>
  <TotalTime>1</TotalTime>
  <ScaleCrop>false</ScaleCrop>
  <LinksUpToDate>false</LinksUpToDate>
  <CharactersWithSpaces>55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2026-11-04T09:13:37Z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