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四川省人民医院医学工程智慧保障平台信息化项目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bookmarkStart w:id="100" w:name="_GoBack"/>
      <w:bookmarkEnd w:id="100"/>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20358"/>
      <w:bookmarkStart w:id="1" w:name="_Toc471310326"/>
      <w:bookmarkStart w:id="2" w:name="_Toc1907"/>
      <w:bookmarkStart w:id="3" w:name="_Toc21919"/>
      <w:bookmarkStart w:id="4" w:name="_Toc62832406"/>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四川省人民医院医学工程智慧保障平台信息化项目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CGZX-YXX20260886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38.64万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5C83E6FF">
            <w:pPr>
              <w:pStyle w:val="28"/>
              <w:numPr>
                <w:ilvl w:val="0"/>
                <w:numId w:val="0"/>
              </w:numPr>
              <w:tabs>
                <w:tab w:val="left" w:pos="220"/>
              </w:tabs>
              <w:spacing w:line="360" w:lineRule="auto"/>
              <w:ind w:left="425" w:leftChars="0" w:hanging="205"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收款单位：四川省人民医院</w:t>
            </w:r>
          </w:p>
          <w:p w14:paraId="6FCB2660">
            <w:pPr>
              <w:pStyle w:val="28"/>
              <w:numPr>
                <w:ilvl w:val="0"/>
                <w:numId w:val="0"/>
              </w:numPr>
              <w:tabs>
                <w:tab w:val="left" w:pos="220"/>
              </w:tabs>
              <w:spacing w:line="360" w:lineRule="auto"/>
              <w:ind w:left="425" w:leftChars="0" w:hanging="205"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开户行：建设银行成都青羊支行</w:t>
            </w:r>
          </w:p>
          <w:p w14:paraId="2FAF04A1">
            <w:pPr>
              <w:pStyle w:val="28"/>
              <w:numPr>
                <w:ilvl w:val="0"/>
                <w:numId w:val="0"/>
              </w:numPr>
              <w:tabs>
                <w:tab w:val="left" w:pos="220"/>
              </w:tabs>
              <w:spacing w:line="360" w:lineRule="auto"/>
              <w:ind w:left="425" w:leftChars="0" w:hanging="205"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银行账号；5100 1446 4360 5037 4282</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项目验收合格且服务期满后，供应商向采购人提供合法有效票据及其他相关请款资料，采购人在55工作日内将履约保证金扣减考核金额（如涉及考核）后一次性无息退还。</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6"/>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6"/>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黄</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4154"/>
      <w:bookmarkStart w:id="7" w:name="_Toc22329"/>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rPr>
        <w:t>本项目拟确定一名供应商向采购人提供医学工程智慧保障平台信息化建设服务</w:t>
      </w:r>
      <w:r>
        <w:rPr>
          <w:rFonts w:hint="eastAsia" w:ascii="仿宋" w:hAnsi="仿宋" w:eastAsia="仿宋" w:cs="仿宋"/>
          <w:sz w:val="24"/>
          <w:szCs w:val="24"/>
          <w:highlight w:val="none"/>
          <w:lang w:val="en-US" w:eastAsia="zh-CN"/>
        </w:rPr>
        <w:t>。</w:t>
      </w:r>
    </w:p>
    <w:p w14:paraId="075D7778">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76"/>
        <w:gridCol w:w="2281"/>
        <w:gridCol w:w="1543"/>
        <w:gridCol w:w="1273"/>
        <w:gridCol w:w="1588"/>
        <w:gridCol w:w="2072"/>
      </w:tblGrid>
      <w:tr w14:paraId="5D85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0858B6B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序号</w:t>
            </w:r>
          </w:p>
        </w:tc>
        <w:tc>
          <w:tcPr>
            <w:tcW w:w="1159" w:type="pct"/>
            <w:shd w:val="clear" w:color="auto" w:fill="auto"/>
            <w:tcMar>
              <w:top w:w="0" w:type="dxa"/>
              <w:left w:w="105" w:type="dxa"/>
              <w:bottom w:w="0" w:type="dxa"/>
              <w:right w:w="105" w:type="dxa"/>
            </w:tcMar>
            <w:vAlign w:val="center"/>
          </w:tcPr>
          <w:p w14:paraId="41723C9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品名</w:t>
            </w:r>
          </w:p>
        </w:tc>
        <w:tc>
          <w:tcPr>
            <w:tcW w:w="784" w:type="pct"/>
            <w:shd w:val="clear" w:color="auto" w:fill="auto"/>
            <w:tcMar>
              <w:top w:w="0" w:type="dxa"/>
              <w:left w:w="105" w:type="dxa"/>
              <w:bottom w:w="0" w:type="dxa"/>
              <w:right w:w="105" w:type="dxa"/>
            </w:tcMar>
            <w:vAlign w:val="center"/>
          </w:tcPr>
          <w:p w14:paraId="1EB09BF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数量</w:t>
            </w:r>
          </w:p>
        </w:tc>
        <w:tc>
          <w:tcPr>
            <w:tcW w:w="647" w:type="pct"/>
            <w:shd w:val="clear" w:color="auto" w:fill="auto"/>
            <w:tcMar>
              <w:top w:w="0" w:type="dxa"/>
              <w:left w:w="105" w:type="dxa"/>
              <w:bottom w:w="0" w:type="dxa"/>
              <w:right w:w="105" w:type="dxa"/>
            </w:tcMar>
            <w:vAlign w:val="center"/>
          </w:tcPr>
          <w:p w14:paraId="03B207B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单位</w:t>
            </w:r>
          </w:p>
        </w:tc>
        <w:tc>
          <w:tcPr>
            <w:tcW w:w="807" w:type="pct"/>
            <w:shd w:val="clear" w:color="auto" w:fill="auto"/>
            <w:tcMar>
              <w:top w:w="0" w:type="dxa"/>
              <w:left w:w="105" w:type="dxa"/>
              <w:bottom w:w="0" w:type="dxa"/>
              <w:right w:w="105" w:type="dxa"/>
            </w:tcMar>
            <w:vAlign w:val="center"/>
          </w:tcPr>
          <w:p w14:paraId="1BDC0B9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限高单价（元）</w:t>
            </w:r>
          </w:p>
        </w:tc>
        <w:tc>
          <w:tcPr>
            <w:tcW w:w="1053" w:type="pct"/>
            <w:shd w:val="clear" w:color="auto" w:fill="auto"/>
            <w:tcMar>
              <w:top w:w="0" w:type="dxa"/>
              <w:left w:w="105" w:type="dxa"/>
              <w:bottom w:w="0" w:type="dxa"/>
              <w:right w:w="105" w:type="dxa"/>
            </w:tcMar>
            <w:vAlign w:val="center"/>
          </w:tcPr>
          <w:p w14:paraId="5ED16A5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Style w:val="21"/>
                <w:rFonts w:hint="default"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分项限高总价（元）</w:t>
            </w:r>
          </w:p>
        </w:tc>
      </w:tr>
      <w:tr w14:paraId="5D6D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5C5B279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159" w:type="pct"/>
            <w:shd w:val="clear" w:color="auto" w:fill="auto"/>
            <w:tcMar>
              <w:top w:w="0" w:type="dxa"/>
              <w:left w:w="105" w:type="dxa"/>
              <w:bottom w:w="0" w:type="dxa"/>
              <w:right w:w="105" w:type="dxa"/>
            </w:tcMar>
            <w:vAlign w:val="center"/>
          </w:tcPr>
          <w:p w14:paraId="0522688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柔性抗金属无源RFID标签</w:t>
            </w:r>
          </w:p>
        </w:tc>
        <w:tc>
          <w:tcPr>
            <w:tcW w:w="784" w:type="pct"/>
            <w:shd w:val="clear" w:color="auto" w:fill="auto"/>
            <w:tcMar>
              <w:top w:w="0" w:type="dxa"/>
              <w:left w:w="105" w:type="dxa"/>
              <w:bottom w:w="0" w:type="dxa"/>
              <w:right w:w="105" w:type="dxa"/>
            </w:tcMar>
            <w:vAlign w:val="center"/>
          </w:tcPr>
          <w:p w14:paraId="1E831D7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20000</w:t>
            </w:r>
          </w:p>
        </w:tc>
        <w:tc>
          <w:tcPr>
            <w:tcW w:w="647" w:type="pct"/>
            <w:shd w:val="clear" w:color="auto" w:fill="auto"/>
            <w:tcMar>
              <w:top w:w="0" w:type="dxa"/>
              <w:left w:w="105" w:type="dxa"/>
              <w:bottom w:w="0" w:type="dxa"/>
              <w:right w:w="105" w:type="dxa"/>
            </w:tcMar>
            <w:vAlign w:val="center"/>
          </w:tcPr>
          <w:p w14:paraId="784C331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807" w:type="pct"/>
            <w:shd w:val="clear" w:color="auto" w:fill="auto"/>
            <w:tcMar>
              <w:top w:w="0" w:type="dxa"/>
              <w:left w:w="105" w:type="dxa"/>
              <w:bottom w:w="0" w:type="dxa"/>
              <w:right w:w="105" w:type="dxa"/>
            </w:tcMar>
            <w:vAlign w:val="center"/>
          </w:tcPr>
          <w:p w14:paraId="09D78AC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053" w:type="pct"/>
            <w:shd w:val="clear" w:color="auto" w:fill="auto"/>
            <w:tcMar>
              <w:top w:w="0" w:type="dxa"/>
              <w:left w:w="105" w:type="dxa"/>
              <w:bottom w:w="0" w:type="dxa"/>
              <w:right w:w="105" w:type="dxa"/>
            </w:tcMar>
            <w:vAlign w:val="center"/>
          </w:tcPr>
          <w:p w14:paraId="415321F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100000</w:t>
            </w:r>
          </w:p>
        </w:tc>
      </w:tr>
      <w:tr w14:paraId="7E2A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4F79635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2</w:t>
            </w:r>
          </w:p>
        </w:tc>
        <w:tc>
          <w:tcPr>
            <w:tcW w:w="1159" w:type="pct"/>
            <w:shd w:val="clear" w:color="auto" w:fill="auto"/>
            <w:tcMar>
              <w:top w:w="0" w:type="dxa"/>
              <w:left w:w="105" w:type="dxa"/>
              <w:bottom w:w="0" w:type="dxa"/>
              <w:right w:w="105" w:type="dxa"/>
            </w:tcMar>
            <w:vAlign w:val="center"/>
          </w:tcPr>
          <w:p w14:paraId="009E243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柔性无源RFID标签</w:t>
            </w:r>
          </w:p>
        </w:tc>
        <w:tc>
          <w:tcPr>
            <w:tcW w:w="784" w:type="pct"/>
            <w:shd w:val="clear" w:color="auto" w:fill="auto"/>
            <w:tcMar>
              <w:top w:w="0" w:type="dxa"/>
              <w:left w:w="105" w:type="dxa"/>
              <w:bottom w:w="0" w:type="dxa"/>
              <w:right w:w="105" w:type="dxa"/>
            </w:tcMar>
            <w:vAlign w:val="center"/>
          </w:tcPr>
          <w:p w14:paraId="782FEE1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10000</w:t>
            </w:r>
          </w:p>
        </w:tc>
        <w:tc>
          <w:tcPr>
            <w:tcW w:w="647" w:type="pct"/>
            <w:shd w:val="clear" w:color="auto" w:fill="auto"/>
            <w:tcMar>
              <w:top w:w="0" w:type="dxa"/>
              <w:left w:w="105" w:type="dxa"/>
              <w:bottom w:w="0" w:type="dxa"/>
              <w:right w:w="105" w:type="dxa"/>
            </w:tcMar>
            <w:vAlign w:val="center"/>
          </w:tcPr>
          <w:p w14:paraId="7518B39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807" w:type="pct"/>
            <w:shd w:val="clear" w:color="auto" w:fill="auto"/>
            <w:tcMar>
              <w:top w:w="0" w:type="dxa"/>
              <w:left w:w="105" w:type="dxa"/>
              <w:bottom w:w="0" w:type="dxa"/>
              <w:right w:w="105" w:type="dxa"/>
            </w:tcMar>
            <w:vAlign w:val="center"/>
          </w:tcPr>
          <w:p w14:paraId="4C16602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053" w:type="pct"/>
            <w:shd w:val="clear" w:color="auto" w:fill="auto"/>
            <w:tcMar>
              <w:top w:w="0" w:type="dxa"/>
              <w:left w:w="105" w:type="dxa"/>
              <w:bottom w:w="0" w:type="dxa"/>
              <w:right w:w="105" w:type="dxa"/>
            </w:tcMar>
            <w:vAlign w:val="center"/>
          </w:tcPr>
          <w:p w14:paraId="37E878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20000</w:t>
            </w:r>
          </w:p>
        </w:tc>
      </w:tr>
      <w:tr w14:paraId="4C85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56111C7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3</w:t>
            </w:r>
          </w:p>
        </w:tc>
        <w:tc>
          <w:tcPr>
            <w:tcW w:w="1159" w:type="pct"/>
            <w:shd w:val="clear" w:color="auto" w:fill="auto"/>
            <w:tcMar>
              <w:top w:w="0" w:type="dxa"/>
              <w:left w:w="105" w:type="dxa"/>
              <w:bottom w:w="0" w:type="dxa"/>
              <w:right w:w="105" w:type="dxa"/>
            </w:tcMar>
            <w:vAlign w:val="center"/>
          </w:tcPr>
          <w:p w14:paraId="42160EB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智能门禁</w:t>
            </w:r>
          </w:p>
        </w:tc>
        <w:tc>
          <w:tcPr>
            <w:tcW w:w="784" w:type="pct"/>
            <w:shd w:val="clear" w:color="auto" w:fill="auto"/>
            <w:tcMar>
              <w:top w:w="0" w:type="dxa"/>
              <w:left w:w="105" w:type="dxa"/>
              <w:bottom w:w="0" w:type="dxa"/>
              <w:right w:w="105" w:type="dxa"/>
            </w:tcMar>
            <w:vAlign w:val="center"/>
          </w:tcPr>
          <w:p w14:paraId="7A94F6C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47" w:type="pct"/>
            <w:shd w:val="clear" w:color="auto" w:fill="auto"/>
            <w:tcMar>
              <w:top w:w="0" w:type="dxa"/>
              <w:left w:w="105" w:type="dxa"/>
              <w:bottom w:w="0" w:type="dxa"/>
              <w:right w:w="105" w:type="dxa"/>
            </w:tcMar>
            <w:vAlign w:val="center"/>
          </w:tcPr>
          <w:p w14:paraId="13CD66F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25470BC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16000</w:t>
            </w:r>
          </w:p>
        </w:tc>
        <w:tc>
          <w:tcPr>
            <w:tcW w:w="1053" w:type="pct"/>
            <w:shd w:val="clear" w:color="auto" w:fill="auto"/>
            <w:tcMar>
              <w:top w:w="0" w:type="dxa"/>
              <w:left w:w="105" w:type="dxa"/>
              <w:bottom w:w="0" w:type="dxa"/>
              <w:right w:w="105" w:type="dxa"/>
            </w:tcMar>
            <w:vAlign w:val="center"/>
          </w:tcPr>
          <w:p w14:paraId="00FA3DE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32000</w:t>
            </w:r>
          </w:p>
        </w:tc>
      </w:tr>
      <w:tr w14:paraId="1015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039319E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4</w:t>
            </w:r>
          </w:p>
        </w:tc>
        <w:tc>
          <w:tcPr>
            <w:tcW w:w="1159" w:type="pct"/>
            <w:shd w:val="clear" w:color="auto" w:fill="auto"/>
            <w:tcMar>
              <w:top w:w="0" w:type="dxa"/>
              <w:left w:w="105" w:type="dxa"/>
              <w:bottom w:w="0" w:type="dxa"/>
              <w:right w:w="105" w:type="dxa"/>
            </w:tcMar>
            <w:vAlign w:val="center"/>
          </w:tcPr>
          <w:p w14:paraId="3FDF4BE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RFID智能货架</w:t>
            </w:r>
          </w:p>
        </w:tc>
        <w:tc>
          <w:tcPr>
            <w:tcW w:w="784" w:type="pct"/>
            <w:shd w:val="clear" w:color="auto" w:fill="auto"/>
            <w:tcMar>
              <w:top w:w="0" w:type="dxa"/>
              <w:left w:w="105" w:type="dxa"/>
              <w:bottom w:w="0" w:type="dxa"/>
              <w:right w:w="105" w:type="dxa"/>
            </w:tcMar>
            <w:vAlign w:val="center"/>
          </w:tcPr>
          <w:p w14:paraId="58862F2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47" w:type="pct"/>
            <w:shd w:val="clear" w:color="auto" w:fill="auto"/>
            <w:tcMar>
              <w:top w:w="0" w:type="dxa"/>
              <w:left w:w="105" w:type="dxa"/>
              <w:bottom w:w="0" w:type="dxa"/>
              <w:right w:w="105" w:type="dxa"/>
            </w:tcMar>
            <w:vAlign w:val="center"/>
          </w:tcPr>
          <w:p w14:paraId="729403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2B22500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15000</w:t>
            </w:r>
          </w:p>
        </w:tc>
        <w:tc>
          <w:tcPr>
            <w:tcW w:w="1053" w:type="pct"/>
            <w:shd w:val="clear" w:color="auto" w:fill="auto"/>
            <w:tcMar>
              <w:top w:w="0" w:type="dxa"/>
              <w:left w:w="105" w:type="dxa"/>
              <w:bottom w:w="0" w:type="dxa"/>
              <w:right w:w="105" w:type="dxa"/>
            </w:tcMar>
            <w:vAlign w:val="center"/>
          </w:tcPr>
          <w:p w14:paraId="24B92B5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30000</w:t>
            </w:r>
          </w:p>
        </w:tc>
      </w:tr>
      <w:tr w14:paraId="35FB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7EC3064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5</w:t>
            </w:r>
          </w:p>
        </w:tc>
        <w:tc>
          <w:tcPr>
            <w:tcW w:w="1159" w:type="pct"/>
            <w:shd w:val="clear" w:color="auto" w:fill="auto"/>
            <w:tcMar>
              <w:top w:w="0" w:type="dxa"/>
              <w:left w:w="105" w:type="dxa"/>
              <w:bottom w:w="0" w:type="dxa"/>
              <w:right w:w="105" w:type="dxa"/>
            </w:tcMar>
            <w:vAlign w:val="center"/>
          </w:tcPr>
          <w:p w14:paraId="3091F93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RFID扫描枪</w:t>
            </w:r>
          </w:p>
        </w:tc>
        <w:tc>
          <w:tcPr>
            <w:tcW w:w="784" w:type="pct"/>
            <w:shd w:val="clear" w:color="auto" w:fill="auto"/>
            <w:tcMar>
              <w:top w:w="0" w:type="dxa"/>
              <w:left w:w="105" w:type="dxa"/>
              <w:bottom w:w="0" w:type="dxa"/>
              <w:right w:w="105" w:type="dxa"/>
            </w:tcMar>
            <w:vAlign w:val="center"/>
          </w:tcPr>
          <w:p w14:paraId="62B782B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47" w:type="pct"/>
            <w:shd w:val="clear" w:color="auto" w:fill="auto"/>
            <w:tcMar>
              <w:top w:w="0" w:type="dxa"/>
              <w:left w:w="105" w:type="dxa"/>
              <w:bottom w:w="0" w:type="dxa"/>
              <w:right w:w="105" w:type="dxa"/>
            </w:tcMar>
            <w:vAlign w:val="center"/>
          </w:tcPr>
          <w:p w14:paraId="27B4006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68CA5F9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6000</w:t>
            </w:r>
          </w:p>
        </w:tc>
        <w:tc>
          <w:tcPr>
            <w:tcW w:w="1053" w:type="pct"/>
            <w:shd w:val="clear" w:color="auto" w:fill="auto"/>
            <w:tcMar>
              <w:top w:w="0" w:type="dxa"/>
              <w:left w:w="105" w:type="dxa"/>
              <w:bottom w:w="0" w:type="dxa"/>
              <w:right w:w="105" w:type="dxa"/>
            </w:tcMar>
            <w:vAlign w:val="center"/>
          </w:tcPr>
          <w:p w14:paraId="29C31D8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12000</w:t>
            </w:r>
          </w:p>
        </w:tc>
      </w:tr>
      <w:tr w14:paraId="3E6F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6" w:hRule="atLeast"/>
          <w:jc w:val="center"/>
        </w:trPr>
        <w:tc>
          <w:tcPr>
            <w:tcW w:w="547" w:type="pct"/>
            <w:shd w:val="clear" w:color="auto" w:fill="auto"/>
            <w:tcMar>
              <w:top w:w="0" w:type="dxa"/>
              <w:left w:w="105" w:type="dxa"/>
              <w:bottom w:w="0" w:type="dxa"/>
              <w:right w:w="105" w:type="dxa"/>
            </w:tcMar>
            <w:vAlign w:val="center"/>
          </w:tcPr>
          <w:p w14:paraId="03A24B6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6</w:t>
            </w:r>
          </w:p>
        </w:tc>
        <w:tc>
          <w:tcPr>
            <w:tcW w:w="1159" w:type="pct"/>
            <w:shd w:val="clear" w:color="auto" w:fill="auto"/>
            <w:tcMar>
              <w:top w:w="0" w:type="dxa"/>
              <w:left w:w="105" w:type="dxa"/>
              <w:bottom w:w="0" w:type="dxa"/>
              <w:right w:w="105" w:type="dxa"/>
            </w:tcMar>
            <w:vAlign w:val="center"/>
          </w:tcPr>
          <w:p w14:paraId="09F73B5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电动玻璃门</w:t>
            </w:r>
          </w:p>
        </w:tc>
        <w:tc>
          <w:tcPr>
            <w:tcW w:w="784" w:type="pct"/>
            <w:shd w:val="clear" w:color="auto" w:fill="auto"/>
            <w:tcMar>
              <w:top w:w="0" w:type="dxa"/>
              <w:left w:w="105" w:type="dxa"/>
              <w:bottom w:w="0" w:type="dxa"/>
              <w:right w:w="105" w:type="dxa"/>
            </w:tcMar>
            <w:vAlign w:val="center"/>
          </w:tcPr>
          <w:p w14:paraId="0A00BDB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47" w:type="pct"/>
            <w:shd w:val="clear" w:color="auto" w:fill="auto"/>
            <w:tcMar>
              <w:top w:w="0" w:type="dxa"/>
              <w:left w:w="105" w:type="dxa"/>
              <w:bottom w:w="0" w:type="dxa"/>
              <w:right w:w="105" w:type="dxa"/>
            </w:tcMar>
            <w:vAlign w:val="center"/>
          </w:tcPr>
          <w:p w14:paraId="43B8D2B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6D48BEA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16000</w:t>
            </w:r>
          </w:p>
        </w:tc>
        <w:tc>
          <w:tcPr>
            <w:tcW w:w="2072" w:type="dxa"/>
            <w:shd w:val="clear" w:color="auto" w:fill="auto"/>
            <w:tcMar>
              <w:top w:w="0" w:type="dxa"/>
              <w:left w:w="105" w:type="dxa"/>
              <w:bottom w:w="0" w:type="dxa"/>
              <w:right w:w="105" w:type="dxa"/>
            </w:tcMar>
            <w:vAlign w:val="center"/>
          </w:tcPr>
          <w:p w14:paraId="68B394E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16000</w:t>
            </w:r>
          </w:p>
        </w:tc>
      </w:tr>
      <w:tr w14:paraId="29F3A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1995FE4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7</w:t>
            </w:r>
          </w:p>
        </w:tc>
        <w:tc>
          <w:tcPr>
            <w:tcW w:w="1159" w:type="pct"/>
            <w:shd w:val="clear" w:color="auto" w:fill="auto"/>
            <w:tcMar>
              <w:top w:w="0" w:type="dxa"/>
              <w:left w:w="105" w:type="dxa"/>
              <w:bottom w:w="0" w:type="dxa"/>
              <w:right w:w="105" w:type="dxa"/>
            </w:tcMar>
            <w:vAlign w:val="center"/>
          </w:tcPr>
          <w:p w14:paraId="1E625F0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自助终端机</w:t>
            </w:r>
          </w:p>
        </w:tc>
        <w:tc>
          <w:tcPr>
            <w:tcW w:w="784" w:type="pct"/>
            <w:shd w:val="clear" w:color="auto" w:fill="auto"/>
            <w:tcMar>
              <w:top w:w="0" w:type="dxa"/>
              <w:left w:w="105" w:type="dxa"/>
              <w:bottom w:w="0" w:type="dxa"/>
              <w:right w:w="105" w:type="dxa"/>
            </w:tcMar>
            <w:vAlign w:val="center"/>
          </w:tcPr>
          <w:p w14:paraId="7281600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47" w:type="pct"/>
            <w:shd w:val="clear" w:color="auto" w:fill="auto"/>
            <w:tcMar>
              <w:top w:w="0" w:type="dxa"/>
              <w:left w:w="105" w:type="dxa"/>
              <w:bottom w:w="0" w:type="dxa"/>
              <w:right w:w="105" w:type="dxa"/>
            </w:tcMar>
            <w:vAlign w:val="center"/>
          </w:tcPr>
          <w:p w14:paraId="1BF4CE7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42FE063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9800</w:t>
            </w:r>
          </w:p>
        </w:tc>
        <w:tc>
          <w:tcPr>
            <w:tcW w:w="2072" w:type="dxa"/>
            <w:shd w:val="clear" w:color="auto" w:fill="auto"/>
            <w:tcMar>
              <w:top w:w="0" w:type="dxa"/>
              <w:left w:w="105" w:type="dxa"/>
              <w:bottom w:w="0" w:type="dxa"/>
              <w:right w:w="105" w:type="dxa"/>
            </w:tcMar>
            <w:vAlign w:val="center"/>
          </w:tcPr>
          <w:p w14:paraId="0BD583B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9800</w:t>
            </w:r>
          </w:p>
        </w:tc>
      </w:tr>
      <w:tr w14:paraId="7DA5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315F529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8</w:t>
            </w:r>
          </w:p>
        </w:tc>
        <w:tc>
          <w:tcPr>
            <w:tcW w:w="1159" w:type="pct"/>
            <w:shd w:val="clear" w:color="auto" w:fill="auto"/>
            <w:tcMar>
              <w:top w:w="0" w:type="dxa"/>
              <w:left w:w="105" w:type="dxa"/>
              <w:bottom w:w="0" w:type="dxa"/>
              <w:right w:w="105" w:type="dxa"/>
            </w:tcMar>
            <w:vAlign w:val="center"/>
          </w:tcPr>
          <w:p w14:paraId="632F9B6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摄像头</w:t>
            </w:r>
          </w:p>
        </w:tc>
        <w:tc>
          <w:tcPr>
            <w:tcW w:w="784" w:type="pct"/>
            <w:shd w:val="clear" w:color="auto" w:fill="auto"/>
            <w:tcMar>
              <w:top w:w="0" w:type="dxa"/>
              <w:left w:w="105" w:type="dxa"/>
              <w:bottom w:w="0" w:type="dxa"/>
              <w:right w:w="105" w:type="dxa"/>
            </w:tcMar>
            <w:vAlign w:val="center"/>
          </w:tcPr>
          <w:p w14:paraId="456BEF9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47" w:type="pct"/>
            <w:shd w:val="clear" w:color="auto" w:fill="auto"/>
            <w:tcMar>
              <w:top w:w="0" w:type="dxa"/>
              <w:left w:w="105" w:type="dxa"/>
              <w:bottom w:w="0" w:type="dxa"/>
              <w:right w:w="105" w:type="dxa"/>
            </w:tcMar>
            <w:vAlign w:val="center"/>
          </w:tcPr>
          <w:p w14:paraId="5017F21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61031E7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1800</w:t>
            </w:r>
          </w:p>
        </w:tc>
        <w:tc>
          <w:tcPr>
            <w:tcW w:w="1053" w:type="pct"/>
            <w:shd w:val="clear" w:color="auto" w:fill="auto"/>
            <w:tcMar>
              <w:top w:w="0" w:type="dxa"/>
              <w:left w:w="105" w:type="dxa"/>
              <w:bottom w:w="0" w:type="dxa"/>
              <w:right w:w="105" w:type="dxa"/>
            </w:tcMar>
            <w:vAlign w:val="center"/>
          </w:tcPr>
          <w:p w14:paraId="382B039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3600</w:t>
            </w:r>
          </w:p>
        </w:tc>
      </w:tr>
      <w:tr w14:paraId="18D9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6B97868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9</w:t>
            </w:r>
          </w:p>
        </w:tc>
        <w:tc>
          <w:tcPr>
            <w:tcW w:w="1159" w:type="pct"/>
            <w:shd w:val="clear" w:color="auto" w:fill="auto"/>
            <w:tcMar>
              <w:top w:w="0" w:type="dxa"/>
              <w:left w:w="105" w:type="dxa"/>
              <w:bottom w:w="0" w:type="dxa"/>
              <w:right w:w="105" w:type="dxa"/>
            </w:tcMar>
            <w:vAlign w:val="center"/>
          </w:tcPr>
          <w:p w14:paraId="475F902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录像机</w:t>
            </w:r>
          </w:p>
        </w:tc>
        <w:tc>
          <w:tcPr>
            <w:tcW w:w="784" w:type="pct"/>
            <w:shd w:val="clear" w:color="auto" w:fill="auto"/>
            <w:tcMar>
              <w:top w:w="0" w:type="dxa"/>
              <w:left w:w="105" w:type="dxa"/>
              <w:bottom w:w="0" w:type="dxa"/>
              <w:right w:w="105" w:type="dxa"/>
            </w:tcMar>
            <w:vAlign w:val="center"/>
          </w:tcPr>
          <w:p w14:paraId="585E3CD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47" w:type="pct"/>
            <w:shd w:val="clear" w:color="auto" w:fill="auto"/>
            <w:tcMar>
              <w:top w:w="0" w:type="dxa"/>
              <w:left w:w="105" w:type="dxa"/>
              <w:bottom w:w="0" w:type="dxa"/>
              <w:right w:w="105" w:type="dxa"/>
            </w:tcMar>
            <w:vAlign w:val="center"/>
          </w:tcPr>
          <w:p w14:paraId="46FB96C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807" w:type="pct"/>
            <w:shd w:val="clear" w:color="auto" w:fill="auto"/>
            <w:tcMar>
              <w:top w:w="0" w:type="dxa"/>
              <w:left w:w="105" w:type="dxa"/>
              <w:bottom w:w="0" w:type="dxa"/>
              <w:right w:w="105" w:type="dxa"/>
            </w:tcMar>
            <w:vAlign w:val="center"/>
          </w:tcPr>
          <w:p w14:paraId="20ACE87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3500</w:t>
            </w:r>
          </w:p>
        </w:tc>
        <w:tc>
          <w:tcPr>
            <w:tcW w:w="1053" w:type="pct"/>
            <w:shd w:val="clear" w:color="auto" w:fill="auto"/>
            <w:tcMar>
              <w:top w:w="0" w:type="dxa"/>
              <w:left w:w="105" w:type="dxa"/>
              <w:bottom w:w="0" w:type="dxa"/>
              <w:right w:w="105" w:type="dxa"/>
            </w:tcMar>
            <w:vAlign w:val="center"/>
          </w:tcPr>
          <w:p w14:paraId="34F7C6C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3500</w:t>
            </w:r>
          </w:p>
        </w:tc>
      </w:tr>
      <w:tr w14:paraId="22D1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273B7F3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10</w:t>
            </w:r>
          </w:p>
        </w:tc>
        <w:tc>
          <w:tcPr>
            <w:tcW w:w="1159" w:type="pct"/>
            <w:shd w:val="clear" w:color="auto" w:fill="auto"/>
            <w:tcMar>
              <w:top w:w="0" w:type="dxa"/>
              <w:left w:w="105" w:type="dxa"/>
              <w:bottom w:w="0" w:type="dxa"/>
              <w:right w:w="105" w:type="dxa"/>
            </w:tcMar>
            <w:vAlign w:val="center"/>
          </w:tcPr>
          <w:p w14:paraId="70B55F7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RFID人工服务</w:t>
            </w:r>
          </w:p>
        </w:tc>
        <w:tc>
          <w:tcPr>
            <w:tcW w:w="784" w:type="pct"/>
            <w:shd w:val="clear" w:color="auto" w:fill="auto"/>
            <w:tcMar>
              <w:top w:w="0" w:type="dxa"/>
              <w:left w:w="105" w:type="dxa"/>
              <w:bottom w:w="0" w:type="dxa"/>
              <w:right w:w="105" w:type="dxa"/>
            </w:tcMar>
            <w:vAlign w:val="center"/>
          </w:tcPr>
          <w:p w14:paraId="64A57581">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30000</w:t>
            </w:r>
          </w:p>
        </w:tc>
        <w:tc>
          <w:tcPr>
            <w:tcW w:w="647" w:type="pct"/>
            <w:shd w:val="clear" w:color="auto" w:fill="auto"/>
            <w:tcMar>
              <w:top w:w="0" w:type="dxa"/>
              <w:left w:w="105" w:type="dxa"/>
              <w:bottom w:w="0" w:type="dxa"/>
              <w:right w:w="105" w:type="dxa"/>
            </w:tcMar>
            <w:vAlign w:val="center"/>
          </w:tcPr>
          <w:p w14:paraId="489073B4">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w:t>
            </w:r>
          </w:p>
        </w:tc>
        <w:tc>
          <w:tcPr>
            <w:tcW w:w="807" w:type="pct"/>
            <w:shd w:val="clear" w:color="auto" w:fill="auto"/>
            <w:tcMar>
              <w:top w:w="0" w:type="dxa"/>
              <w:left w:w="105" w:type="dxa"/>
              <w:bottom w:w="0" w:type="dxa"/>
              <w:right w:w="105" w:type="dxa"/>
            </w:tcMar>
            <w:vAlign w:val="center"/>
          </w:tcPr>
          <w:p w14:paraId="1726F20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2.65</w:t>
            </w:r>
          </w:p>
        </w:tc>
        <w:tc>
          <w:tcPr>
            <w:tcW w:w="1053" w:type="pct"/>
            <w:shd w:val="clear" w:color="auto" w:fill="auto"/>
            <w:tcMar>
              <w:top w:w="0" w:type="dxa"/>
              <w:left w:w="105" w:type="dxa"/>
              <w:bottom w:w="0" w:type="dxa"/>
              <w:right w:w="105" w:type="dxa"/>
            </w:tcMar>
            <w:vAlign w:val="center"/>
          </w:tcPr>
          <w:p w14:paraId="5347572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79500</w:t>
            </w:r>
          </w:p>
        </w:tc>
      </w:tr>
      <w:tr w14:paraId="25E6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47" w:type="pct"/>
            <w:shd w:val="clear" w:color="auto" w:fill="auto"/>
            <w:tcMar>
              <w:top w:w="0" w:type="dxa"/>
              <w:left w:w="105" w:type="dxa"/>
              <w:bottom w:w="0" w:type="dxa"/>
              <w:right w:w="105" w:type="dxa"/>
            </w:tcMar>
            <w:vAlign w:val="center"/>
          </w:tcPr>
          <w:p w14:paraId="4376EC6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11</w:t>
            </w:r>
          </w:p>
        </w:tc>
        <w:tc>
          <w:tcPr>
            <w:tcW w:w="1159" w:type="pct"/>
            <w:shd w:val="clear" w:color="auto" w:fill="auto"/>
            <w:tcMar>
              <w:top w:w="0" w:type="dxa"/>
              <w:left w:w="105" w:type="dxa"/>
              <w:bottom w:w="0" w:type="dxa"/>
              <w:right w:w="105" w:type="dxa"/>
            </w:tcMar>
            <w:vAlign w:val="center"/>
          </w:tcPr>
          <w:p w14:paraId="5312E6D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物联网管理平台及终端对接服务</w:t>
            </w:r>
          </w:p>
        </w:tc>
        <w:tc>
          <w:tcPr>
            <w:tcW w:w="784" w:type="pct"/>
            <w:shd w:val="clear" w:color="auto" w:fill="auto"/>
            <w:tcMar>
              <w:top w:w="0" w:type="dxa"/>
              <w:left w:w="105" w:type="dxa"/>
              <w:bottom w:w="0" w:type="dxa"/>
              <w:right w:w="105" w:type="dxa"/>
            </w:tcMar>
            <w:vAlign w:val="center"/>
          </w:tcPr>
          <w:p w14:paraId="5E6F623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47" w:type="pct"/>
            <w:shd w:val="clear" w:color="auto" w:fill="auto"/>
            <w:tcMar>
              <w:top w:w="0" w:type="dxa"/>
              <w:left w:w="105" w:type="dxa"/>
              <w:bottom w:w="0" w:type="dxa"/>
              <w:right w:w="105" w:type="dxa"/>
            </w:tcMar>
            <w:vAlign w:val="center"/>
          </w:tcPr>
          <w:p w14:paraId="2333A3E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项</w:t>
            </w:r>
          </w:p>
        </w:tc>
        <w:tc>
          <w:tcPr>
            <w:tcW w:w="807" w:type="pct"/>
            <w:shd w:val="clear" w:color="auto" w:fill="auto"/>
            <w:tcMar>
              <w:top w:w="0" w:type="dxa"/>
              <w:left w:w="105" w:type="dxa"/>
              <w:bottom w:w="0" w:type="dxa"/>
              <w:right w:w="105" w:type="dxa"/>
            </w:tcMar>
            <w:vAlign w:val="center"/>
          </w:tcPr>
          <w:p w14:paraId="2B363D7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80000</w:t>
            </w:r>
          </w:p>
        </w:tc>
        <w:tc>
          <w:tcPr>
            <w:tcW w:w="1053" w:type="pct"/>
            <w:shd w:val="clear" w:color="auto" w:fill="auto"/>
            <w:tcMar>
              <w:top w:w="0" w:type="dxa"/>
              <w:left w:w="105" w:type="dxa"/>
              <w:bottom w:w="0" w:type="dxa"/>
              <w:right w:w="105" w:type="dxa"/>
            </w:tcMar>
            <w:vAlign w:val="center"/>
          </w:tcPr>
          <w:p w14:paraId="105712B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80000</w:t>
            </w:r>
          </w:p>
        </w:tc>
      </w:tr>
    </w:tbl>
    <w:p w14:paraId="6F659206">
      <w:pPr>
        <w:pStyle w:val="4"/>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kern w:val="2"/>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766B4F4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firstLine="480" w:firstLineChars="200"/>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本次项目接口清单中列出的所有接口与相关费用，由</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供应商承担，采购人不再另行支付任何接口费用</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lang w:val="en-US" w:eastAsia="zh-CN"/>
        </w:rPr>
        <w:t>供应商需承担的接口费不超过合同总金额的10%。</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1702"/>
        <w:gridCol w:w="3230"/>
        <w:gridCol w:w="4151"/>
      </w:tblGrid>
      <w:tr w14:paraId="5B27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4FCB834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序号</w:t>
            </w:r>
          </w:p>
        </w:tc>
        <w:tc>
          <w:tcPr>
            <w:tcW w:w="1470" w:type="dxa"/>
            <w:shd w:val="clear" w:color="auto" w:fill="auto"/>
            <w:tcMar>
              <w:top w:w="0" w:type="dxa"/>
              <w:left w:w="105" w:type="dxa"/>
              <w:bottom w:w="0" w:type="dxa"/>
              <w:right w:w="105" w:type="dxa"/>
            </w:tcMar>
            <w:vAlign w:val="center"/>
          </w:tcPr>
          <w:p w14:paraId="10359504">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软硬件</w:t>
            </w:r>
          </w:p>
        </w:tc>
        <w:tc>
          <w:tcPr>
            <w:tcW w:w="2790" w:type="dxa"/>
            <w:shd w:val="clear" w:color="auto" w:fill="auto"/>
            <w:tcMar>
              <w:top w:w="0" w:type="dxa"/>
              <w:left w:w="105" w:type="dxa"/>
              <w:bottom w:w="0" w:type="dxa"/>
              <w:right w:w="105" w:type="dxa"/>
            </w:tcMar>
            <w:vAlign w:val="center"/>
          </w:tcPr>
          <w:p w14:paraId="7B92C487">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生产厂商（全称）</w:t>
            </w:r>
          </w:p>
        </w:tc>
        <w:tc>
          <w:tcPr>
            <w:tcW w:w="3585" w:type="dxa"/>
            <w:shd w:val="clear" w:color="auto" w:fill="auto"/>
            <w:tcMar>
              <w:top w:w="0" w:type="dxa"/>
              <w:left w:w="105" w:type="dxa"/>
              <w:bottom w:w="0" w:type="dxa"/>
              <w:right w:w="105" w:type="dxa"/>
            </w:tcMar>
            <w:vAlign w:val="center"/>
          </w:tcPr>
          <w:p w14:paraId="26FADC62">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对接描述</w:t>
            </w:r>
          </w:p>
        </w:tc>
      </w:tr>
      <w:tr w14:paraId="73F0B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7F3B13F3">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470" w:type="dxa"/>
            <w:shd w:val="clear" w:color="auto" w:fill="auto"/>
            <w:tcMar>
              <w:top w:w="0" w:type="dxa"/>
              <w:left w:w="105" w:type="dxa"/>
              <w:bottom w:w="0" w:type="dxa"/>
              <w:right w:w="105" w:type="dxa"/>
            </w:tcMar>
            <w:vAlign w:val="center"/>
          </w:tcPr>
          <w:p w14:paraId="0BC8E3F5">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维修系统</w:t>
            </w:r>
          </w:p>
        </w:tc>
        <w:tc>
          <w:tcPr>
            <w:tcW w:w="2790" w:type="dxa"/>
            <w:shd w:val="clear" w:color="auto" w:fill="auto"/>
            <w:tcMar>
              <w:top w:w="0" w:type="dxa"/>
              <w:left w:w="105" w:type="dxa"/>
              <w:bottom w:w="0" w:type="dxa"/>
              <w:right w:w="105" w:type="dxa"/>
            </w:tcMar>
            <w:vAlign w:val="center"/>
          </w:tcPr>
          <w:p w14:paraId="7BF317BE">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2B3A6451">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身份信息校验接口，验证设备领取用户的身份信息；</w:t>
            </w:r>
          </w:p>
        </w:tc>
      </w:tr>
      <w:tr w14:paraId="49DF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31BEC9ED">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2</w:t>
            </w:r>
          </w:p>
        </w:tc>
        <w:tc>
          <w:tcPr>
            <w:tcW w:w="1470" w:type="dxa"/>
            <w:shd w:val="clear" w:color="auto" w:fill="auto"/>
            <w:tcMar>
              <w:top w:w="0" w:type="dxa"/>
              <w:left w:w="105" w:type="dxa"/>
              <w:bottom w:w="0" w:type="dxa"/>
              <w:right w:w="105" w:type="dxa"/>
            </w:tcMar>
            <w:vAlign w:val="center"/>
          </w:tcPr>
          <w:p w14:paraId="69E6BF7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维修系统</w:t>
            </w:r>
          </w:p>
        </w:tc>
        <w:tc>
          <w:tcPr>
            <w:tcW w:w="2790" w:type="dxa"/>
            <w:shd w:val="clear" w:color="auto" w:fill="auto"/>
            <w:tcMar>
              <w:top w:w="0" w:type="dxa"/>
              <w:left w:w="105" w:type="dxa"/>
              <w:bottom w:w="0" w:type="dxa"/>
              <w:right w:w="105" w:type="dxa"/>
            </w:tcMar>
            <w:vAlign w:val="center"/>
          </w:tcPr>
          <w:p w14:paraId="4DCEE3DA">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2BB4D106">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设备及RFID标签详细信息及关联信息查询接口；</w:t>
            </w:r>
          </w:p>
        </w:tc>
      </w:tr>
      <w:tr w14:paraId="2294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39DD8940">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3</w:t>
            </w:r>
          </w:p>
        </w:tc>
        <w:tc>
          <w:tcPr>
            <w:tcW w:w="1470" w:type="dxa"/>
            <w:shd w:val="clear" w:color="auto" w:fill="auto"/>
            <w:tcMar>
              <w:top w:w="0" w:type="dxa"/>
              <w:left w:w="105" w:type="dxa"/>
              <w:bottom w:w="0" w:type="dxa"/>
              <w:right w:w="105" w:type="dxa"/>
            </w:tcMar>
            <w:vAlign w:val="center"/>
          </w:tcPr>
          <w:p w14:paraId="03C13439">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维修系统</w:t>
            </w:r>
          </w:p>
        </w:tc>
        <w:tc>
          <w:tcPr>
            <w:tcW w:w="2790" w:type="dxa"/>
            <w:shd w:val="clear" w:color="auto" w:fill="auto"/>
            <w:tcMar>
              <w:top w:w="0" w:type="dxa"/>
              <w:left w:w="105" w:type="dxa"/>
              <w:bottom w:w="0" w:type="dxa"/>
              <w:right w:w="105" w:type="dxa"/>
            </w:tcMar>
            <w:vAlign w:val="center"/>
          </w:tcPr>
          <w:p w14:paraId="095638B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5A450E84">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设备出库信息确认及查询；</w:t>
            </w:r>
          </w:p>
        </w:tc>
      </w:tr>
      <w:tr w14:paraId="2B61B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4C41BD9E">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4</w:t>
            </w:r>
          </w:p>
        </w:tc>
        <w:tc>
          <w:tcPr>
            <w:tcW w:w="1470" w:type="dxa"/>
            <w:shd w:val="clear" w:color="auto" w:fill="auto"/>
            <w:tcMar>
              <w:top w:w="0" w:type="dxa"/>
              <w:left w:w="105" w:type="dxa"/>
              <w:bottom w:w="0" w:type="dxa"/>
              <w:right w:w="105" w:type="dxa"/>
            </w:tcMar>
            <w:vAlign w:val="center"/>
          </w:tcPr>
          <w:p w14:paraId="7C00E6CA">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维修系统</w:t>
            </w:r>
          </w:p>
        </w:tc>
        <w:tc>
          <w:tcPr>
            <w:tcW w:w="2790" w:type="dxa"/>
            <w:shd w:val="clear" w:color="auto" w:fill="auto"/>
            <w:tcMar>
              <w:top w:w="0" w:type="dxa"/>
              <w:left w:w="105" w:type="dxa"/>
              <w:bottom w:w="0" w:type="dxa"/>
              <w:right w:w="105" w:type="dxa"/>
            </w:tcMar>
            <w:vAlign w:val="center"/>
          </w:tcPr>
          <w:p w14:paraId="26163D1E">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7F978DC8">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设备入库信息确认及查询；</w:t>
            </w:r>
          </w:p>
        </w:tc>
      </w:tr>
      <w:tr w14:paraId="5395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52243AF2">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5</w:t>
            </w:r>
          </w:p>
        </w:tc>
        <w:tc>
          <w:tcPr>
            <w:tcW w:w="1470" w:type="dxa"/>
            <w:shd w:val="clear" w:color="auto" w:fill="auto"/>
            <w:tcMar>
              <w:top w:w="0" w:type="dxa"/>
              <w:left w:w="105" w:type="dxa"/>
              <w:bottom w:w="0" w:type="dxa"/>
              <w:right w:w="105" w:type="dxa"/>
            </w:tcMar>
            <w:vAlign w:val="center"/>
          </w:tcPr>
          <w:p w14:paraId="11563E16">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共享平台</w:t>
            </w:r>
          </w:p>
        </w:tc>
        <w:tc>
          <w:tcPr>
            <w:tcW w:w="2790" w:type="dxa"/>
            <w:shd w:val="clear" w:color="auto" w:fill="auto"/>
            <w:tcMar>
              <w:top w:w="0" w:type="dxa"/>
              <w:left w:w="105" w:type="dxa"/>
              <w:bottom w:w="0" w:type="dxa"/>
              <w:right w:w="105" w:type="dxa"/>
            </w:tcMar>
            <w:vAlign w:val="center"/>
          </w:tcPr>
          <w:p w14:paraId="3F3F569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56B53583">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身份信息校验接口，验证设备领取用户的身份信息；</w:t>
            </w:r>
          </w:p>
        </w:tc>
      </w:tr>
      <w:tr w14:paraId="5000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34A88839">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6</w:t>
            </w:r>
          </w:p>
        </w:tc>
        <w:tc>
          <w:tcPr>
            <w:tcW w:w="1470" w:type="dxa"/>
            <w:shd w:val="clear" w:color="auto" w:fill="auto"/>
            <w:tcMar>
              <w:top w:w="0" w:type="dxa"/>
              <w:left w:w="105" w:type="dxa"/>
              <w:bottom w:w="0" w:type="dxa"/>
              <w:right w:w="105" w:type="dxa"/>
            </w:tcMar>
            <w:vAlign w:val="center"/>
          </w:tcPr>
          <w:p w14:paraId="2177F1D0">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共享平台</w:t>
            </w:r>
          </w:p>
        </w:tc>
        <w:tc>
          <w:tcPr>
            <w:tcW w:w="2790" w:type="dxa"/>
            <w:shd w:val="clear" w:color="auto" w:fill="auto"/>
            <w:tcMar>
              <w:top w:w="0" w:type="dxa"/>
              <w:left w:w="105" w:type="dxa"/>
              <w:bottom w:w="0" w:type="dxa"/>
              <w:right w:w="105" w:type="dxa"/>
            </w:tcMar>
            <w:vAlign w:val="center"/>
          </w:tcPr>
          <w:p w14:paraId="13A188DC">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2600EB9A">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设备及RFID标签详细信息及关联信息查询接口；</w:t>
            </w:r>
          </w:p>
        </w:tc>
      </w:tr>
      <w:tr w14:paraId="7DC5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1A6308F2">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7</w:t>
            </w:r>
          </w:p>
        </w:tc>
        <w:tc>
          <w:tcPr>
            <w:tcW w:w="1470" w:type="dxa"/>
            <w:shd w:val="clear" w:color="auto" w:fill="auto"/>
            <w:tcMar>
              <w:top w:w="0" w:type="dxa"/>
              <w:left w:w="105" w:type="dxa"/>
              <w:bottom w:w="0" w:type="dxa"/>
              <w:right w:w="105" w:type="dxa"/>
            </w:tcMar>
            <w:vAlign w:val="center"/>
          </w:tcPr>
          <w:p w14:paraId="67EA6EEB">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共享平台</w:t>
            </w:r>
          </w:p>
        </w:tc>
        <w:tc>
          <w:tcPr>
            <w:tcW w:w="2790" w:type="dxa"/>
            <w:shd w:val="clear" w:color="auto" w:fill="auto"/>
            <w:tcMar>
              <w:top w:w="0" w:type="dxa"/>
              <w:left w:w="105" w:type="dxa"/>
              <w:bottom w:w="0" w:type="dxa"/>
              <w:right w:w="105" w:type="dxa"/>
            </w:tcMar>
            <w:vAlign w:val="center"/>
          </w:tcPr>
          <w:p w14:paraId="29D895B3">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36A5871A">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设备出库信息确认及查询；</w:t>
            </w:r>
          </w:p>
        </w:tc>
      </w:tr>
      <w:tr w14:paraId="72B3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360FBE28">
            <w:pPr>
              <w:pStyle w:val="14"/>
              <w:keepNext w:val="0"/>
              <w:keepLines w:val="0"/>
              <w:widowControl/>
              <w:suppressLineNumbers w:val="0"/>
              <w:autoSpaceDE w:val="0"/>
              <w:autoSpaceDN/>
              <w:jc w:val="center"/>
              <w:rPr>
                <w:rFonts w:hint="eastAsia" w:ascii="仿宋" w:hAnsi="仿宋" w:eastAsia="仿宋" w:cs="仿宋"/>
                <w:sz w:val="24"/>
                <w:szCs w:val="24"/>
              </w:rPr>
            </w:pPr>
            <w:r>
              <w:rPr>
                <w:rStyle w:val="21"/>
                <w:rFonts w:hint="eastAsia" w:ascii="仿宋" w:hAnsi="仿宋" w:eastAsia="仿宋" w:cs="仿宋"/>
                <w:b/>
                <w:bCs/>
                <w:sz w:val="24"/>
                <w:szCs w:val="24"/>
              </w:rPr>
              <w:t>8</w:t>
            </w:r>
          </w:p>
        </w:tc>
        <w:tc>
          <w:tcPr>
            <w:tcW w:w="1470" w:type="dxa"/>
            <w:shd w:val="clear" w:color="auto" w:fill="auto"/>
            <w:tcMar>
              <w:top w:w="0" w:type="dxa"/>
              <w:left w:w="105" w:type="dxa"/>
              <w:bottom w:w="0" w:type="dxa"/>
              <w:right w:w="105" w:type="dxa"/>
            </w:tcMar>
            <w:vAlign w:val="center"/>
          </w:tcPr>
          <w:p w14:paraId="25BF67AD">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共享平台</w:t>
            </w:r>
          </w:p>
        </w:tc>
        <w:tc>
          <w:tcPr>
            <w:tcW w:w="2790" w:type="dxa"/>
            <w:shd w:val="clear" w:color="auto" w:fill="auto"/>
            <w:tcMar>
              <w:top w:w="0" w:type="dxa"/>
              <w:left w:w="105" w:type="dxa"/>
              <w:bottom w:w="0" w:type="dxa"/>
              <w:right w:w="105" w:type="dxa"/>
            </w:tcMar>
            <w:vAlign w:val="center"/>
          </w:tcPr>
          <w:p w14:paraId="6B2505B1">
            <w:pPr>
              <w:pStyle w:val="14"/>
              <w:keepNext w:val="0"/>
              <w:keepLines w:val="0"/>
              <w:widowControl/>
              <w:suppressLineNumbers w:val="0"/>
              <w:autoSpaceDE w:val="0"/>
              <w:autoSpaceDN/>
              <w:jc w:val="center"/>
              <w:rPr>
                <w:rFonts w:hint="eastAsia" w:ascii="仿宋" w:hAnsi="仿宋" w:eastAsia="仿宋" w:cs="仿宋"/>
                <w:sz w:val="24"/>
                <w:szCs w:val="24"/>
              </w:rPr>
            </w:pPr>
            <w:r>
              <w:rPr>
                <w:rFonts w:hint="eastAsia" w:ascii="仿宋" w:hAnsi="仿宋" w:eastAsia="仿宋" w:cs="仿宋"/>
                <w:sz w:val="24"/>
                <w:szCs w:val="24"/>
              </w:rPr>
              <w:t>四川智信秦巴医疗科技有限公司</w:t>
            </w:r>
          </w:p>
        </w:tc>
        <w:tc>
          <w:tcPr>
            <w:tcW w:w="3585" w:type="dxa"/>
            <w:shd w:val="clear" w:color="auto" w:fill="auto"/>
            <w:tcMar>
              <w:top w:w="0" w:type="dxa"/>
              <w:left w:w="105" w:type="dxa"/>
              <w:bottom w:w="0" w:type="dxa"/>
              <w:right w:w="105" w:type="dxa"/>
            </w:tcMar>
            <w:vAlign w:val="center"/>
          </w:tcPr>
          <w:p w14:paraId="03A058E7">
            <w:pPr>
              <w:pStyle w:val="14"/>
              <w:keepNext w:val="0"/>
              <w:keepLines w:val="0"/>
              <w:widowControl/>
              <w:suppressLineNumbers w:val="0"/>
              <w:autoSpaceDE w:val="0"/>
              <w:autoSpaceDN/>
              <w:jc w:val="left"/>
              <w:rPr>
                <w:rFonts w:hint="eastAsia" w:ascii="仿宋" w:hAnsi="仿宋" w:eastAsia="仿宋" w:cs="仿宋"/>
                <w:sz w:val="24"/>
                <w:szCs w:val="24"/>
              </w:rPr>
            </w:pPr>
            <w:r>
              <w:rPr>
                <w:rFonts w:hint="eastAsia" w:ascii="仿宋" w:hAnsi="仿宋" w:eastAsia="仿宋" w:cs="仿宋"/>
                <w:sz w:val="24"/>
                <w:szCs w:val="24"/>
              </w:rPr>
              <w:t>设备入库信息确认及查询；</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00"/>
        <w:gridCol w:w="1314"/>
        <w:gridCol w:w="7529"/>
      </w:tblGrid>
      <w:tr w14:paraId="7890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380EB8C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序号</w:t>
            </w:r>
          </w:p>
        </w:tc>
        <w:tc>
          <w:tcPr>
            <w:tcW w:w="667" w:type="pct"/>
            <w:shd w:val="clear" w:color="auto" w:fill="auto"/>
            <w:tcMar>
              <w:top w:w="0" w:type="dxa"/>
              <w:left w:w="105" w:type="dxa"/>
              <w:bottom w:w="0" w:type="dxa"/>
              <w:right w:w="105" w:type="dxa"/>
            </w:tcMar>
            <w:vAlign w:val="center"/>
          </w:tcPr>
          <w:p w14:paraId="7EBEC29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品名</w:t>
            </w:r>
          </w:p>
        </w:tc>
        <w:tc>
          <w:tcPr>
            <w:tcW w:w="3823" w:type="pct"/>
            <w:shd w:val="clear" w:color="auto" w:fill="auto"/>
            <w:tcMar>
              <w:top w:w="0" w:type="dxa"/>
              <w:left w:w="105" w:type="dxa"/>
              <w:bottom w:w="0" w:type="dxa"/>
              <w:right w:w="105" w:type="dxa"/>
            </w:tcMar>
            <w:vAlign w:val="center"/>
          </w:tcPr>
          <w:p w14:paraId="5090629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lang w:eastAsia="zh-CN"/>
              </w:rPr>
            </w:pPr>
            <w:r>
              <w:rPr>
                <w:rStyle w:val="21"/>
                <w:rFonts w:hint="eastAsia" w:ascii="仿宋" w:hAnsi="仿宋" w:eastAsia="仿宋" w:cs="仿宋"/>
                <w:b/>
                <w:bCs/>
                <w:sz w:val="24"/>
                <w:szCs w:val="24"/>
                <w:lang w:val="en-US" w:eastAsia="zh-CN"/>
              </w:rPr>
              <w:t>技术参数</w:t>
            </w:r>
          </w:p>
        </w:tc>
      </w:tr>
      <w:tr w14:paraId="556F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53769C5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667" w:type="pct"/>
            <w:shd w:val="clear" w:color="auto" w:fill="auto"/>
            <w:tcMar>
              <w:top w:w="0" w:type="dxa"/>
              <w:left w:w="105" w:type="dxa"/>
              <w:bottom w:w="0" w:type="dxa"/>
              <w:right w:w="105" w:type="dxa"/>
            </w:tcMar>
            <w:vAlign w:val="center"/>
          </w:tcPr>
          <w:p w14:paraId="2C15B25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柔性抗金属无源RFID标签</w:t>
            </w:r>
          </w:p>
        </w:tc>
        <w:tc>
          <w:tcPr>
            <w:tcW w:w="3823" w:type="pct"/>
            <w:shd w:val="clear" w:color="auto" w:fill="auto"/>
            <w:tcMar>
              <w:top w:w="0" w:type="dxa"/>
              <w:left w:w="105" w:type="dxa"/>
              <w:bottom w:w="0" w:type="dxa"/>
              <w:right w:w="105" w:type="dxa"/>
            </w:tcMar>
            <w:vAlign w:val="center"/>
          </w:tcPr>
          <w:p w14:paraId="7991CB1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1.尺寸：至少包含65*35-1.35mm，并支持不同尺寸定制；</w:t>
            </w:r>
          </w:p>
          <w:p w14:paraId="43C724B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2.支持协议：18000-6C；</w:t>
            </w:r>
          </w:p>
          <w:p w14:paraId="7A0370F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3.芯片内存：支持EPC128 bits，User512bits,TID96bits及以上；</w:t>
            </w:r>
          </w:p>
          <w:p w14:paraId="5FB8BC9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4.工作频率：860～960MHz；</w:t>
            </w:r>
          </w:p>
          <w:p w14:paraId="612F4E6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▲5.芯片使用寿命：写入不低于10万次，数据保存不少于10年，需提供技术白皮书；</w:t>
            </w:r>
          </w:p>
          <w:p w14:paraId="3829E5B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6.工作温度：-25℃ 至 50℃；</w:t>
            </w:r>
          </w:p>
          <w:p w14:paraId="2258C96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7.存储温度：未使用前存储20℃ 至 26℃；</w:t>
            </w:r>
          </w:p>
          <w:p w14:paraId="3E36713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8.材料：PET、铝天线、泡棉</w:t>
            </w:r>
          </w:p>
          <w:p w14:paraId="70B6E6F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9.读写距离：最大读写距离不低于10米；</w:t>
            </w:r>
          </w:p>
          <w:p w14:paraId="2FD535A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★10.支持分批次打印标签数量，打印内容至少包含Logo、基础信息；标签写入至少包含自定义编码及采购后一年内RFID设备资产信息调整等服务；</w:t>
            </w:r>
          </w:p>
        </w:tc>
      </w:tr>
      <w:tr w14:paraId="51E3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2012007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2</w:t>
            </w:r>
          </w:p>
        </w:tc>
        <w:tc>
          <w:tcPr>
            <w:tcW w:w="667" w:type="pct"/>
            <w:shd w:val="clear" w:color="auto" w:fill="auto"/>
            <w:tcMar>
              <w:top w:w="0" w:type="dxa"/>
              <w:left w:w="105" w:type="dxa"/>
              <w:bottom w:w="0" w:type="dxa"/>
              <w:right w:w="105" w:type="dxa"/>
            </w:tcMar>
            <w:vAlign w:val="center"/>
          </w:tcPr>
          <w:p w14:paraId="2E0879F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柔性无源RFID标签</w:t>
            </w:r>
          </w:p>
        </w:tc>
        <w:tc>
          <w:tcPr>
            <w:tcW w:w="3823" w:type="pct"/>
            <w:shd w:val="clear" w:color="auto" w:fill="auto"/>
            <w:tcMar>
              <w:top w:w="0" w:type="dxa"/>
              <w:left w:w="105" w:type="dxa"/>
              <w:bottom w:w="0" w:type="dxa"/>
              <w:right w:w="105" w:type="dxa"/>
            </w:tcMar>
            <w:vAlign w:val="center"/>
          </w:tcPr>
          <w:p w14:paraId="7E0696A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1.尺寸：至少包含65*35*0.35mm，并支持不同尺寸定制；</w:t>
            </w:r>
          </w:p>
          <w:p w14:paraId="18F7BBF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2.支持协议：18000-6C；</w:t>
            </w:r>
          </w:p>
          <w:p w14:paraId="60A0EF8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3.芯片内存：支持EPC128 bits，User0 bits,TID48bits及以上；</w:t>
            </w:r>
          </w:p>
          <w:p w14:paraId="65CA1AA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4.工作频率：860～960MHz；</w:t>
            </w:r>
          </w:p>
          <w:p w14:paraId="6EA8243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▲5.芯片使用寿命：写入不低于10万次，数据保存不少于10年，需提供技术白皮书；</w:t>
            </w:r>
          </w:p>
          <w:p w14:paraId="0069925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6.工作温度：-25℃ 至 50℃；</w:t>
            </w:r>
          </w:p>
          <w:p w14:paraId="542EB38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7.存储温度：未使用前存储20℃ 至 26℃；</w:t>
            </w:r>
          </w:p>
          <w:p w14:paraId="1554B97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8.读写距离：最大读写距离不低于10米；</w:t>
            </w:r>
          </w:p>
          <w:p w14:paraId="3D047B0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★9.支持分批次打印标签数量，打印内容至少包含Logo、基础信息；标签写入至少包含自定义编码及采购后一年内RFID设备资产信息调整等服务；</w:t>
            </w:r>
          </w:p>
        </w:tc>
      </w:tr>
      <w:tr w14:paraId="0E47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3395B56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3</w:t>
            </w:r>
          </w:p>
        </w:tc>
        <w:tc>
          <w:tcPr>
            <w:tcW w:w="667" w:type="pct"/>
            <w:shd w:val="clear" w:color="auto" w:fill="auto"/>
            <w:tcMar>
              <w:top w:w="0" w:type="dxa"/>
              <w:left w:w="105" w:type="dxa"/>
              <w:bottom w:w="0" w:type="dxa"/>
              <w:right w:w="105" w:type="dxa"/>
            </w:tcMar>
            <w:vAlign w:val="center"/>
          </w:tcPr>
          <w:p w14:paraId="07A3116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智能门禁</w:t>
            </w:r>
          </w:p>
        </w:tc>
        <w:tc>
          <w:tcPr>
            <w:tcW w:w="3823" w:type="pct"/>
            <w:shd w:val="clear" w:color="auto" w:fill="auto"/>
            <w:tcMar>
              <w:top w:w="0" w:type="dxa"/>
              <w:left w:w="105" w:type="dxa"/>
              <w:bottom w:w="0" w:type="dxa"/>
              <w:right w:w="105" w:type="dxa"/>
            </w:tcMar>
            <w:vAlign w:val="center"/>
          </w:tcPr>
          <w:p w14:paraId="7291F8B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1.空口协议：ISO18000-6C，最大输出功率不低于33db，功率可调；</w:t>
            </w:r>
          </w:p>
          <w:p w14:paraId="114952F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2.支持去误读算法；</w:t>
            </w:r>
          </w:p>
          <w:p w14:paraId="3EFAE00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3.工控配置：Android，RAM+ROM：≥4G+64G，支持中间件集成对接；</w:t>
            </w:r>
          </w:p>
          <w:p w14:paraId="47F75D5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4.RFID工作频率：840-960MHz</w:t>
            </w:r>
          </w:p>
          <w:p w14:paraId="363F3F9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5.整机尺寸（高*宽*深）：高500-600mm、宽500-600mm、深60-100m；</w:t>
            </w:r>
          </w:p>
          <w:p w14:paraId="139752F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6.安装方式：支持吊装，吸顶等安装方式；</w:t>
            </w:r>
          </w:p>
          <w:p w14:paraId="04280D3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7.安装高度：1.9M-3.0M，区间内支持识别不同规格的RFID标签；</w:t>
            </w:r>
          </w:p>
          <w:p w14:paraId="6A3F5E2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8.至少配有1个外置USB接口，1个OTG接口，便于安装调试设备；</w:t>
            </w:r>
          </w:p>
          <w:p w14:paraId="6F090C6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供电输入：AC90~220V（兼容各国电压标准）；</w:t>
            </w:r>
          </w:p>
          <w:p w14:paraId="7183E72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9.微波雷达感应：支持；</w:t>
            </w:r>
          </w:p>
          <w:p w14:paraId="3B7E6F6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10.声光报警：支持；</w:t>
            </w:r>
          </w:p>
          <w:p w14:paraId="53B92B3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11.报警音量调节：支持；</w:t>
            </w:r>
          </w:p>
          <w:p w14:paraId="31A61CF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▲12.摄像头：采用视觉算法模型，支持人形定位、人数统计、跨线报警；</w:t>
            </w:r>
          </w:p>
          <w:p w14:paraId="0BF4864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▲13．支持通过手机app进行初始化及日常硬件调试，支持在互联网，局域网，或完全无网状态通过手机app进行调试；</w:t>
            </w:r>
          </w:p>
          <w:p w14:paraId="5BB79BE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▲14．支持黑白名单功能，不低于50万的资产数量管理；</w:t>
            </w:r>
          </w:p>
          <w:p w14:paraId="5D0A0C4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▲15．可精准划定报警线，报警精度≤10cm，且报警线位置可软件配置；</w:t>
            </w:r>
          </w:p>
          <w:p w14:paraId="2D91498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▲16．支持中间件编程，硬件控制全部由本地算力完成，可由中间件直接对接服务器；</w:t>
            </w:r>
          </w:p>
          <w:p w14:paraId="1217259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17．支持有线、WIFI网络接入，可选装4G网络接入；</w:t>
            </w:r>
          </w:p>
          <w:p w14:paraId="51FA316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18．须支持在线配置人体存在雷达感应距离；</w:t>
            </w:r>
          </w:p>
          <w:p w14:paraId="2E6D48B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▲19．可实现读写功率30db且不增加白名单时，人员经过门禁时实现距离门禁0.8米以内标签不误报，人员携带距离0.8米以内标签通过不漏报；</w:t>
            </w:r>
          </w:p>
          <w:p w14:paraId="52173C4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▲20．支持微波遥控功能，可通过遥控远程完成去误读、建模学习及进入配置等功能，遥控距离≥40m；</w:t>
            </w:r>
          </w:p>
          <w:p w14:paraId="79C5BF6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★21.支持采用API接口，TCP/IP的对接方式;并协助完成门禁相关的物联网开发、数据对接、调试、测试等服务；</w:t>
            </w:r>
          </w:p>
        </w:tc>
      </w:tr>
      <w:tr w14:paraId="7BFF2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75A25BC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4</w:t>
            </w:r>
          </w:p>
        </w:tc>
        <w:tc>
          <w:tcPr>
            <w:tcW w:w="667" w:type="pct"/>
            <w:shd w:val="clear" w:color="auto" w:fill="auto"/>
            <w:tcMar>
              <w:top w:w="0" w:type="dxa"/>
              <w:left w:w="105" w:type="dxa"/>
              <w:bottom w:w="0" w:type="dxa"/>
              <w:right w:w="105" w:type="dxa"/>
            </w:tcMar>
            <w:vAlign w:val="center"/>
          </w:tcPr>
          <w:p w14:paraId="0D81A5A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RFID智能货架</w:t>
            </w:r>
          </w:p>
        </w:tc>
        <w:tc>
          <w:tcPr>
            <w:tcW w:w="3823" w:type="pct"/>
            <w:shd w:val="clear" w:color="auto" w:fill="auto"/>
            <w:tcMar>
              <w:top w:w="0" w:type="dxa"/>
              <w:left w:w="105" w:type="dxa"/>
              <w:bottom w:w="0" w:type="dxa"/>
              <w:right w:w="105" w:type="dxa"/>
            </w:tcMar>
            <w:vAlign w:val="center"/>
          </w:tcPr>
          <w:p w14:paraId="06A1043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1.表面处理：钣金喷粉；</w:t>
            </w:r>
          </w:p>
          <w:p w14:paraId="4EFE142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2.外形尺寸：支持尺寸定制，货架尺寸≥2000*500*2000mm；</w:t>
            </w:r>
          </w:p>
          <w:p w14:paraId="6A6DAF0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3.工作频率：840～960MHz；</w:t>
            </w:r>
          </w:p>
          <w:p w14:paraId="58EDDC8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4.货架材质：冷轧板材质；</w:t>
            </w:r>
          </w:p>
          <w:p w14:paraId="11F2805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5.货架最小单元：单列式/双列式；</w:t>
            </w:r>
          </w:p>
          <w:p w14:paraId="03D8703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6.货框层数：大于等于4层，可自定义调节高度与层数；</w:t>
            </w:r>
          </w:p>
          <w:p w14:paraId="44C6A5F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7.射频输出功率：1～30dBm可调节；</w:t>
            </w:r>
          </w:p>
          <w:p w14:paraId="46F3E17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8.协议支持：ISO 18000-6C/EPC C1G2、ISO18000-6B、GB/T29768-2013(可拓展支持）；</w:t>
            </w:r>
          </w:p>
          <w:p w14:paraId="7234AC9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9.电源电压：AC220V±10%/50Hz±1Hz；</w:t>
            </w:r>
          </w:p>
          <w:p w14:paraId="0A70B3D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10.网络接口：10M/100M自适应以太网接口；</w:t>
            </w:r>
          </w:p>
          <w:p w14:paraId="38BFA42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★11.支持采用SDK对接，提供SDK对接文档;并协助完成相关的技术开发、数据对接、调试、测试等服务；</w:t>
            </w:r>
          </w:p>
        </w:tc>
      </w:tr>
      <w:tr w14:paraId="30D9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5049D41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5</w:t>
            </w:r>
          </w:p>
        </w:tc>
        <w:tc>
          <w:tcPr>
            <w:tcW w:w="667" w:type="pct"/>
            <w:shd w:val="clear" w:color="auto" w:fill="auto"/>
            <w:tcMar>
              <w:top w:w="0" w:type="dxa"/>
              <w:left w:w="105" w:type="dxa"/>
              <w:bottom w:w="0" w:type="dxa"/>
              <w:right w:w="105" w:type="dxa"/>
            </w:tcMar>
            <w:vAlign w:val="center"/>
          </w:tcPr>
          <w:p w14:paraId="446502F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RFID扫描枪</w:t>
            </w:r>
          </w:p>
        </w:tc>
        <w:tc>
          <w:tcPr>
            <w:tcW w:w="3823" w:type="pct"/>
            <w:shd w:val="clear" w:color="auto" w:fill="auto"/>
            <w:tcMar>
              <w:top w:w="0" w:type="dxa"/>
              <w:left w:w="105" w:type="dxa"/>
              <w:bottom w:w="0" w:type="dxa"/>
              <w:right w:w="105" w:type="dxa"/>
            </w:tcMar>
            <w:vAlign w:val="center"/>
          </w:tcPr>
          <w:p w14:paraId="76AF43C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1.CPU：八核及以上, 主频≥2.2GHz；</w:t>
            </w:r>
          </w:p>
          <w:p w14:paraId="7041F27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2.RAM+ROM：≥3GB+32GB；</w:t>
            </w:r>
          </w:p>
          <w:p w14:paraId="47C630B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3.操作系统：Android 11及以上；</w:t>
            </w:r>
          </w:p>
          <w:p w14:paraId="2462AB9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4.显示屏：≥6英寸，分辨率1440 x 720及以上；</w:t>
            </w:r>
          </w:p>
          <w:p w14:paraId="221F32B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5.触控屏：多点触摸；支持湿手、手套操作；</w:t>
            </w:r>
          </w:p>
          <w:p w14:paraId="35644C7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6.电池：可拆卸；6700mAh及以上手柄电池，内置≥100mAh备用电池，支持电池热插拔；</w:t>
            </w:r>
          </w:p>
          <w:p w14:paraId="6C8C7A4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7.天线：圆极化，5dBi；</w:t>
            </w:r>
          </w:p>
          <w:p w14:paraId="4FF6C2D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★8.支持采用SDK对接，提供SDK对接文档;并协助完成扫描枪相关的技术开发、数据对接、调试、测试等服务；</w:t>
            </w:r>
          </w:p>
        </w:tc>
      </w:tr>
      <w:tr w14:paraId="0226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6474CFB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6</w:t>
            </w:r>
          </w:p>
        </w:tc>
        <w:tc>
          <w:tcPr>
            <w:tcW w:w="667" w:type="pct"/>
            <w:shd w:val="clear" w:color="auto" w:fill="auto"/>
            <w:tcMar>
              <w:top w:w="0" w:type="dxa"/>
              <w:left w:w="105" w:type="dxa"/>
              <w:bottom w:w="0" w:type="dxa"/>
              <w:right w:w="105" w:type="dxa"/>
            </w:tcMar>
            <w:vAlign w:val="center"/>
          </w:tcPr>
          <w:p w14:paraId="385BB85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电动玻璃门</w:t>
            </w:r>
          </w:p>
        </w:tc>
        <w:tc>
          <w:tcPr>
            <w:tcW w:w="3823" w:type="pct"/>
            <w:shd w:val="clear" w:color="auto" w:fill="auto"/>
            <w:tcMar>
              <w:top w:w="0" w:type="dxa"/>
              <w:left w:w="105" w:type="dxa"/>
              <w:bottom w:w="0" w:type="dxa"/>
              <w:right w:w="105" w:type="dxa"/>
            </w:tcMar>
            <w:vAlign w:val="center"/>
          </w:tcPr>
          <w:p w14:paraId="113DF0A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1.门体型式：单开式；</w:t>
            </w:r>
          </w:p>
          <w:p w14:paraId="585F640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2.尺寸：2.2*1.5m，支持定制化大小（尺寸增加长、宽各不超过1m）； </w:t>
            </w:r>
          </w:p>
          <w:p w14:paraId="3B4E80F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3.材质：钢化玻璃；</w:t>
            </w:r>
          </w:p>
          <w:p w14:paraId="2A6F0ED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4.厚度：不低于12mm；</w:t>
            </w:r>
          </w:p>
          <w:p w14:paraId="18C23FA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5.开门运行速度：15-45cm/秒（支持可调节）；</w:t>
            </w:r>
          </w:p>
          <w:p w14:paraId="0F3503F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6.关门运行速度：10-45cm/秒（支持可调节）；</w:t>
            </w:r>
          </w:p>
          <w:p w14:paraId="7AED6F7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7.开放时间：0-8s（支持可调节）；</w:t>
            </w:r>
          </w:p>
          <w:p w14:paraId="7E24040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★8.支持通过其他物联设备及物联网系统远程控制电动门的开关及监测服务，提供技术对接服务，并协助技术人员完成调试，保障电动门实现远程操控并顺利运行；</w:t>
            </w:r>
          </w:p>
        </w:tc>
      </w:tr>
      <w:tr w14:paraId="464B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5314BA0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7</w:t>
            </w:r>
          </w:p>
        </w:tc>
        <w:tc>
          <w:tcPr>
            <w:tcW w:w="667" w:type="pct"/>
            <w:shd w:val="clear" w:color="auto" w:fill="auto"/>
            <w:tcMar>
              <w:top w:w="0" w:type="dxa"/>
              <w:left w:w="105" w:type="dxa"/>
              <w:bottom w:w="0" w:type="dxa"/>
              <w:right w:w="105" w:type="dxa"/>
            </w:tcMar>
            <w:vAlign w:val="center"/>
          </w:tcPr>
          <w:p w14:paraId="28A7FA3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自助终端机</w:t>
            </w:r>
          </w:p>
        </w:tc>
        <w:tc>
          <w:tcPr>
            <w:tcW w:w="3823" w:type="pct"/>
            <w:shd w:val="clear" w:color="auto" w:fill="auto"/>
            <w:tcMar>
              <w:top w:w="0" w:type="dxa"/>
              <w:left w:w="105" w:type="dxa"/>
              <w:bottom w:w="0" w:type="dxa"/>
              <w:right w:w="105" w:type="dxa"/>
            </w:tcMar>
            <w:vAlign w:val="center"/>
          </w:tcPr>
          <w:p w14:paraId="2BE0F3D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1.输入模式：支持手写/电容笔；</w:t>
            </w:r>
          </w:p>
          <w:p w14:paraId="19E06C5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2.屏幕尺寸：≥21.5英寸；</w:t>
            </w:r>
          </w:p>
          <w:p w14:paraId="425A507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3.分辨率：至少支持1920*1080；</w:t>
            </w:r>
          </w:p>
          <w:p w14:paraId="64B4011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4.CPU：主频不低于1.6GHz，最高睿频不低于4.2GHz；</w:t>
            </w:r>
          </w:p>
          <w:p w14:paraId="3837590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5.内存：≥8GB DDR4，最大支持≥64GB；</w:t>
            </w:r>
          </w:p>
          <w:p w14:paraId="309EAB4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6.存储：≥128G SSD；</w:t>
            </w:r>
          </w:p>
          <w:p w14:paraId="17AAC8F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7.操作系统：Windows10及以上或Android11及以上；</w:t>
            </w:r>
          </w:p>
          <w:p w14:paraId="11DA564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8.摄像头：≥100W；</w:t>
            </w:r>
          </w:p>
          <w:p w14:paraId="534ABE1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读卡器：支持双频读卡器；</w:t>
            </w:r>
          </w:p>
          <w:p w14:paraId="0C4E109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网口：2*LAN, 10M/100M/1000M 自适应以太网；</w:t>
            </w:r>
          </w:p>
          <w:p w14:paraId="67F29F7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WiFi天线：≥2；</w:t>
            </w:r>
          </w:p>
          <w:p w14:paraId="71B1A5E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HDMI:≥1, 支持HDMI输出,支持 4K;</w:t>
            </w:r>
          </w:p>
          <w:p w14:paraId="4CBBFBA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▲9.支持立式/壁挂式、刷卡、二维扫描、条码扫描，支持物联网对接；</w:t>
            </w:r>
          </w:p>
          <w:p w14:paraId="145C3A7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★10.供应商须提供配套的自助终端机软件，可实现终端操作，支持用户身份校验、数据交互、数据展示等，并协助完成技术对接服务；</w:t>
            </w:r>
          </w:p>
        </w:tc>
      </w:tr>
      <w:tr w14:paraId="1443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0A084B0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8</w:t>
            </w:r>
          </w:p>
        </w:tc>
        <w:tc>
          <w:tcPr>
            <w:tcW w:w="667" w:type="pct"/>
            <w:shd w:val="clear" w:color="auto" w:fill="auto"/>
            <w:tcMar>
              <w:top w:w="0" w:type="dxa"/>
              <w:left w:w="105" w:type="dxa"/>
              <w:bottom w:w="0" w:type="dxa"/>
              <w:right w:w="105" w:type="dxa"/>
            </w:tcMar>
            <w:vAlign w:val="center"/>
          </w:tcPr>
          <w:p w14:paraId="0EDE844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摄像头</w:t>
            </w:r>
          </w:p>
        </w:tc>
        <w:tc>
          <w:tcPr>
            <w:tcW w:w="3823" w:type="pct"/>
            <w:shd w:val="clear" w:color="auto" w:fill="auto"/>
            <w:tcMar>
              <w:top w:w="0" w:type="dxa"/>
              <w:left w:w="105" w:type="dxa"/>
              <w:bottom w:w="0" w:type="dxa"/>
              <w:right w:w="105" w:type="dxa"/>
            </w:tcMar>
            <w:vAlign w:val="center"/>
          </w:tcPr>
          <w:p w14:paraId="2723034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▲1.网络摄像机，视频分辨率和帧率≥2688x1520、25帧/秒，视频压缩标准需支持H.265，内置电动变焦镜头；</w:t>
            </w:r>
          </w:p>
          <w:p w14:paraId="387E7F5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2.靶面尺寸≥1/3英寸，内置GPU芯片，内置≥1个麦克风、≥1个扬声器、≥1个SD卡卡槽，最低照度彩色≤0.005 lx；（需提供公安部所属检验机构出具的检测报告复印件并加盖制造商鲜章证明）</w:t>
            </w:r>
          </w:p>
          <w:p w14:paraId="241410F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▲3.当报警产生时，可触发联动声音报警。报警声音类型不低于 10 种，报警音量和重复次数可设置；（需提供公安部所属检验机构出具的检测报告复印件并加盖制造商鲜章证明）</w:t>
            </w:r>
          </w:p>
          <w:p w14:paraId="775400D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▲4.可对出现在监控场景内的两眼瞳距不小于20像素的人脸进行检验，同时叠加目标提示框；（需提供公安部所属检验机构出具的检测报告复印件并加盖制造商鲜章证明）</w:t>
            </w:r>
          </w:p>
          <w:p w14:paraId="3505546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5.支持POE供电，≥1个DC12V电源输出接口，≥1对音频输入/输出接口、≥1对报警输入/输出接口，支持混合补光；</w:t>
            </w:r>
          </w:p>
        </w:tc>
      </w:tr>
      <w:tr w14:paraId="008F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08" w:type="pct"/>
            <w:shd w:val="clear" w:color="auto" w:fill="auto"/>
            <w:tcMar>
              <w:top w:w="0" w:type="dxa"/>
              <w:left w:w="105" w:type="dxa"/>
              <w:bottom w:w="0" w:type="dxa"/>
              <w:right w:w="105" w:type="dxa"/>
            </w:tcMar>
            <w:vAlign w:val="center"/>
          </w:tcPr>
          <w:p w14:paraId="2FB2529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9</w:t>
            </w:r>
          </w:p>
        </w:tc>
        <w:tc>
          <w:tcPr>
            <w:tcW w:w="667" w:type="pct"/>
            <w:shd w:val="clear" w:color="auto" w:fill="auto"/>
            <w:tcMar>
              <w:top w:w="0" w:type="dxa"/>
              <w:left w:w="105" w:type="dxa"/>
              <w:bottom w:w="0" w:type="dxa"/>
              <w:right w:w="105" w:type="dxa"/>
            </w:tcMar>
            <w:vAlign w:val="center"/>
          </w:tcPr>
          <w:p w14:paraId="373877B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录像机</w:t>
            </w:r>
          </w:p>
        </w:tc>
        <w:tc>
          <w:tcPr>
            <w:tcW w:w="3823" w:type="pct"/>
            <w:shd w:val="clear" w:color="auto" w:fill="auto"/>
            <w:tcMar>
              <w:top w:w="0" w:type="dxa"/>
              <w:left w:w="105" w:type="dxa"/>
              <w:bottom w:w="0" w:type="dxa"/>
              <w:right w:w="105" w:type="dxa"/>
            </w:tcMar>
            <w:vAlign w:val="center"/>
          </w:tcPr>
          <w:p w14:paraId="39B8D23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▲1.嵌入式网络硬盘录像机，支持SATA接口硬盘；</w:t>
            </w:r>
          </w:p>
          <w:p w14:paraId="52B57CB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▲2.支持设置为≥2个不同网段的IP地址，也支持设置为同一IP地址以实现网络容错和负载均衡；（需提供公安部所属检验机构出具的检测报告复印件并加盖制造商公章证明）</w:t>
            </w:r>
          </w:p>
          <w:p w14:paraId="07F56BC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▲3.支持显示设备在线状态、IP、端口信息，支持在离线设备过滤并显示异常设备；（需提供公安部所属检验机构出具的检测报告复印件并加盖制造商公章证明）</w:t>
            </w:r>
          </w:p>
          <w:p w14:paraId="70DEF14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▲4.支持配置本地预览权限，只有登陆后才能预览设置权限的通道；（需提供公安部所属检验机构出具的检测报告复印件并加盖制造商公章证明）</w:t>
            </w:r>
          </w:p>
          <w:p w14:paraId="2095BF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接入具备相关能力的IPC后，支持对IPC的声音和闪光参数进行配置，支持通过移动侦测、区域入侵、越界侦测、进入区域和离开区域事件联动一个或多个IPC的声光报警，可以对声光联动一键撤防；（需提供公安部所属检验机构出具的检测报告复印件并加盖制造商公章证明）</w:t>
            </w:r>
          </w:p>
          <w:p w14:paraId="47B4256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6.≥1个HDMI接口、≥1个VGA接口，支持≥2个千兆网口、≥2个USB接口，≥4路报警输入、≥1路报警输出接口。</w:t>
            </w:r>
          </w:p>
          <w:p w14:paraId="321CDC0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7.配置≥4TB容量，3.5英寸，SATA3.0接口硬盘；</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3"/>
        <w:gridCol w:w="1559"/>
        <w:gridCol w:w="6109"/>
        <w:gridCol w:w="1436"/>
      </w:tblGrid>
      <w:tr w14:paraId="776B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top"/>
          </w:tcPr>
          <w:p w14:paraId="4965E7D4">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559" w:type="dxa"/>
            <w:shd w:val="clear" w:color="auto" w:fill="auto"/>
            <w:tcMar>
              <w:top w:w="0" w:type="dxa"/>
              <w:left w:w="105" w:type="dxa"/>
              <w:bottom w:w="0" w:type="dxa"/>
              <w:right w:w="105" w:type="dxa"/>
            </w:tcMar>
            <w:vAlign w:val="top"/>
          </w:tcPr>
          <w:p w14:paraId="7FFD687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服务类型</w:t>
            </w:r>
          </w:p>
        </w:tc>
        <w:tc>
          <w:tcPr>
            <w:tcW w:w="6109" w:type="dxa"/>
            <w:shd w:val="clear" w:color="auto" w:fill="auto"/>
            <w:tcMar>
              <w:top w:w="0" w:type="dxa"/>
              <w:left w:w="105" w:type="dxa"/>
              <w:bottom w:w="0" w:type="dxa"/>
              <w:right w:w="105" w:type="dxa"/>
            </w:tcMar>
            <w:vAlign w:val="top"/>
          </w:tcPr>
          <w:p w14:paraId="41CE1FB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服务内容</w:t>
            </w:r>
          </w:p>
        </w:tc>
        <w:tc>
          <w:tcPr>
            <w:tcW w:w="1436" w:type="dxa"/>
            <w:shd w:val="clear" w:color="auto" w:fill="auto"/>
            <w:tcMar>
              <w:top w:w="0" w:type="dxa"/>
              <w:left w:w="105" w:type="dxa"/>
              <w:bottom w:w="0" w:type="dxa"/>
              <w:right w:w="105" w:type="dxa"/>
            </w:tcMar>
            <w:vAlign w:val="top"/>
          </w:tcPr>
          <w:p w14:paraId="08567CB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服务期</w:t>
            </w:r>
          </w:p>
        </w:tc>
      </w:tr>
      <w:tr w14:paraId="0CF9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1195ADA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1</w:t>
            </w:r>
          </w:p>
        </w:tc>
        <w:tc>
          <w:tcPr>
            <w:tcW w:w="1559" w:type="dxa"/>
            <w:shd w:val="clear" w:color="auto" w:fill="auto"/>
            <w:tcMar>
              <w:top w:w="0" w:type="dxa"/>
              <w:left w:w="105" w:type="dxa"/>
              <w:bottom w:w="0" w:type="dxa"/>
              <w:right w:w="105" w:type="dxa"/>
            </w:tcMar>
            <w:vAlign w:val="center"/>
          </w:tcPr>
          <w:p w14:paraId="634F289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基本服务</w:t>
            </w:r>
          </w:p>
        </w:tc>
        <w:tc>
          <w:tcPr>
            <w:tcW w:w="6109" w:type="dxa"/>
            <w:shd w:val="clear" w:color="auto" w:fill="auto"/>
            <w:tcMar>
              <w:top w:w="0" w:type="dxa"/>
              <w:left w:w="105" w:type="dxa"/>
              <w:bottom w:w="0" w:type="dxa"/>
              <w:right w:w="105" w:type="dxa"/>
            </w:tcMar>
            <w:vAlign w:val="top"/>
          </w:tcPr>
          <w:p w14:paraId="3ABEBD2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基本服务至少满足以下内容：</w:t>
            </w:r>
          </w:p>
          <w:p w14:paraId="25F184A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1</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稳定性：</w:t>
            </w:r>
            <w:r>
              <w:rPr>
                <w:rFonts w:hint="eastAsia" w:ascii="仿宋" w:hAnsi="仿宋" w:eastAsia="仿宋" w:cs="仿宋"/>
                <w:color w:val="auto"/>
                <w:sz w:val="24"/>
                <w:szCs w:val="24"/>
                <w:u w:val="none"/>
              </w:rPr>
              <w:t>服务期内需保障业务稳定，不无故出现崩溃或宕机现象；</w:t>
            </w:r>
          </w:p>
          <w:p w14:paraId="622F238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2</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安全性：</w:t>
            </w:r>
            <w:r>
              <w:rPr>
                <w:rFonts w:hint="eastAsia" w:ascii="仿宋" w:hAnsi="仿宋" w:eastAsia="仿宋" w:cs="仿宋"/>
                <w:color w:val="auto"/>
                <w:sz w:val="24"/>
                <w:szCs w:val="24"/>
                <w:u w:val="none"/>
              </w:rPr>
              <w:t>具备完善的安全防护机制，做好数据备份，在合同签订后15个工作日内提交《安全事件应急响应手册》，重大安全事件（数据泄露、勒索病毒等）30分钟内电话通报、2小时内到场、4小时内出具初步处置报告；</w:t>
            </w:r>
          </w:p>
          <w:p w14:paraId="225AA83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3</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数据质量：</w:t>
            </w:r>
            <w:r>
              <w:rPr>
                <w:rFonts w:hint="eastAsia" w:ascii="仿宋" w:hAnsi="仿宋" w:eastAsia="仿宋" w:cs="仿宋"/>
                <w:color w:val="auto"/>
                <w:sz w:val="24"/>
                <w:szCs w:val="24"/>
                <w:u w:val="none"/>
              </w:rPr>
              <w:t>供应商收到异议后</w:t>
            </w:r>
            <w:r>
              <w:rPr>
                <w:rFonts w:hint="eastAsia" w:ascii="仿宋" w:hAnsi="仿宋" w:eastAsia="仿宋" w:cs="仿宋"/>
                <w:b w:val="0"/>
                <w:bCs w:val="0"/>
                <w:color w:val="auto"/>
                <w:sz w:val="24"/>
                <w:szCs w:val="24"/>
                <w:u w:val="none"/>
              </w:rPr>
              <w:t>，</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供应商应在5个工作日内对数据质量问题进行原因查找和反馈，30个工作日内对数据质量问题进行数据清洗；</w:t>
            </w:r>
          </w:p>
          <w:p w14:paraId="7327145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4</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响应速度：</w:t>
            </w:r>
            <w:r>
              <w:rPr>
                <w:rFonts w:hint="eastAsia" w:ascii="仿宋" w:hAnsi="仿宋" w:eastAsia="仿宋" w:cs="仿宋"/>
                <w:color w:val="auto"/>
                <w:sz w:val="24"/>
                <w:szCs w:val="24"/>
                <w:u w:val="none"/>
              </w:rPr>
              <w:t>服务期内，采购人通过电话、微信、现场提出的支持需求，供应商须在需求提出的当日完成响应；</w:t>
            </w:r>
          </w:p>
          <w:p w14:paraId="135E967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5</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备件供应：</w:t>
            </w:r>
            <w:r>
              <w:rPr>
                <w:rFonts w:hint="eastAsia" w:ascii="仿宋" w:hAnsi="仿宋" w:eastAsia="仿宋" w:cs="仿宋"/>
                <w:color w:val="auto"/>
                <w:sz w:val="24"/>
                <w:szCs w:val="24"/>
                <w:u w:val="none"/>
              </w:rPr>
              <w:t>服务期内设备故障并经排查，明确3个工作日内无法恢复，应当在3个工作日内提供相同类型和性能的可用机器恢复业务工作，直至故障排除；</w:t>
            </w:r>
          </w:p>
          <w:p w14:paraId="6530E41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6</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定期巡检：</w:t>
            </w:r>
            <w:r>
              <w:rPr>
                <w:rFonts w:hint="eastAsia" w:ascii="仿宋" w:hAnsi="仿宋" w:eastAsia="仿宋" w:cs="仿宋"/>
                <w:color w:val="auto"/>
                <w:sz w:val="24"/>
                <w:szCs w:val="24"/>
                <w:u w:val="none"/>
              </w:rPr>
              <w:t>服务期内每月提供至少1次软硬件服务期巡检报告；</w:t>
            </w:r>
          </w:p>
          <w:p w14:paraId="4C9B637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7</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培训服务：</w:t>
            </w:r>
            <w:r>
              <w:rPr>
                <w:rFonts w:hint="eastAsia" w:ascii="仿宋" w:hAnsi="仿宋" w:eastAsia="仿宋" w:cs="仿宋"/>
                <w:color w:val="auto"/>
                <w:sz w:val="24"/>
                <w:szCs w:val="24"/>
                <w:u w:val="none"/>
              </w:rPr>
              <w:t>每年提供≥2次培训服务，并提交培训方案和签到表；</w:t>
            </w:r>
          </w:p>
          <w:p w14:paraId="7E817F9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b/>
                <w:bCs/>
                <w:color w:val="auto"/>
                <w:sz w:val="24"/>
                <w:szCs w:val="24"/>
                <w:u w:val="none"/>
              </w:rPr>
              <w:t>8</w:t>
            </w:r>
            <w:r>
              <w:rPr>
                <w:rStyle w:val="21"/>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文档服务：</w:t>
            </w:r>
            <w:r>
              <w:rPr>
                <w:rFonts w:hint="eastAsia" w:ascii="仿宋" w:hAnsi="仿宋" w:eastAsia="仿宋" w:cs="仿宋"/>
                <w:color w:val="auto"/>
                <w:sz w:val="24"/>
                <w:szCs w:val="24"/>
                <w:u w:val="none"/>
              </w:rPr>
              <w:t>上线运行之日提交本次采购内容的操作手册、服务器信息、业务数据库表结构，若采购内容的相关文档发生变化，需在 30 日内提供最新文档。服务期满后需提交本次采购内容的运维记录签字扫描版本。</w:t>
            </w:r>
          </w:p>
          <w:p w14:paraId="1312187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b/>
                <w:bCs/>
                <w:color w:val="auto"/>
                <w:sz w:val="24"/>
                <w:szCs w:val="24"/>
                <w:u w:val="none"/>
              </w:rPr>
              <w:t>9</w:t>
            </w:r>
            <w:r>
              <w:rPr>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人员服务：</w:t>
            </w:r>
            <w:r>
              <w:rPr>
                <w:rFonts w:hint="eastAsia" w:ascii="仿宋" w:hAnsi="仿宋" w:eastAsia="仿宋" w:cs="仿宋"/>
                <w:color w:val="auto"/>
                <w:sz w:val="24"/>
                <w:szCs w:val="24"/>
                <w:u w:val="none"/>
              </w:rPr>
              <w:t>驻场期间纳入医院统一管理。工作时间：工作日8:00-17:30,法定节假日按照医院统一放假时间，节假日期间安排人员远程值班,人员轮转、变动须提前通知采购人。</w:t>
            </w:r>
          </w:p>
          <w:p w14:paraId="6D1665A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color w:val="auto"/>
                <w:sz w:val="24"/>
                <w:szCs w:val="24"/>
                <w:u w:val="none"/>
              </w:rPr>
            </w:pPr>
            <w:r>
              <w:rPr>
                <w:rFonts w:hint="eastAsia" w:ascii="仿宋" w:hAnsi="仿宋" w:eastAsia="仿宋" w:cs="仿宋"/>
                <w:b/>
                <w:bCs/>
                <w:color w:val="auto"/>
                <w:sz w:val="24"/>
                <w:szCs w:val="24"/>
                <w:u w:val="none"/>
              </w:rPr>
              <w:t>10</w:t>
            </w:r>
            <w:r>
              <w:rPr>
                <w:rFonts w:hint="eastAsia" w:ascii="仿宋" w:hAnsi="仿宋" w:eastAsia="仿宋" w:cs="仿宋"/>
                <w:b/>
                <w:bCs/>
                <w:color w:val="auto"/>
                <w:sz w:val="24"/>
                <w:szCs w:val="24"/>
                <w:u w:val="none"/>
                <w:lang w:val="en-US" w:eastAsia="zh-CN"/>
              </w:rPr>
              <w:t>.</w:t>
            </w:r>
            <w:r>
              <w:rPr>
                <w:rStyle w:val="21"/>
                <w:rFonts w:hint="eastAsia" w:ascii="仿宋" w:hAnsi="仿宋" w:eastAsia="仿宋" w:cs="仿宋"/>
                <w:b/>
                <w:bCs/>
                <w:color w:val="auto"/>
                <w:sz w:val="24"/>
                <w:szCs w:val="24"/>
                <w:u w:val="none"/>
              </w:rPr>
              <w:t>其他：</w:t>
            </w:r>
          </w:p>
          <w:p w14:paraId="5BD0491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1）从合同签订生效之日起，采购人</w:t>
            </w:r>
            <w:r>
              <w:rPr>
                <w:rStyle w:val="21"/>
                <w:rFonts w:hint="eastAsia" w:ascii="仿宋" w:hAnsi="仿宋" w:eastAsia="仿宋" w:cs="仿宋"/>
                <w:b/>
                <w:bCs/>
                <w:color w:val="auto"/>
                <w:sz w:val="24"/>
                <w:szCs w:val="24"/>
                <w:u w:val="none"/>
              </w:rPr>
              <w:t>每月</w:t>
            </w:r>
            <w:r>
              <w:rPr>
                <w:rFonts w:hint="eastAsia" w:ascii="仿宋" w:hAnsi="仿宋" w:eastAsia="仿宋" w:cs="仿宋"/>
                <w:color w:val="auto"/>
                <w:sz w:val="24"/>
                <w:szCs w:val="24"/>
                <w:u w:val="none"/>
              </w:rPr>
              <w:t>按照</w:t>
            </w:r>
            <w:r>
              <w:rPr>
                <w:rStyle w:val="21"/>
                <w:rFonts w:hint="eastAsia" w:ascii="仿宋" w:hAnsi="仿宋" w:eastAsia="仿宋" w:cs="仿宋"/>
                <w:b/>
                <w:bCs/>
                <w:color w:val="auto"/>
                <w:sz w:val="24"/>
                <w:szCs w:val="24"/>
                <w:u w:val="none"/>
              </w:rPr>
              <w:t>四川省人民医院供应商考核</w:t>
            </w:r>
            <w:r>
              <w:rPr>
                <w:rFonts w:hint="eastAsia" w:ascii="仿宋" w:hAnsi="仿宋" w:eastAsia="仿宋" w:cs="仿宋"/>
                <w:color w:val="auto"/>
                <w:sz w:val="24"/>
                <w:szCs w:val="24"/>
                <w:u w:val="none"/>
              </w:rPr>
              <w:t>指标对供应商行为进行评价考核，考核结果关联最终付款金额和履约保证金（如有履约保证金）。</w:t>
            </w:r>
          </w:p>
          <w:p w14:paraId="7E01C41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供应商应当与本项目相关的第三方保持有痕的沟通，明确项目的具体要求和功能等方面的细节。采购人负责组织、监督和验收，以确保项目的顺利完成。</w:t>
            </w:r>
          </w:p>
          <w:p w14:paraId="536FA95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3）如涉及因本项目开发的系统原因造成采购人的经济损失，由</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供应商负责向采购人进行赔偿。</w:t>
            </w:r>
          </w:p>
        </w:tc>
        <w:tc>
          <w:tcPr>
            <w:tcW w:w="1436" w:type="dxa"/>
            <w:vMerge w:val="restart"/>
            <w:shd w:val="clear" w:color="auto" w:fill="auto"/>
            <w:tcMar>
              <w:top w:w="0" w:type="dxa"/>
              <w:left w:w="105" w:type="dxa"/>
              <w:bottom w:w="0" w:type="dxa"/>
              <w:right w:w="105" w:type="dxa"/>
            </w:tcMar>
            <w:vAlign w:val="center"/>
          </w:tcPr>
          <w:p w14:paraId="58EC725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所有软硬件功能上线运行起不低于1年</w:t>
            </w:r>
          </w:p>
        </w:tc>
      </w:tr>
      <w:tr w14:paraId="0D697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64EE889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Style w:val="21"/>
                <w:rFonts w:hint="eastAsia"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2</w:t>
            </w:r>
          </w:p>
        </w:tc>
        <w:tc>
          <w:tcPr>
            <w:tcW w:w="1559" w:type="dxa"/>
            <w:shd w:val="clear" w:color="auto" w:fill="auto"/>
            <w:tcMar>
              <w:top w:w="0" w:type="dxa"/>
              <w:left w:w="105" w:type="dxa"/>
              <w:bottom w:w="0" w:type="dxa"/>
              <w:right w:w="105" w:type="dxa"/>
            </w:tcMar>
            <w:vAlign w:val="center"/>
          </w:tcPr>
          <w:p w14:paraId="4DD143B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Style w:val="21"/>
                <w:rFonts w:hint="eastAsia" w:ascii="仿宋" w:hAnsi="仿宋" w:eastAsia="仿宋" w:cs="仿宋"/>
                <w:b/>
                <w:bCs/>
                <w:sz w:val="24"/>
                <w:szCs w:val="24"/>
              </w:rPr>
            </w:pPr>
            <w:r>
              <w:rPr>
                <w:rFonts w:hint="eastAsia" w:ascii="仿宋" w:hAnsi="仿宋" w:eastAsia="仿宋" w:cs="仿宋"/>
                <w:b/>
                <w:bCs/>
                <w:sz w:val="24"/>
                <w:szCs w:val="24"/>
              </w:rPr>
              <w:t>RFID人工服务</w:t>
            </w:r>
          </w:p>
        </w:tc>
        <w:tc>
          <w:tcPr>
            <w:tcW w:w="6109" w:type="dxa"/>
            <w:shd w:val="clear" w:color="auto" w:fill="auto"/>
            <w:tcMar>
              <w:top w:w="0" w:type="dxa"/>
              <w:left w:w="105" w:type="dxa"/>
              <w:bottom w:w="0" w:type="dxa"/>
              <w:right w:w="105" w:type="dxa"/>
            </w:tcMar>
            <w:vAlign w:val="center"/>
          </w:tcPr>
          <w:p w14:paraId="3A2C6F3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1.设备盘点：根据医院提供的设备台账信息到指定科室寻找到对应设备；</w:t>
            </w:r>
          </w:p>
          <w:p w14:paraId="017C4E8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2.贴标签：将RFID标签粘贴到设备指定位置（要求：不遮挡设备铭牌、不影响设备的正常使用、不粘贴在设备底部）；</w:t>
            </w:r>
          </w:p>
          <w:p w14:paraId="27D8985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3.拍照：对设备正面、侧面及设备铭牌进行拍照（要求照片清晰不模糊，字体清晰可见，侧面照片清晰显示设备接口）；</w:t>
            </w:r>
          </w:p>
          <w:p w14:paraId="473C812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4.建立映射关系：完成盘点、贴标签、拍照等工作后，整理盘点完毕的设备实际资产信息，并建立RFID标签与设备以及设备固定资产台账的映射关系（含一对多关系）；</w:t>
            </w:r>
          </w:p>
          <w:p w14:paraId="01A6C60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5.完善设备信息：根据盘点的实际设备信息，核对设备的台账信息是否准确完善，对不完善或错误的数据予以修正；</w:t>
            </w:r>
          </w:p>
          <w:p w14:paraId="4DD1E5D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eastAsia" w:ascii="仿宋" w:hAnsi="仿宋" w:eastAsia="仿宋" w:cs="仿宋"/>
                <w:color w:val="auto"/>
                <w:sz w:val="24"/>
                <w:szCs w:val="24"/>
                <w:u w:val="none"/>
              </w:rPr>
            </w:pPr>
            <w:r>
              <w:rPr>
                <w:rFonts w:hint="eastAsia" w:ascii="仿宋" w:hAnsi="仿宋" w:eastAsia="仿宋" w:cs="仿宋"/>
                <w:sz w:val="24"/>
                <w:szCs w:val="24"/>
              </w:rPr>
              <w:t>6.整体要求：完成不少于30000张标签的粘贴以及完成被粘贴标签设备的以上全部工作内容；</w:t>
            </w:r>
          </w:p>
        </w:tc>
        <w:tc>
          <w:tcPr>
            <w:tcW w:w="1436" w:type="dxa"/>
            <w:vMerge w:val="continue"/>
            <w:shd w:val="clear" w:color="auto" w:fill="auto"/>
            <w:tcMar>
              <w:top w:w="0" w:type="dxa"/>
              <w:left w:w="105" w:type="dxa"/>
              <w:bottom w:w="0" w:type="dxa"/>
              <w:right w:w="105" w:type="dxa"/>
            </w:tcMar>
            <w:vAlign w:val="center"/>
          </w:tcPr>
          <w:p w14:paraId="01C1738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lang w:val="en-US" w:eastAsia="zh-CN"/>
              </w:rPr>
            </w:pPr>
          </w:p>
        </w:tc>
      </w:tr>
      <w:tr w14:paraId="72AE9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2E240D1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Style w:val="21"/>
                <w:rFonts w:hint="eastAsia"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3</w:t>
            </w:r>
          </w:p>
        </w:tc>
        <w:tc>
          <w:tcPr>
            <w:tcW w:w="1559" w:type="dxa"/>
            <w:shd w:val="clear" w:color="auto" w:fill="auto"/>
            <w:tcMar>
              <w:top w:w="0" w:type="dxa"/>
              <w:left w:w="105" w:type="dxa"/>
              <w:bottom w:w="0" w:type="dxa"/>
              <w:right w:w="105" w:type="dxa"/>
            </w:tcMar>
            <w:vAlign w:val="center"/>
          </w:tcPr>
          <w:p w14:paraId="35CED6F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Style w:val="21"/>
                <w:rFonts w:hint="eastAsia" w:ascii="仿宋" w:hAnsi="仿宋" w:eastAsia="仿宋" w:cs="仿宋"/>
                <w:b/>
                <w:bCs/>
                <w:sz w:val="24"/>
                <w:szCs w:val="24"/>
              </w:rPr>
            </w:pPr>
            <w:r>
              <w:rPr>
                <w:rFonts w:hint="eastAsia" w:ascii="仿宋" w:hAnsi="仿宋" w:eastAsia="仿宋" w:cs="仿宋"/>
                <w:b/>
                <w:bCs/>
                <w:sz w:val="24"/>
                <w:szCs w:val="24"/>
              </w:rPr>
              <w:t>物联网管理平台及终端对接服务</w:t>
            </w:r>
          </w:p>
        </w:tc>
        <w:tc>
          <w:tcPr>
            <w:tcW w:w="6109" w:type="dxa"/>
            <w:shd w:val="clear" w:color="auto" w:fill="auto"/>
            <w:tcMar>
              <w:top w:w="0" w:type="dxa"/>
              <w:left w:w="105" w:type="dxa"/>
              <w:bottom w:w="0" w:type="dxa"/>
              <w:right w:w="105" w:type="dxa"/>
            </w:tcMar>
            <w:vAlign w:val="center"/>
          </w:tcPr>
          <w:p w14:paraId="421DFAD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1.工程师能够按需求完成物联网管理平台定制化开发；</w:t>
            </w:r>
          </w:p>
          <w:p w14:paraId="5A19DE4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2.完成该项目所涉及设备终端的功能对接，通过物联网管理平台实现统一管理。包括但不限于：数据采集、数据交互、身份验证、设备监测、功能整合，数据统计分析等；</w:t>
            </w:r>
          </w:p>
          <w:p w14:paraId="3ACB1E2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3.根据采购方建设要求，实现各终端数据整合；</w:t>
            </w:r>
          </w:p>
          <w:p w14:paraId="0D38FB6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4.可提供开放性接口供院内其他管理软件使用，后续开放性接口对接不再收取其他费用；</w:t>
            </w:r>
          </w:p>
          <w:p w14:paraId="0565D93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5.项目验收合格一年内免收维保费用；</w:t>
            </w:r>
          </w:p>
          <w:p w14:paraId="3A14A59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eastAsia" w:ascii="仿宋" w:hAnsi="仿宋" w:eastAsia="仿宋" w:cs="仿宋"/>
                <w:color w:val="auto"/>
                <w:sz w:val="24"/>
                <w:szCs w:val="24"/>
                <w:u w:val="none"/>
              </w:rPr>
            </w:pPr>
            <w:r>
              <w:rPr>
                <w:rFonts w:hint="eastAsia" w:ascii="仿宋" w:hAnsi="仿宋" w:eastAsia="仿宋" w:cs="仿宋"/>
                <w:sz w:val="24"/>
                <w:szCs w:val="24"/>
              </w:rPr>
              <w:t>6.供应商须提供至少1名软件工程师驻场，以保障项目稳定推进，积极建设物联网平台，使其能够7*24小时不间断运行。遇见设备异常、故障、平台运行不流畅、停滞等，驻场工程师可第一时间响应软、硬件异常，快速定位并解决系统卡顿、数据异常、设备连接失败等问题。</w:t>
            </w:r>
          </w:p>
        </w:tc>
        <w:tc>
          <w:tcPr>
            <w:tcW w:w="1436" w:type="dxa"/>
            <w:vMerge w:val="continue"/>
            <w:shd w:val="clear" w:color="auto" w:fill="auto"/>
            <w:tcMar>
              <w:top w:w="0" w:type="dxa"/>
              <w:left w:w="105" w:type="dxa"/>
              <w:bottom w:w="0" w:type="dxa"/>
              <w:right w:w="105" w:type="dxa"/>
            </w:tcMar>
            <w:vAlign w:val="center"/>
          </w:tcPr>
          <w:p w14:paraId="1B47BB2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lang w:val="en-US" w:eastAsia="zh-CN"/>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1.实施时间：合同生效后，需在 5 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 365 日内，完成本项目包含的所有软硬件功能的上线运行。未在实施周期内完成，视为供应商违约并自动放弃该项目，采购人有权终止合同，合同所有款项将不予支付（如有履约保证金，将不予退还），已支付款项，供应商应于7个工作日内退还采购人。</w:t>
      </w:r>
    </w:p>
    <w:p w14:paraId="5390034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.质保服务</w:t>
      </w:r>
    </w:p>
    <w:p w14:paraId="52B5C63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（1）质保期：项目整体验收合格之日起，提供不低于5年质保（不含因人为使用不当或人为损坏导致的电动玻璃门钢化玻璃损坏）。</w:t>
      </w:r>
    </w:p>
    <w:p w14:paraId="0FC2410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（2）质保范围：保证软硬件功能正常运行，提供7*24小时原厂质保服务。</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分阶段支付，固定部分价款：硬件安装完成且物联网管理平台接入系统并调试成功后，经验收合格，全额支付除“RFID人工服务”费用的其他费用，供应商5日内向采购人提供合法有效票据及其他相关请款资料，采购人于接到上述票据及资料后的55日内，向供应商支付此部分款项。按实结算部分：RFID人工服务根据采购及粘贴的RFID标签的具体数量及标签和人工服务的成交单价进行结算。服务期开始后，每三个月结算一次，直至服务期结束或全部粘贴完成，供应商每完成三个月RFID人工服务相关内容后，应于5日内向采购人提供合法有效票据及其他相关请款资料，采购人应于接到上述票据及资料后的55日内，向供应商全额支付相应费用。</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（3）验收程序：分期/分段验收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（5）履约验收内容：按照基于本项目采购需求编制的采购文件要求及供应商响应文件情况，由供应商向采购人交付的每一阶段或轮次的全部内容。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分阶段验收：（1）硬件安装完成且物联网管理平台接入系统并调试成功后5日内通知采购人验收，采购人接供应商通知后10日内组织验收。（2）服务期开始后，供应商每完成三个月RFID人工服务相关内容后5日内通知采购人验收，采购人接供应商通知后10日内组织验收，直至服务期结束或全部粘贴完成。</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1AA857FE">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r>
        <w:rPr>
          <w:rFonts w:hint="default" w:ascii="仿宋" w:hAnsi="仿宋" w:eastAsia="仿宋" w:cs="仿宋"/>
          <w:sz w:val="24"/>
          <w:szCs w:val="24"/>
          <w:lang w:val="en-US" w:eastAsia="zh-CN"/>
        </w:rPr>
        <w:t>知识产权归属</w:t>
      </w:r>
      <w:r>
        <w:rPr>
          <w:rFonts w:hint="eastAsia" w:ascii="仿宋" w:hAnsi="仿宋" w:eastAsia="仿宋" w:cs="仿宋"/>
          <w:sz w:val="24"/>
          <w:szCs w:val="24"/>
          <w:lang w:val="en-US" w:eastAsia="zh-CN"/>
        </w:rPr>
        <w:t>：由采购人、供应商双方共同开发的项目：采购人、供应商双方共同研发的该系统软件产品，知识产权归采购人、供应商双方共同拥有，软件所有数据归采购人所有。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05DBB17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76A9B31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（1）供应商具有完善的系统实施方案，包括但不限于（1）软件解决方案；（2）硬件施工方案；（3）软硬件集成方案；（4）安装及调试方法；（5）进度控制措施；（6）质量控制措施。</w:t>
      </w:r>
    </w:p>
    <w:p w14:paraId="51153081">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（2）供应商具有完善的售后服务方案，包括但不限于（1）售后服务体系；（2）售后服务人员安排及联系方式；（3）售后响应时间及措施；（4）人员培训方案；（5）应急处理方案。</w:t>
      </w:r>
    </w:p>
    <w:p w14:paraId="4ADDAF3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78E0199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供应商提供2023年1月1日（含）以来类似信息化平台建设项目业绩证明。</w:t>
      </w:r>
    </w:p>
    <w:p w14:paraId="5D7A0AA3">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注：提供合同关键页（合同首页、建设内容、金额、签字盖章页）材料复印件，并加盖供应商公章。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3"/>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7F93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35C940CF">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32"/>
                <w:szCs w:val="32"/>
              </w:rPr>
              <w:t>四川省人民医院供应商考核</w:t>
            </w:r>
          </w:p>
        </w:tc>
      </w:tr>
      <w:tr w14:paraId="0D7F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0440EA7">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24FA27D2">
            <w:pPr>
              <w:keepNext w:val="0"/>
              <w:keepLines w:val="0"/>
              <w:widowControl/>
              <w:suppressLineNumbers w:val="0"/>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50B7D0B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665AE989">
            <w:pPr>
              <w:keepNext w:val="0"/>
              <w:keepLines w:val="0"/>
              <w:widowControl/>
              <w:suppressLineNumbers w:val="0"/>
              <w:jc w:val="left"/>
              <w:rPr>
                <w:rFonts w:hint="eastAsia" w:ascii="仿宋" w:hAnsi="仿宋" w:eastAsia="仿宋" w:cs="仿宋"/>
                <w:sz w:val="24"/>
                <w:szCs w:val="24"/>
              </w:rPr>
            </w:pPr>
          </w:p>
        </w:tc>
      </w:tr>
      <w:tr w14:paraId="516F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BC8A30C">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624165B9">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01895B41">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62C91916">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1738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33F7AB3F">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性能质</w:t>
            </w:r>
          </w:p>
          <w:p w14:paraId="16FCA666">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量评价</w:t>
            </w:r>
          </w:p>
          <w:p w14:paraId="45220650">
            <w:pPr>
              <w:pStyle w:val="14"/>
              <w:keepNext w:val="0"/>
              <w:keepLines w:val="0"/>
              <w:widowControl/>
              <w:suppressLineNumbers w:val="0"/>
              <w:spacing w:after="195" w:afterAutospacing="0"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 </w:t>
            </w:r>
          </w:p>
        </w:tc>
        <w:tc>
          <w:tcPr>
            <w:tcW w:w="1350" w:type="dxa"/>
            <w:shd w:val="clear" w:color="auto" w:fill="auto"/>
            <w:tcMar>
              <w:top w:w="0" w:type="dxa"/>
              <w:left w:w="105" w:type="dxa"/>
              <w:bottom w:w="0" w:type="dxa"/>
              <w:right w:w="105" w:type="dxa"/>
            </w:tcMar>
            <w:vAlign w:val="center"/>
          </w:tcPr>
          <w:p w14:paraId="434AAD9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稳定性</w:t>
            </w:r>
          </w:p>
        </w:tc>
        <w:tc>
          <w:tcPr>
            <w:tcW w:w="5415" w:type="dxa"/>
            <w:gridSpan w:val="3"/>
            <w:shd w:val="clear" w:color="auto" w:fill="auto"/>
            <w:tcMar>
              <w:top w:w="0" w:type="dxa"/>
              <w:left w:w="105" w:type="dxa"/>
              <w:bottom w:w="0" w:type="dxa"/>
              <w:right w:w="105" w:type="dxa"/>
            </w:tcMar>
            <w:vAlign w:val="center"/>
          </w:tcPr>
          <w:p w14:paraId="0F283FA2">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0693D594">
            <w:pPr>
              <w:keepNext w:val="0"/>
              <w:keepLines w:val="0"/>
              <w:widowControl/>
              <w:suppressLineNumbers w:val="0"/>
              <w:jc w:val="left"/>
              <w:rPr>
                <w:rFonts w:hint="eastAsia" w:ascii="仿宋" w:hAnsi="仿宋" w:eastAsia="仿宋" w:cs="仿宋"/>
                <w:sz w:val="24"/>
                <w:szCs w:val="24"/>
              </w:rPr>
            </w:pPr>
          </w:p>
        </w:tc>
      </w:tr>
      <w:tr w14:paraId="54163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BEF57E6">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9A03E3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安全性</w:t>
            </w:r>
          </w:p>
        </w:tc>
        <w:tc>
          <w:tcPr>
            <w:tcW w:w="5415" w:type="dxa"/>
            <w:gridSpan w:val="3"/>
            <w:shd w:val="clear" w:color="auto" w:fill="auto"/>
            <w:tcMar>
              <w:top w:w="0" w:type="dxa"/>
              <w:left w:w="105" w:type="dxa"/>
              <w:bottom w:w="0" w:type="dxa"/>
              <w:right w:w="105" w:type="dxa"/>
            </w:tcMar>
            <w:vAlign w:val="center"/>
          </w:tcPr>
          <w:p w14:paraId="1C4F8A0B">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6C374857">
            <w:pPr>
              <w:keepNext w:val="0"/>
              <w:keepLines w:val="0"/>
              <w:widowControl/>
              <w:suppressLineNumbers w:val="0"/>
              <w:jc w:val="left"/>
              <w:rPr>
                <w:rFonts w:hint="eastAsia" w:ascii="仿宋" w:hAnsi="仿宋" w:eastAsia="仿宋" w:cs="仿宋"/>
                <w:sz w:val="24"/>
                <w:szCs w:val="24"/>
              </w:rPr>
            </w:pPr>
          </w:p>
        </w:tc>
      </w:tr>
      <w:tr w14:paraId="7C66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FD800FB">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3146514">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用户满意度</w:t>
            </w:r>
          </w:p>
        </w:tc>
        <w:tc>
          <w:tcPr>
            <w:tcW w:w="5415" w:type="dxa"/>
            <w:gridSpan w:val="3"/>
            <w:shd w:val="clear" w:color="auto" w:fill="auto"/>
            <w:tcMar>
              <w:top w:w="0" w:type="dxa"/>
              <w:left w:w="105" w:type="dxa"/>
              <w:bottom w:w="0" w:type="dxa"/>
              <w:right w:w="105" w:type="dxa"/>
            </w:tcMar>
            <w:vAlign w:val="center"/>
          </w:tcPr>
          <w:p w14:paraId="3EB7B438">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78807583">
            <w:pPr>
              <w:keepNext w:val="0"/>
              <w:keepLines w:val="0"/>
              <w:widowControl/>
              <w:suppressLineNumbers w:val="0"/>
              <w:jc w:val="left"/>
              <w:rPr>
                <w:rFonts w:hint="eastAsia" w:ascii="仿宋" w:hAnsi="仿宋" w:eastAsia="仿宋" w:cs="仿宋"/>
                <w:sz w:val="24"/>
                <w:szCs w:val="24"/>
              </w:rPr>
            </w:pPr>
          </w:p>
        </w:tc>
      </w:tr>
      <w:tr w14:paraId="2B65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A11C184">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使用支</w:t>
            </w:r>
          </w:p>
          <w:p w14:paraId="619278FC">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持评价</w:t>
            </w:r>
          </w:p>
        </w:tc>
        <w:tc>
          <w:tcPr>
            <w:tcW w:w="1350" w:type="dxa"/>
            <w:shd w:val="clear" w:color="auto" w:fill="auto"/>
            <w:tcMar>
              <w:top w:w="0" w:type="dxa"/>
              <w:left w:w="105" w:type="dxa"/>
              <w:bottom w:w="0" w:type="dxa"/>
              <w:right w:w="105" w:type="dxa"/>
            </w:tcMar>
            <w:vAlign w:val="center"/>
          </w:tcPr>
          <w:p w14:paraId="6F06C89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考勤</w:t>
            </w:r>
          </w:p>
        </w:tc>
        <w:tc>
          <w:tcPr>
            <w:tcW w:w="5415" w:type="dxa"/>
            <w:gridSpan w:val="3"/>
            <w:shd w:val="clear" w:color="auto" w:fill="auto"/>
            <w:tcMar>
              <w:top w:w="0" w:type="dxa"/>
              <w:left w:w="105" w:type="dxa"/>
              <w:bottom w:w="0" w:type="dxa"/>
              <w:right w:w="105" w:type="dxa"/>
            </w:tcMar>
            <w:vAlign w:val="center"/>
          </w:tcPr>
          <w:p w14:paraId="26CB2964">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1E4244B0">
            <w:pPr>
              <w:keepNext w:val="0"/>
              <w:keepLines w:val="0"/>
              <w:widowControl/>
              <w:suppressLineNumbers w:val="0"/>
              <w:jc w:val="left"/>
              <w:rPr>
                <w:rFonts w:hint="eastAsia" w:ascii="仿宋" w:hAnsi="仿宋" w:eastAsia="仿宋" w:cs="仿宋"/>
                <w:sz w:val="24"/>
                <w:szCs w:val="24"/>
              </w:rPr>
            </w:pPr>
          </w:p>
        </w:tc>
      </w:tr>
      <w:tr w14:paraId="6B8E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8534696">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DDF2198">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响应速度</w:t>
            </w:r>
          </w:p>
        </w:tc>
        <w:tc>
          <w:tcPr>
            <w:tcW w:w="5415" w:type="dxa"/>
            <w:gridSpan w:val="3"/>
            <w:shd w:val="clear" w:color="auto" w:fill="auto"/>
            <w:tcMar>
              <w:top w:w="0" w:type="dxa"/>
              <w:left w:w="105" w:type="dxa"/>
              <w:bottom w:w="0" w:type="dxa"/>
              <w:right w:w="105" w:type="dxa"/>
            </w:tcMar>
            <w:vAlign w:val="center"/>
          </w:tcPr>
          <w:p w14:paraId="595A7CA3">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27E678FC">
            <w:pPr>
              <w:keepNext w:val="0"/>
              <w:keepLines w:val="0"/>
              <w:widowControl/>
              <w:suppressLineNumbers w:val="0"/>
              <w:jc w:val="left"/>
              <w:rPr>
                <w:rFonts w:hint="eastAsia" w:ascii="仿宋" w:hAnsi="仿宋" w:eastAsia="仿宋" w:cs="仿宋"/>
                <w:sz w:val="24"/>
                <w:szCs w:val="24"/>
              </w:rPr>
            </w:pPr>
          </w:p>
        </w:tc>
      </w:tr>
      <w:tr w14:paraId="5BE2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A7111D5">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012088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备件供应</w:t>
            </w:r>
          </w:p>
          <w:p w14:paraId="303BD8E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(本项仅涉及提供硬件的供应商)</w:t>
            </w:r>
          </w:p>
        </w:tc>
        <w:tc>
          <w:tcPr>
            <w:tcW w:w="5415" w:type="dxa"/>
            <w:gridSpan w:val="3"/>
            <w:shd w:val="clear" w:color="auto" w:fill="auto"/>
            <w:tcMar>
              <w:top w:w="0" w:type="dxa"/>
              <w:left w:w="105" w:type="dxa"/>
              <w:bottom w:w="0" w:type="dxa"/>
              <w:right w:w="105" w:type="dxa"/>
            </w:tcMar>
            <w:vAlign w:val="center"/>
          </w:tcPr>
          <w:p w14:paraId="1A2F4D8A">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4952D6EB">
            <w:pPr>
              <w:keepNext w:val="0"/>
              <w:keepLines w:val="0"/>
              <w:widowControl/>
              <w:suppressLineNumbers w:val="0"/>
              <w:jc w:val="left"/>
              <w:rPr>
                <w:rFonts w:hint="eastAsia" w:ascii="仿宋" w:hAnsi="仿宋" w:eastAsia="仿宋" w:cs="仿宋"/>
                <w:sz w:val="24"/>
                <w:szCs w:val="24"/>
              </w:rPr>
            </w:pPr>
          </w:p>
        </w:tc>
      </w:tr>
      <w:tr w14:paraId="6BA6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40D2E30">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0AEDD2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定期巡检</w:t>
            </w:r>
          </w:p>
        </w:tc>
        <w:tc>
          <w:tcPr>
            <w:tcW w:w="5415" w:type="dxa"/>
            <w:gridSpan w:val="3"/>
            <w:shd w:val="clear" w:color="auto" w:fill="auto"/>
            <w:tcMar>
              <w:top w:w="0" w:type="dxa"/>
              <w:left w:w="105" w:type="dxa"/>
              <w:bottom w:w="0" w:type="dxa"/>
              <w:right w:w="105" w:type="dxa"/>
            </w:tcMar>
            <w:vAlign w:val="center"/>
          </w:tcPr>
          <w:p w14:paraId="4CBCF1E4">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68D8878E">
            <w:pPr>
              <w:keepNext w:val="0"/>
              <w:keepLines w:val="0"/>
              <w:widowControl/>
              <w:suppressLineNumbers w:val="0"/>
              <w:jc w:val="left"/>
              <w:rPr>
                <w:rFonts w:hint="eastAsia" w:ascii="仿宋" w:hAnsi="仿宋" w:eastAsia="仿宋" w:cs="仿宋"/>
                <w:sz w:val="24"/>
                <w:szCs w:val="24"/>
              </w:rPr>
            </w:pPr>
          </w:p>
        </w:tc>
      </w:tr>
      <w:tr w14:paraId="61B6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1993048">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4E7F45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培训服务</w:t>
            </w:r>
          </w:p>
        </w:tc>
        <w:tc>
          <w:tcPr>
            <w:tcW w:w="5415" w:type="dxa"/>
            <w:gridSpan w:val="3"/>
            <w:shd w:val="clear" w:color="auto" w:fill="auto"/>
            <w:tcMar>
              <w:top w:w="0" w:type="dxa"/>
              <w:left w:w="105" w:type="dxa"/>
              <w:bottom w:w="0" w:type="dxa"/>
              <w:right w:w="105" w:type="dxa"/>
            </w:tcMar>
            <w:vAlign w:val="center"/>
          </w:tcPr>
          <w:p w14:paraId="27BF43EF">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66E47078">
            <w:pPr>
              <w:keepNext w:val="0"/>
              <w:keepLines w:val="0"/>
              <w:widowControl/>
              <w:suppressLineNumbers w:val="0"/>
              <w:jc w:val="left"/>
              <w:rPr>
                <w:rFonts w:hint="eastAsia" w:ascii="仿宋" w:hAnsi="仿宋" w:eastAsia="仿宋" w:cs="仿宋"/>
                <w:sz w:val="24"/>
                <w:szCs w:val="24"/>
              </w:rPr>
            </w:pPr>
          </w:p>
        </w:tc>
      </w:tr>
      <w:tr w14:paraId="061DF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5F80762">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B93B2D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技术文档</w:t>
            </w:r>
          </w:p>
        </w:tc>
        <w:tc>
          <w:tcPr>
            <w:tcW w:w="5415" w:type="dxa"/>
            <w:gridSpan w:val="3"/>
            <w:shd w:val="clear" w:color="auto" w:fill="auto"/>
            <w:tcMar>
              <w:top w:w="0" w:type="dxa"/>
              <w:left w:w="105" w:type="dxa"/>
              <w:bottom w:w="0" w:type="dxa"/>
              <w:right w:w="105" w:type="dxa"/>
            </w:tcMar>
            <w:vAlign w:val="center"/>
          </w:tcPr>
          <w:p w14:paraId="7A451AEC">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33403992">
            <w:pPr>
              <w:keepNext w:val="0"/>
              <w:keepLines w:val="0"/>
              <w:widowControl/>
              <w:suppressLineNumbers w:val="0"/>
              <w:jc w:val="left"/>
              <w:rPr>
                <w:rFonts w:hint="eastAsia" w:ascii="仿宋" w:hAnsi="仿宋" w:eastAsia="仿宋" w:cs="仿宋"/>
                <w:sz w:val="24"/>
                <w:szCs w:val="24"/>
              </w:rPr>
            </w:pPr>
          </w:p>
        </w:tc>
      </w:tr>
      <w:tr w14:paraId="463B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6528A5E0">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违规违</w:t>
            </w:r>
          </w:p>
          <w:p w14:paraId="026BEFE4">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纪评价</w:t>
            </w:r>
          </w:p>
        </w:tc>
        <w:tc>
          <w:tcPr>
            <w:tcW w:w="1350" w:type="dxa"/>
            <w:shd w:val="clear" w:color="auto" w:fill="auto"/>
            <w:tcMar>
              <w:top w:w="0" w:type="dxa"/>
              <w:left w:w="105" w:type="dxa"/>
              <w:bottom w:w="0" w:type="dxa"/>
              <w:right w:w="105" w:type="dxa"/>
            </w:tcMar>
            <w:vAlign w:val="center"/>
          </w:tcPr>
          <w:p w14:paraId="014CFA43">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廉洁从业</w:t>
            </w:r>
          </w:p>
        </w:tc>
        <w:tc>
          <w:tcPr>
            <w:tcW w:w="5415" w:type="dxa"/>
            <w:gridSpan w:val="3"/>
            <w:shd w:val="clear" w:color="auto" w:fill="auto"/>
            <w:tcMar>
              <w:top w:w="0" w:type="dxa"/>
              <w:left w:w="105" w:type="dxa"/>
              <w:bottom w:w="0" w:type="dxa"/>
              <w:right w:w="105" w:type="dxa"/>
            </w:tcMar>
            <w:vAlign w:val="center"/>
          </w:tcPr>
          <w:p w14:paraId="1C1956E7">
            <w:pPr>
              <w:pStyle w:val="14"/>
              <w:keepNext w:val="0"/>
              <w:keepLines w:val="0"/>
              <w:widowControl/>
              <w:suppressLineNumbers w:val="0"/>
              <w:autoSpaceDE w:val="0"/>
              <w:autoSpaceDN/>
              <w:rPr>
                <w:rFonts w:hint="eastAsia" w:ascii="仿宋" w:hAnsi="仿宋" w:eastAsia="仿宋" w:cs="仿宋"/>
                <w:sz w:val="24"/>
                <w:szCs w:val="24"/>
              </w:rPr>
            </w:pPr>
            <w:r>
              <w:rPr>
                <w:rStyle w:val="21"/>
                <w:rFonts w:hint="eastAsia" w:ascii="仿宋" w:hAnsi="仿宋" w:eastAsia="仿宋" w:cs="仿宋"/>
                <w:b/>
                <w:bCs/>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50CC2F6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一票否决</w:t>
            </w:r>
          </w:p>
        </w:tc>
      </w:tr>
      <w:tr w14:paraId="444C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A38A759">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985B63E">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安全规范</w:t>
            </w:r>
          </w:p>
        </w:tc>
        <w:tc>
          <w:tcPr>
            <w:tcW w:w="5415" w:type="dxa"/>
            <w:gridSpan w:val="3"/>
            <w:shd w:val="clear" w:color="auto" w:fill="auto"/>
            <w:tcMar>
              <w:top w:w="0" w:type="dxa"/>
              <w:left w:w="105" w:type="dxa"/>
              <w:bottom w:w="0" w:type="dxa"/>
              <w:right w:w="105" w:type="dxa"/>
            </w:tcMar>
            <w:vAlign w:val="center"/>
          </w:tcPr>
          <w:p w14:paraId="6B98DAF5">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07EE214A">
            <w:pPr>
              <w:keepNext w:val="0"/>
              <w:keepLines w:val="0"/>
              <w:widowControl/>
              <w:suppressLineNumbers w:val="0"/>
              <w:jc w:val="left"/>
              <w:rPr>
                <w:rFonts w:hint="eastAsia" w:ascii="仿宋" w:hAnsi="仿宋" w:eastAsia="仿宋" w:cs="仿宋"/>
                <w:sz w:val="24"/>
                <w:szCs w:val="24"/>
              </w:rPr>
            </w:pPr>
          </w:p>
        </w:tc>
      </w:tr>
      <w:tr w14:paraId="302A4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C639A49">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74393C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其他违纪违规</w:t>
            </w:r>
          </w:p>
        </w:tc>
        <w:tc>
          <w:tcPr>
            <w:tcW w:w="5415" w:type="dxa"/>
            <w:gridSpan w:val="3"/>
            <w:shd w:val="clear" w:color="auto" w:fill="auto"/>
            <w:tcMar>
              <w:top w:w="0" w:type="dxa"/>
              <w:left w:w="105" w:type="dxa"/>
              <w:bottom w:w="0" w:type="dxa"/>
              <w:right w:w="105" w:type="dxa"/>
            </w:tcMar>
            <w:vAlign w:val="center"/>
          </w:tcPr>
          <w:p w14:paraId="2C1633AE">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0249C1EF">
            <w:pPr>
              <w:keepNext w:val="0"/>
              <w:keepLines w:val="0"/>
              <w:widowControl/>
              <w:suppressLineNumbers w:val="0"/>
              <w:jc w:val="left"/>
              <w:rPr>
                <w:rFonts w:hint="eastAsia" w:ascii="仿宋" w:hAnsi="仿宋" w:eastAsia="仿宋" w:cs="仿宋"/>
                <w:sz w:val="24"/>
                <w:szCs w:val="24"/>
              </w:rPr>
            </w:pPr>
          </w:p>
        </w:tc>
      </w:tr>
      <w:tr w14:paraId="4115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2F6EEF5">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扣分合计</w:t>
            </w:r>
          </w:p>
        </w:tc>
        <w:tc>
          <w:tcPr>
            <w:tcW w:w="7425" w:type="dxa"/>
            <w:gridSpan w:val="5"/>
            <w:shd w:val="clear" w:color="auto" w:fill="auto"/>
            <w:tcMar>
              <w:top w:w="0" w:type="dxa"/>
              <w:left w:w="105" w:type="dxa"/>
              <w:bottom w:w="0" w:type="dxa"/>
              <w:right w:w="105" w:type="dxa"/>
            </w:tcMar>
            <w:vAlign w:val="center"/>
          </w:tcPr>
          <w:p w14:paraId="539145AF">
            <w:pPr>
              <w:keepNext w:val="0"/>
              <w:keepLines w:val="0"/>
              <w:widowControl/>
              <w:suppressLineNumbers w:val="0"/>
              <w:jc w:val="left"/>
              <w:rPr>
                <w:rFonts w:hint="eastAsia" w:ascii="仿宋" w:hAnsi="仿宋" w:eastAsia="仿宋" w:cs="仿宋"/>
                <w:sz w:val="24"/>
                <w:szCs w:val="24"/>
              </w:rPr>
            </w:pPr>
          </w:p>
        </w:tc>
      </w:tr>
      <w:tr w14:paraId="70D0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A4DB84A">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考核人</w:t>
            </w:r>
          </w:p>
        </w:tc>
        <w:tc>
          <w:tcPr>
            <w:tcW w:w="7425" w:type="dxa"/>
            <w:gridSpan w:val="5"/>
            <w:shd w:val="clear" w:color="auto" w:fill="auto"/>
            <w:tcMar>
              <w:top w:w="0" w:type="dxa"/>
              <w:left w:w="105" w:type="dxa"/>
              <w:bottom w:w="0" w:type="dxa"/>
              <w:right w:w="105" w:type="dxa"/>
            </w:tcMar>
            <w:vAlign w:val="center"/>
          </w:tcPr>
          <w:p w14:paraId="090F93C3">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bl>
    <w:p w14:paraId="52A1BA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rPr>
      </w:pPr>
      <w:r>
        <w:rPr>
          <w:rStyle w:val="21"/>
          <w:rFonts w:hint="eastAsia" w:ascii="仿宋" w:hAnsi="仿宋" w:eastAsia="仿宋" w:cs="仿宋"/>
          <w:color w:val="000000"/>
          <w:kern w:val="2"/>
          <w:sz w:val="24"/>
          <w:szCs w:val="24"/>
        </w:rPr>
        <w:t>备注：</w:t>
      </w:r>
    </w:p>
    <w:p w14:paraId="63CA06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b w:val="0"/>
          <w:bCs w:val="0"/>
          <w:color w:val="000000"/>
          <w:kern w:val="2"/>
          <w:sz w:val="24"/>
          <w:szCs w:val="24"/>
        </w:rPr>
        <w:t>1.</w:t>
      </w:r>
      <w:r>
        <w:rPr>
          <w:rFonts w:hint="eastAsia" w:ascii="仿宋" w:hAnsi="仿宋" w:eastAsia="仿宋" w:cs="仿宋"/>
          <w:color w:val="000000"/>
          <w:kern w:val="2"/>
          <w:sz w:val="24"/>
          <w:szCs w:val="24"/>
        </w:rPr>
        <w:t>服务期内，采购人可按照本项目采购需求内容对应的考核指标对供应商进行考核，具体指标以采购人要求为准；</w:t>
      </w:r>
    </w:p>
    <w:p w14:paraId="00B296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b w:val="0"/>
          <w:bCs w:val="0"/>
          <w:color w:val="000000"/>
          <w:kern w:val="2"/>
          <w:sz w:val="24"/>
          <w:szCs w:val="24"/>
        </w:rPr>
        <w:t>2.</w:t>
      </w:r>
      <w:r>
        <w:rPr>
          <w:rFonts w:hint="eastAsia" w:ascii="仿宋" w:hAnsi="仿宋" w:eastAsia="仿宋" w:cs="仿宋"/>
          <w:color w:val="000000"/>
          <w:kern w:val="2"/>
          <w:sz w:val="24"/>
          <w:szCs w:val="24"/>
        </w:rPr>
        <w:t>考核关联最终付款金额，具体计算规则如下：</w:t>
      </w:r>
    </w:p>
    <w:p w14:paraId="01D0C7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color w:val="000000"/>
          <w:kern w:val="2"/>
          <w:sz w:val="24"/>
          <w:szCs w:val="24"/>
          <w:lang w:val="en-US" w:eastAsia="zh-CN"/>
        </w:rPr>
        <w:t>1）</w:t>
      </w:r>
      <w:r>
        <w:rPr>
          <w:rStyle w:val="21"/>
          <w:rFonts w:hint="eastAsia" w:ascii="仿宋" w:hAnsi="仿宋" w:eastAsia="仿宋" w:cs="仿宋"/>
          <w:color w:val="000000"/>
          <w:kern w:val="2"/>
          <w:sz w:val="24"/>
          <w:szCs w:val="24"/>
        </w:rPr>
        <w:t>平均扣</w:t>
      </w:r>
      <w:r>
        <w:rPr>
          <w:rStyle w:val="21"/>
          <w:rFonts w:hint="eastAsia" w:ascii="仿宋" w:hAnsi="仿宋" w:eastAsia="仿宋" w:cs="仿宋"/>
          <w:color w:val="000000"/>
          <w:kern w:val="2"/>
          <w:sz w:val="24"/>
          <w:szCs w:val="24"/>
          <w:u w:val="none"/>
        </w:rPr>
        <w:t>分</w:t>
      </w:r>
      <w:r>
        <w:rPr>
          <w:rFonts w:hint="eastAsia" w:ascii="仿宋" w:hAnsi="仿宋" w:eastAsia="仿宋" w:cs="仿宋"/>
          <w:color w:val="000000"/>
          <w:kern w:val="2"/>
          <w:sz w:val="24"/>
          <w:szCs w:val="24"/>
          <w:u w:val="none"/>
        </w:rPr>
        <w:t>=服务期汇总考核扣分之和÷服务期内考核次数</w:t>
      </w:r>
      <w:r>
        <w:rPr>
          <w:rFonts w:hint="eastAsia" w:ascii="仿宋" w:hAnsi="仿宋" w:eastAsia="仿宋" w:cs="仿宋"/>
          <w:color w:val="000000"/>
          <w:kern w:val="2"/>
          <w:sz w:val="24"/>
          <w:szCs w:val="24"/>
          <w:u w:val="none"/>
          <w:lang w:eastAsia="zh-CN"/>
        </w:rPr>
        <w:t>；</w:t>
      </w:r>
    </w:p>
    <w:p w14:paraId="0B317A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2）0分&lt;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≤3分，将对供应商进行诫勉谈话；</w:t>
      </w:r>
    </w:p>
    <w:p w14:paraId="0BA108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3）3分&lt;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≤5分，对供应商提出警告，</w:t>
      </w:r>
      <w:r>
        <w:rPr>
          <w:rFonts w:hint="eastAsia" w:ascii="仿宋" w:hAnsi="仿宋" w:eastAsia="仿宋" w:cs="仿宋"/>
          <w:kern w:val="2"/>
          <w:sz w:val="24"/>
          <w:szCs w:val="24"/>
          <w:u w:val="none"/>
        </w:rPr>
        <w:t>从合同待支付金额中或履约保证金中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eastAsia="zh-CN"/>
        </w:rPr>
        <w:t>总</w:t>
      </w:r>
      <w:r>
        <w:rPr>
          <w:rFonts w:hint="eastAsia" w:ascii="仿宋" w:hAnsi="仿宋" w:eastAsia="仿宋" w:cs="仿宋"/>
          <w:color w:val="000000"/>
          <w:kern w:val="2"/>
          <w:sz w:val="24"/>
          <w:szCs w:val="24"/>
          <w:u w:val="none"/>
        </w:rPr>
        <w:t>金额5%费用，扣完为止；</w:t>
      </w:r>
    </w:p>
    <w:p w14:paraId="13CDA0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4）5分&lt;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≤10分，对供应商提出严重警告，</w:t>
      </w:r>
      <w:r>
        <w:rPr>
          <w:rFonts w:hint="eastAsia" w:ascii="仿宋" w:hAnsi="仿宋" w:eastAsia="仿宋" w:cs="仿宋"/>
          <w:kern w:val="2"/>
          <w:sz w:val="24"/>
          <w:szCs w:val="24"/>
          <w:u w:val="none"/>
        </w:rPr>
        <w:t>从合同待支付金额中或履约保证金中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eastAsia="zh-CN"/>
        </w:rPr>
        <w:t>总</w:t>
      </w:r>
      <w:r>
        <w:rPr>
          <w:rFonts w:hint="eastAsia" w:ascii="仿宋" w:hAnsi="仿宋" w:eastAsia="仿宋" w:cs="仿宋"/>
          <w:color w:val="000000"/>
          <w:kern w:val="2"/>
          <w:sz w:val="24"/>
          <w:szCs w:val="24"/>
          <w:u w:val="none"/>
        </w:rPr>
        <w:t>金额10%费用，扣完为止；</w:t>
      </w:r>
    </w:p>
    <w:p w14:paraId="04DFEE5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u w:val="none"/>
          <w:lang w:val="en-US" w:eastAsia="zh-CN"/>
        </w:rPr>
        <w:t>5</w:t>
      </w:r>
      <w:r>
        <w:rPr>
          <w:rFonts w:hint="eastAsia" w:ascii="仿宋" w:hAnsi="仿宋" w:eastAsia="仿宋" w:cs="仿宋"/>
          <w:color w:val="000000"/>
          <w:kern w:val="2"/>
          <w:sz w:val="24"/>
          <w:szCs w:val="24"/>
          <w:u w:val="none"/>
        </w:rPr>
        <w:t>）10分&lt;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，视为</w:t>
      </w:r>
      <w:r>
        <w:rPr>
          <w:rStyle w:val="21"/>
          <w:rFonts w:hint="eastAsia" w:ascii="仿宋" w:hAnsi="仿宋" w:eastAsia="仿宋" w:cs="仿宋"/>
          <w:color w:val="000000"/>
          <w:kern w:val="2"/>
          <w:sz w:val="24"/>
          <w:szCs w:val="24"/>
          <w:u w:val="none"/>
        </w:rPr>
        <w:t>不合格</w:t>
      </w:r>
      <w:r>
        <w:rPr>
          <w:rFonts w:hint="eastAsia" w:ascii="仿宋" w:hAnsi="仿宋" w:eastAsia="仿宋" w:cs="仿宋"/>
          <w:color w:val="000000"/>
          <w:kern w:val="2"/>
          <w:sz w:val="24"/>
          <w:szCs w:val="24"/>
          <w:u w:val="none"/>
        </w:rPr>
        <w:t>，终止合同，</w:t>
      </w:r>
      <w:r>
        <w:rPr>
          <w:rFonts w:hint="eastAsia" w:ascii="仿宋" w:hAnsi="仿宋" w:eastAsia="仿宋" w:cs="仿宋"/>
          <w:color w:val="000000"/>
          <w:kern w:val="2"/>
          <w:sz w:val="24"/>
          <w:szCs w:val="24"/>
        </w:rPr>
        <w:t>合同待支付金额</w:t>
      </w:r>
      <w:r>
        <w:rPr>
          <w:rFonts w:hint="eastAsia" w:ascii="仿宋" w:hAnsi="仿宋" w:eastAsia="仿宋" w:cs="仿宋"/>
          <w:color w:val="000000"/>
          <w:kern w:val="2"/>
          <w:sz w:val="24"/>
          <w:szCs w:val="24"/>
          <w:lang w:val="en-US" w:eastAsia="zh-CN"/>
        </w:rPr>
        <w:t>不予支付，</w:t>
      </w:r>
      <w:r>
        <w:rPr>
          <w:rFonts w:hint="eastAsia" w:ascii="仿宋" w:hAnsi="仿宋" w:eastAsia="仿宋" w:cs="仿宋"/>
          <w:color w:val="000000"/>
          <w:kern w:val="2"/>
          <w:sz w:val="24"/>
          <w:szCs w:val="24"/>
        </w:rPr>
        <w:t>履约</w:t>
      </w:r>
      <w:r>
        <w:rPr>
          <w:rFonts w:hint="eastAsia" w:ascii="仿宋" w:hAnsi="仿宋" w:eastAsia="仿宋" w:cs="仿宋"/>
          <w:color w:val="000000"/>
          <w:kern w:val="2"/>
          <w:sz w:val="24"/>
          <w:szCs w:val="24"/>
          <w:lang w:val="en-US" w:eastAsia="zh-CN"/>
        </w:rPr>
        <w:t>保证</w:t>
      </w:r>
      <w:r>
        <w:rPr>
          <w:rFonts w:hint="eastAsia" w:ascii="仿宋" w:hAnsi="仿宋" w:eastAsia="仿宋" w:cs="仿宋"/>
          <w:color w:val="000000"/>
          <w:kern w:val="2"/>
          <w:sz w:val="24"/>
          <w:szCs w:val="24"/>
        </w:rPr>
        <w:t>金（如有履约保证金）不予退还；</w:t>
      </w:r>
    </w:p>
    <w:p w14:paraId="41D54C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rPr>
      </w:pPr>
      <w:r>
        <w:rPr>
          <w:rFonts w:hint="eastAsia" w:ascii="仿宋" w:hAnsi="仿宋" w:eastAsia="仿宋" w:cs="仿宋"/>
          <w:b w:val="0"/>
          <w:bCs w:val="0"/>
          <w:color w:val="000000"/>
          <w:kern w:val="2"/>
          <w:sz w:val="24"/>
          <w:szCs w:val="24"/>
        </w:rPr>
        <w:t>3.</w:t>
      </w:r>
      <w:r>
        <w:rPr>
          <w:rFonts w:hint="eastAsia" w:ascii="仿宋" w:hAnsi="仿宋" w:eastAsia="仿宋" w:cs="仿宋"/>
          <w:color w:val="000000"/>
          <w:kern w:val="2"/>
          <w:sz w:val="24"/>
          <w:szCs w:val="24"/>
        </w:rPr>
        <w:t>供应商出现一票否决时，将对其违法违纪的相关情况汇报院纪委，同时按供应商违约情况取消本次合作，扣除所有剩余款项和履约保证金（如有履约保证金），并保留后续追究供应商责任的权利。</w:t>
      </w:r>
    </w:p>
    <w:p w14:paraId="55C619D9">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b w:val="0"/>
          <w:bCs w:val="0"/>
          <w:color w:val="000000"/>
          <w:kern w:val="2"/>
          <w:sz w:val="24"/>
          <w:szCs w:val="24"/>
        </w:rPr>
        <w:t>4.</w:t>
      </w:r>
      <w:r>
        <w:rPr>
          <w:rFonts w:hint="eastAsia" w:ascii="仿宋" w:hAnsi="仿宋" w:eastAsia="仿宋" w:cs="仿宋"/>
          <w:color w:val="000000"/>
          <w:kern w:val="2"/>
          <w:sz w:val="24"/>
          <w:szCs w:val="24"/>
        </w:rPr>
        <w:t>本考核指标最终解释权归四川省医学科学院·四川省人民医院。</w:t>
      </w: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738A618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”的条款为实质性要求，不满足将被作为无效响应处理。“▲”的条款为重点参数</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455"/>
        <w:gridCol w:w="1110"/>
        <w:gridCol w:w="5377"/>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23"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45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110"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5378"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23"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45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110"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5378"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23"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455" w:type="dxa"/>
            <w:tcBorders>
              <w:top w:val="single" w:color="auto" w:sz="4" w:space="0"/>
              <w:left w:val="single" w:color="auto" w:sz="4" w:space="0"/>
              <w:right w:val="single" w:color="auto" w:sz="4" w:space="0"/>
            </w:tcBorders>
            <w:vAlign w:val="center"/>
          </w:tcPr>
          <w:p w14:paraId="5FA06A6A">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技术参数40</w:t>
            </w:r>
            <w:r>
              <w:rPr>
                <w:rFonts w:hint="eastAsia" w:ascii="仿宋" w:hAnsi="仿宋" w:eastAsia="仿宋" w:cs="仿宋"/>
                <w:color w:val="000000" w:themeColor="text1"/>
                <w:sz w:val="24"/>
                <w:szCs w:val="24"/>
                <w:highlight w:val="none"/>
                <w14:textFill>
                  <w14:solidFill>
                    <w14:schemeClr w14:val="tx1"/>
                  </w14:solidFill>
                </w14:textFill>
              </w:rPr>
              <w:t>%</w:t>
            </w:r>
          </w:p>
        </w:tc>
        <w:tc>
          <w:tcPr>
            <w:tcW w:w="1110" w:type="dxa"/>
            <w:tcBorders>
              <w:top w:val="single" w:color="auto" w:sz="4" w:space="0"/>
              <w:left w:val="single" w:color="auto" w:sz="4" w:space="0"/>
              <w:bottom w:val="single" w:color="auto" w:sz="4" w:space="0"/>
              <w:right w:val="single" w:color="auto" w:sz="4" w:space="0"/>
            </w:tcBorders>
            <w:vAlign w:val="center"/>
          </w:tcPr>
          <w:p w14:paraId="1EDEBBF5">
            <w:pPr>
              <w:spacing w:line="24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40分</w:t>
            </w:r>
          </w:p>
        </w:tc>
        <w:tc>
          <w:tcPr>
            <w:tcW w:w="5378" w:type="dxa"/>
            <w:tcBorders>
              <w:top w:val="single" w:color="auto" w:sz="4" w:space="0"/>
              <w:left w:val="single" w:color="auto" w:sz="4" w:space="0"/>
              <w:bottom w:val="single" w:color="auto" w:sz="4" w:space="0"/>
              <w:right w:val="single" w:color="auto" w:sz="4" w:space="0"/>
            </w:tcBorders>
            <w:vAlign w:val="center"/>
          </w:tcPr>
          <w:p w14:paraId="45FB42B9">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采购文件第四章“三、技术要求”中</w:t>
            </w:r>
            <w:r>
              <w:rPr>
                <w:rFonts w:hint="eastAsia" w:ascii="仿宋" w:hAnsi="仿宋" w:eastAsia="仿宋" w:cs="仿宋"/>
                <w:color w:val="000000" w:themeColor="text1"/>
                <w:sz w:val="24"/>
                <w:szCs w:val="24"/>
                <w14:textFill>
                  <w14:solidFill>
                    <w14:schemeClr w14:val="tx1"/>
                  </w14:solidFill>
                </w14:textFill>
              </w:rPr>
              <w:t>带“★”的为实质性要求，不允许有负偏离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不作为评审要求</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color w:val="000000" w:themeColor="text1"/>
                <w:sz w:val="24"/>
                <w:szCs w:val="24"/>
                <w:lang w:val="en-US" w:eastAsia="zh-CN"/>
                <w14:textFill>
                  <w14:solidFill>
                    <w14:schemeClr w14:val="tx1"/>
                  </w14:solidFill>
                </w14:textFill>
              </w:rPr>
              <w:t>的参数条款为重要技术参数条款，作为重要评分因素；</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参数条款</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color w:val="000000" w:themeColor="text1"/>
                <w:sz w:val="24"/>
                <w:szCs w:val="24"/>
                <w:lang w:val="en-US" w:eastAsia="zh-CN"/>
                <w14:textFill>
                  <w14:solidFill>
                    <w14:schemeClr w14:val="tx1"/>
                  </w14:solidFill>
                </w14:textFill>
              </w:rPr>
              <w:t>作为一般评分因素</w:t>
            </w:r>
            <w:r>
              <w:rPr>
                <w:rFonts w:hint="eastAsia" w:ascii="仿宋" w:hAnsi="仿宋" w:eastAsia="仿宋" w:cs="仿宋"/>
                <w:color w:val="000000" w:themeColor="text1"/>
                <w:sz w:val="24"/>
                <w:szCs w:val="24"/>
                <w:lang w:eastAsia="zh-CN"/>
                <w14:textFill>
                  <w14:solidFill>
                    <w14:schemeClr w14:val="tx1"/>
                  </w14:solidFill>
                </w14:textFill>
              </w:rPr>
              <w:t>。</w:t>
            </w:r>
          </w:p>
          <w:p w14:paraId="177216B1">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供应商响应文件</w:t>
            </w:r>
            <w:r>
              <w:rPr>
                <w:rFonts w:hint="eastAsia" w:ascii="仿宋" w:hAnsi="仿宋" w:eastAsia="仿宋" w:cs="仿宋"/>
                <w:color w:val="000000" w:themeColor="text1"/>
                <w:sz w:val="24"/>
                <w:szCs w:val="24"/>
                <w14:textFill>
                  <w14:solidFill>
                    <w14:schemeClr w14:val="tx1"/>
                  </w14:solidFill>
                </w14:textFill>
              </w:rPr>
              <w:t>完全符合</w:t>
            </w:r>
            <w:r>
              <w:rPr>
                <w:rFonts w:hint="eastAsia" w:ascii="仿宋" w:hAnsi="仿宋" w:eastAsia="仿宋" w:cs="仿宋"/>
                <w:color w:val="000000" w:themeColor="text1"/>
                <w:sz w:val="24"/>
                <w:szCs w:val="24"/>
                <w:lang w:val="en-US" w:eastAsia="zh-CN"/>
                <w14:textFill>
                  <w14:solidFill>
                    <w14:schemeClr w14:val="tx1"/>
                  </w14:solidFill>
                </w14:textFill>
              </w:rPr>
              <w:t>采购</w:t>
            </w:r>
            <w:r>
              <w:rPr>
                <w:rFonts w:hint="eastAsia" w:ascii="仿宋" w:hAnsi="仿宋" w:eastAsia="仿宋" w:cs="仿宋"/>
                <w:color w:val="000000" w:themeColor="text1"/>
                <w:sz w:val="24"/>
                <w:szCs w:val="24"/>
                <w14:textFill>
                  <w14:solidFill>
                    <w14:schemeClr w14:val="tx1"/>
                  </w14:solidFill>
                </w14:textFill>
              </w:rPr>
              <w:t>文件</w:t>
            </w:r>
            <w:r>
              <w:rPr>
                <w:rFonts w:hint="eastAsia" w:ascii="仿宋" w:hAnsi="仿宋" w:eastAsia="仿宋" w:cs="仿宋"/>
                <w:color w:val="000000" w:themeColor="text1"/>
                <w:sz w:val="24"/>
                <w:szCs w:val="24"/>
                <w:lang w:val="en-US" w:eastAsia="zh-CN"/>
                <w14:textFill>
                  <w14:solidFill>
                    <w14:schemeClr w14:val="tx1"/>
                  </w14:solidFill>
                </w14:textFill>
              </w:rPr>
              <w:t>第四章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三、技术要求</w:t>
            </w:r>
            <w:r>
              <w:rPr>
                <w:rFonts w:hint="eastAsia" w:ascii="仿宋" w:hAnsi="仿宋" w:eastAsia="仿宋" w:cs="仿宋"/>
                <w:color w:val="000000" w:themeColor="text1"/>
                <w:sz w:val="24"/>
                <w:szCs w:val="24"/>
                <w14:textFill>
                  <w14:solidFill>
                    <w14:schemeClr w14:val="tx1"/>
                  </w14:solidFill>
                </w14:textFill>
              </w:rPr>
              <w:t>”的得</w:t>
            </w:r>
            <w:r>
              <w:rPr>
                <w:rFonts w:hint="eastAsia" w:ascii="仿宋" w:hAnsi="仿宋" w:eastAsia="仿宋" w:cs="仿宋"/>
                <w:color w:val="000000" w:themeColor="text1"/>
                <w:sz w:val="24"/>
                <w:szCs w:val="24"/>
                <w:lang w:val="en-US" w:eastAsia="zh-CN"/>
                <w14:textFill>
                  <w14:solidFill>
                    <w14:schemeClr w14:val="tx1"/>
                  </w14:solidFill>
                </w14:textFill>
              </w:rPr>
              <w:t>40</w:t>
            </w:r>
            <w:r>
              <w:rPr>
                <w:rFonts w:hint="eastAsia" w:ascii="仿宋" w:hAnsi="仿宋" w:eastAsia="仿宋" w:cs="仿宋"/>
                <w:color w:val="000000" w:themeColor="text1"/>
                <w:sz w:val="24"/>
                <w:szCs w:val="24"/>
                <w14:textFill>
                  <w14:solidFill>
                    <w14:schemeClr w14:val="tx1"/>
                  </w14:solidFill>
                </w14:textFill>
              </w:rPr>
              <w:t>分。</w:t>
            </w:r>
          </w:p>
          <w:p w14:paraId="6CC0C481">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的响应得分规则如下：</w:t>
            </w:r>
          </w:p>
          <w:p w14:paraId="4253BFB0">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lang w:eastAsia="zh-CN"/>
                <w14:textFill>
                  <w14:solidFill>
                    <w14:schemeClr w14:val="tx1"/>
                  </w14:solidFill>
                </w14:textFill>
              </w:rPr>
              <w:t>条款的数量÷</w:t>
            </w: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30</w:t>
            </w:r>
            <w:r>
              <w:rPr>
                <w:rFonts w:hint="eastAsia" w:ascii="仿宋" w:hAnsi="仿宋" w:eastAsia="仿宋" w:cs="仿宋"/>
                <w:color w:val="000000" w:themeColor="text1"/>
                <w:sz w:val="24"/>
                <w:szCs w:val="24"/>
                <w:lang w:eastAsia="zh-CN"/>
                <w14:textFill>
                  <w14:solidFill>
                    <w14:schemeClr w14:val="tx1"/>
                  </w14:solidFill>
                </w14:textFill>
              </w:rPr>
              <w:t>分。</w:t>
            </w:r>
          </w:p>
          <w:p w14:paraId="46F025D5">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lang w:eastAsia="zh-CN"/>
                <w14:textFill>
                  <w14:solidFill>
                    <w14:schemeClr w14:val="tx1"/>
                  </w14:solidFill>
                </w14:textFill>
              </w:rPr>
              <w:t>条款的数量÷</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分。</w:t>
            </w:r>
          </w:p>
          <w:p w14:paraId="18DBE588">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注：①得分保留小数点后两位小数，四舍五入。</w:t>
            </w:r>
          </w:p>
          <w:p w14:paraId="434352FB">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②项数以不能再拆分的最小项为一项。</w:t>
            </w:r>
          </w:p>
          <w:p w14:paraId="1C08E925">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23"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455" w:type="dxa"/>
            <w:tcBorders>
              <w:left w:val="single" w:color="auto" w:sz="4" w:space="0"/>
              <w:bottom w:val="single" w:color="auto" w:sz="4" w:space="0"/>
              <w:right w:val="single" w:color="auto" w:sz="4" w:space="0"/>
            </w:tcBorders>
            <w:vAlign w:val="center"/>
          </w:tcPr>
          <w:p w14:paraId="59CDD5B4">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项目实施方案14%</w:t>
            </w:r>
          </w:p>
        </w:tc>
        <w:tc>
          <w:tcPr>
            <w:tcW w:w="1110" w:type="dxa"/>
            <w:tcBorders>
              <w:top w:val="single" w:color="auto" w:sz="4" w:space="0"/>
              <w:left w:val="single" w:color="auto" w:sz="4" w:space="0"/>
              <w:bottom w:val="single" w:color="auto" w:sz="4" w:space="0"/>
              <w:right w:val="single" w:color="auto" w:sz="4" w:space="0"/>
            </w:tcBorders>
            <w:vAlign w:val="center"/>
          </w:tcPr>
          <w:p w14:paraId="49C88B8D">
            <w:pPr>
              <w:spacing w:line="24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14分</w:t>
            </w:r>
          </w:p>
        </w:tc>
        <w:tc>
          <w:tcPr>
            <w:tcW w:w="5378" w:type="dxa"/>
            <w:tcBorders>
              <w:top w:val="single" w:color="auto" w:sz="4" w:space="0"/>
              <w:left w:val="single" w:color="auto" w:sz="4" w:space="0"/>
              <w:bottom w:val="single" w:color="auto" w:sz="4" w:space="0"/>
              <w:right w:val="single" w:color="auto" w:sz="4" w:space="0"/>
            </w:tcBorders>
            <w:vAlign w:val="center"/>
          </w:tcPr>
          <w:p w14:paraId="5F05DAA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系统实施</w:t>
            </w:r>
            <w:r>
              <w:rPr>
                <w:rFonts w:hint="eastAsia" w:ascii="仿宋" w:hAnsi="仿宋" w:eastAsia="仿宋" w:cs="仿宋"/>
                <w:color w:val="000000" w:themeColor="text1"/>
                <w:sz w:val="24"/>
                <w:szCs w:val="24"/>
                <w:highlight w:val="none"/>
                <w14:textFill>
                  <w14:solidFill>
                    <w14:schemeClr w14:val="tx1"/>
                  </w14:solidFill>
                </w14:textFill>
              </w:rPr>
              <w:t>方案，包括但不限于</w:t>
            </w:r>
            <w:r>
              <w:rPr>
                <w:rFonts w:hint="eastAsia" w:ascii="仿宋" w:hAnsi="仿宋" w:eastAsia="仿宋" w:cs="仿宋"/>
                <w:color w:val="000000" w:themeColor="text1"/>
                <w:sz w:val="24"/>
                <w:szCs w:val="24"/>
                <w:highlight w:val="none"/>
                <w:lang w:val="en-US" w:eastAsia="zh-CN"/>
                <w14:textFill>
                  <w14:solidFill>
                    <w14:schemeClr w14:val="tx1"/>
                  </w14:solidFill>
                </w14:textFill>
              </w:rPr>
              <w:t>（1）软件解决方案；（2）硬件施工方案；（3）软硬件集成方案；（4）安装及调试方法；（5）进度控制措施；（6）质量控制措施</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0.75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49353DF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，包括但不限于</w:t>
            </w:r>
            <w:r>
              <w:rPr>
                <w:rFonts w:hint="eastAsia" w:ascii="仿宋" w:hAnsi="仿宋" w:eastAsia="仿宋" w:cs="仿宋"/>
                <w:color w:val="000000" w:themeColor="text1"/>
                <w:sz w:val="24"/>
                <w:szCs w:val="24"/>
                <w:highlight w:val="none"/>
                <w:lang w:val="en-US" w:eastAsia="zh-CN"/>
                <w14:textFill>
                  <w14:solidFill>
                    <w14:schemeClr w14:val="tx1"/>
                  </w14:solidFill>
                </w14:textFill>
              </w:rPr>
              <w:t>（1）售后服务体系；（2）售后服务人员安排及联系方式；（3）售后响应时间及措施；（4）人员培训方案；（5）应急处理方案。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26F6D09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23"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455" w:type="dxa"/>
            <w:tcBorders>
              <w:left w:val="single" w:color="auto" w:sz="4" w:space="0"/>
              <w:bottom w:val="single" w:color="auto" w:sz="4" w:space="0"/>
              <w:right w:val="single" w:color="auto" w:sz="4" w:space="0"/>
            </w:tcBorders>
            <w:vAlign w:val="center"/>
          </w:tcPr>
          <w:p w14:paraId="79495A5F">
            <w:pPr>
              <w:spacing w:line="24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p>
        </w:tc>
        <w:tc>
          <w:tcPr>
            <w:tcW w:w="1110" w:type="dxa"/>
            <w:tcBorders>
              <w:top w:val="single" w:color="auto" w:sz="4" w:space="0"/>
              <w:left w:val="single" w:color="auto" w:sz="4" w:space="0"/>
              <w:bottom w:val="single" w:color="auto" w:sz="4" w:space="0"/>
              <w:right w:val="single" w:color="auto" w:sz="4" w:space="0"/>
            </w:tcBorders>
            <w:vAlign w:val="center"/>
          </w:tcPr>
          <w:p w14:paraId="35228BFA">
            <w:pPr>
              <w:spacing w:line="24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16分</w:t>
            </w:r>
          </w:p>
        </w:tc>
        <w:tc>
          <w:tcPr>
            <w:tcW w:w="5378" w:type="dxa"/>
            <w:tcBorders>
              <w:top w:val="single" w:color="auto" w:sz="4" w:space="0"/>
              <w:left w:val="single" w:color="auto" w:sz="4" w:space="0"/>
              <w:bottom w:val="single" w:color="auto" w:sz="4" w:space="0"/>
              <w:right w:val="single" w:color="auto" w:sz="4" w:space="0"/>
            </w:tcBorders>
            <w:vAlign w:val="center"/>
          </w:tcPr>
          <w:p w14:paraId="1413A831">
            <w:pPr>
              <w:spacing w:line="240" w:lineRule="auto"/>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类似</w:t>
            </w:r>
            <w:r>
              <w:rPr>
                <w:rFonts w:hint="eastAsia" w:ascii="仿宋" w:hAnsi="仿宋" w:eastAsia="仿宋" w:cs="仿宋"/>
                <w:color w:val="000000" w:themeColor="text1"/>
                <w:sz w:val="24"/>
                <w:szCs w:val="24"/>
                <w:highlight w:val="none"/>
                <w:lang w:val="en-US" w:eastAsia="zh-CN"/>
                <w14:textFill>
                  <w14:solidFill>
                    <w14:schemeClr w14:val="tx1"/>
                  </w14:solidFill>
                </w14:textFill>
              </w:rPr>
              <w:t>信息化平台建设项目</w:t>
            </w:r>
            <w:r>
              <w:rPr>
                <w:rFonts w:hint="eastAsia" w:ascii="仿宋" w:hAnsi="仿宋" w:eastAsia="仿宋" w:cs="仿宋"/>
                <w:color w:val="000000" w:themeColor="text1"/>
                <w:sz w:val="24"/>
                <w:szCs w:val="24"/>
                <w:highlight w:val="none"/>
                <w14:textFill>
                  <w14:solidFill>
                    <w14:schemeClr w14:val="tx1"/>
                  </w14:solidFill>
                </w14:textFill>
              </w:rPr>
              <w:t>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C5604E9">
            <w:pPr>
              <w:spacing w:line="240" w:lineRule="auto"/>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5E8E33AB">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3"/>
        <w:numPr>
          <w:ilvl w:val="0"/>
          <w:numId w:val="0"/>
        </w:numPr>
        <w:ind w:left="0" w:leftChars="0" w:firstLine="0" w:firstLineChars="0"/>
        <w:rPr>
          <w:rFonts w:ascii="Times New Roman" w:hAnsi="Times New Roman" w:cs="Times New Roman"/>
        </w:rPr>
      </w:pPr>
      <w:bookmarkStart w:id="20" w:name="_Toc28171"/>
      <w:bookmarkStart w:id="21" w:name="_Toc3094"/>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24123"/>
      <w:bookmarkStart w:id="40" w:name="_Toc17905"/>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2031"/>
      <w:bookmarkStart w:id="48" w:name="_Toc5056"/>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11352"/>
      <w:bookmarkStart w:id="52" w:name="_Toc6482"/>
      <w:bookmarkStart w:id="53" w:name="_Toc3023"/>
      <w:bookmarkStart w:id="54" w:name="_Toc2151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4"/>
        <w:ind w:firstLine="0"/>
      </w:pPr>
      <w:r>
        <w:t>承诺函</w:t>
      </w:r>
      <w:bookmarkEnd w:id="50"/>
      <w:bookmarkEnd w:id="51"/>
      <w:bookmarkEnd w:id="52"/>
      <w:bookmarkEnd w:id="53"/>
      <w:bookmarkEnd w:id="54"/>
      <w:bookmarkEnd w:id="55"/>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17857"/>
      <w:bookmarkStart w:id="58" w:name="_Toc22676"/>
      <w:bookmarkStart w:id="59" w:name="_Toc31838"/>
      <w:bookmarkStart w:id="60" w:name="_Toc30971"/>
      <w:r>
        <w:rPr>
          <w:rFonts w:ascii="Times New Roman" w:hAnsi="Times New Roman" w:cs="Times New Roman"/>
        </w:rPr>
        <w:br w:type="page"/>
      </w:r>
    </w:p>
    <w:p w14:paraId="72845348">
      <w:pPr>
        <w:pStyle w:val="4"/>
        <w:ind w:firstLine="0"/>
      </w:pPr>
      <w:r>
        <w:t>具有独立承担民事责任的能力</w:t>
      </w:r>
      <w:bookmarkEnd w:id="56"/>
      <w:bookmarkEnd w:id="57"/>
      <w:bookmarkEnd w:id="58"/>
      <w:bookmarkEnd w:id="59"/>
      <w:bookmarkEnd w:id="60"/>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76B8A196">
      <w:pPr>
        <w:pStyle w:val="4"/>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9" w:name="_Toc15526"/>
      <w:bookmarkStart w:id="70" w:name="_Toc11351"/>
      <w:bookmarkStart w:id="71" w:name="_Toc25638"/>
      <w:bookmarkStart w:id="72" w:name="_Toc12015"/>
      <w:bookmarkStart w:id="73" w:name="_Toc27661"/>
      <w:bookmarkStart w:id="74" w:name="_Toc20589"/>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5" w:name="_Toc12967"/>
      <w:bookmarkStart w:id="76" w:name="_Toc1074"/>
      <w:bookmarkStart w:id="77" w:name="_Toc26969"/>
      <w:bookmarkStart w:id="78" w:name="_Toc16435"/>
      <w:bookmarkStart w:id="79" w:name="_Toc23967"/>
      <w:bookmarkStart w:id="80" w:name="_Toc2041"/>
      <w:r>
        <w:rPr>
          <w:rStyle w:val="40"/>
          <w:b/>
        </w:rPr>
        <w:t>采购需求偏离表</w:t>
      </w:r>
      <w:bookmarkEnd w:id="75"/>
      <w:bookmarkEnd w:id="76"/>
      <w:bookmarkEnd w:id="77"/>
      <w:bookmarkEnd w:id="78"/>
      <w:bookmarkEnd w:id="79"/>
      <w:bookmarkEnd w:id="80"/>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81" w:name="_Toc28634"/>
      <w:bookmarkStart w:id="82" w:name="_Toc24806"/>
      <w:bookmarkStart w:id="83" w:name="_Toc31686"/>
      <w:bookmarkStart w:id="84" w:name="_Toc26839"/>
      <w:bookmarkStart w:id="85" w:name="_Toc1369"/>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4"/>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2"/>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2"/>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2"/>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4"/>
        <w:gridCol w:w="1286"/>
        <w:gridCol w:w="1036"/>
        <w:gridCol w:w="1153"/>
        <w:gridCol w:w="1311"/>
        <w:gridCol w:w="1159"/>
        <w:gridCol w:w="945"/>
        <w:gridCol w:w="937"/>
        <w:gridCol w:w="940"/>
      </w:tblGrid>
      <w:tr w14:paraId="3FB9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17A2EF3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66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highlight w:val="none"/>
              </w:rPr>
              <w:t>品名</w:t>
            </w:r>
          </w:p>
        </w:tc>
        <w:tc>
          <w:tcPr>
            <w:tcW w:w="537"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数量</w:t>
            </w:r>
          </w:p>
        </w:tc>
        <w:tc>
          <w:tcPr>
            <w:tcW w:w="598"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单位</w:t>
            </w:r>
          </w:p>
        </w:tc>
        <w:tc>
          <w:tcPr>
            <w:tcW w:w="680"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仿宋" w:hAnsi="仿宋" w:eastAsia="仿宋" w:cs="仿宋"/>
                <w:b/>
                <w:bCs/>
                <w:kern w:val="0"/>
                <w:sz w:val="24"/>
                <w:szCs w:val="24"/>
                <w:highlight w:val="none"/>
                <w:lang w:val="en-US" w:eastAsia="zh-CN"/>
              </w:rPr>
            </w:pPr>
            <w:r>
              <w:rPr>
                <w:rFonts w:hint="eastAsia" w:ascii="仿宋" w:hAnsi="仿宋" w:eastAsia="仿宋" w:cs="仿宋"/>
                <w:b/>
                <w:bCs/>
                <w:kern w:val="0"/>
                <w:sz w:val="24"/>
                <w:szCs w:val="24"/>
                <w:highlight w:val="none"/>
                <w:lang w:val="en-US" w:eastAsia="zh-CN"/>
              </w:rPr>
              <w:t>生产厂家/品牌</w:t>
            </w:r>
          </w:p>
        </w:tc>
        <w:tc>
          <w:tcPr>
            <w:tcW w:w="601"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规格/型号</w:t>
            </w:r>
          </w:p>
        </w:tc>
        <w:tc>
          <w:tcPr>
            <w:tcW w:w="490" w:type="pct"/>
            <w:vAlign w:val="center"/>
          </w:tcPr>
          <w:p w14:paraId="17A0D41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单价</w:t>
            </w:r>
            <w:r>
              <w:rPr>
                <w:rStyle w:val="21"/>
                <w:rFonts w:hint="eastAsia" w:ascii="仿宋" w:hAnsi="仿宋" w:eastAsia="仿宋" w:cs="仿宋"/>
                <w:b/>
                <w:bCs/>
                <w:sz w:val="24"/>
                <w:szCs w:val="24"/>
                <w:highlight w:val="none"/>
              </w:rPr>
              <w:t>（元）</w:t>
            </w:r>
          </w:p>
        </w:tc>
        <w:tc>
          <w:tcPr>
            <w:tcW w:w="486" w:type="pct"/>
            <w:vAlign w:val="center"/>
          </w:tcPr>
          <w:p w14:paraId="56B740A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分项总价（元）</w:t>
            </w:r>
          </w:p>
        </w:tc>
        <w:tc>
          <w:tcPr>
            <w:tcW w:w="486" w:type="pct"/>
            <w:vAlign w:val="center"/>
          </w:tcPr>
          <w:p w14:paraId="42B3EBA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备注</w:t>
            </w:r>
          </w:p>
        </w:tc>
      </w:tr>
      <w:tr w14:paraId="007D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45E5E8F7">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667" w:type="pct"/>
            <w:vAlign w:val="center"/>
          </w:tcPr>
          <w:p w14:paraId="60505A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柔性抗金属无源RFID标签</w:t>
            </w:r>
          </w:p>
        </w:tc>
        <w:tc>
          <w:tcPr>
            <w:tcW w:w="1036" w:type="dxa"/>
            <w:vAlign w:val="center"/>
          </w:tcPr>
          <w:p w14:paraId="7F83E5F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20000</w:t>
            </w:r>
          </w:p>
        </w:tc>
        <w:tc>
          <w:tcPr>
            <w:tcW w:w="1153" w:type="dxa"/>
            <w:vAlign w:val="center"/>
          </w:tcPr>
          <w:p w14:paraId="65B2C2A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个</w:t>
            </w:r>
          </w:p>
        </w:tc>
        <w:tc>
          <w:tcPr>
            <w:tcW w:w="680"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2A4E3F0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41B300A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137D92B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4201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3D1AE6B4">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667" w:type="pct"/>
            <w:vAlign w:val="center"/>
          </w:tcPr>
          <w:p w14:paraId="1BFCAB8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柔性无源RFID标签</w:t>
            </w:r>
          </w:p>
        </w:tc>
        <w:tc>
          <w:tcPr>
            <w:tcW w:w="1036" w:type="dxa"/>
            <w:vAlign w:val="center"/>
          </w:tcPr>
          <w:p w14:paraId="457FAF7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10000</w:t>
            </w:r>
          </w:p>
        </w:tc>
        <w:tc>
          <w:tcPr>
            <w:tcW w:w="1153" w:type="dxa"/>
            <w:vAlign w:val="center"/>
          </w:tcPr>
          <w:p w14:paraId="124B89A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个</w:t>
            </w:r>
          </w:p>
        </w:tc>
        <w:tc>
          <w:tcPr>
            <w:tcW w:w="680" w:type="pct"/>
            <w:vAlign w:val="center"/>
          </w:tcPr>
          <w:p w14:paraId="13431FF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21EDDC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5BA43CC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4C62E6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484436A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6C16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34730A12">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667" w:type="pct"/>
            <w:vAlign w:val="center"/>
          </w:tcPr>
          <w:p w14:paraId="48B9518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智能门禁</w:t>
            </w:r>
          </w:p>
        </w:tc>
        <w:tc>
          <w:tcPr>
            <w:tcW w:w="1036" w:type="dxa"/>
            <w:vAlign w:val="center"/>
          </w:tcPr>
          <w:p w14:paraId="5C3708E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2</w:t>
            </w:r>
          </w:p>
        </w:tc>
        <w:tc>
          <w:tcPr>
            <w:tcW w:w="1153" w:type="dxa"/>
            <w:vAlign w:val="center"/>
          </w:tcPr>
          <w:p w14:paraId="74C026F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套</w:t>
            </w:r>
          </w:p>
        </w:tc>
        <w:tc>
          <w:tcPr>
            <w:tcW w:w="680" w:type="pct"/>
            <w:vAlign w:val="center"/>
          </w:tcPr>
          <w:p w14:paraId="25D6590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0D8EE9F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3364273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08C9303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01B20F6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7FB5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2E768F0E">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667" w:type="pct"/>
            <w:vAlign w:val="center"/>
          </w:tcPr>
          <w:p w14:paraId="1EB520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RFID智能货架</w:t>
            </w:r>
          </w:p>
        </w:tc>
        <w:tc>
          <w:tcPr>
            <w:tcW w:w="1036" w:type="dxa"/>
            <w:vAlign w:val="center"/>
          </w:tcPr>
          <w:p w14:paraId="550F0DD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2</w:t>
            </w:r>
          </w:p>
        </w:tc>
        <w:tc>
          <w:tcPr>
            <w:tcW w:w="1153" w:type="dxa"/>
            <w:vAlign w:val="center"/>
          </w:tcPr>
          <w:p w14:paraId="0663995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套</w:t>
            </w:r>
          </w:p>
        </w:tc>
        <w:tc>
          <w:tcPr>
            <w:tcW w:w="680" w:type="pct"/>
            <w:vAlign w:val="center"/>
          </w:tcPr>
          <w:p w14:paraId="0E936B3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337D04E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7A811BC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5E15932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2AA4858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7B528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0E49E9E0">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667" w:type="pct"/>
            <w:vAlign w:val="center"/>
          </w:tcPr>
          <w:p w14:paraId="3484303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RFID扫描枪</w:t>
            </w:r>
          </w:p>
        </w:tc>
        <w:tc>
          <w:tcPr>
            <w:tcW w:w="1036" w:type="dxa"/>
            <w:vAlign w:val="center"/>
          </w:tcPr>
          <w:p w14:paraId="33E0F79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2</w:t>
            </w:r>
          </w:p>
        </w:tc>
        <w:tc>
          <w:tcPr>
            <w:tcW w:w="1153" w:type="dxa"/>
            <w:vAlign w:val="center"/>
          </w:tcPr>
          <w:p w14:paraId="12ECD4F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套</w:t>
            </w:r>
          </w:p>
        </w:tc>
        <w:tc>
          <w:tcPr>
            <w:tcW w:w="680" w:type="pct"/>
            <w:vAlign w:val="center"/>
          </w:tcPr>
          <w:p w14:paraId="1055DCA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1824840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768070E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5E61A7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1BE1572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4AB5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79D58B0C">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667" w:type="pct"/>
            <w:vAlign w:val="center"/>
          </w:tcPr>
          <w:p w14:paraId="328CA97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电动玻璃门</w:t>
            </w:r>
          </w:p>
        </w:tc>
        <w:tc>
          <w:tcPr>
            <w:tcW w:w="1036" w:type="dxa"/>
            <w:vAlign w:val="center"/>
          </w:tcPr>
          <w:p w14:paraId="78441F2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1</w:t>
            </w:r>
          </w:p>
        </w:tc>
        <w:tc>
          <w:tcPr>
            <w:tcW w:w="1153" w:type="dxa"/>
            <w:vAlign w:val="center"/>
          </w:tcPr>
          <w:p w14:paraId="3B5A93C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套</w:t>
            </w:r>
          </w:p>
        </w:tc>
        <w:tc>
          <w:tcPr>
            <w:tcW w:w="680" w:type="pct"/>
            <w:vAlign w:val="center"/>
          </w:tcPr>
          <w:p w14:paraId="0F90268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5A967EA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5D56A0A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40C3DCE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6921E37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6892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6E429A96">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667" w:type="pct"/>
            <w:vAlign w:val="center"/>
          </w:tcPr>
          <w:p w14:paraId="1969F4E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自助终端机</w:t>
            </w:r>
          </w:p>
        </w:tc>
        <w:tc>
          <w:tcPr>
            <w:tcW w:w="1036" w:type="dxa"/>
            <w:vAlign w:val="center"/>
          </w:tcPr>
          <w:p w14:paraId="52E2BB1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1</w:t>
            </w:r>
          </w:p>
        </w:tc>
        <w:tc>
          <w:tcPr>
            <w:tcW w:w="1153" w:type="dxa"/>
            <w:vAlign w:val="center"/>
          </w:tcPr>
          <w:p w14:paraId="553B5FC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套</w:t>
            </w:r>
          </w:p>
        </w:tc>
        <w:tc>
          <w:tcPr>
            <w:tcW w:w="680" w:type="pct"/>
            <w:vAlign w:val="center"/>
          </w:tcPr>
          <w:p w14:paraId="40DFE35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6566E18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473E53F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5ECF788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0FD22C8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6BC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185708EB">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667" w:type="pct"/>
            <w:vAlign w:val="center"/>
          </w:tcPr>
          <w:p w14:paraId="6065938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摄像头</w:t>
            </w:r>
          </w:p>
        </w:tc>
        <w:tc>
          <w:tcPr>
            <w:tcW w:w="1036" w:type="dxa"/>
            <w:vAlign w:val="center"/>
          </w:tcPr>
          <w:p w14:paraId="7914E0C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2</w:t>
            </w:r>
          </w:p>
        </w:tc>
        <w:tc>
          <w:tcPr>
            <w:tcW w:w="1153" w:type="dxa"/>
            <w:vAlign w:val="center"/>
          </w:tcPr>
          <w:p w14:paraId="5EB7516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套</w:t>
            </w:r>
          </w:p>
        </w:tc>
        <w:tc>
          <w:tcPr>
            <w:tcW w:w="680" w:type="pct"/>
            <w:vAlign w:val="center"/>
          </w:tcPr>
          <w:p w14:paraId="5ECC9FF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1724D88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69FC680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4710B0C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70A9FA7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4FA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718E90EB">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667" w:type="pct"/>
            <w:vAlign w:val="center"/>
          </w:tcPr>
          <w:p w14:paraId="3E069A0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录像机</w:t>
            </w:r>
          </w:p>
        </w:tc>
        <w:tc>
          <w:tcPr>
            <w:tcW w:w="1036" w:type="dxa"/>
            <w:vAlign w:val="center"/>
          </w:tcPr>
          <w:p w14:paraId="043D3FD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1</w:t>
            </w:r>
          </w:p>
        </w:tc>
        <w:tc>
          <w:tcPr>
            <w:tcW w:w="1153" w:type="dxa"/>
            <w:vAlign w:val="center"/>
          </w:tcPr>
          <w:p w14:paraId="7DA2805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套</w:t>
            </w:r>
          </w:p>
        </w:tc>
        <w:tc>
          <w:tcPr>
            <w:tcW w:w="680" w:type="pct"/>
            <w:vAlign w:val="center"/>
          </w:tcPr>
          <w:p w14:paraId="098D8F4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01" w:type="pct"/>
            <w:vAlign w:val="center"/>
          </w:tcPr>
          <w:p w14:paraId="1CEA2CA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0" w:type="pct"/>
            <w:vAlign w:val="center"/>
          </w:tcPr>
          <w:p w14:paraId="5B31AAB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19A0D54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6FA1628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2A2F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1EDF13B7">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667" w:type="pct"/>
            <w:vAlign w:val="center"/>
          </w:tcPr>
          <w:p w14:paraId="20D09D2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RFID人工服务</w:t>
            </w:r>
          </w:p>
        </w:tc>
        <w:tc>
          <w:tcPr>
            <w:tcW w:w="1036" w:type="dxa"/>
            <w:shd w:val="clear" w:color="auto" w:fill="auto"/>
            <w:vAlign w:val="center"/>
          </w:tcPr>
          <w:p w14:paraId="3799E84D">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lang w:val="en-US" w:eastAsia="zh-CN"/>
              </w:rPr>
              <w:t>30000</w:t>
            </w:r>
          </w:p>
        </w:tc>
        <w:tc>
          <w:tcPr>
            <w:tcW w:w="1153" w:type="dxa"/>
            <w:shd w:val="clear" w:color="auto" w:fill="auto"/>
            <w:vAlign w:val="center"/>
          </w:tcPr>
          <w:p w14:paraId="10D03694">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lang w:val="en-US" w:eastAsia="zh-CN"/>
              </w:rPr>
              <w:t>项</w:t>
            </w:r>
          </w:p>
        </w:tc>
        <w:tc>
          <w:tcPr>
            <w:tcW w:w="680" w:type="pct"/>
            <w:vAlign w:val="center"/>
          </w:tcPr>
          <w:p w14:paraId="12A212B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601" w:type="pct"/>
            <w:vAlign w:val="center"/>
          </w:tcPr>
          <w:p w14:paraId="3391C03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490" w:type="pct"/>
            <w:vAlign w:val="center"/>
          </w:tcPr>
          <w:p w14:paraId="70BB544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7F2905B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32D2355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3CF2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53" w:type="pct"/>
            <w:vAlign w:val="center"/>
          </w:tcPr>
          <w:p w14:paraId="59F033A8">
            <w:pPr>
              <w:pStyle w:val="2"/>
              <w:keepNext w:val="0"/>
              <w:keepLines w:val="0"/>
              <w:pageBreakBefore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667" w:type="pct"/>
            <w:vAlign w:val="center"/>
          </w:tcPr>
          <w:p w14:paraId="06C1DB9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物联网管理平台及终端对接服务</w:t>
            </w:r>
          </w:p>
        </w:tc>
        <w:tc>
          <w:tcPr>
            <w:tcW w:w="1036" w:type="dxa"/>
            <w:vAlign w:val="center"/>
          </w:tcPr>
          <w:p w14:paraId="306A508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1</w:t>
            </w:r>
          </w:p>
        </w:tc>
        <w:tc>
          <w:tcPr>
            <w:tcW w:w="1153" w:type="dxa"/>
            <w:vAlign w:val="center"/>
          </w:tcPr>
          <w:p w14:paraId="1650A09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项</w:t>
            </w:r>
          </w:p>
        </w:tc>
        <w:tc>
          <w:tcPr>
            <w:tcW w:w="680" w:type="pct"/>
            <w:vAlign w:val="center"/>
          </w:tcPr>
          <w:p w14:paraId="13253FB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601" w:type="pct"/>
            <w:vAlign w:val="center"/>
          </w:tcPr>
          <w:p w14:paraId="762AB41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490" w:type="pct"/>
            <w:vAlign w:val="center"/>
          </w:tcPr>
          <w:p w14:paraId="03D15AC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7A98777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86" w:type="pct"/>
            <w:vAlign w:val="center"/>
          </w:tcPr>
          <w:p w14:paraId="3FA9B01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1373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1120" w:type="pct"/>
            <w:gridSpan w:val="2"/>
            <w:vAlign w:val="center"/>
          </w:tcPr>
          <w:p w14:paraId="1F06EA8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3879" w:type="pct"/>
            <w:gridSpan w:val="7"/>
            <w:vAlign w:val="center"/>
          </w:tcPr>
          <w:p w14:paraId="1ABA648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大写：          小写：         </w:t>
            </w:r>
          </w:p>
        </w:tc>
      </w:tr>
    </w:tbl>
    <w:p w14:paraId="21A39C1F">
      <w:pPr>
        <w:pStyle w:val="2"/>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3000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7"/>
      <w:bookmarkEnd w:id="88"/>
      <w:bookmarkEnd w:id="89"/>
      <w:bookmarkEnd w:id="91"/>
      <w:bookmarkEnd w:id="92"/>
      <w:bookmarkEnd w:id="93"/>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727B1B2">
      <w:pPr>
        <w:jc w:val="center"/>
        <w:rPr>
          <w:rFonts w:ascii="黑体" w:hAnsi="黑体" w:eastAsia="黑体"/>
          <w:b/>
          <w:bCs/>
          <w:sz w:val="48"/>
          <w:szCs w:val="48"/>
          <w:highlight w:val="none"/>
        </w:rPr>
      </w:pPr>
      <w:r>
        <w:rPr>
          <w:rFonts w:ascii="黑体" w:hAnsi="黑体" w:eastAsia="黑体"/>
          <w:b/>
          <w:bCs/>
          <w:sz w:val="48"/>
          <w:szCs w:val="48"/>
          <w:highlight w:val="none"/>
        </w:rPr>
        <w:t>货 物 采 购 合 同</w:t>
      </w:r>
    </w:p>
    <w:p w14:paraId="13607183">
      <w:pPr>
        <w:contextualSpacing/>
        <w:rPr>
          <w:rFonts w:ascii="Times New Roman" w:hAnsi="Times New Roman"/>
          <w:szCs w:val="21"/>
          <w:highlight w:val="none"/>
        </w:rPr>
      </w:pPr>
    </w:p>
    <w:p w14:paraId="5F885804">
      <w:pPr>
        <w:pStyle w:val="2"/>
        <w:rPr>
          <w:rFonts w:hint="eastAsia"/>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0B73E814">
        <w:tblPrEx>
          <w:tblCellMar>
            <w:top w:w="0" w:type="dxa"/>
            <w:left w:w="0" w:type="dxa"/>
            <w:bottom w:w="0" w:type="dxa"/>
            <w:right w:w="0" w:type="dxa"/>
          </w:tblCellMar>
        </w:tblPrEx>
        <w:trPr>
          <w:trHeight w:val="919" w:hRule="atLeast"/>
          <w:jc w:val="center"/>
        </w:trPr>
        <w:tc>
          <w:tcPr>
            <w:tcW w:w="10204" w:type="dxa"/>
            <w:gridSpan w:val="2"/>
            <w:noWrap w:val="0"/>
            <w:vAlign w:val="top"/>
          </w:tcPr>
          <w:p w14:paraId="4AB86799">
            <w:pPr>
              <w:contextualSpacing/>
              <w:rPr>
                <w:rFonts w:ascii="Times New Roman" w:hAnsi="Times New Roman"/>
                <w:color w:val="000000"/>
                <w:szCs w:val="21"/>
                <w:highlight w:val="none"/>
              </w:rPr>
            </w:pPr>
            <w:r>
              <w:rPr>
                <w:rFonts w:ascii="Times New Roman" w:hAnsi="Times New Roman"/>
                <w:b/>
                <w:bCs/>
                <w:color w:val="000000"/>
                <w:szCs w:val="21"/>
                <w:highlight w:val="none"/>
              </w:rPr>
              <w:t>合同编号</w:t>
            </w:r>
            <w:r>
              <w:rPr>
                <w:rFonts w:ascii="Times New Roman" w:hAnsi="Times New Roman"/>
                <w:color w:val="000000"/>
                <w:szCs w:val="21"/>
                <w:highlight w:val="none"/>
              </w:rPr>
              <w:t>：</w:t>
            </w:r>
            <w:r>
              <w:rPr>
                <w:rFonts w:ascii="Times New Roman" w:hAnsi="Times New Roman"/>
                <w:szCs w:val="21"/>
                <w:highlight w:val="none"/>
              </w:rPr>
              <w:t>***</w:t>
            </w:r>
          </w:p>
          <w:p w14:paraId="4888BFFD">
            <w:pPr>
              <w:contextualSpacing/>
              <w:rPr>
                <w:rFonts w:hint="eastAsia" w:ascii="Times New Roman" w:hAnsi="Times New Roman"/>
                <w:color w:val="000000"/>
                <w:szCs w:val="21"/>
                <w:highlight w:val="none"/>
              </w:rPr>
            </w:pPr>
            <w:r>
              <w:rPr>
                <w:rFonts w:ascii="Times New Roman" w:hAnsi="Times New Roman"/>
                <w:b/>
                <w:bCs/>
                <w:color w:val="000000"/>
                <w:szCs w:val="21"/>
                <w:highlight w:val="none"/>
              </w:rPr>
              <w:t>签订地点</w:t>
            </w:r>
            <w:r>
              <w:rPr>
                <w:rFonts w:ascii="Times New Roman" w:hAnsi="Times New Roman"/>
                <w:color w:val="000000"/>
                <w:szCs w:val="21"/>
                <w:highlight w:val="none"/>
              </w:rPr>
              <w:t>：四川省人民医院</w:t>
            </w:r>
          </w:p>
        </w:tc>
      </w:tr>
      <w:tr w14:paraId="6D7584A3">
        <w:tblPrEx>
          <w:tblCellMar>
            <w:top w:w="0" w:type="dxa"/>
            <w:left w:w="0" w:type="dxa"/>
            <w:bottom w:w="0" w:type="dxa"/>
            <w:right w:w="0" w:type="dxa"/>
          </w:tblCellMar>
        </w:tblPrEx>
        <w:trPr>
          <w:jc w:val="center"/>
        </w:trPr>
        <w:tc>
          <w:tcPr>
            <w:tcW w:w="4962" w:type="dxa"/>
            <w:noWrap w:val="0"/>
            <w:vAlign w:val="top"/>
          </w:tcPr>
          <w:p w14:paraId="7287F5D2">
            <w:pPr>
              <w:rPr>
                <w:rFonts w:ascii="Times New Roman" w:hAnsi="Times New Roman"/>
                <w:szCs w:val="21"/>
                <w:highlight w:val="none"/>
              </w:rPr>
            </w:pPr>
            <w:r>
              <w:rPr>
                <w:rFonts w:ascii="Times New Roman" w:hAnsi="Times New Roman"/>
                <w:b/>
                <w:bCs/>
                <w:szCs w:val="21"/>
                <w:highlight w:val="none"/>
              </w:rPr>
              <w:t>采购人（以下简称甲方）</w:t>
            </w:r>
            <w:r>
              <w:rPr>
                <w:rFonts w:ascii="Times New Roman" w:hAnsi="Times New Roman"/>
                <w:szCs w:val="21"/>
                <w:highlight w:val="none"/>
              </w:rPr>
              <w:t>：四川省人民医院</w:t>
            </w:r>
          </w:p>
          <w:p w14:paraId="4A87F4E7">
            <w:pPr>
              <w:rPr>
                <w:rFonts w:ascii="Times New Roman" w:hAnsi="Times New Roman"/>
                <w:szCs w:val="21"/>
                <w:highlight w:val="none"/>
              </w:rPr>
            </w:pPr>
            <w:r>
              <w:rPr>
                <w:rFonts w:ascii="Times New Roman" w:hAnsi="Times New Roman"/>
                <w:b/>
                <w:bCs/>
                <w:szCs w:val="21"/>
                <w:highlight w:val="none"/>
              </w:rPr>
              <w:t>地址</w:t>
            </w:r>
            <w:r>
              <w:rPr>
                <w:rFonts w:ascii="Times New Roman" w:hAnsi="Times New Roman"/>
                <w:szCs w:val="21"/>
                <w:highlight w:val="none"/>
              </w:rPr>
              <w:t>：四川省成都市一环路西二段32号</w:t>
            </w:r>
          </w:p>
          <w:p w14:paraId="6D236A9B">
            <w:pPr>
              <w:rPr>
                <w:rFonts w:ascii="Times New Roman" w:hAnsi="Times New Roman"/>
                <w:szCs w:val="21"/>
                <w:highlight w:val="none"/>
              </w:rPr>
            </w:pPr>
            <w:r>
              <w:rPr>
                <w:rFonts w:ascii="Times New Roman" w:hAnsi="Times New Roman"/>
                <w:b/>
                <w:bCs/>
                <w:szCs w:val="21"/>
                <w:highlight w:val="none"/>
              </w:rPr>
              <w:t>项目联系人</w:t>
            </w:r>
            <w:r>
              <w:rPr>
                <w:rFonts w:ascii="Times New Roman" w:hAnsi="Times New Roman"/>
                <w:szCs w:val="21"/>
                <w:highlight w:val="none"/>
              </w:rPr>
              <w:t>：***</w:t>
            </w:r>
          </w:p>
          <w:p w14:paraId="65AB6150">
            <w:pPr>
              <w:rPr>
                <w:rFonts w:ascii="Times New Roman" w:hAnsi="Times New Roman"/>
                <w:szCs w:val="21"/>
                <w:highlight w:val="none"/>
              </w:rPr>
            </w:pPr>
            <w:r>
              <w:rPr>
                <w:rFonts w:ascii="Times New Roman" w:hAnsi="Times New Roman"/>
                <w:b/>
                <w:bCs/>
                <w:szCs w:val="21"/>
                <w:highlight w:val="none"/>
              </w:rPr>
              <w:t>电话</w:t>
            </w:r>
            <w:r>
              <w:rPr>
                <w:rFonts w:ascii="Times New Roman" w:hAnsi="Times New Roman"/>
                <w:szCs w:val="21"/>
                <w:highlight w:val="none"/>
              </w:rPr>
              <w:t>：***</w:t>
            </w:r>
          </w:p>
          <w:p w14:paraId="21BC80C0">
            <w:pPr>
              <w:pStyle w:val="2"/>
              <w:rPr>
                <w:rFonts w:hint="eastAsia"/>
                <w:highlight w:val="none"/>
              </w:rPr>
            </w:pPr>
            <w:r>
              <w:rPr>
                <w:rFonts w:hint="eastAsia" w:ascii="Times New Roman" w:hAnsi="Times New Roman"/>
                <w:b/>
                <w:bCs/>
                <w:szCs w:val="21"/>
                <w:highlight w:val="none"/>
              </w:rPr>
              <w:t>电子邮件：</w:t>
            </w:r>
            <w:r>
              <w:rPr>
                <w:rFonts w:hint="eastAsia" w:ascii="Times New Roman" w:hAnsi="Times New Roman"/>
                <w:szCs w:val="21"/>
                <w:highlight w:val="none"/>
              </w:rPr>
              <w:t>*</w:t>
            </w:r>
            <w:r>
              <w:rPr>
                <w:rFonts w:ascii="Times New Roman" w:hAnsi="Times New Roman"/>
                <w:szCs w:val="21"/>
                <w:highlight w:val="none"/>
              </w:rPr>
              <w:t>**</w:t>
            </w:r>
          </w:p>
        </w:tc>
        <w:tc>
          <w:tcPr>
            <w:tcW w:w="5242" w:type="dxa"/>
            <w:noWrap w:val="0"/>
            <w:vAlign w:val="top"/>
          </w:tcPr>
          <w:p w14:paraId="656B4CE4">
            <w:pPr>
              <w:rPr>
                <w:rFonts w:ascii="Times New Roman" w:hAnsi="Times New Roman"/>
                <w:szCs w:val="21"/>
                <w:highlight w:val="none"/>
              </w:rPr>
            </w:pPr>
            <w:r>
              <w:rPr>
                <w:rFonts w:ascii="Times New Roman" w:hAnsi="Times New Roman"/>
                <w:b/>
                <w:bCs/>
                <w:szCs w:val="21"/>
                <w:highlight w:val="none"/>
              </w:rPr>
              <w:t>供应商（以下简称乙方）</w:t>
            </w:r>
            <w:r>
              <w:rPr>
                <w:rFonts w:ascii="Times New Roman" w:hAnsi="Times New Roman"/>
                <w:szCs w:val="21"/>
                <w:highlight w:val="none"/>
              </w:rPr>
              <w:t>：***</w:t>
            </w:r>
          </w:p>
          <w:p w14:paraId="0C7E17D0">
            <w:pPr>
              <w:rPr>
                <w:rFonts w:ascii="Times New Roman" w:hAnsi="Times New Roman"/>
                <w:szCs w:val="21"/>
                <w:highlight w:val="none"/>
              </w:rPr>
            </w:pPr>
            <w:r>
              <w:rPr>
                <w:rFonts w:ascii="Times New Roman" w:hAnsi="Times New Roman"/>
                <w:b/>
                <w:bCs/>
                <w:szCs w:val="21"/>
                <w:highlight w:val="none"/>
              </w:rPr>
              <w:t>地址</w:t>
            </w:r>
            <w:r>
              <w:rPr>
                <w:rFonts w:ascii="Times New Roman" w:hAnsi="Times New Roman"/>
                <w:szCs w:val="21"/>
                <w:highlight w:val="none"/>
              </w:rPr>
              <w:t>：***</w:t>
            </w:r>
          </w:p>
          <w:p w14:paraId="243DE540">
            <w:pPr>
              <w:rPr>
                <w:rFonts w:ascii="Times New Roman" w:hAnsi="Times New Roman"/>
                <w:szCs w:val="21"/>
                <w:highlight w:val="none"/>
              </w:rPr>
            </w:pPr>
            <w:r>
              <w:rPr>
                <w:rFonts w:ascii="Times New Roman" w:hAnsi="Times New Roman"/>
                <w:b/>
                <w:bCs/>
                <w:szCs w:val="21"/>
                <w:highlight w:val="none"/>
              </w:rPr>
              <w:t>移动电话</w:t>
            </w:r>
            <w:r>
              <w:rPr>
                <w:rFonts w:ascii="Times New Roman" w:hAnsi="Times New Roman"/>
                <w:szCs w:val="21"/>
                <w:highlight w:val="none"/>
              </w:rPr>
              <w:t>：***</w:t>
            </w:r>
          </w:p>
          <w:p w14:paraId="0DC96FD3">
            <w:pPr>
              <w:contextualSpacing/>
              <w:rPr>
                <w:rFonts w:ascii="Times New Roman" w:hAnsi="Times New Roman"/>
                <w:szCs w:val="21"/>
                <w:highlight w:val="none"/>
              </w:rPr>
            </w:pPr>
            <w:r>
              <w:rPr>
                <w:rFonts w:ascii="Times New Roman" w:hAnsi="Times New Roman"/>
                <w:b/>
                <w:bCs/>
                <w:szCs w:val="21"/>
                <w:highlight w:val="none"/>
              </w:rPr>
              <w:t>联系人</w:t>
            </w:r>
            <w:r>
              <w:rPr>
                <w:rFonts w:ascii="Times New Roman" w:hAnsi="Times New Roman"/>
                <w:szCs w:val="21"/>
                <w:highlight w:val="none"/>
              </w:rPr>
              <w:t>：***</w:t>
            </w:r>
          </w:p>
          <w:p w14:paraId="59280B59">
            <w:pPr>
              <w:pStyle w:val="2"/>
              <w:rPr>
                <w:rFonts w:hint="eastAsia"/>
                <w:highlight w:val="none"/>
              </w:rPr>
            </w:pPr>
            <w:r>
              <w:rPr>
                <w:rFonts w:hint="eastAsia" w:ascii="Times New Roman" w:hAnsi="Times New Roman"/>
                <w:b/>
                <w:bCs/>
                <w:szCs w:val="21"/>
                <w:highlight w:val="none"/>
              </w:rPr>
              <w:t>电子邮件：*</w:t>
            </w:r>
            <w:r>
              <w:rPr>
                <w:rFonts w:ascii="Times New Roman" w:hAnsi="Times New Roman"/>
                <w:b/>
                <w:bCs/>
                <w:szCs w:val="21"/>
                <w:highlight w:val="none"/>
              </w:rPr>
              <w:t>**</w:t>
            </w:r>
          </w:p>
        </w:tc>
      </w:tr>
    </w:tbl>
    <w:p w14:paraId="4CCCD0C1">
      <w:pPr>
        <w:adjustRightInd w:val="0"/>
        <w:snapToGrid w:val="0"/>
        <w:spacing w:before="312" w:beforeLines="100" w:after="312" w:afterLines="100"/>
        <w:contextualSpacing/>
        <w:jc w:val="left"/>
        <w:rPr>
          <w:rFonts w:ascii="Times New Roman" w:hAnsi="Times New Roman"/>
          <w:color w:val="000000"/>
          <w:szCs w:val="21"/>
          <w:highlight w:val="none"/>
        </w:rPr>
      </w:pPr>
    </w:p>
    <w:p w14:paraId="2398A484">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r>
        <w:rPr>
          <w:szCs w:val="21"/>
          <w:highlight w:val="none"/>
        </w:rPr>
        <w:t>***</w:t>
      </w:r>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5EB569BA">
      <w:pPr>
        <w:ind w:firstLine="420" w:firstLineChars="200"/>
        <w:rPr>
          <w:rFonts w:ascii="Times New Roman" w:hAnsi="Times New Roman"/>
          <w:color w:val="000000"/>
          <w:szCs w:val="21"/>
          <w:highlight w:val="none"/>
        </w:rPr>
      </w:pPr>
    </w:p>
    <w:p w14:paraId="28830A32">
      <w:pPr>
        <w:pStyle w:val="29"/>
        <w:numPr>
          <w:ilvl w:val="0"/>
          <w:numId w:val="10"/>
        </w:numPr>
        <w:snapToGrid w:val="0"/>
        <w:ind w:firstLineChars="0"/>
        <w:rPr>
          <w:rFonts w:hint="eastAsia" w:ascii="Times New Roman" w:hAnsi="Times New Roman"/>
          <w:b/>
          <w:bCs/>
          <w:szCs w:val="21"/>
          <w:highlight w:val="none"/>
        </w:rPr>
      </w:pPr>
      <w:r>
        <w:rPr>
          <w:rFonts w:ascii="Times New Roman" w:hAnsi="Times New Roman"/>
          <w:b/>
          <w:bCs/>
          <w:szCs w:val="21"/>
          <w:highlight w:val="none"/>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7"/>
        <w:gridCol w:w="2409"/>
        <w:gridCol w:w="1875"/>
        <w:gridCol w:w="937"/>
        <w:gridCol w:w="1338"/>
        <w:gridCol w:w="402"/>
        <w:gridCol w:w="401"/>
        <w:gridCol w:w="937"/>
        <w:gridCol w:w="940"/>
      </w:tblGrid>
      <w:tr w14:paraId="618D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1479C791">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序号</w:t>
            </w:r>
          </w:p>
        </w:tc>
        <w:tc>
          <w:tcPr>
            <w:tcW w:w="2551" w:type="dxa"/>
            <w:noWrap w:val="0"/>
            <w:vAlign w:val="center"/>
          </w:tcPr>
          <w:p w14:paraId="5974F47F">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货物名称</w:t>
            </w:r>
          </w:p>
        </w:tc>
        <w:tc>
          <w:tcPr>
            <w:tcW w:w="1985" w:type="dxa"/>
            <w:noWrap w:val="0"/>
            <w:vAlign w:val="center"/>
          </w:tcPr>
          <w:p w14:paraId="240A2836">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生产厂商</w:t>
            </w:r>
          </w:p>
        </w:tc>
        <w:tc>
          <w:tcPr>
            <w:tcW w:w="992" w:type="dxa"/>
            <w:noWrap w:val="0"/>
            <w:vAlign w:val="center"/>
          </w:tcPr>
          <w:p w14:paraId="3AAB2E36">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产地</w:t>
            </w:r>
          </w:p>
        </w:tc>
        <w:tc>
          <w:tcPr>
            <w:tcW w:w="1417" w:type="dxa"/>
            <w:noWrap w:val="0"/>
            <w:vAlign w:val="center"/>
          </w:tcPr>
          <w:p w14:paraId="6D0EDCF8">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规格型号</w:t>
            </w:r>
          </w:p>
        </w:tc>
        <w:tc>
          <w:tcPr>
            <w:tcW w:w="426" w:type="dxa"/>
            <w:noWrap w:val="0"/>
            <w:vAlign w:val="center"/>
          </w:tcPr>
          <w:p w14:paraId="60BA4B21">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单位</w:t>
            </w:r>
          </w:p>
        </w:tc>
        <w:tc>
          <w:tcPr>
            <w:tcW w:w="425" w:type="dxa"/>
            <w:noWrap w:val="0"/>
            <w:vAlign w:val="center"/>
          </w:tcPr>
          <w:p w14:paraId="11A1A37B">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数量</w:t>
            </w:r>
          </w:p>
        </w:tc>
        <w:tc>
          <w:tcPr>
            <w:tcW w:w="992" w:type="dxa"/>
            <w:noWrap w:val="0"/>
            <w:vAlign w:val="center"/>
          </w:tcPr>
          <w:p w14:paraId="16A20F5D">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单价</w:t>
            </w:r>
          </w:p>
          <w:p w14:paraId="6C8B8881">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（万元）</w:t>
            </w:r>
          </w:p>
        </w:tc>
        <w:tc>
          <w:tcPr>
            <w:tcW w:w="995" w:type="dxa"/>
            <w:noWrap w:val="0"/>
            <w:vAlign w:val="center"/>
          </w:tcPr>
          <w:p w14:paraId="44B3EE43">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总价</w:t>
            </w:r>
          </w:p>
          <w:p w14:paraId="03ECE19F">
            <w:pPr>
              <w:contextualSpacing/>
              <w:jc w:val="center"/>
              <w:rPr>
                <w:rFonts w:ascii="Times New Roman" w:hAnsi="Times New Roman"/>
                <w:b/>
                <w:bCs/>
                <w:color w:val="000000"/>
                <w:sz w:val="18"/>
                <w:szCs w:val="18"/>
                <w:highlight w:val="none"/>
              </w:rPr>
            </w:pPr>
            <w:r>
              <w:rPr>
                <w:rFonts w:ascii="Times New Roman" w:hAnsi="Times New Roman"/>
                <w:b/>
                <w:bCs/>
                <w:color w:val="000000"/>
                <w:sz w:val="18"/>
                <w:szCs w:val="18"/>
                <w:highlight w:val="none"/>
              </w:rPr>
              <w:t>（万元）</w:t>
            </w:r>
          </w:p>
        </w:tc>
      </w:tr>
      <w:tr w14:paraId="5EDC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B4FD42E">
            <w:pPr>
              <w:contextualSpacing/>
              <w:jc w:val="center"/>
              <w:rPr>
                <w:rFonts w:ascii="Times New Roman" w:hAnsi="Times New Roman"/>
                <w:b/>
                <w:bCs/>
                <w:color w:val="000000"/>
                <w:sz w:val="18"/>
                <w:szCs w:val="18"/>
                <w:highlight w:val="none"/>
              </w:rPr>
            </w:pPr>
            <w:r>
              <w:rPr>
                <w:rFonts w:ascii="Times New Roman" w:hAnsi="Times New Roman"/>
                <w:highlight w:val="none"/>
              </w:rPr>
              <w:t>1</w:t>
            </w:r>
          </w:p>
        </w:tc>
        <w:tc>
          <w:tcPr>
            <w:tcW w:w="2551" w:type="dxa"/>
            <w:noWrap w:val="0"/>
            <w:vAlign w:val="center"/>
          </w:tcPr>
          <w:p w14:paraId="5375B0D5">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c>
          <w:tcPr>
            <w:tcW w:w="1985" w:type="dxa"/>
            <w:noWrap w:val="0"/>
            <w:vAlign w:val="center"/>
          </w:tcPr>
          <w:p w14:paraId="6FD9DEA3">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c>
          <w:tcPr>
            <w:tcW w:w="992" w:type="dxa"/>
            <w:noWrap w:val="0"/>
            <w:vAlign w:val="center"/>
          </w:tcPr>
          <w:p w14:paraId="372B6A1B">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c>
          <w:tcPr>
            <w:tcW w:w="1417" w:type="dxa"/>
            <w:noWrap w:val="0"/>
            <w:vAlign w:val="center"/>
          </w:tcPr>
          <w:p w14:paraId="1B50E968">
            <w:pPr>
              <w:contextualSpacing/>
              <w:jc w:val="center"/>
              <w:rPr>
                <w:rFonts w:ascii="Times New Roman" w:hAnsi="Times New Roman"/>
                <w:b/>
                <w:bCs/>
                <w:color w:val="000000"/>
                <w:sz w:val="18"/>
                <w:szCs w:val="18"/>
                <w:highlight w:val="none"/>
              </w:rPr>
            </w:pPr>
            <w:r>
              <w:rPr>
                <w:rFonts w:ascii="Times New Roman" w:hAnsi="Times New Roman"/>
                <w:szCs w:val="21"/>
                <w:highlight w:val="none"/>
              </w:rPr>
              <w:t>***</w:t>
            </w:r>
          </w:p>
        </w:tc>
        <w:tc>
          <w:tcPr>
            <w:tcW w:w="426" w:type="dxa"/>
            <w:noWrap w:val="0"/>
            <w:vAlign w:val="center"/>
          </w:tcPr>
          <w:p w14:paraId="24C60BF1">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c>
          <w:tcPr>
            <w:tcW w:w="425" w:type="dxa"/>
            <w:noWrap w:val="0"/>
            <w:vAlign w:val="center"/>
          </w:tcPr>
          <w:p w14:paraId="3590E2E6">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c>
          <w:tcPr>
            <w:tcW w:w="992" w:type="dxa"/>
            <w:noWrap w:val="0"/>
            <w:vAlign w:val="center"/>
          </w:tcPr>
          <w:p w14:paraId="6F497FBF">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c>
          <w:tcPr>
            <w:tcW w:w="995" w:type="dxa"/>
            <w:noWrap w:val="0"/>
            <w:vAlign w:val="center"/>
          </w:tcPr>
          <w:p w14:paraId="406319F9">
            <w:pPr>
              <w:contextualSpacing/>
              <w:jc w:val="center"/>
              <w:rPr>
                <w:rFonts w:ascii="Times New Roman" w:hAnsi="Times New Roman"/>
                <w:b/>
                <w:bCs/>
                <w:color w:val="000000"/>
                <w:sz w:val="18"/>
                <w:szCs w:val="18"/>
                <w:highlight w:val="none"/>
              </w:rPr>
            </w:pPr>
            <w:r>
              <w:rPr>
                <w:rFonts w:ascii="Times New Roman" w:hAnsi="Times New Roman"/>
                <w:highlight w:val="none"/>
              </w:rPr>
              <w:t xml:space="preserve"> </w:t>
            </w:r>
            <w:r>
              <w:rPr>
                <w:rFonts w:ascii="Times New Roman" w:hAnsi="Times New Roman"/>
                <w:szCs w:val="21"/>
                <w:highlight w:val="none"/>
              </w:rPr>
              <w:t>***</w:t>
            </w:r>
          </w:p>
        </w:tc>
      </w:tr>
      <w:tr w14:paraId="19BB1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552DDAE">
            <w:pPr>
              <w:contextualSpacing/>
              <w:jc w:val="center"/>
              <w:rPr>
                <w:rFonts w:ascii="Times New Roman" w:hAnsi="Times New Roman"/>
                <w:highlight w:val="none"/>
              </w:rPr>
            </w:pPr>
            <w:r>
              <w:rPr>
                <w:rFonts w:ascii="Times New Roman" w:hAnsi="Times New Roman"/>
                <w:highlight w:val="none"/>
              </w:rPr>
              <w:t>2</w:t>
            </w:r>
          </w:p>
        </w:tc>
        <w:tc>
          <w:tcPr>
            <w:tcW w:w="2551" w:type="dxa"/>
            <w:noWrap w:val="0"/>
            <w:vAlign w:val="center"/>
          </w:tcPr>
          <w:p w14:paraId="388EA01A">
            <w:pPr>
              <w:contextualSpacing/>
              <w:jc w:val="center"/>
              <w:rPr>
                <w:rFonts w:ascii="Times New Roman" w:hAnsi="Times New Roman"/>
                <w:highlight w:val="none"/>
              </w:rPr>
            </w:pPr>
          </w:p>
        </w:tc>
        <w:tc>
          <w:tcPr>
            <w:tcW w:w="1985" w:type="dxa"/>
            <w:noWrap w:val="0"/>
            <w:vAlign w:val="center"/>
          </w:tcPr>
          <w:p w14:paraId="0F7608E6">
            <w:pPr>
              <w:contextualSpacing/>
              <w:jc w:val="center"/>
              <w:rPr>
                <w:rFonts w:ascii="Times New Roman" w:hAnsi="Times New Roman"/>
                <w:highlight w:val="none"/>
              </w:rPr>
            </w:pPr>
          </w:p>
        </w:tc>
        <w:tc>
          <w:tcPr>
            <w:tcW w:w="992" w:type="dxa"/>
            <w:noWrap w:val="0"/>
            <w:vAlign w:val="center"/>
          </w:tcPr>
          <w:p w14:paraId="0C49A8C8">
            <w:pPr>
              <w:contextualSpacing/>
              <w:jc w:val="center"/>
              <w:rPr>
                <w:rFonts w:ascii="Times New Roman" w:hAnsi="Times New Roman"/>
                <w:highlight w:val="none"/>
              </w:rPr>
            </w:pPr>
          </w:p>
        </w:tc>
        <w:tc>
          <w:tcPr>
            <w:tcW w:w="1417" w:type="dxa"/>
            <w:noWrap w:val="0"/>
            <w:vAlign w:val="center"/>
          </w:tcPr>
          <w:p w14:paraId="0FC08734">
            <w:pPr>
              <w:contextualSpacing/>
              <w:jc w:val="center"/>
              <w:rPr>
                <w:rFonts w:ascii="Times New Roman" w:hAnsi="Times New Roman"/>
                <w:highlight w:val="none"/>
              </w:rPr>
            </w:pPr>
          </w:p>
        </w:tc>
        <w:tc>
          <w:tcPr>
            <w:tcW w:w="426" w:type="dxa"/>
            <w:noWrap w:val="0"/>
            <w:vAlign w:val="center"/>
          </w:tcPr>
          <w:p w14:paraId="3854EAF8">
            <w:pPr>
              <w:contextualSpacing/>
              <w:jc w:val="center"/>
              <w:rPr>
                <w:rFonts w:ascii="Times New Roman" w:hAnsi="Times New Roman"/>
                <w:highlight w:val="none"/>
              </w:rPr>
            </w:pPr>
          </w:p>
        </w:tc>
        <w:tc>
          <w:tcPr>
            <w:tcW w:w="425" w:type="dxa"/>
            <w:noWrap w:val="0"/>
            <w:vAlign w:val="center"/>
          </w:tcPr>
          <w:p w14:paraId="1F5E3AB5">
            <w:pPr>
              <w:contextualSpacing/>
              <w:jc w:val="center"/>
              <w:rPr>
                <w:rFonts w:ascii="Times New Roman" w:hAnsi="Times New Roman"/>
                <w:highlight w:val="none"/>
              </w:rPr>
            </w:pPr>
          </w:p>
        </w:tc>
        <w:tc>
          <w:tcPr>
            <w:tcW w:w="992" w:type="dxa"/>
            <w:noWrap w:val="0"/>
            <w:vAlign w:val="center"/>
          </w:tcPr>
          <w:p w14:paraId="1A4ABC5A">
            <w:pPr>
              <w:contextualSpacing/>
              <w:jc w:val="center"/>
              <w:rPr>
                <w:rFonts w:ascii="Times New Roman" w:hAnsi="Times New Roman"/>
                <w:highlight w:val="none"/>
              </w:rPr>
            </w:pPr>
          </w:p>
        </w:tc>
        <w:tc>
          <w:tcPr>
            <w:tcW w:w="995" w:type="dxa"/>
            <w:noWrap w:val="0"/>
            <w:vAlign w:val="center"/>
          </w:tcPr>
          <w:p w14:paraId="622A5ABF">
            <w:pPr>
              <w:contextualSpacing/>
              <w:jc w:val="center"/>
              <w:rPr>
                <w:rFonts w:ascii="Times New Roman" w:hAnsi="Times New Roman"/>
                <w:highlight w:val="none"/>
              </w:rPr>
            </w:pPr>
          </w:p>
        </w:tc>
      </w:tr>
      <w:tr w14:paraId="4B49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6EA1C45">
            <w:pPr>
              <w:contextualSpacing/>
              <w:jc w:val="center"/>
              <w:rPr>
                <w:rFonts w:ascii="Times New Roman" w:hAnsi="Times New Roman"/>
                <w:highlight w:val="none"/>
              </w:rPr>
            </w:pPr>
            <w:r>
              <w:rPr>
                <w:rFonts w:ascii="Times New Roman" w:hAnsi="Times New Roman"/>
                <w:highlight w:val="none"/>
              </w:rPr>
              <w:t>...</w:t>
            </w:r>
          </w:p>
        </w:tc>
        <w:tc>
          <w:tcPr>
            <w:tcW w:w="2551" w:type="dxa"/>
            <w:noWrap w:val="0"/>
            <w:vAlign w:val="center"/>
          </w:tcPr>
          <w:p w14:paraId="69817009">
            <w:pPr>
              <w:contextualSpacing/>
              <w:jc w:val="center"/>
              <w:rPr>
                <w:rFonts w:ascii="Times New Roman" w:hAnsi="Times New Roman"/>
                <w:highlight w:val="none"/>
              </w:rPr>
            </w:pPr>
          </w:p>
        </w:tc>
        <w:tc>
          <w:tcPr>
            <w:tcW w:w="1985" w:type="dxa"/>
            <w:noWrap w:val="0"/>
            <w:vAlign w:val="center"/>
          </w:tcPr>
          <w:p w14:paraId="720A1A77">
            <w:pPr>
              <w:contextualSpacing/>
              <w:jc w:val="center"/>
              <w:rPr>
                <w:rFonts w:ascii="Times New Roman" w:hAnsi="Times New Roman"/>
                <w:highlight w:val="none"/>
              </w:rPr>
            </w:pPr>
          </w:p>
        </w:tc>
        <w:tc>
          <w:tcPr>
            <w:tcW w:w="992" w:type="dxa"/>
            <w:noWrap w:val="0"/>
            <w:vAlign w:val="center"/>
          </w:tcPr>
          <w:p w14:paraId="2DF7BA67">
            <w:pPr>
              <w:contextualSpacing/>
              <w:jc w:val="center"/>
              <w:rPr>
                <w:rFonts w:ascii="Times New Roman" w:hAnsi="Times New Roman"/>
                <w:highlight w:val="none"/>
              </w:rPr>
            </w:pPr>
          </w:p>
        </w:tc>
        <w:tc>
          <w:tcPr>
            <w:tcW w:w="1417" w:type="dxa"/>
            <w:noWrap w:val="0"/>
            <w:vAlign w:val="center"/>
          </w:tcPr>
          <w:p w14:paraId="72311503">
            <w:pPr>
              <w:contextualSpacing/>
              <w:jc w:val="center"/>
              <w:rPr>
                <w:rFonts w:ascii="Times New Roman" w:hAnsi="Times New Roman"/>
                <w:highlight w:val="none"/>
              </w:rPr>
            </w:pPr>
          </w:p>
        </w:tc>
        <w:tc>
          <w:tcPr>
            <w:tcW w:w="426" w:type="dxa"/>
            <w:noWrap w:val="0"/>
            <w:vAlign w:val="center"/>
          </w:tcPr>
          <w:p w14:paraId="6CBD9867">
            <w:pPr>
              <w:contextualSpacing/>
              <w:jc w:val="center"/>
              <w:rPr>
                <w:rFonts w:ascii="Times New Roman" w:hAnsi="Times New Roman"/>
                <w:highlight w:val="none"/>
              </w:rPr>
            </w:pPr>
          </w:p>
        </w:tc>
        <w:tc>
          <w:tcPr>
            <w:tcW w:w="425" w:type="dxa"/>
            <w:noWrap w:val="0"/>
            <w:vAlign w:val="center"/>
          </w:tcPr>
          <w:p w14:paraId="42DF1E56">
            <w:pPr>
              <w:contextualSpacing/>
              <w:jc w:val="center"/>
              <w:rPr>
                <w:rFonts w:ascii="Times New Roman" w:hAnsi="Times New Roman"/>
                <w:highlight w:val="none"/>
              </w:rPr>
            </w:pPr>
          </w:p>
        </w:tc>
        <w:tc>
          <w:tcPr>
            <w:tcW w:w="992" w:type="dxa"/>
            <w:noWrap w:val="0"/>
            <w:vAlign w:val="center"/>
          </w:tcPr>
          <w:p w14:paraId="23108AA5">
            <w:pPr>
              <w:contextualSpacing/>
              <w:jc w:val="center"/>
              <w:rPr>
                <w:rFonts w:ascii="Times New Roman" w:hAnsi="Times New Roman"/>
                <w:highlight w:val="none"/>
              </w:rPr>
            </w:pPr>
          </w:p>
        </w:tc>
        <w:tc>
          <w:tcPr>
            <w:tcW w:w="995" w:type="dxa"/>
            <w:noWrap w:val="0"/>
            <w:vAlign w:val="center"/>
          </w:tcPr>
          <w:p w14:paraId="0004A083">
            <w:pPr>
              <w:contextualSpacing/>
              <w:jc w:val="center"/>
              <w:rPr>
                <w:rFonts w:ascii="Times New Roman" w:hAnsi="Times New Roman"/>
                <w:highlight w:val="none"/>
              </w:rPr>
            </w:pPr>
          </w:p>
        </w:tc>
      </w:tr>
    </w:tbl>
    <w:p w14:paraId="5A31D733">
      <w:pPr>
        <w:pStyle w:val="29"/>
        <w:numPr>
          <w:ilvl w:val="0"/>
          <w:numId w:val="11"/>
        </w:numPr>
        <w:ind w:left="0" w:firstLine="0" w:firstLineChars="0"/>
        <w:rPr>
          <w:rFonts w:ascii="Times New Roman" w:hAnsi="Times New Roman"/>
          <w:color w:val="000000"/>
          <w:szCs w:val="21"/>
          <w:highlight w:val="none"/>
        </w:rPr>
      </w:pPr>
      <w:r>
        <w:rPr>
          <w:rFonts w:ascii="Times New Roman" w:hAnsi="Times New Roman"/>
          <w:color w:val="000000"/>
          <w:szCs w:val="21"/>
          <w:highlight w:val="none"/>
        </w:rPr>
        <w:t>货物具体配置详见附件1：</w:t>
      </w:r>
      <w:r>
        <w:rPr>
          <w:rFonts w:hint="eastAsia" w:ascii="Times New Roman" w:hAnsi="Times New Roman"/>
          <w:color w:val="000000"/>
          <w:szCs w:val="21"/>
          <w:highlight w:val="none"/>
        </w:rPr>
        <w:t>《</w:t>
      </w:r>
      <w:r>
        <w:rPr>
          <w:rFonts w:ascii="Times New Roman" w:hAnsi="Times New Roman"/>
          <w:color w:val="000000"/>
          <w:szCs w:val="21"/>
          <w:highlight w:val="none"/>
        </w:rPr>
        <w:t>配置清单</w:t>
      </w:r>
      <w:r>
        <w:rPr>
          <w:rFonts w:hint="eastAsia" w:ascii="Times New Roman" w:hAnsi="Times New Roman"/>
          <w:color w:val="000000"/>
          <w:szCs w:val="21"/>
          <w:highlight w:val="none"/>
        </w:rPr>
        <w:t>》。</w:t>
      </w:r>
    </w:p>
    <w:p w14:paraId="0C5EF3EC">
      <w:pPr>
        <w:pStyle w:val="29"/>
        <w:numPr>
          <w:ilvl w:val="0"/>
          <w:numId w:val="11"/>
        </w:numPr>
        <w:ind w:left="0" w:firstLine="0" w:firstLineChars="0"/>
        <w:rPr>
          <w:rFonts w:ascii="Times New Roman" w:hAnsi="Times New Roman"/>
          <w:color w:val="000000"/>
          <w:szCs w:val="21"/>
          <w:highlight w:val="none"/>
        </w:rPr>
      </w:pPr>
      <w:r>
        <w:rPr>
          <w:rFonts w:ascii="Times New Roman" w:hAnsi="Times New Roman"/>
          <w:color w:val="000000"/>
          <w:szCs w:val="21"/>
          <w:highlight w:val="none"/>
        </w:rPr>
        <w:t>货物具体技术参数详见附件2：</w:t>
      </w:r>
      <w:r>
        <w:rPr>
          <w:rFonts w:hint="eastAsia" w:ascii="Times New Roman" w:hAnsi="Times New Roman"/>
          <w:color w:val="000000"/>
          <w:szCs w:val="21"/>
          <w:highlight w:val="none"/>
        </w:rPr>
        <w:t>《</w:t>
      </w:r>
      <w:r>
        <w:rPr>
          <w:rFonts w:ascii="Times New Roman" w:hAnsi="Times New Roman"/>
          <w:color w:val="000000"/>
          <w:szCs w:val="21"/>
          <w:highlight w:val="none"/>
        </w:rPr>
        <w:t>货物技术参数</w:t>
      </w:r>
      <w:r>
        <w:rPr>
          <w:rFonts w:hint="eastAsia" w:ascii="Times New Roman" w:hAnsi="Times New Roman"/>
          <w:color w:val="000000"/>
          <w:szCs w:val="21"/>
          <w:highlight w:val="none"/>
        </w:rPr>
        <w:t>》。</w:t>
      </w:r>
    </w:p>
    <w:p w14:paraId="6AC5FACF">
      <w:pPr>
        <w:pStyle w:val="29"/>
        <w:numPr>
          <w:ilvl w:val="0"/>
          <w:numId w:val="10"/>
        </w:numPr>
        <w:snapToGrid w:val="0"/>
        <w:ind w:firstLineChars="0"/>
        <w:rPr>
          <w:rFonts w:ascii="Times New Roman" w:hAnsi="Times New Roman"/>
          <w:b/>
          <w:bCs/>
          <w:szCs w:val="21"/>
          <w:highlight w:val="none"/>
        </w:rPr>
      </w:pPr>
      <w:r>
        <w:rPr>
          <w:rFonts w:ascii="Times New Roman" w:hAnsi="Times New Roman"/>
          <w:b/>
          <w:bCs/>
          <w:szCs w:val="21"/>
          <w:highlight w:val="none"/>
        </w:rPr>
        <w:t>合同总价</w:t>
      </w:r>
    </w:p>
    <w:p w14:paraId="453100BD">
      <w:pPr>
        <w:pStyle w:val="29"/>
        <w:ind w:firstLine="0" w:firstLineChars="0"/>
        <w:jc w:val="left"/>
        <w:rPr>
          <w:rFonts w:ascii="Times New Roman" w:hAnsi="Times New Roman"/>
          <w:szCs w:val="21"/>
          <w:highlight w:val="none"/>
        </w:rPr>
      </w:pPr>
      <w:r>
        <w:rPr>
          <w:rFonts w:ascii="Times New Roman" w:hAnsi="Times New Roman"/>
          <w:szCs w:val="21"/>
          <w:highlight w:val="none"/>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4435663">
      <w:pPr>
        <w:pStyle w:val="29"/>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3814E378">
      <w:pPr>
        <w:pStyle w:val="29"/>
        <w:numPr>
          <w:ilvl w:val="0"/>
          <w:numId w:val="10"/>
        </w:numPr>
        <w:snapToGrid w:val="0"/>
        <w:ind w:firstLineChars="0"/>
        <w:rPr>
          <w:rFonts w:ascii="Times New Roman" w:hAnsi="Times New Roman"/>
          <w:b/>
          <w:bCs/>
          <w:szCs w:val="21"/>
          <w:highlight w:val="none"/>
        </w:rPr>
      </w:pPr>
      <w:r>
        <w:rPr>
          <w:rFonts w:ascii="Times New Roman" w:hAnsi="Times New Roman"/>
          <w:b/>
          <w:bCs/>
          <w:szCs w:val="21"/>
          <w:highlight w:val="none"/>
        </w:rPr>
        <w:t>质量要求</w:t>
      </w:r>
    </w:p>
    <w:p w14:paraId="7ECDBE36">
      <w:pPr>
        <w:pStyle w:val="29"/>
        <w:numPr>
          <w:ilvl w:val="0"/>
          <w:numId w:val="12"/>
        </w:numPr>
        <w:snapToGrid w:val="0"/>
        <w:ind w:left="0" w:firstLine="0" w:firstLineChars="0"/>
        <w:rPr>
          <w:rFonts w:ascii="Times New Roman" w:hAnsi="Times New Roman"/>
          <w:szCs w:val="21"/>
          <w:highlight w:val="none"/>
        </w:rPr>
      </w:pPr>
      <w:r>
        <w:rPr>
          <w:rFonts w:ascii="Times New Roman" w:hAnsi="Times New Roman"/>
          <w:szCs w:val="21"/>
          <w:highlight w:val="none"/>
        </w:rPr>
        <w:t>乙方须</w:t>
      </w:r>
      <w:r>
        <w:rPr>
          <w:rFonts w:hint="eastAsia" w:ascii="Times New Roman" w:hAnsi="Times New Roman"/>
          <w:szCs w:val="21"/>
          <w:highlight w:val="none"/>
        </w:rPr>
        <w:t>保证向甲方提</w:t>
      </w:r>
      <w:r>
        <w:rPr>
          <w:rFonts w:ascii="Times New Roman" w:hAnsi="Times New Roman"/>
          <w:szCs w:val="21"/>
          <w:highlight w:val="none"/>
        </w:rPr>
        <w:t>供的</w:t>
      </w:r>
      <w:r>
        <w:rPr>
          <w:rFonts w:hint="eastAsia" w:ascii="Times New Roman" w:hAnsi="Times New Roman"/>
          <w:szCs w:val="21"/>
          <w:highlight w:val="none"/>
        </w:rPr>
        <w:t>货物</w:t>
      </w:r>
      <w:r>
        <w:rPr>
          <w:rFonts w:ascii="Times New Roman" w:hAnsi="Times New Roman"/>
          <w:szCs w:val="21"/>
          <w:highlight w:val="none"/>
        </w:rPr>
        <w:t>（含零部件、配件等）</w:t>
      </w:r>
      <w:r>
        <w:rPr>
          <w:rFonts w:hint="eastAsia" w:ascii="Times New Roman" w:hAnsi="Times New Roman"/>
          <w:szCs w:val="21"/>
          <w:highlight w:val="none"/>
        </w:rPr>
        <w:t>是完整、全新的，并在性能、质量和设计方面满足安全、可靠和高效运行与方便维护的全部要求。</w:t>
      </w:r>
    </w:p>
    <w:p w14:paraId="656C4ED6">
      <w:pPr>
        <w:pStyle w:val="29"/>
        <w:numPr>
          <w:ilvl w:val="0"/>
          <w:numId w:val="12"/>
        </w:numPr>
        <w:snapToGrid w:val="0"/>
        <w:ind w:left="0" w:firstLine="0" w:firstLineChars="0"/>
        <w:rPr>
          <w:rFonts w:ascii="Times New Roman" w:hAnsi="Times New Roman"/>
          <w:szCs w:val="21"/>
          <w:highlight w:val="none"/>
        </w:rPr>
      </w:pPr>
      <w:r>
        <w:rPr>
          <w:rFonts w:ascii="Times New Roman" w:hAnsi="Times New Roman"/>
          <w:szCs w:val="21"/>
          <w:highlight w:val="none"/>
        </w:rPr>
        <w:t>货物必须符合或优于国家（行业）标准，以及本项目采购文件的质量要求和技术指标与出厂标准。</w:t>
      </w:r>
    </w:p>
    <w:p w14:paraId="720CBD4B">
      <w:pPr>
        <w:pStyle w:val="29"/>
        <w:numPr>
          <w:ilvl w:val="0"/>
          <w:numId w:val="12"/>
        </w:numPr>
        <w:snapToGrid w:val="0"/>
        <w:ind w:left="0" w:firstLine="0" w:firstLineChars="0"/>
        <w:rPr>
          <w:rFonts w:ascii="Times New Roman" w:hAnsi="Times New Roman"/>
          <w:szCs w:val="21"/>
          <w:highlight w:val="none"/>
        </w:rPr>
      </w:pPr>
      <w:r>
        <w:rPr>
          <w:rFonts w:ascii="Times New Roman" w:hAnsi="Times New Roman"/>
          <w:szCs w:val="21"/>
          <w:highlight w:val="none"/>
        </w:rPr>
        <w:t>货物制造质量出现问题，乙方应负责按照第</w:t>
      </w:r>
      <w:r>
        <w:rPr>
          <w:rFonts w:hint="eastAsia" w:ascii="Times New Roman" w:hAnsi="Times New Roman"/>
          <w:szCs w:val="21"/>
          <w:highlight w:val="none"/>
        </w:rPr>
        <w:t>十</w:t>
      </w:r>
      <w:r>
        <w:rPr>
          <w:rFonts w:ascii="Times New Roman" w:hAnsi="Times New Roman"/>
          <w:szCs w:val="21"/>
          <w:highlight w:val="none"/>
        </w:rPr>
        <w:t>条承担责任，费用由乙方负担。</w:t>
      </w:r>
    </w:p>
    <w:p w14:paraId="42E805A3">
      <w:pPr>
        <w:pStyle w:val="29"/>
        <w:numPr>
          <w:ilvl w:val="0"/>
          <w:numId w:val="12"/>
        </w:numPr>
        <w:snapToGrid w:val="0"/>
        <w:ind w:left="0" w:firstLine="0" w:firstLineChars="0"/>
        <w:rPr>
          <w:rFonts w:ascii="Times New Roman" w:hAnsi="Times New Roman"/>
          <w:szCs w:val="21"/>
          <w:highlight w:val="none"/>
        </w:rPr>
      </w:pPr>
      <w:r>
        <w:rPr>
          <w:rFonts w:ascii="Times New Roman" w:hAnsi="Times New Roman"/>
          <w:szCs w:val="21"/>
          <w:highlight w:val="none"/>
        </w:rPr>
        <w:t>如因货物质量问题导致甲方无法正常使用或影响使用效果，由此与患者发生纠纷而导致甲方赔偿，乙方对此承担全部责任。</w:t>
      </w:r>
    </w:p>
    <w:p w14:paraId="0AFF5DD5">
      <w:pPr>
        <w:pStyle w:val="29"/>
        <w:numPr>
          <w:ilvl w:val="0"/>
          <w:numId w:val="12"/>
        </w:numPr>
        <w:snapToGrid w:val="0"/>
        <w:ind w:firstLineChars="0"/>
        <w:rPr>
          <w:rFonts w:ascii="Times New Roman" w:hAnsi="Times New Roman"/>
          <w:szCs w:val="21"/>
          <w:highlight w:val="none"/>
        </w:rPr>
      </w:pPr>
      <w:r>
        <w:rPr>
          <w:rFonts w:ascii="Times New Roman" w:hAnsi="Times New Roman"/>
          <w:szCs w:val="21"/>
          <w:highlight w:val="none"/>
        </w:rPr>
        <w:t>甲方人员参与合同货物开箱、调试等行为均不免除乙方及厂家对合同货物质量所应负责任。</w:t>
      </w:r>
    </w:p>
    <w:p w14:paraId="06D074F5">
      <w:pPr>
        <w:pStyle w:val="29"/>
        <w:numPr>
          <w:ilvl w:val="0"/>
          <w:numId w:val="12"/>
        </w:numPr>
        <w:snapToGrid w:val="0"/>
        <w:ind w:firstLineChars="0"/>
        <w:rPr>
          <w:rFonts w:ascii="Times New Roman" w:hAnsi="Times New Roman"/>
          <w:szCs w:val="21"/>
          <w:highlight w:val="none"/>
        </w:rPr>
      </w:pPr>
      <w:r>
        <w:rPr>
          <w:rFonts w:hint="eastAsia" w:ascii="Times New Roman" w:hAnsi="Times New Roman"/>
          <w:szCs w:val="21"/>
          <w:highlight w:val="none"/>
        </w:rPr>
        <w:t>本合同采购的货物涉及成品软件的，乙方应保证以下内容（本合同另有约定除外）：</w:t>
      </w:r>
    </w:p>
    <w:p w14:paraId="384D013B">
      <w:pPr>
        <w:pStyle w:val="29"/>
        <w:numPr>
          <w:ilvl w:val="0"/>
          <w:numId w:val="1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本合同中提供给甲方的软件产品是其产品原厂发布的最新版本。</w:t>
      </w:r>
    </w:p>
    <w:p w14:paraId="3943E0B4">
      <w:pPr>
        <w:pStyle w:val="29"/>
        <w:numPr>
          <w:ilvl w:val="0"/>
          <w:numId w:val="1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负责软件功能的升级、维护和文档更新，不再收取任何费用。</w:t>
      </w:r>
    </w:p>
    <w:p w14:paraId="208EAF55">
      <w:pPr>
        <w:pStyle w:val="29"/>
        <w:numPr>
          <w:ilvl w:val="0"/>
          <w:numId w:val="1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本合同中提供给甲方的软件产品不存在定期密码输入等使用和功能上的限制。</w:t>
      </w:r>
    </w:p>
    <w:p w14:paraId="76DC6944">
      <w:pPr>
        <w:pStyle w:val="29"/>
        <w:numPr>
          <w:ilvl w:val="0"/>
          <w:numId w:val="1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7A815E40">
      <w:pPr>
        <w:pStyle w:val="29"/>
        <w:numPr>
          <w:ilvl w:val="0"/>
          <w:numId w:val="13"/>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本合同中提供给甲方的软件产品需要严格遵守相关网络信息安全规定。</w:t>
      </w:r>
    </w:p>
    <w:p w14:paraId="060A4DC6">
      <w:pPr>
        <w:pStyle w:val="29"/>
        <w:numPr>
          <w:ilvl w:val="0"/>
          <w:numId w:val="1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284C1AF6">
      <w:pPr>
        <w:pStyle w:val="29"/>
        <w:numPr>
          <w:ilvl w:val="0"/>
          <w:numId w:val="10"/>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33A651DB">
      <w:pPr>
        <w:pStyle w:val="29"/>
        <w:snapToGrid w:val="0"/>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合同签订生效</w:t>
      </w:r>
      <w:r>
        <w:rPr>
          <w:rFonts w:hint="eastAsia" w:ascii="Times New Roman" w:hAnsi="Times New Roman"/>
          <w:szCs w:val="21"/>
          <w:highlight w:val="none"/>
        </w:rPr>
        <w:t>后*</w:t>
      </w:r>
      <w:r>
        <w:rPr>
          <w:rFonts w:ascii="Times New Roman" w:hAnsi="Times New Roman"/>
          <w:szCs w:val="21"/>
          <w:highlight w:val="none"/>
        </w:rPr>
        <w:t>**</w:t>
      </w:r>
      <w:r>
        <w:rPr>
          <w:rFonts w:ascii="Times New Roman" w:hAnsi="Times New Roman"/>
          <w:highlight w:val="none"/>
        </w:rPr>
        <w:t>天</w:t>
      </w:r>
      <w:r>
        <w:rPr>
          <w:rFonts w:ascii="Times New Roman" w:hAnsi="Times New Roman"/>
          <w:szCs w:val="21"/>
          <w:highlight w:val="none"/>
        </w:rPr>
        <w:t>内</w:t>
      </w:r>
      <w:r>
        <w:rPr>
          <w:rFonts w:hint="eastAsia" w:ascii="Times New Roman" w:hAnsi="Times New Roman"/>
          <w:szCs w:val="21"/>
          <w:highlight w:val="none"/>
        </w:rPr>
        <w:t>由乙方在*</w:t>
      </w:r>
      <w:r>
        <w:rPr>
          <w:rFonts w:ascii="Times New Roman" w:hAnsi="Times New Roman"/>
          <w:szCs w:val="21"/>
          <w:highlight w:val="none"/>
        </w:rPr>
        <w:t>**</w:t>
      </w:r>
      <w:r>
        <w:rPr>
          <w:rFonts w:hint="eastAsia" w:ascii="Times New Roman" w:hAnsi="Times New Roman"/>
          <w:szCs w:val="21"/>
          <w:highlight w:val="none"/>
        </w:rPr>
        <w:t>向甲方交付本合同约定的全部货物，</w:t>
      </w:r>
      <w:r>
        <w:rPr>
          <w:rFonts w:ascii="Times New Roman" w:hAnsi="Times New Roman"/>
          <w:szCs w:val="21"/>
          <w:highlight w:val="none"/>
        </w:rPr>
        <w:t>并于</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szCs w:val="21"/>
          <w:highlight w:val="none"/>
        </w:rPr>
        <w:t>日内</w:t>
      </w:r>
      <w:r>
        <w:rPr>
          <w:rFonts w:ascii="Times New Roman" w:hAnsi="Times New Roman"/>
          <w:szCs w:val="21"/>
          <w:highlight w:val="none"/>
        </w:rPr>
        <w:t>安装调试完毕</w:t>
      </w:r>
      <w:r>
        <w:rPr>
          <w:rFonts w:hint="eastAsia" w:ascii="Times New Roman" w:hAnsi="Times New Roman"/>
          <w:szCs w:val="21"/>
          <w:highlight w:val="none"/>
        </w:rPr>
        <w:t>且具备验收条件。</w:t>
      </w:r>
      <w:r>
        <w:rPr>
          <w:rFonts w:ascii="Times New Roman" w:hAnsi="Times New Roman"/>
          <w:szCs w:val="21"/>
          <w:highlight w:val="none"/>
        </w:rPr>
        <w:t>货物验收合格前，毁损灭失的风险由乙方承担。</w:t>
      </w:r>
    </w:p>
    <w:p w14:paraId="68973F3F">
      <w:pPr>
        <w:pStyle w:val="29"/>
        <w:numPr>
          <w:ilvl w:val="0"/>
          <w:numId w:val="10"/>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5D64EA40">
      <w:pPr>
        <w:pStyle w:val="29"/>
        <w:numPr>
          <w:ilvl w:val="0"/>
          <w:numId w:val="14"/>
        </w:numPr>
        <w:snapToGrid w:val="0"/>
        <w:ind w:left="0" w:firstLine="0" w:firstLineChars="0"/>
        <w:contextualSpacing/>
        <w:rPr>
          <w:rFonts w:ascii="Times New Roman" w:hAnsi="Times New Roman"/>
          <w:highlight w:val="none"/>
        </w:rPr>
      </w:pPr>
      <w:r>
        <w:rPr>
          <w:rFonts w:ascii="Times New Roman" w:hAnsi="Times New Roman"/>
          <w:highlight w:val="none"/>
        </w:rPr>
        <w:t>甲、乙双方确定，按照本合同约定的验收方案对乙方交付的</w:t>
      </w:r>
      <w:r>
        <w:rPr>
          <w:rFonts w:hint="eastAsia" w:ascii="Times New Roman" w:hAnsi="Times New Roman"/>
          <w:highlight w:val="none"/>
        </w:rPr>
        <w:t>货物</w:t>
      </w:r>
      <w:r>
        <w:rPr>
          <w:rFonts w:ascii="Times New Roman" w:hAnsi="Times New Roman"/>
          <w:highlight w:val="none"/>
        </w:rPr>
        <w:t>进行验收。</w:t>
      </w:r>
    </w:p>
    <w:p w14:paraId="72B27A9B">
      <w:pPr>
        <w:pStyle w:val="29"/>
        <w:numPr>
          <w:ilvl w:val="0"/>
          <w:numId w:val="14"/>
        </w:numPr>
        <w:snapToGrid w:val="0"/>
        <w:ind w:left="0" w:firstLine="0" w:firstLineChars="0"/>
        <w:contextualSpacing/>
        <w:rPr>
          <w:rFonts w:ascii="Times New Roman" w:hAnsi="Times New Roman"/>
          <w:highlight w:val="none"/>
        </w:rPr>
      </w:pPr>
      <w:r>
        <w:rPr>
          <w:rFonts w:ascii="Times New Roman" w:hAnsi="Times New Roman"/>
          <w:highlight w:val="none"/>
        </w:rPr>
        <w:t>验收方案：</w:t>
      </w:r>
    </w:p>
    <w:p w14:paraId="1091E90C">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验收主体：甲方</w:t>
      </w:r>
    </w:p>
    <w:p w14:paraId="0C990607">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验收组织方式：自行验收</w:t>
      </w:r>
    </w:p>
    <w:p w14:paraId="623A3B05">
      <w:pPr>
        <w:pStyle w:val="29"/>
        <w:numPr>
          <w:ilvl w:val="0"/>
          <w:numId w:val="15"/>
        </w:numPr>
        <w:snapToGrid w:val="0"/>
        <w:ind w:left="525" w:hanging="525" w:hangingChars="250"/>
        <w:contextualSpacing/>
        <w:rPr>
          <w:rFonts w:ascii="Times New Roman" w:hAnsi="Times New Roman"/>
          <w:color w:val="333333"/>
          <w:kern w:val="0"/>
          <w:szCs w:val="21"/>
          <w:highlight w:val="none"/>
          <w:shd w:val="clear" w:color="auto" w:fill="FFFFFF"/>
        </w:rPr>
      </w:pPr>
      <w:r>
        <w:rPr>
          <w:rFonts w:ascii="Times New Roman" w:hAnsi="Times New Roman"/>
          <w:highlight w:val="none"/>
        </w:rPr>
        <w:t>验收程序：</w:t>
      </w:r>
      <w:r>
        <w:rPr>
          <w:highlight w:val="none"/>
        </w:rPr>
        <w:sym w:font="Wingdings 2" w:char="F052"/>
      </w:r>
      <w:r>
        <w:rPr>
          <w:rFonts w:ascii="Times New Roman" w:hAnsi="Times New Roman"/>
          <w:kern w:val="0"/>
          <w:szCs w:val="21"/>
          <w:highlight w:val="none"/>
          <w:shd w:val="clear" w:color="auto" w:fill="FFFFFF"/>
        </w:rPr>
        <w:t xml:space="preserve">一次性验收   </w:t>
      </w:r>
      <w:r>
        <w:rPr>
          <w:highlight w:val="none"/>
          <w:shd w:val="clear" w:color="auto" w:fill="FFFFFF"/>
        </w:rPr>
        <w:sym w:font="Wingdings" w:char="F0A8"/>
      </w:r>
      <w:r>
        <w:rPr>
          <w:rFonts w:ascii="Times New Roman" w:hAnsi="Times New Roman"/>
          <w:kern w:val="0"/>
          <w:szCs w:val="21"/>
          <w:highlight w:val="none"/>
          <w:shd w:val="clear" w:color="auto" w:fill="FFFFFF"/>
        </w:rPr>
        <w:t>分段/分期验收</w:t>
      </w:r>
    </w:p>
    <w:p w14:paraId="5BE3B8DC">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验收方式：现场整体验收</w:t>
      </w:r>
    </w:p>
    <w:p w14:paraId="6ED573F5">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履约验收内容：</w:t>
      </w:r>
      <w:r>
        <w:rPr>
          <w:rFonts w:hint="eastAsia" w:ascii="Times New Roman" w:hAnsi="Times New Roman"/>
          <w:highlight w:val="none"/>
        </w:rPr>
        <w:t>按照甲方</w:t>
      </w:r>
      <w:r>
        <w:rPr>
          <w:rFonts w:ascii="Times New Roman" w:hAnsi="Times New Roman"/>
          <w:highlight w:val="none"/>
        </w:rPr>
        <w:t>采购文件要求及乙方响应文件情况，由乙方向甲方交付的全部内容。</w:t>
      </w:r>
    </w:p>
    <w:p w14:paraId="192F2C77">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履约验收时间：供应商完成本项目涉及的所有</w:t>
      </w:r>
      <w:r>
        <w:rPr>
          <w:rFonts w:hint="eastAsia" w:ascii="Times New Roman" w:hAnsi="Times New Roman"/>
          <w:highlight w:val="none"/>
        </w:rPr>
        <w:t>货物</w:t>
      </w:r>
      <w:r>
        <w:rPr>
          <w:rFonts w:ascii="Times New Roman" w:hAnsi="Times New Roman"/>
          <w:highlight w:val="none"/>
        </w:rPr>
        <w:t>的安装、调试并具备验收条件后于5日内通知甲方验收，甲方接乙方通知后10日内组织验收。</w:t>
      </w:r>
    </w:p>
    <w:p w14:paraId="7477E69E">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是否邀请本项目的其他供应商：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16932EB7">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是否邀请专家：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6D609A7C">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是否邀请服务对象：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3C49A7E1">
      <w:pPr>
        <w:pStyle w:val="29"/>
        <w:numPr>
          <w:ilvl w:val="0"/>
          <w:numId w:val="15"/>
        </w:numPr>
        <w:snapToGrid w:val="0"/>
        <w:ind w:left="525" w:hanging="525" w:hangingChars="250"/>
        <w:contextualSpacing/>
        <w:rPr>
          <w:rFonts w:ascii="Times New Roman" w:hAnsi="Times New Roman"/>
          <w:szCs w:val="21"/>
          <w:highlight w:val="none"/>
        </w:rPr>
      </w:pPr>
      <w:r>
        <w:rPr>
          <w:rFonts w:ascii="Times New Roman" w:hAnsi="Times New Roman"/>
          <w:szCs w:val="21"/>
          <w:highlight w:val="none"/>
        </w:rPr>
        <w:t xml:space="preserve">是否邀请第三方检测机构： </w:t>
      </w:r>
      <w:r>
        <w:rPr>
          <w:rFonts w:ascii="Times New Roman" w:hAnsi="Times New Roman"/>
          <w:szCs w:val="21"/>
          <w:highlight w:val="none"/>
        </w:rPr>
        <w:sym w:font="Wingdings" w:char="F0A8"/>
      </w:r>
      <w:r>
        <w:rPr>
          <w:rFonts w:ascii="Times New Roman" w:hAnsi="Times New Roman"/>
          <w:szCs w:val="21"/>
          <w:highlight w:val="none"/>
        </w:rPr>
        <w:t xml:space="preserve">是   </w:t>
      </w:r>
      <w:r>
        <w:rPr>
          <w:rFonts w:ascii="Times New Roman" w:hAnsi="Times New Roman"/>
          <w:szCs w:val="21"/>
          <w:highlight w:val="none"/>
        </w:rPr>
        <w:sym w:font="Wingdings 2" w:char="F052"/>
      </w:r>
      <w:r>
        <w:rPr>
          <w:rFonts w:ascii="Times New Roman" w:hAnsi="Times New Roman"/>
          <w:szCs w:val="21"/>
          <w:highlight w:val="none"/>
        </w:rPr>
        <w:t>否</w:t>
      </w:r>
    </w:p>
    <w:p w14:paraId="57CE06AF">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验收标准：</w:t>
      </w:r>
    </w:p>
    <w:p w14:paraId="0389A2C8">
      <w:pPr>
        <w:pStyle w:val="16"/>
        <w:numPr>
          <w:ilvl w:val="0"/>
          <w:numId w:val="16"/>
        </w:numPr>
        <w:snapToGrid w:val="0"/>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22536E7A">
      <w:pPr>
        <w:pStyle w:val="16"/>
        <w:numPr>
          <w:ilvl w:val="0"/>
          <w:numId w:val="16"/>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甲方采购文件相关技术、服务要求、乙方响应文件相关响应内容。</w:t>
      </w:r>
    </w:p>
    <w:p w14:paraId="01DBE932">
      <w:pPr>
        <w:pStyle w:val="16"/>
        <w:numPr>
          <w:ilvl w:val="0"/>
          <w:numId w:val="16"/>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成交产品生产厂家出具的产品说明书、技术白皮书等技术资料（如涉及）。</w:t>
      </w:r>
    </w:p>
    <w:p w14:paraId="3D1A2706">
      <w:pPr>
        <w:pStyle w:val="16"/>
        <w:numPr>
          <w:ilvl w:val="0"/>
          <w:numId w:val="16"/>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如验收时，采购人与供应商认为本项目验收标准中的技术指标、质量要求等内容存在相互抵触或对其理解存在异议，应按照其中更严格的要求、标准等进行验收。</w:t>
      </w:r>
    </w:p>
    <w:p w14:paraId="5CF49A93">
      <w:pPr>
        <w:pStyle w:val="16"/>
        <w:numPr>
          <w:ilvl w:val="0"/>
          <w:numId w:val="16"/>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参照《财政部关于进一步加强政府采购需求和履约验收管理的指导意见》（财库〔2016〕205号）的要求进行验收。</w:t>
      </w:r>
    </w:p>
    <w:p w14:paraId="078BCF1C">
      <w:pPr>
        <w:pStyle w:val="16"/>
        <w:numPr>
          <w:ilvl w:val="0"/>
          <w:numId w:val="16"/>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其它标准：无。</w:t>
      </w:r>
    </w:p>
    <w:p w14:paraId="35876CED">
      <w:pPr>
        <w:pStyle w:val="29"/>
        <w:numPr>
          <w:ilvl w:val="0"/>
          <w:numId w:val="15"/>
        </w:numPr>
        <w:snapToGrid w:val="0"/>
        <w:ind w:left="525" w:hanging="525" w:hangingChars="250"/>
        <w:contextualSpacing/>
        <w:rPr>
          <w:rFonts w:ascii="Times New Roman" w:hAnsi="Times New Roman"/>
          <w:highlight w:val="none"/>
        </w:rPr>
      </w:pPr>
      <w:r>
        <w:rPr>
          <w:rFonts w:ascii="Times New Roman" w:hAnsi="Times New Roman"/>
          <w:highlight w:val="none"/>
        </w:rPr>
        <w:t>履约验收其它事项：无。</w:t>
      </w:r>
      <w:r>
        <w:rPr>
          <w:rFonts w:ascii="Times New Roman" w:hAnsi="Times New Roman"/>
          <w:i/>
          <w:iCs/>
          <w:highlight w:val="none"/>
        </w:rPr>
        <w:t>&lt;如有请填写&gt;</w:t>
      </w:r>
    </w:p>
    <w:p w14:paraId="1BF88ED2">
      <w:pPr>
        <w:pStyle w:val="29"/>
        <w:numPr>
          <w:ilvl w:val="0"/>
          <w:numId w:val="14"/>
        </w:numPr>
        <w:snapToGrid w:val="0"/>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乙方按照本合同向甲方交付的货物：</w:t>
      </w:r>
      <w:bookmarkStart w:id="97" w:name="OLE_LINK3"/>
      <w:r>
        <w:rPr>
          <w:rFonts w:hint="eastAsia" w:ascii="Times New Roman" w:hAnsi="Times New Roman"/>
          <w:i/>
          <w:iCs/>
          <w:color w:val="000000"/>
          <w:szCs w:val="21"/>
          <w:highlight w:val="none"/>
        </w:rPr>
        <w:t>&lt;根据项目实际情况选择</w:t>
      </w:r>
      <w:bookmarkEnd w:id="97"/>
      <w:r>
        <w:rPr>
          <w:rFonts w:hint="eastAsia" w:ascii="Times New Roman" w:hAnsi="Times New Roman"/>
          <w:i/>
          <w:iCs/>
          <w:color w:val="000000"/>
          <w:szCs w:val="21"/>
          <w:highlight w:val="none"/>
        </w:rPr>
        <w:t>&gt;</w:t>
      </w:r>
    </w:p>
    <w:p w14:paraId="23A2BF3B">
      <w:pPr>
        <w:pStyle w:val="29"/>
        <w:snapToGrid w:val="0"/>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w:t>
      </w:r>
      <w:r>
        <w:rPr>
          <w:rFonts w:hint="eastAsia" w:ascii="Times New Roman" w:hAnsi="Times New Roman"/>
          <w:szCs w:val="21"/>
          <w:highlight w:val="none"/>
        </w:rPr>
        <w:t>货物有</w:t>
      </w:r>
      <w:r>
        <w:rPr>
          <w:rFonts w:ascii="Times New Roman" w:hAnsi="Times New Roman"/>
          <w:szCs w:val="21"/>
          <w:highlight w:val="none"/>
        </w:rPr>
        <w:t>缺陷，或</w:t>
      </w:r>
      <w:r>
        <w:rPr>
          <w:rFonts w:hint="eastAsia" w:ascii="Times New Roman" w:hAnsi="Times New Roman"/>
          <w:szCs w:val="21"/>
          <w:highlight w:val="none"/>
        </w:rPr>
        <w:t>性能和</w:t>
      </w:r>
      <w:r>
        <w:rPr>
          <w:rFonts w:ascii="Times New Roman" w:hAnsi="Times New Roman"/>
          <w:szCs w:val="21"/>
          <w:highlight w:val="none"/>
        </w:rPr>
        <w:t>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乙方须对相关货物进行更换和相应处理，同时试运行期时限按照上述修改、更正期进行相应顺延。</w:t>
      </w:r>
    </w:p>
    <w:p w14:paraId="1195B98D">
      <w:pPr>
        <w:pStyle w:val="29"/>
        <w:snapToGrid w:val="0"/>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0835B4D5">
      <w:pPr>
        <w:pStyle w:val="29"/>
        <w:numPr>
          <w:ilvl w:val="0"/>
          <w:numId w:val="14"/>
        </w:numPr>
        <w:snapToGrid w:val="0"/>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0DFD0D3A">
      <w:pPr>
        <w:pStyle w:val="29"/>
        <w:numPr>
          <w:ilvl w:val="0"/>
          <w:numId w:val="14"/>
        </w:numPr>
        <w:snapToGrid w:val="0"/>
        <w:ind w:left="0" w:firstLine="0" w:firstLineChars="0"/>
        <w:rPr>
          <w:rFonts w:hint="eastAsia"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w:t>
      </w:r>
      <w:r>
        <w:rPr>
          <w:rFonts w:hint="eastAsia" w:ascii="Times New Roman" w:hAnsi="Times New Roman"/>
          <w:szCs w:val="21"/>
          <w:highlight w:val="none"/>
          <w:u w:val="single"/>
        </w:rPr>
        <w:t>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739952B2">
      <w:pPr>
        <w:pStyle w:val="29"/>
        <w:numPr>
          <w:ilvl w:val="0"/>
          <w:numId w:val="10"/>
        </w:numPr>
        <w:snapToGrid w:val="0"/>
        <w:ind w:firstLineChars="0"/>
        <w:rPr>
          <w:rFonts w:ascii="Times New Roman" w:hAnsi="Times New Roman"/>
          <w:b/>
          <w:bCs/>
          <w:szCs w:val="21"/>
          <w:highlight w:val="none"/>
        </w:rPr>
      </w:pPr>
      <w:r>
        <w:rPr>
          <w:rFonts w:ascii="Times New Roman" w:hAnsi="Times New Roman"/>
          <w:b/>
          <w:bCs/>
          <w:szCs w:val="21"/>
          <w:highlight w:val="none"/>
        </w:rPr>
        <w:t>主体资格及知识产权</w:t>
      </w:r>
    </w:p>
    <w:p w14:paraId="2D91061F">
      <w:pPr>
        <w:pStyle w:val="29"/>
        <w:numPr>
          <w:ilvl w:val="0"/>
          <w:numId w:val="17"/>
        </w:numPr>
        <w:snapToGrid w:val="0"/>
        <w:ind w:left="0" w:firstLine="0" w:firstLineChars="0"/>
        <w:rPr>
          <w:rFonts w:ascii="Times New Roman" w:hAnsi="Times New Roman"/>
          <w:szCs w:val="21"/>
          <w:highlight w:val="none"/>
        </w:rPr>
      </w:pPr>
      <w:r>
        <w:rPr>
          <w:rFonts w:ascii="Times New Roman" w:hAnsi="Times New Roman"/>
          <w:szCs w:val="21"/>
          <w:highlight w:val="none"/>
        </w:rPr>
        <w:t>主体资格：</w:t>
      </w:r>
    </w:p>
    <w:p w14:paraId="4471A75F">
      <w:pPr>
        <w:snapToGrid w:val="0"/>
        <w:ind w:firstLine="420" w:firstLineChars="200"/>
        <w:rPr>
          <w:rFonts w:ascii="Times New Roman" w:hAnsi="Times New Roman"/>
          <w:szCs w:val="21"/>
          <w:highlight w:val="none"/>
        </w:rPr>
      </w:pPr>
      <w:r>
        <w:rPr>
          <w:rFonts w:ascii="Times New Roman" w:hAnsi="Times New Roman"/>
          <w:szCs w:val="21"/>
          <w:highlight w:val="none"/>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05AE1B65">
      <w:pPr>
        <w:pStyle w:val="29"/>
        <w:numPr>
          <w:ilvl w:val="0"/>
          <w:numId w:val="17"/>
        </w:numPr>
        <w:snapToGrid w:val="0"/>
        <w:ind w:left="0" w:firstLine="0" w:firstLineChars="0"/>
        <w:rPr>
          <w:rFonts w:ascii="Times New Roman" w:hAnsi="Times New Roman"/>
          <w:szCs w:val="21"/>
          <w:highlight w:val="none"/>
        </w:rPr>
      </w:pPr>
      <w:r>
        <w:rPr>
          <w:rFonts w:ascii="Times New Roman" w:hAnsi="Times New Roman"/>
          <w:szCs w:val="21"/>
          <w:highlight w:val="none"/>
        </w:rPr>
        <w:t>知识产权：</w:t>
      </w:r>
    </w:p>
    <w:p w14:paraId="7C52271C">
      <w:pPr>
        <w:pStyle w:val="29"/>
        <w:numPr>
          <w:ilvl w:val="0"/>
          <w:numId w:val="18"/>
        </w:numPr>
        <w:snapToGrid w:val="0"/>
        <w:ind w:firstLineChars="0"/>
        <w:rPr>
          <w:rFonts w:ascii="Times New Roman" w:hAnsi="Times New Roman"/>
          <w:szCs w:val="21"/>
          <w:highlight w:val="none"/>
        </w:rPr>
      </w:pPr>
      <w:r>
        <w:rPr>
          <w:rFonts w:ascii="Times New Roman" w:hAnsi="Times New Roman"/>
          <w:szCs w:val="21"/>
          <w:highlight w:val="none"/>
        </w:rPr>
        <w:t>乙方必须保证，甲方在中华人民共和国境内使用货物或者货物的某一部分时，如有第三方向甲方提出侵犯其专利权、商标权或其他知识产权的主张，由此造成的一切责任由乙方承担。</w:t>
      </w:r>
    </w:p>
    <w:p w14:paraId="4DC34A4B">
      <w:pPr>
        <w:pStyle w:val="29"/>
        <w:numPr>
          <w:ilvl w:val="0"/>
          <w:numId w:val="18"/>
        </w:numPr>
        <w:snapToGrid w:val="0"/>
        <w:ind w:firstLineChars="0"/>
        <w:rPr>
          <w:rFonts w:ascii="Times New Roman" w:hAnsi="Times New Roman"/>
          <w:szCs w:val="21"/>
          <w:highlight w:val="none"/>
        </w:rPr>
      </w:pPr>
      <w:r>
        <w:rPr>
          <w:rFonts w:ascii="Times New Roman" w:hAnsi="Times New Roman"/>
          <w:szCs w:val="21"/>
          <w:highlight w:val="none"/>
        </w:rPr>
        <w:t>本合同费用包含向所有权人支付的专利权、商标权或其他知识产权的有关费用及税费。</w:t>
      </w:r>
    </w:p>
    <w:p w14:paraId="69D74724">
      <w:pPr>
        <w:pStyle w:val="29"/>
        <w:numPr>
          <w:ilvl w:val="0"/>
          <w:numId w:val="18"/>
        </w:numPr>
        <w:snapToGrid w:val="0"/>
        <w:ind w:firstLineChars="0"/>
        <w:rPr>
          <w:rFonts w:ascii="Times New Roman" w:hAnsi="Times New Roman"/>
          <w:szCs w:val="21"/>
          <w:highlight w:val="none"/>
        </w:rPr>
      </w:pPr>
      <w:r>
        <w:rPr>
          <w:rFonts w:ascii="Times New Roman" w:hAnsi="Times New Roman"/>
          <w:szCs w:val="21"/>
          <w:highlight w:val="none"/>
        </w:rPr>
        <w:t>乙方承诺</w:t>
      </w:r>
      <w:r>
        <w:rPr>
          <w:rFonts w:hint="eastAsia" w:ascii="Times New Roman" w:hAnsi="Times New Roman"/>
          <w:szCs w:val="21"/>
          <w:highlight w:val="none"/>
        </w:rPr>
        <w:t>向甲方提供的</w:t>
      </w:r>
      <w:r>
        <w:rPr>
          <w:rFonts w:ascii="Times New Roman" w:hAnsi="Times New Roman"/>
          <w:szCs w:val="21"/>
          <w:highlight w:val="none"/>
        </w:rPr>
        <w:t>货物上安装的软件已获得软件厂商的正规授权。</w:t>
      </w:r>
    </w:p>
    <w:p w14:paraId="4FB4EEAC">
      <w:pPr>
        <w:pStyle w:val="29"/>
        <w:numPr>
          <w:ilvl w:val="0"/>
          <w:numId w:val="18"/>
        </w:numPr>
        <w:snapToGrid w:val="0"/>
        <w:ind w:firstLineChars="0"/>
        <w:rPr>
          <w:rFonts w:ascii="Times New Roman" w:hAnsi="Times New Roman"/>
          <w:szCs w:val="21"/>
          <w:highlight w:val="none"/>
        </w:rPr>
      </w:pPr>
      <w:r>
        <w:rPr>
          <w:rFonts w:hint="eastAsia" w:ascii="Times New Roman" w:hAnsi="Times New Roman"/>
          <w:szCs w:val="21"/>
          <w:highlight w:val="none"/>
        </w:rPr>
        <w:t>甲、乙双方共同研发的该系统软件产品，知识产权归甲、乙双方共同拥有，软件所有数据归甲方所有</w:t>
      </w:r>
    </w:p>
    <w:p w14:paraId="490C70EF">
      <w:pPr>
        <w:pStyle w:val="29"/>
        <w:numPr>
          <w:ilvl w:val="0"/>
          <w:numId w:val="18"/>
        </w:numPr>
        <w:snapToGrid w:val="0"/>
        <w:ind w:firstLineChars="0"/>
        <w:rPr>
          <w:rFonts w:ascii="Times New Roman" w:hAnsi="Times New Roman"/>
          <w:szCs w:val="21"/>
          <w:highlight w:val="none"/>
        </w:rPr>
      </w:pPr>
      <w:r>
        <w:rPr>
          <w:rFonts w:hint="eastAsia" w:ascii="Times New Roman" w:hAnsi="Times New Roman"/>
          <w:szCs w:val="21"/>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61489803">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3EAC5066">
      <w:pPr>
        <w:pStyle w:val="29"/>
        <w:numPr>
          <w:ilvl w:val="0"/>
          <w:numId w:val="19"/>
        </w:numPr>
        <w:snapToGrid w:val="0"/>
        <w:ind w:firstLineChars="0"/>
        <w:rPr>
          <w:rFonts w:ascii="Times New Roman" w:hAnsi="Times New Roman"/>
          <w:szCs w:val="21"/>
          <w:highlight w:val="none"/>
        </w:rPr>
      </w:pPr>
      <w:r>
        <w:rPr>
          <w:rFonts w:hint="eastAsia" w:ascii="Times New Roman" w:hAnsi="Times New Roman"/>
          <w:szCs w:val="21"/>
          <w:highlight w:val="none"/>
        </w:rPr>
        <w:t>履约保证金：</w:t>
      </w:r>
    </w:p>
    <w:p w14:paraId="4A71FB58">
      <w:pPr>
        <w:pStyle w:val="16"/>
        <w:snapToGrid w:val="0"/>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w:t>
      </w:r>
      <w:r>
        <w:rPr>
          <w:rFonts w:ascii="Times New Roman" w:hAnsi="Times New Roman"/>
          <w:color w:val="000000"/>
          <w:szCs w:val="21"/>
          <w:highlight w:val="none"/>
        </w:rPr>
        <w:t>货物自验收合格之日满1年，甲方接到乙方付款申请后30个工作日内，甲方一次性无息退还乙方的履约保证金</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1C5135A5">
      <w:pPr>
        <w:pStyle w:val="16"/>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0CDACBDA">
      <w:pPr>
        <w:pStyle w:val="29"/>
        <w:numPr>
          <w:ilvl w:val="0"/>
          <w:numId w:val="19"/>
        </w:numPr>
        <w:snapToGrid w:val="0"/>
        <w:ind w:firstLineChars="0"/>
        <w:rPr>
          <w:rFonts w:ascii="Times New Roman" w:hAnsi="Times New Roman"/>
          <w:szCs w:val="21"/>
          <w:highlight w:val="none"/>
        </w:rPr>
      </w:pPr>
      <w:r>
        <w:rPr>
          <w:rFonts w:hint="eastAsia" w:ascii="Times New Roman" w:hAnsi="Times New Roman"/>
          <w:szCs w:val="21"/>
          <w:highlight w:val="none"/>
        </w:rPr>
        <w:t>本合同价款采用以下方式支付，以人民币结算：</w:t>
      </w:r>
    </w:p>
    <w:p w14:paraId="73E8708E">
      <w:pPr>
        <w:pStyle w:val="16"/>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w:t>
      </w:r>
    </w:p>
    <w:p w14:paraId="662024A4">
      <w:pPr>
        <w:pStyle w:val="16"/>
        <w:snapToGrid w:val="0"/>
        <w:spacing w:after="0"/>
        <w:ind w:left="840" w:leftChars="400" w:firstLineChars="200"/>
        <w:contextualSpacing/>
        <w:rPr>
          <w:rFonts w:ascii="Times New Roman" w:hAnsi="Times New Roman"/>
          <w:color w:val="000000"/>
          <w:szCs w:val="21"/>
          <w:highlight w:val="none"/>
        </w:rPr>
      </w:pPr>
      <w:r>
        <w:rPr>
          <w:rFonts w:hint="eastAsia" w:ascii="Times New Roman" w:hAnsi="Times New Roman"/>
          <w:color w:val="000000"/>
          <w:szCs w:val="21"/>
          <w:highlight w:val="none"/>
        </w:rPr>
        <w:t>甲方验收合格后</w:t>
      </w:r>
      <w:r>
        <w:rPr>
          <w:rFonts w:ascii="Times New Roman" w:hAnsi="Times New Roman"/>
          <w:color w:val="000000"/>
          <w:szCs w:val="21"/>
          <w:highlight w:val="none"/>
        </w:rPr>
        <w:t>5</w:t>
      </w:r>
      <w:r>
        <w:rPr>
          <w:rFonts w:hint="eastAsia" w:ascii="Times New Roman" w:hAnsi="Times New Roman"/>
          <w:color w:val="000000"/>
          <w:szCs w:val="21"/>
          <w:highlight w:val="none"/>
        </w:rPr>
        <w:t>日内，乙方须向甲方出具</w:t>
      </w:r>
      <w:r>
        <w:rPr>
          <w:highlight w:val="none"/>
          <w:lang w:bidi="ar"/>
        </w:rPr>
        <w:t>合法有效票据及其它相关请款资料</w:t>
      </w:r>
      <w:r>
        <w:rPr>
          <w:rFonts w:hint="eastAsia" w:ascii="Times New Roman" w:hAnsi="Times New Roman"/>
          <w:color w:val="000000"/>
          <w:szCs w:val="21"/>
          <w:highlight w:val="none"/>
        </w:rPr>
        <w:t>，甲方自收到上述发票及凭证资料后</w:t>
      </w:r>
      <w:r>
        <w:rPr>
          <w:rFonts w:ascii="Times New Roman" w:hAnsi="Times New Roman"/>
          <w:color w:val="000000"/>
          <w:szCs w:val="21"/>
          <w:highlight w:val="none"/>
        </w:rPr>
        <w:t>55</w:t>
      </w:r>
      <w:r>
        <w:rPr>
          <w:rFonts w:hint="eastAsia" w:ascii="Times New Roman" w:hAnsi="Times New Roman"/>
          <w:color w:val="000000"/>
          <w:szCs w:val="21"/>
          <w:highlight w:val="none"/>
        </w:rPr>
        <w:t>日内支付合同总价</w:t>
      </w:r>
      <w:r>
        <w:rPr>
          <w:rFonts w:ascii="Times New Roman" w:hAnsi="Times New Roman"/>
          <w:color w:val="000000"/>
          <w:szCs w:val="21"/>
          <w:highlight w:val="none"/>
        </w:rPr>
        <w:t>100%</w:t>
      </w:r>
      <w:r>
        <w:rPr>
          <w:rFonts w:hint="eastAsia" w:ascii="Times New Roman" w:hAnsi="Times New Roman"/>
          <w:color w:val="000000"/>
          <w:szCs w:val="21"/>
          <w:highlight w:val="none"/>
        </w:rPr>
        <w:t>的货款给乙方。</w:t>
      </w:r>
    </w:p>
    <w:p w14:paraId="02BC0CA6">
      <w:pPr>
        <w:pStyle w:val="16"/>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分阶段支付，支付期限及额度如下：</w:t>
      </w:r>
    </w:p>
    <w:p w14:paraId="75D51EB5">
      <w:pPr>
        <w:pStyle w:val="16"/>
        <w:snapToGrid w:val="0"/>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（1）预付款：本合同生效后</w:t>
      </w:r>
      <w:r>
        <w:rPr>
          <w:rFonts w:ascii="Times New Roman" w:hAnsi="Times New Roman"/>
          <w:color w:val="000000"/>
          <w:szCs w:val="21"/>
          <w:highlight w:val="none"/>
        </w:rPr>
        <w:t>***</w:t>
      </w:r>
      <w:r>
        <w:rPr>
          <w:rFonts w:hint="eastAsia" w:ascii="Times New Roman" w:hAnsi="Times New Roman"/>
          <w:color w:val="000000"/>
          <w:szCs w:val="21"/>
          <w:highlight w:val="none"/>
        </w:rPr>
        <w:t>个工作日内，甲方预付项目费用总额的*</w:t>
      </w:r>
      <w:r>
        <w:rPr>
          <w:rFonts w:ascii="Times New Roman" w:hAnsi="Times New Roman"/>
          <w:color w:val="000000"/>
          <w:szCs w:val="21"/>
          <w:highlight w:val="none"/>
        </w:rPr>
        <w:t>**%</w:t>
      </w:r>
      <w:r>
        <w:rPr>
          <w:rFonts w:hint="eastAsia" w:ascii="Times New Roman" w:hAnsi="Times New Roman"/>
          <w:color w:val="000000"/>
          <w:szCs w:val="21"/>
          <w:highlight w:val="none"/>
        </w:rPr>
        <w:t xml:space="preserve">，即人民币（大写）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圆整（RMB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元）。</w:t>
      </w:r>
    </w:p>
    <w:p w14:paraId="0FB33279">
      <w:pPr>
        <w:pStyle w:val="16"/>
        <w:snapToGrid w:val="0"/>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（2）进度款，甲方应当按照下列方式支付进度款：</w:t>
      </w:r>
    </w:p>
    <w:p w14:paraId="7D212A98">
      <w:pPr>
        <w:pStyle w:val="16"/>
        <w:snapToGrid w:val="0"/>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乙方按照本合同约定完成阶段性工作后，甲方应于每一阶段性工作成果验收合格之日起</w:t>
      </w:r>
      <w:r>
        <w:rPr>
          <w:rFonts w:ascii="Times New Roman" w:hAnsi="Times New Roman"/>
          <w:color w:val="000000"/>
          <w:szCs w:val="21"/>
          <w:highlight w:val="none"/>
        </w:rPr>
        <w:t>***</w:t>
      </w:r>
      <w:r>
        <w:rPr>
          <w:rFonts w:hint="eastAsia" w:ascii="Times New Roman" w:hAnsi="Times New Roman"/>
          <w:color w:val="000000"/>
          <w:szCs w:val="21"/>
          <w:highlight w:val="none"/>
        </w:rPr>
        <w:t>个工作日内，向乙方支付相应的费用。</w:t>
      </w:r>
    </w:p>
    <w:p w14:paraId="56DBDB57">
      <w:pPr>
        <w:pStyle w:val="16"/>
        <w:snapToGrid w:val="0"/>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乙方完成</w:t>
      </w:r>
      <w:r>
        <w:rPr>
          <w:rFonts w:ascii="Times New Roman" w:hAnsi="Times New Roman"/>
          <w:color w:val="000000"/>
          <w:szCs w:val="21"/>
          <w:highlight w:val="none"/>
        </w:rPr>
        <w:t>***</w:t>
      </w:r>
      <w:r>
        <w:rPr>
          <w:rFonts w:hint="eastAsia" w:ascii="Times New Roman" w:hAnsi="Times New Roman"/>
          <w:color w:val="000000"/>
          <w:szCs w:val="21"/>
          <w:highlight w:val="none"/>
        </w:rPr>
        <w:t>，甲方支付项目费用总额的</w:t>
      </w:r>
      <w:r>
        <w:rPr>
          <w:rFonts w:ascii="Times New Roman" w:hAnsi="Times New Roman"/>
          <w:color w:val="000000"/>
          <w:szCs w:val="21"/>
          <w:highlight w:val="none"/>
        </w:rPr>
        <w:t>***%</w:t>
      </w:r>
      <w:r>
        <w:rPr>
          <w:rFonts w:hint="eastAsia" w:ascii="Times New Roman" w:hAnsi="Times New Roman"/>
          <w:color w:val="000000"/>
          <w:szCs w:val="21"/>
          <w:highlight w:val="none"/>
        </w:rPr>
        <w:t>，即 人民币（大写）</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圆整（RMB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元）。</w:t>
      </w:r>
    </w:p>
    <w:p w14:paraId="72545954">
      <w:pPr>
        <w:pStyle w:val="16"/>
        <w:snapToGrid w:val="0"/>
        <w:spacing w:after="0"/>
        <w:ind w:left="945" w:leftChars="400" w:hanging="105" w:hangingChars="5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（3）结算款：本项目竣工验收合格后</w:t>
      </w:r>
      <w:r>
        <w:rPr>
          <w:rFonts w:ascii="Times New Roman" w:hAnsi="Times New Roman"/>
          <w:color w:val="000000"/>
          <w:szCs w:val="21"/>
          <w:highlight w:val="none"/>
        </w:rPr>
        <w:t>***</w:t>
      </w:r>
      <w:r>
        <w:rPr>
          <w:rFonts w:hint="eastAsia" w:ascii="Times New Roman" w:hAnsi="Times New Roman"/>
          <w:color w:val="000000"/>
          <w:szCs w:val="21"/>
          <w:highlight w:val="none"/>
        </w:rPr>
        <w:t>个工作日内，甲方向乙方支付剩余价款人民币（大写）</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圆整（RMB</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 元）。</w:t>
      </w:r>
    </w:p>
    <w:p w14:paraId="28B891F6">
      <w:pPr>
        <w:pStyle w:val="29"/>
        <w:numPr>
          <w:ilvl w:val="0"/>
          <w:numId w:val="19"/>
        </w:numPr>
        <w:snapToGrid w:val="0"/>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甲方付款前，乙方需出具</w:t>
      </w:r>
      <w:r>
        <w:rPr>
          <w:highlight w:val="none"/>
          <w:lang w:bidi="ar"/>
        </w:rPr>
        <w:t>合法有效票据及其它相关请款资料</w:t>
      </w:r>
      <w:r>
        <w:rPr>
          <w:rFonts w:hint="eastAsia" w:ascii="Times New Roman" w:hAnsi="Times New Roman"/>
          <w:szCs w:val="21"/>
          <w:highlight w:val="none"/>
        </w:rPr>
        <w:t>，否则甲方有权拒绝支付且不承担任何违约责任，且乙方不得因此停止履约。</w:t>
      </w:r>
    </w:p>
    <w:p w14:paraId="4DA03E40">
      <w:pPr>
        <w:pStyle w:val="29"/>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中的货物</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货物</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16BDFDDC">
      <w:pPr>
        <w:pStyle w:val="29"/>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4334B513">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424C7940">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乙方应对甲方工作人员进行培训：***</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highlight w:val="none"/>
        </w:rPr>
        <w:t>。</w:t>
      </w:r>
      <w:r>
        <w:rPr>
          <w:rFonts w:ascii="Times New Roman" w:hAnsi="Times New Roman"/>
          <w:szCs w:val="21"/>
          <w:highlight w:val="none"/>
        </w:rPr>
        <w:t>货物</w:t>
      </w:r>
      <w:r>
        <w:rPr>
          <w:rFonts w:hint="eastAsia" w:ascii="Times New Roman" w:hAnsi="Times New Roman"/>
          <w:szCs w:val="21"/>
          <w:highlight w:val="none"/>
        </w:rPr>
        <w:t>如需</w:t>
      </w:r>
      <w:r>
        <w:rPr>
          <w:rFonts w:ascii="Times New Roman" w:hAnsi="Times New Roman"/>
          <w:szCs w:val="21"/>
          <w:highlight w:val="none"/>
        </w:rPr>
        <w:t>安装调试</w:t>
      </w:r>
      <w:r>
        <w:rPr>
          <w:rFonts w:hint="eastAsia" w:ascii="Times New Roman" w:hAnsi="Times New Roman"/>
          <w:szCs w:val="21"/>
          <w:highlight w:val="none"/>
        </w:rPr>
        <w:t>，</w:t>
      </w:r>
      <w:r>
        <w:rPr>
          <w:rFonts w:ascii="Times New Roman" w:hAnsi="Times New Roman"/>
          <w:szCs w:val="21"/>
          <w:highlight w:val="none"/>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highlight w:val="none"/>
        </w:rPr>
        <w:t>方法</w:t>
      </w:r>
      <w:r>
        <w:rPr>
          <w:rFonts w:ascii="Times New Roman" w:hAnsi="Times New Roman"/>
          <w:szCs w:val="21"/>
          <w:highlight w:val="none"/>
        </w:rPr>
        <w:t>，保证正常运行并能排除一般</w:t>
      </w:r>
      <w:r>
        <w:rPr>
          <w:rFonts w:hint="eastAsia" w:ascii="Times New Roman" w:hAnsi="Times New Roman"/>
          <w:szCs w:val="21"/>
          <w:highlight w:val="none"/>
        </w:rPr>
        <w:t>性</w:t>
      </w:r>
      <w:r>
        <w:rPr>
          <w:rFonts w:ascii="Times New Roman" w:hAnsi="Times New Roman"/>
          <w:szCs w:val="21"/>
          <w:highlight w:val="none"/>
        </w:rPr>
        <w:t>故障。乙方应对</w:t>
      </w:r>
      <w:r>
        <w:rPr>
          <w:rFonts w:hint="eastAsia" w:ascii="Times New Roman" w:hAnsi="Times New Roman"/>
          <w:szCs w:val="21"/>
          <w:highlight w:val="none"/>
        </w:rPr>
        <w:t>甲方</w:t>
      </w:r>
      <w:r>
        <w:rPr>
          <w:rFonts w:ascii="Times New Roman" w:hAnsi="Times New Roman"/>
          <w:szCs w:val="21"/>
          <w:highlight w:val="none"/>
        </w:rPr>
        <w:t>维修工程师进行全系统维修培训。</w:t>
      </w:r>
    </w:p>
    <w:p w14:paraId="40C5B33D">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质保期为验收合格后 *** 年（合同签订后甲方出具验收报告之日起）</w:t>
      </w:r>
    </w:p>
    <w:p w14:paraId="7621E0B5">
      <w:pPr>
        <w:pStyle w:val="29"/>
        <w:numPr>
          <w:ilvl w:val="0"/>
          <w:numId w:val="20"/>
        </w:numPr>
        <w:snapToGrid w:val="0"/>
        <w:ind w:firstLineChars="0"/>
        <w:contextualSpacing/>
        <w:rPr>
          <w:rFonts w:ascii="Times New Roman" w:hAnsi="Times New Roman"/>
          <w:szCs w:val="21"/>
          <w:highlight w:val="none"/>
        </w:rPr>
      </w:pPr>
      <w:r>
        <w:rPr>
          <w:rFonts w:ascii="Times New Roman" w:hAnsi="Times New Roman"/>
          <w:szCs w:val="21"/>
          <w:highlight w:val="none"/>
        </w:rPr>
        <w:t>质保范围：</w:t>
      </w:r>
      <w:r>
        <w:rPr>
          <w:rFonts w:ascii="Times New Roman" w:hAnsi="Times New Roman"/>
          <w:highlight w:val="none"/>
        </w:rPr>
        <w:t>整机含所有部件（质保期内涉及维修,产品更换,人工费用等一切费用包含在本合同总价中</w:t>
      </w:r>
      <w:r>
        <w:rPr>
          <w:rFonts w:hint="eastAsia" w:ascii="Times New Roman" w:hAnsi="Times New Roman"/>
          <w:highlight w:val="none"/>
        </w:rPr>
        <w:t>）</w:t>
      </w:r>
      <w:r>
        <w:rPr>
          <w:rFonts w:ascii="Times New Roman" w:hAnsi="Times New Roman"/>
          <w:highlight w:val="none"/>
        </w:rPr>
        <w:t>。</w:t>
      </w:r>
      <w:r>
        <w:rPr>
          <w:rFonts w:ascii="Times New Roman" w:hAnsi="Times New Roman"/>
          <w:szCs w:val="21"/>
          <w:highlight w:val="none"/>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highlight w:val="none"/>
        </w:rPr>
        <w:t>货物</w:t>
      </w:r>
      <w:r>
        <w:rPr>
          <w:rFonts w:eastAsia="Songti SC"/>
          <w:highlight w:val="none"/>
        </w:rPr>
        <w:t>在质保期内因同一故障</w:t>
      </w:r>
      <w:r>
        <w:rPr>
          <w:rFonts w:ascii="Times New Roman" w:hAnsi="Times New Roman"/>
          <w:szCs w:val="21"/>
          <w:highlight w:val="none"/>
        </w:rPr>
        <w:t>经乙方两次维修仍不能达到本合同约定的</w:t>
      </w:r>
      <w:r>
        <w:rPr>
          <w:rFonts w:hint="eastAsia" w:ascii="Times New Roman" w:hAnsi="Times New Roman"/>
          <w:highlight w:val="none"/>
        </w:rPr>
        <w:t>技术要求及国家法律法规规定的</w:t>
      </w:r>
      <w:r>
        <w:rPr>
          <w:rFonts w:ascii="Times New Roman" w:hAnsi="Times New Roman"/>
          <w:szCs w:val="21"/>
          <w:highlight w:val="none"/>
        </w:rPr>
        <w:t>质量标准，甲方有权采取要求乙方更换全新货物</w:t>
      </w:r>
      <w:r>
        <w:rPr>
          <w:rFonts w:hint="eastAsia" w:ascii="Times New Roman" w:hAnsi="Times New Roman"/>
          <w:szCs w:val="21"/>
          <w:highlight w:val="none"/>
        </w:rPr>
        <w:t>或</w:t>
      </w:r>
      <w:r>
        <w:rPr>
          <w:rFonts w:ascii="Times New Roman" w:hAnsi="Times New Roman"/>
          <w:szCs w:val="21"/>
          <w:highlight w:val="none"/>
        </w:rPr>
        <w:t>退货并追究乙方违约责任等措施。质保期内，如需更换零配件，乙方应保证所更换的零配件与原货物相同规格和品质，费用包括在合同总价中。</w:t>
      </w:r>
    </w:p>
    <w:p w14:paraId="0E615C23">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乙方须指派专人负责与甲方联系售后服务事宜</w:t>
      </w:r>
      <w:r>
        <w:rPr>
          <w:rFonts w:hint="eastAsia" w:ascii="Times New Roman" w:hAnsi="Times New Roman"/>
          <w:szCs w:val="21"/>
          <w:highlight w:val="none"/>
        </w:rPr>
        <w:t>，</w:t>
      </w:r>
      <w:r>
        <w:rPr>
          <w:rFonts w:ascii="Times New Roman" w:hAnsi="Times New Roman"/>
          <w:szCs w:val="21"/>
          <w:highlight w:val="none"/>
        </w:rPr>
        <w:t>联系人：***</w:t>
      </w:r>
      <w:r>
        <w:rPr>
          <w:rFonts w:hint="eastAsia" w:ascii="Times New Roman" w:hAnsi="Times New Roman"/>
          <w:szCs w:val="21"/>
          <w:highlight w:val="none"/>
        </w:rPr>
        <w:t>，</w:t>
      </w:r>
      <w:r>
        <w:rPr>
          <w:rFonts w:ascii="Times New Roman" w:hAnsi="Times New Roman"/>
          <w:szCs w:val="21"/>
          <w:highlight w:val="none"/>
        </w:rPr>
        <w:t>联系电话：</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szCs w:val="21"/>
          <w:highlight w:val="none"/>
        </w:rPr>
        <w:t>。</w:t>
      </w:r>
    </w:p>
    <w:p w14:paraId="1DED8BA0">
      <w:pPr>
        <w:pStyle w:val="29"/>
        <w:numPr>
          <w:ilvl w:val="0"/>
          <w:numId w:val="20"/>
        </w:numPr>
        <w:snapToGrid w:val="0"/>
        <w:ind w:firstLineChars="0"/>
        <w:rPr>
          <w:rFonts w:ascii="Times New Roman" w:hAnsi="Times New Roman"/>
          <w:szCs w:val="21"/>
          <w:highlight w:val="none"/>
        </w:rPr>
      </w:pPr>
      <w:r>
        <w:rPr>
          <w:rFonts w:eastAsia="Songti SC"/>
          <w:highlight w:val="none"/>
        </w:rPr>
        <w:t>质保期内，</w:t>
      </w:r>
      <w:r>
        <w:rPr>
          <w:rFonts w:hint="eastAsia" w:eastAsia="Songti SC"/>
          <w:highlight w:val="none"/>
        </w:rPr>
        <w:t>货物因自身故障导致的</w:t>
      </w:r>
      <w:r>
        <w:rPr>
          <w:rFonts w:eastAsia="Songti SC"/>
          <w:highlight w:val="none"/>
        </w:rPr>
        <w:t>停机率不应超过5%（一年按365天计算），否则</w:t>
      </w:r>
      <w:r>
        <w:rPr>
          <w:rFonts w:hint="eastAsia" w:eastAsia="Songti SC"/>
          <w:highlight w:val="none"/>
        </w:rPr>
        <w:t>乙方</w:t>
      </w:r>
      <w:r>
        <w:rPr>
          <w:rFonts w:eastAsia="Songti SC"/>
          <w:highlight w:val="none"/>
        </w:rPr>
        <w:t>应就超出部分（</w:t>
      </w:r>
      <w:r>
        <w:rPr>
          <w:rFonts w:hint="eastAsia" w:eastAsia="Songti SC"/>
          <w:highlight w:val="none"/>
        </w:rPr>
        <w:t>乙方</w:t>
      </w:r>
      <w:r>
        <w:rPr>
          <w:rFonts w:eastAsia="Songti SC"/>
          <w:highlight w:val="none"/>
        </w:rPr>
        <w:t>已提供备用机并保障</w:t>
      </w:r>
      <w:r>
        <w:rPr>
          <w:rFonts w:hint="eastAsia" w:eastAsia="Songti SC"/>
          <w:highlight w:val="none"/>
        </w:rPr>
        <w:t>甲方</w:t>
      </w:r>
      <w:r>
        <w:rPr>
          <w:rFonts w:eastAsia="Songti SC"/>
          <w:highlight w:val="none"/>
        </w:rPr>
        <w:t>正常使用的时间，不计算为停机时间）按天数向</w:t>
      </w:r>
      <w:r>
        <w:rPr>
          <w:rFonts w:hint="eastAsia" w:eastAsia="Songti SC"/>
          <w:highlight w:val="none"/>
        </w:rPr>
        <w:t>甲方</w:t>
      </w:r>
      <w:r>
        <w:rPr>
          <w:rFonts w:eastAsia="Songti SC"/>
          <w:highlight w:val="none"/>
        </w:rPr>
        <w:t>赔偿经济损失</w:t>
      </w:r>
      <w:r>
        <w:rPr>
          <w:rFonts w:ascii="Times New Roman" w:hAnsi="Times New Roman"/>
          <w:szCs w:val="21"/>
          <w:highlight w:val="none"/>
        </w:rPr>
        <w:t>。</w:t>
      </w:r>
    </w:p>
    <w:p w14:paraId="2EFB7AFD">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若货物涉及计算机软件系统的，乙方有义务为甲方此后对货物完全的使用（含维护）提供便利及支持，包括但不限于源代码、密码的提供，乙方不得拒绝或收取额外费用。</w:t>
      </w:r>
    </w:p>
    <w:p w14:paraId="7EF0EFDE">
      <w:pPr>
        <w:pStyle w:val="29"/>
        <w:numPr>
          <w:ilvl w:val="0"/>
          <w:numId w:val="20"/>
        </w:numPr>
        <w:snapToGrid w:val="0"/>
        <w:ind w:firstLineChars="0"/>
        <w:rPr>
          <w:rFonts w:ascii="Times New Roman" w:hAnsi="Times New Roman"/>
          <w:szCs w:val="21"/>
          <w:highlight w:val="none"/>
        </w:rPr>
      </w:pPr>
      <w:r>
        <w:rPr>
          <w:rFonts w:ascii="Times New Roman" w:hAnsi="Times New Roman"/>
          <w:highlight w:val="none"/>
        </w:rPr>
        <w:t>质保期内，如</w:t>
      </w:r>
      <w:r>
        <w:rPr>
          <w:rFonts w:hint="eastAsia" w:ascii="Times New Roman" w:hAnsi="Times New Roman"/>
          <w:highlight w:val="none"/>
        </w:rPr>
        <w:t>货物</w:t>
      </w:r>
      <w:r>
        <w:rPr>
          <w:rFonts w:ascii="Times New Roman" w:hAnsi="Times New Roman"/>
          <w:highlight w:val="none"/>
        </w:rPr>
        <w:t>因维修无法使用，</w:t>
      </w:r>
      <w:r>
        <w:rPr>
          <w:rFonts w:hint="eastAsia" w:ascii="Times New Roman" w:hAnsi="Times New Roman"/>
          <w:highlight w:val="none"/>
        </w:rPr>
        <w:t>乙方</w:t>
      </w:r>
      <w:r>
        <w:rPr>
          <w:rFonts w:ascii="Times New Roman" w:hAnsi="Times New Roman"/>
          <w:highlight w:val="none"/>
        </w:rPr>
        <w:t>应根据</w:t>
      </w:r>
      <w:r>
        <w:rPr>
          <w:rFonts w:hint="eastAsia" w:ascii="Times New Roman" w:hAnsi="Times New Roman"/>
          <w:highlight w:val="none"/>
        </w:rPr>
        <w:t>甲方</w:t>
      </w:r>
      <w:r>
        <w:rPr>
          <w:rFonts w:ascii="Times New Roman" w:hAnsi="Times New Roman"/>
          <w:highlight w:val="none"/>
        </w:rPr>
        <w:t>需要向</w:t>
      </w:r>
      <w:r>
        <w:rPr>
          <w:rFonts w:hint="eastAsia" w:ascii="Times New Roman" w:hAnsi="Times New Roman"/>
          <w:highlight w:val="none"/>
        </w:rPr>
        <w:t>甲方</w:t>
      </w:r>
      <w:r>
        <w:rPr>
          <w:rFonts w:ascii="Times New Roman" w:hAnsi="Times New Roman"/>
          <w:highlight w:val="none"/>
        </w:rPr>
        <w:t>提供</w:t>
      </w:r>
      <w:r>
        <w:rPr>
          <w:rFonts w:ascii="Times New Roman" w:hAnsi="Times New Roman"/>
          <w:szCs w:val="21"/>
          <w:highlight w:val="none"/>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4A01DDCE">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售后服务涉及费用均包含在合同总价中。</w:t>
      </w:r>
    </w:p>
    <w:p w14:paraId="34A42BB8">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质保期外，若出现停机或不能使用等故障，乙方</w:t>
      </w:r>
      <w:r>
        <w:rPr>
          <w:rFonts w:hint="eastAsia" w:ascii="Times New Roman" w:hAnsi="Times New Roman"/>
          <w:szCs w:val="21"/>
          <w:highlight w:val="none"/>
        </w:rPr>
        <w:t>应</w:t>
      </w:r>
      <w:r>
        <w:rPr>
          <w:rFonts w:ascii="Times New Roman" w:hAnsi="Times New Roman"/>
          <w:szCs w:val="21"/>
          <w:highlight w:val="none"/>
        </w:rPr>
        <w:t>按维修响应要求</w:t>
      </w:r>
      <w:r>
        <w:rPr>
          <w:rFonts w:hint="eastAsia" w:ascii="Times New Roman" w:hAnsi="Times New Roman"/>
          <w:szCs w:val="21"/>
          <w:highlight w:val="none"/>
        </w:rPr>
        <w:t>提供相应的技术支持提供，</w:t>
      </w:r>
      <w:r>
        <w:rPr>
          <w:rFonts w:ascii="Times New Roman" w:hAnsi="Times New Roman"/>
          <w:szCs w:val="21"/>
          <w:highlight w:val="none"/>
        </w:rPr>
        <w:t>如乙方未能按上述约定及时履行维修义务，甲方有权按实际经济损失要求赔偿并追究相应的法律责任。</w:t>
      </w:r>
    </w:p>
    <w:p w14:paraId="1BA8C7D8">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因乙方原因不能够达到上述货物质保及售后服务的约定，按甲方实际</w:t>
      </w:r>
      <w:r>
        <w:rPr>
          <w:rFonts w:hint="eastAsia" w:ascii="Times New Roman" w:hAnsi="Times New Roman"/>
          <w:szCs w:val="21"/>
          <w:highlight w:val="none"/>
        </w:rPr>
        <w:t>无法使用货物的</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的</w:t>
      </w:r>
      <w:r>
        <w:rPr>
          <w:rFonts w:hint="eastAsia" w:ascii="Times New Roman" w:hAnsi="Times New Roman"/>
          <w:szCs w:val="21"/>
          <w:highlight w:val="none"/>
        </w:rPr>
        <w:t>退还</w:t>
      </w:r>
      <w:r>
        <w:rPr>
          <w:rFonts w:ascii="Times New Roman" w:hAnsi="Times New Roman"/>
          <w:szCs w:val="21"/>
          <w:highlight w:val="none"/>
        </w:rPr>
        <w:t>时间，并追究乙方因此引发的相应的法律责任。</w:t>
      </w:r>
    </w:p>
    <w:p w14:paraId="727B4422">
      <w:pPr>
        <w:pStyle w:val="29"/>
        <w:numPr>
          <w:ilvl w:val="0"/>
          <w:numId w:val="10"/>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2DF19F08">
      <w:pPr>
        <w:pStyle w:val="29"/>
        <w:numPr>
          <w:ilvl w:val="0"/>
          <w:numId w:val="21"/>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1D413809">
      <w:pPr>
        <w:pStyle w:val="29"/>
        <w:numPr>
          <w:ilvl w:val="0"/>
          <w:numId w:val="22"/>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甲方有权获得乙方所提供的货物及相关服务。</w:t>
      </w:r>
    </w:p>
    <w:p w14:paraId="1335130F">
      <w:pPr>
        <w:pStyle w:val="29"/>
        <w:numPr>
          <w:ilvl w:val="0"/>
          <w:numId w:val="22"/>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甲方有权及时了解和监督乙方备货的进展情况。</w:t>
      </w:r>
    </w:p>
    <w:p w14:paraId="403FB7B1">
      <w:pPr>
        <w:pStyle w:val="29"/>
        <w:numPr>
          <w:ilvl w:val="0"/>
          <w:numId w:val="22"/>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甲方应向乙方提供完成货物安装、调试等所必需的资料和工作条件。</w:t>
      </w:r>
    </w:p>
    <w:p w14:paraId="0B95CAC1">
      <w:pPr>
        <w:pStyle w:val="29"/>
        <w:numPr>
          <w:ilvl w:val="0"/>
          <w:numId w:val="22"/>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081E04AD">
      <w:pPr>
        <w:pStyle w:val="29"/>
        <w:numPr>
          <w:ilvl w:val="0"/>
          <w:numId w:val="21"/>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18354DCE">
      <w:pPr>
        <w:pStyle w:val="29"/>
        <w:numPr>
          <w:ilvl w:val="0"/>
          <w:numId w:val="2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58428624">
      <w:pPr>
        <w:pStyle w:val="29"/>
        <w:numPr>
          <w:ilvl w:val="0"/>
          <w:numId w:val="23"/>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乙方有权要求甲方提供货物安装、调试所必需的资料和工作条件。</w:t>
      </w:r>
    </w:p>
    <w:p w14:paraId="4AA10DF4">
      <w:pPr>
        <w:pStyle w:val="29"/>
        <w:numPr>
          <w:ilvl w:val="0"/>
          <w:numId w:val="2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乙方应派遣身体健康、有相关工作经验和相应技能的技术人员到甲方现场并提供安装、调试、测试、试运行、维护及培训等技术服务，该技术服务费用包括在本合同总价内。</w:t>
      </w:r>
    </w:p>
    <w:p w14:paraId="07F24337">
      <w:pPr>
        <w:pStyle w:val="29"/>
        <w:numPr>
          <w:ilvl w:val="0"/>
          <w:numId w:val="2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278CF418">
      <w:pPr>
        <w:pStyle w:val="29"/>
        <w:numPr>
          <w:ilvl w:val="0"/>
          <w:numId w:val="2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667410EA">
      <w:pPr>
        <w:pStyle w:val="29"/>
        <w:numPr>
          <w:ilvl w:val="0"/>
          <w:numId w:val="2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乙方保证其所交付的货物不存在任何权利瑕疵，如任何第三方就乙方交付的货物向甲方提起侵权索赔，乙方应负责与第三方交涉，并承担由此引起的一切法律责任，相关费用由乙方承担。</w:t>
      </w:r>
    </w:p>
    <w:p w14:paraId="2ADB5659">
      <w:pPr>
        <w:pStyle w:val="29"/>
        <w:numPr>
          <w:ilvl w:val="0"/>
          <w:numId w:val="23"/>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111A33C5">
      <w:pPr>
        <w:pStyle w:val="29"/>
        <w:numPr>
          <w:ilvl w:val="0"/>
          <w:numId w:val="23"/>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乙方对依照本合同向甲方提供的货物在安装、调试、使用、维修、保养等过程中所获得的所有数据及甲方商业秘密或其它技术及经营信息均负有保密义务，不得向任何第三方透露或泄露。</w:t>
      </w:r>
    </w:p>
    <w:p w14:paraId="1F761CBA">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4F8B2CD7">
      <w:pPr>
        <w:pStyle w:val="29"/>
        <w:snapToGrid w:val="0"/>
        <w:ind w:firstLine="0" w:firstLineChars="0"/>
        <w:rPr>
          <w:rFonts w:ascii="Times New Roman" w:hAnsi="Times New Roman"/>
          <w:szCs w:val="21"/>
          <w:highlight w:val="none"/>
        </w:rPr>
      </w:pPr>
      <w:r>
        <w:rPr>
          <w:rFonts w:ascii="Times New Roman" w:hAnsi="Times New Roman"/>
          <w:szCs w:val="21"/>
          <w:highlight w:val="none"/>
        </w:rPr>
        <w:t>1.甲方违约责任：甲方无正当理由拒收货物的，甲方应偿付合同总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27690775">
      <w:pPr>
        <w:pStyle w:val="29"/>
        <w:snapToGrid w:val="0"/>
        <w:ind w:firstLine="0" w:firstLineChars="0"/>
        <w:rPr>
          <w:rFonts w:ascii="Times New Roman" w:hAnsi="Times New Roman"/>
          <w:szCs w:val="21"/>
          <w:highlight w:val="none"/>
        </w:rPr>
      </w:pPr>
      <w:r>
        <w:rPr>
          <w:rFonts w:ascii="Times New Roman" w:hAnsi="Times New Roman"/>
          <w:szCs w:val="21"/>
          <w:highlight w:val="none"/>
        </w:rPr>
        <w:t>2.乙方违约责任：</w:t>
      </w:r>
    </w:p>
    <w:p w14:paraId="4AA041FC">
      <w:pPr>
        <w:pStyle w:val="29"/>
        <w:numPr>
          <w:ilvl w:val="0"/>
          <w:numId w:val="24"/>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乙方拒绝交付货物，或交付的货物经两次验收仍不符合本合同约定的验收标准，甲方有权解除合同，乙方须向甲方支付合同总金额的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%作为违约金，并承担其它相应的经济损失，</w:t>
      </w:r>
    </w:p>
    <w:p w14:paraId="1717EFB9">
      <w:pPr>
        <w:pStyle w:val="29"/>
        <w:numPr>
          <w:ilvl w:val="0"/>
          <w:numId w:val="24"/>
        </w:numPr>
        <w:snapToGrid w:val="0"/>
        <w:ind w:left="525" w:hanging="525" w:hangingChars="250"/>
        <w:rPr>
          <w:rFonts w:ascii="Times New Roman" w:hAnsi="Times New Roman"/>
          <w:szCs w:val="21"/>
          <w:highlight w:val="none"/>
        </w:rPr>
      </w:pPr>
      <w:r>
        <w:rPr>
          <w:rFonts w:ascii="Times New Roman" w:hAnsi="Times New Roman"/>
          <w:szCs w:val="21"/>
          <w:highlight w:val="none"/>
        </w:rPr>
        <w:t>质保期内出现质量问题，</w:t>
      </w:r>
      <w:r>
        <w:rPr>
          <w:rFonts w:ascii="Times New Roman" w:hAnsi="Times New Roman"/>
          <w:highlight w:val="none"/>
        </w:rPr>
        <w:t>因同一故障经乙方两次维修</w:t>
      </w:r>
      <w:r>
        <w:rPr>
          <w:rFonts w:ascii="Times New Roman" w:hAnsi="Times New Roman"/>
          <w:szCs w:val="21"/>
          <w:highlight w:val="none"/>
        </w:rPr>
        <w:t>仍不能达到合同约定的</w:t>
      </w:r>
      <w:r>
        <w:rPr>
          <w:rFonts w:hint="eastAsia" w:ascii="Times New Roman" w:hAnsi="Times New Roman"/>
          <w:szCs w:val="21"/>
          <w:highlight w:val="none"/>
        </w:rPr>
        <w:t>功能</w:t>
      </w:r>
      <w:r>
        <w:rPr>
          <w:rFonts w:ascii="Times New Roman" w:hAnsi="Times New Roman"/>
          <w:szCs w:val="21"/>
          <w:highlight w:val="none"/>
        </w:rPr>
        <w:t>要求和技术指标，甲方有权解除合同并要求退货，乙方按照合同总</w:t>
      </w:r>
      <w:r>
        <w:rPr>
          <w:rFonts w:hint="eastAsia" w:ascii="Times New Roman" w:hAnsi="Times New Roman"/>
          <w:szCs w:val="21"/>
          <w:highlight w:val="none"/>
        </w:rPr>
        <w:t>金额</w:t>
      </w:r>
      <w:r>
        <w:rPr>
          <w:rFonts w:ascii="Times New Roman" w:hAnsi="Times New Roman"/>
          <w:szCs w:val="21"/>
          <w:highlight w:val="none"/>
        </w:rPr>
        <w:t>的</w:t>
      </w:r>
      <w:r>
        <w:rPr>
          <w:rFonts w:hint="eastAsia" w:ascii="Times New Roman" w:hAnsi="Times New Roman"/>
          <w:szCs w:val="21"/>
          <w:highlight w:val="none"/>
          <w:u w:val="single"/>
        </w:rPr>
        <w:t>10</w:t>
      </w:r>
      <w:r>
        <w:rPr>
          <w:rFonts w:ascii="Times New Roman" w:hAnsi="Times New Roman"/>
          <w:szCs w:val="21"/>
          <w:highlight w:val="none"/>
        </w:rPr>
        <w:t>%向甲方支付违约金。</w:t>
      </w:r>
    </w:p>
    <w:p w14:paraId="3F9AB93A">
      <w:pPr>
        <w:pStyle w:val="29"/>
        <w:numPr>
          <w:ilvl w:val="0"/>
          <w:numId w:val="24"/>
        </w:numPr>
        <w:snapToGrid w:val="0"/>
        <w:ind w:left="525" w:hanging="525" w:hangingChars="250"/>
        <w:rPr>
          <w:rFonts w:ascii="Times New Roman" w:hAnsi="Times New Roman"/>
          <w:szCs w:val="21"/>
          <w:highlight w:val="none"/>
        </w:rPr>
      </w:pPr>
      <w:r>
        <w:rPr>
          <w:rFonts w:ascii="Times New Roman" w:hAnsi="Times New Roman"/>
          <w:szCs w:val="21"/>
          <w:highlight w:val="none"/>
        </w:rPr>
        <w:t>因乙方原因逾期</w:t>
      </w:r>
      <w:r>
        <w:rPr>
          <w:rFonts w:hint="eastAsia" w:ascii="Times New Roman" w:hAnsi="Times New Roman"/>
          <w:szCs w:val="21"/>
          <w:highlight w:val="none"/>
        </w:rPr>
        <w:t>交付</w:t>
      </w:r>
      <w:r>
        <w:rPr>
          <w:rFonts w:ascii="Times New Roman" w:hAnsi="Times New Roman"/>
          <w:szCs w:val="21"/>
          <w:highlight w:val="none"/>
        </w:rPr>
        <w:t>，每</w:t>
      </w:r>
      <w:r>
        <w:rPr>
          <w:rFonts w:hint="eastAsia" w:ascii="Times New Roman" w:hAnsi="Times New Roman"/>
          <w:szCs w:val="21"/>
          <w:highlight w:val="none"/>
        </w:rPr>
        <w:t>逾期</w:t>
      </w:r>
      <w:r>
        <w:rPr>
          <w:rFonts w:ascii="Times New Roman" w:hAnsi="Times New Roman"/>
          <w:szCs w:val="21"/>
          <w:highlight w:val="none"/>
        </w:rPr>
        <w:t>一天，须向甲方支付合同总</w:t>
      </w:r>
      <w:r>
        <w:rPr>
          <w:rFonts w:hint="eastAsia" w:ascii="Times New Roman" w:hAnsi="Times New Roman"/>
          <w:szCs w:val="21"/>
          <w:highlight w:val="none"/>
        </w:rPr>
        <w:t>金额的</w:t>
      </w:r>
      <w:r>
        <w:rPr>
          <w:rFonts w:hint="eastAsia" w:ascii="Times New Roman" w:hAnsi="Times New Roman"/>
          <w:szCs w:val="21"/>
          <w:highlight w:val="none"/>
          <w:u w:val="single"/>
        </w:rPr>
        <w:t>***</w:t>
      </w:r>
      <w:r>
        <w:rPr>
          <w:rFonts w:hint="eastAsia" w:ascii="Times New Roman" w:hAnsi="Times New Roman"/>
          <w:szCs w:val="21"/>
          <w:highlight w:val="none"/>
        </w:rPr>
        <w:t>‰作为</w:t>
      </w:r>
      <w:r>
        <w:rPr>
          <w:rFonts w:ascii="Times New Roman" w:hAnsi="Times New Roman"/>
          <w:szCs w:val="21"/>
          <w:highlight w:val="none"/>
        </w:rPr>
        <w:t>违约金。因乙方原因逾期交货超过</w:t>
      </w:r>
      <w:r>
        <w:rPr>
          <w:rFonts w:hint="eastAsia" w:ascii="Times New Roman" w:hAnsi="Times New Roman"/>
          <w:szCs w:val="21"/>
          <w:highlight w:val="none"/>
          <w:u w:val="single"/>
        </w:rPr>
        <w:t>10</w:t>
      </w:r>
      <w:r>
        <w:rPr>
          <w:rFonts w:ascii="Times New Roman" w:hAnsi="Times New Roman"/>
          <w:szCs w:val="21"/>
          <w:highlight w:val="none"/>
        </w:rPr>
        <w:t>天，甲方有权</w:t>
      </w:r>
      <w:r>
        <w:rPr>
          <w:rFonts w:hint="eastAsia" w:ascii="Times New Roman" w:hAnsi="Times New Roman"/>
          <w:szCs w:val="21"/>
          <w:highlight w:val="none"/>
        </w:rPr>
        <w:t>单方面解除</w:t>
      </w:r>
      <w:r>
        <w:rPr>
          <w:rFonts w:ascii="Times New Roman" w:hAnsi="Times New Roman"/>
          <w:szCs w:val="21"/>
          <w:highlight w:val="none"/>
        </w:rPr>
        <w:t>合同</w:t>
      </w:r>
      <w:r>
        <w:rPr>
          <w:rFonts w:hint="eastAsia" w:ascii="Times New Roman" w:hAnsi="Times New Roman"/>
          <w:szCs w:val="21"/>
          <w:highlight w:val="none"/>
        </w:rPr>
        <w:t>，乙方须按合同总金额的</w:t>
      </w:r>
      <w:r>
        <w:rPr>
          <w:rFonts w:hint="eastAsia" w:ascii="Times New Roman" w:hAnsi="Times New Roman"/>
          <w:szCs w:val="21"/>
          <w:highlight w:val="none"/>
          <w:u w:val="single"/>
        </w:rPr>
        <w:t>10</w:t>
      </w:r>
      <w:r>
        <w:rPr>
          <w:rFonts w:hint="eastAsia" w:ascii="Times New Roman" w:hAnsi="Times New Roman"/>
          <w:szCs w:val="21"/>
          <w:highlight w:val="none"/>
        </w:rPr>
        <w:t>%向甲方支付违约金，</w:t>
      </w:r>
    </w:p>
    <w:p w14:paraId="2F65927D">
      <w:pPr>
        <w:pStyle w:val="29"/>
        <w:numPr>
          <w:ilvl w:val="0"/>
          <w:numId w:val="24"/>
        </w:numPr>
        <w:snapToGrid w:val="0"/>
        <w:ind w:left="525" w:hanging="525" w:hangingChars="250"/>
        <w:rPr>
          <w:rFonts w:ascii="Times New Roman" w:hAnsi="Times New Roman"/>
          <w:szCs w:val="21"/>
          <w:highlight w:val="none"/>
        </w:rPr>
      </w:pPr>
      <w:bookmarkStart w:id="98" w:name="OLE_LINK18"/>
      <w:bookmarkStart w:id="99" w:name="OLE_LINK17"/>
      <w:r>
        <w:rPr>
          <w:rFonts w:hint="eastAsia" w:ascii="Times New Roman" w:hAnsi="Times New Roman"/>
          <w:szCs w:val="21"/>
          <w:highlight w:val="none"/>
        </w:rPr>
        <w:t>乙方未按合同约定及时履行培训及维护义务时，每发生一次，乙方应按合同总金额的</w:t>
      </w:r>
      <w:r>
        <w:rPr>
          <w:rFonts w:hint="eastAsia" w:ascii="Times New Roman" w:hAnsi="Times New Roman"/>
          <w:szCs w:val="21"/>
          <w:highlight w:val="none"/>
          <w:u w:val="single"/>
        </w:rPr>
        <w:t>***</w:t>
      </w:r>
      <w:r>
        <w:rPr>
          <w:rFonts w:hint="eastAsia" w:ascii="Times New Roman" w:hAnsi="Times New Roman"/>
          <w:szCs w:val="21"/>
          <w:highlight w:val="none"/>
        </w:rPr>
        <w:t>‰向甲方支付违约金，乙方支付违约金的同时，仍有义务对甲方进行培训及对货物进行维护。</w:t>
      </w:r>
    </w:p>
    <w:p w14:paraId="582F60EB">
      <w:pPr>
        <w:pStyle w:val="29"/>
        <w:numPr>
          <w:ilvl w:val="0"/>
          <w:numId w:val="24"/>
        </w:numPr>
        <w:snapToGrid w:val="0"/>
        <w:ind w:left="525" w:hanging="525" w:hangingChars="250"/>
        <w:rPr>
          <w:rFonts w:hint="eastAsia" w:ascii="Times New Roman" w:hAnsi="Times New Roman"/>
          <w:szCs w:val="21"/>
          <w:highlight w:val="none"/>
        </w:rPr>
      </w:pPr>
      <w:r>
        <w:rPr>
          <w:rFonts w:ascii="Times New Roman" w:hAnsi="Times New Roman"/>
          <w:szCs w:val="21"/>
          <w:highlight w:val="none"/>
        </w:rPr>
        <w:t>乙方违反保密义务，甲方有权单方解除合同，乙方应按甲方实际损失向甲方进行赔偿并向甲方支付</w:t>
      </w:r>
      <w:r>
        <w:rPr>
          <w:rFonts w:hint="eastAsia" w:ascii="Times New Roman" w:hAnsi="Times New Roman"/>
          <w:szCs w:val="21"/>
          <w:highlight w:val="none"/>
        </w:rPr>
        <w:t>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作为违</w:t>
      </w:r>
      <w:r>
        <w:rPr>
          <w:rFonts w:ascii="Times New Roman" w:hAnsi="Times New Roman"/>
          <w:szCs w:val="21"/>
          <w:highlight w:val="none"/>
        </w:rPr>
        <w:t>约金。</w:t>
      </w:r>
    </w:p>
    <w:bookmarkEnd w:id="98"/>
    <w:bookmarkEnd w:id="99"/>
    <w:p w14:paraId="05A98B6A">
      <w:pPr>
        <w:pStyle w:val="29"/>
        <w:numPr>
          <w:ilvl w:val="0"/>
          <w:numId w:val="24"/>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乙方偿付的违约金不足以弥补甲方损失的，还应按甲方损失尚未弥补的部分，支付赔偿金给甲方。</w:t>
      </w:r>
    </w:p>
    <w:p w14:paraId="7CF80718">
      <w:pPr>
        <w:pStyle w:val="29"/>
        <w:numPr>
          <w:ilvl w:val="0"/>
          <w:numId w:val="24"/>
        </w:numPr>
        <w:snapToGrid w:val="0"/>
        <w:ind w:left="525" w:hanging="525" w:hangingChars="250"/>
        <w:rPr>
          <w:rFonts w:ascii="Times New Roman" w:hAnsi="Times New Roman"/>
          <w:szCs w:val="21"/>
          <w:highlight w:val="none"/>
        </w:rPr>
      </w:pPr>
      <w:r>
        <w:rPr>
          <w:rFonts w:ascii="Times New Roman" w:hAnsi="Times New Roman"/>
          <w:szCs w:val="21"/>
          <w:highlight w:val="none"/>
        </w:rPr>
        <w:t>乙方</w:t>
      </w:r>
      <w:r>
        <w:rPr>
          <w:rFonts w:hint="eastAsia" w:ascii="Times New Roman" w:hAnsi="Times New Roman"/>
          <w:szCs w:val="21"/>
          <w:highlight w:val="none"/>
        </w:rPr>
        <w:t>交付货物因</w:t>
      </w:r>
      <w:r>
        <w:rPr>
          <w:rFonts w:ascii="Times New Roman" w:hAnsi="Times New Roman"/>
          <w:szCs w:val="21"/>
          <w:highlight w:val="none"/>
        </w:rPr>
        <w:t>质量问题导致甲方及第三方人身、财产损失的，乙方承担由此造成的全部法律责任。</w:t>
      </w:r>
    </w:p>
    <w:p w14:paraId="32F7705F">
      <w:pPr>
        <w:pStyle w:val="29"/>
        <w:numPr>
          <w:ilvl w:val="0"/>
          <w:numId w:val="24"/>
        </w:numPr>
        <w:snapToGrid w:val="0"/>
        <w:ind w:left="525" w:hanging="525" w:hangingChars="250"/>
        <w:rPr>
          <w:rFonts w:ascii="Times New Roman" w:hAnsi="Times New Roman"/>
          <w:szCs w:val="21"/>
          <w:highlight w:val="none"/>
        </w:rPr>
      </w:pPr>
      <w:r>
        <w:rPr>
          <w:rFonts w:ascii="Times New Roman" w:hAnsi="Times New Roman"/>
          <w:szCs w:val="21"/>
          <w:highlight w:val="none"/>
        </w:rPr>
        <w:t>乙方未按照本合同约定的时限提供合法发票或提供发票瑕疵（包括但不限于发票种类有误、发票金额有误等），甲方付款时限相应顺延并不承担任何延期支付的违约责任。</w:t>
      </w:r>
    </w:p>
    <w:p w14:paraId="07483214">
      <w:pPr>
        <w:pStyle w:val="29"/>
        <w:numPr>
          <w:ilvl w:val="0"/>
          <w:numId w:val="24"/>
        </w:numPr>
        <w:snapToGrid w:val="0"/>
        <w:ind w:left="525" w:hanging="525" w:hangingChars="250"/>
        <w:rPr>
          <w:rFonts w:ascii="Times New Roman" w:hAnsi="Times New Roman"/>
          <w:szCs w:val="21"/>
          <w:highlight w:val="none"/>
        </w:rPr>
      </w:pPr>
      <w:r>
        <w:rPr>
          <w:rFonts w:ascii="Times New Roman" w:hAnsi="Times New Roman"/>
          <w:szCs w:val="21"/>
          <w:highlight w:val="none"/>
        </w:rPr>
        <w:t>乙方在</w:t>
      </w:r>
      <w:r>
        <w:rPr>
          <w:rFonts w:hint="eastAsia" w:ascii="Times New Roman" w:hAnsi="Times New Roman"/>
          <w:szCs w:val="21"/>
          <w:highlight w:val="none"/>
        </w:rPr>
        <w:t>安装、</w:t>
      </w:r>
      <w:r>
        <w:rPr>
          <w:rFonts w:ascii="Times New Roman" w:hAnsi="Times New Roman"/>
          <w:szCs w:val="21"/>
          <w:highlight w:val="none"/>
        </w:rPr>
        <w:t>调试及售后服务过程中，因未按规程</w:t>
      </w:r>
      <w:r>
        <w:rPr>
          <w:rFonts w:hint="eastAsia" w:ascii="Times New Roman" w:hAnsi="Times New Roman"/>
          <w:szCs w:val="21"/>
          <w:highlight w:val="none"/>
        </w:rPr>
        <w:t>操作、</w:t>
      </w:r>
      <w:r>
        <w:rPr>
          <w:rFonts w:ascii="Times New Roman" w:hAnsi="Times New Roman"/>
          <w:szCs w:val="21"/>
          <w:highlight w:val="none"/>
        </w:rPr>
        <w:t>未采取必要的安全防范措施等原因直接或间接造成甲方及第三方人身、财产损失的，由乙方承担由此造成的全部法律责任。</w:t>
      </w:r>
    </w:p>
    <w:p w14:paraId="3E850155">
      <w:pPr>
        <w:pStyle w:val="29"/>
        <w:numPr>
          <w:ilvl w:val="0"/>
          <w:numId w:val="24"/>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606A469">
      <w:pPr>
        <w:pStyle w:val="29"/>
        <w:snapToGrid w:val="0"/>
        <w:ind w:firstLine="0" w:firstLineChars="0"/>
        <w:rPr>
          <w:rFonts w:hint="eastAsia" w:ascii="Times New Roman" w:hAnsi="Times New Roman"/>
          <w:szCs w:val="21"/>
          <w:highlight w:val="none"/>
        </w:rPr>
      </w:pPr>
      <w:r>
        <w:rPr>
          <w:rFonts w:hint="eastAsia" w:ascii="Times New Roman" w:hAnsi="Times New Roman"/>
          <w:szCs w:val="21"/>
          <w:highlight w:val="none"/>
        </w:rPr>
        <w:t>3</w:t>
      </w:r>
      <w:r>
        <w:rPr>
          <w:rFonts w:ascii="Times New Roman" w:hAnsi="Times New Roman"/>
          <w:szCs w:val="21"/>
          <w:highlight w:val="none"/>
        </w:rPr>
        <w:t>.本合同履行中如有任何一方违约，那么守约方为保障自己合法权益而产生的律师费、诉讼费、差旅费、公告费等，均由违约方承担。</w:t>
      </w:r>
    </w:p>
    <w:p w14:paraId="011CE23E">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不可抗力</w:t>
      </w:r>
    </w:p>
    <w:p w14:paraId="38876B0A">
      <w:pPr>
        <w:pStyle w:val="29"/>
        <w:snapToGrid w:val="0"/>
        <w:rPr>
          <w:rFonts w:ascii="Times New Roman" w:hAnsi="Times New Roman"/>
          <w:bCs/>
          <w:szCs w:val="21"/>
          <w:highlight w:val="none"/>
        </w:rPr>
      </w:pPr>
      <w:r>
        <w:rPr>
          <w:rFonts w:ascii="Times New Roman" w:hAnsi="Times New Roman"/>
          <w:bCs/>
          <w:szCs w:val="21"/>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highlight w:val="none"/>
        </w:rPr>
        <w:t>日</w:t>
      </w:r>
      <w:r>
        <w:rPr>
          <w:rFonts w:ascii="Times New Roman" w:hAnsi="Times New Roman"/>
          <w:bCs/>
          <w:szCs w:val="21"/>
          <w:highlight w:val="none"/>
        </w:rPr>
        <w:t>，甲方有权解除合同，双方互不承担违约责任。</w:t>
      </w:r>
    </w:p>
    <w:p w14:paraId="42F3D60C">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争议解决办法</w:t>
      </w:r>
    </w:p>
    <w:p w14:paraId="3E7FBEF6">
      <w:pPr>
        <w:pStyle w:val="29"/>
        <w:numPr>
          <w:ilvl w:val="0"/>
          <w:numId w:val="25"/>
        </w:numPr>
        <w:snapToGrid w:val="0"/>
        <w:ind w:left="0" w:firstLine="0" w:firstLineChars="0"/>
        <w:rPr>
          <w:rFonts w:ascii="Times New Roman" w:hAnsi="Times New Roman"/>
          <w:szCs w:val="21"/>
          <w:highlight w:val="none"/>
        </w:rPr>
      </w:pPr>
      <w:r>
        <w:rPr>
          <w:rFonts w:ascii="Times New Roman" w:hAnsi="Times New Roman"/>
          <w:szCs w:val="21"/>
          <w:highlight w:val="none"/>
        </w:rPr>
        <w:t>因</w:t>
      </w:r>
      <w:r>
        <w:rPr>
          <w:rFonts w:hint="eastAsia" w:ascii="Times New Roman" w:hAnsi="Times New Roman"/>
          <w:szCs w:val="21"/>
          <w:highlight w:val="none"/>
        </w:rPr>
        <w:t>货物</w:t>
      </w:r>
      <w:r>
        <w:rPr>
          <w:rFonts w:ascii="Times New Roman" w:hAnsi="Times New Roman"/>
          <w:szCs w:val="21"/>
          <w:highlight w:val="none"/>
        </w:rPr>
        <w:t>的质量问题发生争议，由质量技术监督部门或其指定的质量鉴定机构进行质量鉴定。货物符合标准的，鉴定费由甲方承担；货物不符合质量标准的，鉴定费由乙方承担。</w:t>
      </w:r>
    </w:p>
    <w:p w14:paraId="14E3D779">
      <w:pPr>
        <w:pStyle w:val="29"/>
        <w:numPr>
          <w:ilvl w:val="0"/>
          <w:numId w:val="25"/>
        </w:numPr>
        <w:snapToGrid w:val="0"/>
        <w:ind w:left="0" w:firstLine="0" w:firstLineChars="0"/>
        <w:rPr>
          <w:rFonts w:ascii="Times New Roman" w:hAnsi="Times New Roman"/>
          <w:szCs w:val="21"/>
          <w:highlight w:val="none"/>
        </w:rPr>
      </w:pPr>
      <w:r>
        <w:rPr>
          <w:rFonts w:ascii="Times New Roman" w:hAnsi="Times New Roman"/>
          <w:szCs w:val="21"/>
          <w:highlight w:val="none"/>
        </w:rPr>
        <w:t>合同履行期间,若双方发生争议，可协商或由有关部门调解解决，协商或调解不成的，任何一方均有权向甲方</w:t>
      </w:r>
      <w:r>
        <w:rPr>
          <w:rFonts w:hint="eastAsia" w:ascii="Times New Roman" w:hAnsi="Times New Roman"/>
          <w:szCs w:val="21"/>
          <w:highlight w:val="none"/>
        </w:rPr>
        <w:t>所在地</w:t>
      </w:r>
      <w:r>
        <w:rPr>
          <w:rFonts w:ascii="Times New Roman" w:hAnsi="Times New Roman"/>
          <w:szCs w:val="21"/>
          <w:highlight w:val="none"/>
        </w:rPr>
        <w:t>具有管辖权的人民法院起诉。</w:t>
      </w:r>
    </w:p>
    <w:p w14:paraId="60BDD0E2">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送达</w:t>
      </w:r>
      <w:r>
        <w:rPr>
          <w:rFonts w:hint="eastAsia" w:ascii="Times New Roman" w:hAnsi="Times New Roman"/>
          <w:b/>
          <w:bCs/>
          <w:szCs w:val="21"/>
          <w:highlight w:val="none"/>
        </w:rPr>
        <w:t>（送达地址是司法机关、执法机关和仲裁机关将法律文书送达给当事人的收件地址）</w:t>
      </w:r>
    </w:p>
    <w:p w14:paraId="43CAC5A8">
      <w:pPr>
        <w:pStyle w:val="34"/>
        <w:numPr>
          <w:ilvl w:val="0"/>
          <w:numId w:val="26"/>
        </w:numPr>
        <w:snapToGrid w:val="0"/>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0C527D3D">
      <w:pPr>
        <w:pStyle w:val="34"/>
        <w:numPr>
          <w:ilvl w:val="0"/>
          <w:numId w:val="26"/>
        </w:numPr>
        <w:snapToGrid w:val="0"/>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455544CD">
      <w:pPr>
        <w:pStyle w:val="34"/>
        <w:numPr>
          <w:ilvl w:val="0"/>
          <w:numId w:val="26"/>
        </w:numPr>
        <w:snapToGrid w:val="0"/>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791D2E23">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其他</w:t>
      </w:r>
    </w:p>
    <w:p w14:paraId="4E3279CF">
      <w:pPr>
        <w:pStyle w:val="29"/>
        <w:numPr>
          <w:ilvl w:val="0"/>
          <w:numId w:val="27"/>
        </w:numPr>
        <w:snapToGrid w:val="0"/>
        <w:ind w:left="0" w:firstLine="0" w:firstLineChars="0"/>
        <w:rPr>
          <w:rFonts w:ascii="Times New Roman" w:hAnsi="Times New Roman"/>
          <w:szCs w:val="21"/>
          <w:highlight w:val="none"/>
        </w:rPr>
      </w:pPr>
      <w:r>
        <w:rPr>
          <w:rFonts w:ascii="Times New Roman" w:hAnsi="Times New Roman"/>
          <w:szCs w:val="21"/>
          <w:highlight w:val="none"/>
        </w:rPr>
        <w:t>如有未尽事宜，由双方依法订立补充合同。补充合同</w:t>
      </w:r>
      <w:r>
        <w:rPr>
          <w:rFonts w:hint="eastAsia" w:ascii="Times New Roman" w:hAnsi="Times New Roman"/>
          <w:szCs w:val="21"/>
          <w:highlight w:val="none"/>
        </w:rPr>
        <w:t>及本合同</w:t>
      </w:r>
      <w:r>
        <w:rPr>
          <w:rFonts w:ascii="Times New Roman" w:hAnsi="Times New Roman"/>
          <w:szCs w:val="21"/>
          <w:highlight w:val="none"/>
        </w:rPr>
        <w:t>附件</w:t>
      </w:r>
      <w:r>
        <w:rPr>
          <w:rFonts w:hint="eastAsia" w:ascii="Times New Roman" w:hAnsi="Times New Roman"/>
          <w:szCs w:val="21"/>
          <w:highlight w:val="none"/>
        </w:rPr>
        <w:t>均</w:t>
      </w:r>
      <w:r>
        <w:rPr>
          <w:rFonts w:ascii="Times New Roman" w:hAnsi="Times New Roman"/>
          <w:szCs w:val="21"/>
          <w:highlight w:val="none"/>
        </w:rPr>
        <w:t>为本合同的组成部分，与本合同具有同等法律效力。</w:t>
      </w:r>
    </w:p>
    <w:p w14:paraId="3DCBE75C">
      <w:pPr>
        <w:pStyle w:val="29"/>
        <w:numPr>
          <w:ilvl w:val="0"/>
          <w:numId w:val="27"/>
        </w:numPr>
        <w:snapToGrid w:val="0"/>
        <w:ind w:left="0" w:firstLine="0" w:firstLineChars="0"/>
        <w:rPr>
          <w:rFonts w:ascii="Times New Roman" w:hAnsi="Times New Roman"/>
          <w:szCs w:val="21"/>
          <w:highlight w:val="none"/>
        </w:rPr>
      </w:pPr>
      <w:r>
        <w:rPr>
          <w:rFonts w:ascii="Times New Roman" w:hAnsi="Times New Roman"/>
          <w:szCs w:val="21"/>
          <w:highlight w:val="none"/>
        </w:rPr>
        <w:t>本合同一式</w:t>
      </w:r>
      <w:r>
        <w:rPr>
          <w:rFonts w:hint="eastAsia" w:ascii="Times New Roman" w:hAnsi="Times New Roman"/>
          <w:szCs w:val="21"/>
          <w:highlight w:val="none"/>
        </w:rPr>
        <w:t>四</w:t>
      </w:r>
      <w:r>
        <w:rPr>
          <w:rFonts w:ascii="Times New Roman" w:hAnsi="Times New Roman"/>
          <w:szCs w:val="21"/>
          <w:highlight w:val="none"/>
        </w:rPr>
        <w:t>份，自双方</w:t>
      </w:r>
      <w:r>
        <w:rPr>
          <w:rFonts w:hint="eastAsia" w:ascii="Times New Roman" w:hAnsi="Times New Roman"/>
          <w:szCs w:val="21"/>
          <w:highlight w:val="none"/>
        </w:rPr>
        <w:t>签字且盖章</w:t>
      </w:r>
      <w:r>
        <w:rPr>
          <w:rFonts w:ascii="Times New Roman" w:hAnsi="Times New Roman"/>
          <w:szCs w:val="21"/>
          <w:highlight w:val="none"/>
        </w:rPr>
        <w:t>之日起生效。甲方三份，乙方一份。</w:t>
      </w:r>
    </w:p>
    <w:p w14:paraId="72137A06">
      <w:pPr>
        <w:pStyle w:val="29"/>
        <w:numPr>
          <w:ilvl w:val="0"/>
          <w:numId w:val="10"/>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合同附件</w:t>
      </w:r>
    </w:p>
    <w:p w14:paraId="6817B05D">
      <w:pPr>
        <w:snapToGrid w:val="0"/>
        <w:rPr>
          <w:rFonts w:ascii="Times New Roman" w:hAnsi="Times New Roman"/>
          <w:szCs w:val="21"/>
          <w:highlight w:val="none"/>
        </w:rPr>
      </w:pPr>
      <w:r>
        <w:rPr>
          <w:rFonts w:ascii="Times New Roman" w:hAnsi="Times New Roman"/>
          <w:szCs w:val="21"/>
          <w:highlight w:val="none"/>
        </w:rPr>
        <w:t>附件1：配置清单</w:t>
      </w:r>
    </w:p>
    <w:p w14:paraId="342398C2">
      <w:pPr>
        <w:snapToGrid w:val="0"/>
        <w:jc w:val="left"/>
        <w:rPr>
          <w:rFonts w:ascii="Times New Roman" w:hAnsi="Times New Roman"/>
          <w:szCs w:val="21"/>
          <w:highlight w:val="none"/>
        </w:rPr>
      </w:pPr>
      <w:r>
        <w:rPr>
          <w:rFonts w:ascii="Times New Roman" w:hAnsi="Times New Roman"/>
          <w:szCs w:val="21"/>
          <w:highlight w:val="none"/>
        </w:rPr>
        <w:t>附件2：</w:t>
      </w:r>
      <w:r>
        <w:rPr>
          <w:rFonts w:hint="eastAsia" w:ascii="Times New Roman" w:hAnsi="Times New Roman"/>
          <w:szCs w:val="21"/>
          <w:highlight w:val="none"/>
        </w:rPr>
        <w:t>货物</w:t>
      </w:r>
      <w:r>
        <w:rPr>
          <w:rFonts w:ascii="Times New Roman" w:hAnsi="Times New Roman"/>
          <w:szCs w:val="21"/>
          <w:highlight w:val="none"/>
        </w:rPr>
        <w:t>技术参数</w:t>
      </w:r>
    </w:p>
    <w:p w14:paraId="170E5622">
      <w:pPr>
        <w:jc w:val="center"/>
        <w:rPr>
          <w:rFonts w:ascii="Times New Roman" w:hAnsi="Times New Roman"/>
          <w:szCs w:val="21"/>
          <w:highlight w:val="none"/>
        </w:rPr>
      </w:pPr>
      <w:r>
        <w:rPr>
          <w:rFonts w:ascii="Times New Roman" w:hAnsi="Times New Roman"/>
          <w:szCs w:val="21"/>
          <w:highlight w:val="none"/>
        </w:rPr>
        <w:t>——</w:t>
      </w:r>
      <w:r>
        <w:rPr>
          <w:rFonts w:ascii="Times New Roman" w:hAnsi="Times New Roman"/>
          <w:sz w:val="18"/>
          <w:szCs w:val="18"/>
          <w:highlight w:val="none"/>
        </w:rPr>
        <w:t>以下无正文</w:t>
      </w:r>
      <w:r>
        <w:rPr>
          <w:rFonts w:ascii="Times New Roman" w:hAnsi="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08DD0CB1">
        <w:tblPrEx>
          <w:tblCellMar>
            <w:top w:w="0" w:type="dxa"/>
            <w:left w:w="0" w:type="dxa"/>
            <w:bottom w:w="0" w:type="dxa"/>
            <w:right w:w="0" w:type="dxa"/>
          </w:tblCellMar>
        </w:tblPrEx>
        <w:trPr>
          <w:trHeight w:val="519" w:hRule="atLeast"/>
          <w:jc w:val="center"/>
        </w:trPr>
        <w:tc>
          <w:tcPr>
            <w:tcW w:w="10214" w:type="dxa"/>
            <w:gridSpan w:val="2"/>
            <w:noWrap w:val="0"/>
            <w:vAlign w:val="top"/>
          </w:tcPr>
          <w:p w14:paraId="5F118444">
            <w:pPr>
              <w:rPr>
                <w:rFonts w:ascii="Times New Roman" w:hAnsi="Times New Roman"/>
                <w:szCs w:val="21"/>
                <w:highlight w:val="none"/>
              </w:rPr>
            </w:pPr>
            <w:r>
              <w:rPr>
                <w:rFonts w:hint="eastAsia" w:ascii="Times New Roman" w:hAnsi="Times New Roman"/>
                <w:szCs w:val="21"/>
                <w:highlight w:val="none"/>
              </w:rPr>
              <w:t>签订时间：</w:t>
            </w:r>
            <w:r>
              <w:rPr>
                <w:rFonts w:ascii="Times New Roman" w:hAnsi="Times New Roman"/>
                <w:highlight w:val="none"/>
              </w:rPr>
              <w:t>202</w:t>
            </w:r>
            <w:r>
              <w:rPr>
                <w:rFonts w:hint="eastAsia" w:ascii="Times New Roman" w:hAnsi="Times New Roman"/>
                <w:highlight w:val="none"/>
              </w:rPr>
              <w:t>*</w:t>
            </w:r>
            <w:r>
              <w:rPr>
                <w:rFonts w:ascii="Times New Roman" w:hAnsi="Times New Roman"/>
                <w:szCs w:val="21"/>
                <w:highlight w:val="none"/>
              </w:rPr>
              <w:t>年***月***</w:t>
            </w:r>
            <w:r>
              <w:rPr>
                <w:rFonts w:hint="eastAsia" w:ascii="Times New Roman" w:hAnsi="Times New Roman"/>
                <w:szCs w:val="21"/>
                <w:highlight w:val="none"/>
              </w:rPr>
              <w:t>日</w:t>
            </w:r>
          </w:p>
        </w:tc>
      </w:tr>
      <w:tr w14:paraId="39E56E9B">
        <w:tblPrEx>
          <w:tblCellMar>
            <w:top w:w="0" w:type="dxa"/>
            <w:left w:w="0" w:type="dxa"/>
            <w:bottom w:w="0" w:type="dxa"/>
            <w:right w:w="0" w:type="dxa"/>
          </w:tblCellMar>
        </w:tblPrEx>
        <w:trPr>
          <w:jc w:val="center"/>
        </w:trPr>
        <w:tc>
          <w:tcPr>
            <w:tcW w:w="4967" w:type="dxa"/>
            <w:noWrap w:val="0"/>
            <w:vAlign w:val="top"/>
          </w:tcPr>
          <w:p w14:paraId="61FB9EE3">
            <w:pPr>
              <w:rPr>
                <w:rFonts w:ascii="Times New Roman" w:hAnsi="Times New Roman"/>
                <w:szCs w:val="21"/>
                <w:highlight w:val="none"/>
              </w:rPr>
            </w:pPr>
            <w:r>
              <w:rPr>
                <w:rFonts w:ascii="Times New Roman" w:hAnsi="Times New Roman"/>
                <w:szCs w:val="21"/>
                <w:highlight w:val="none"/>
              </w:rPr>
              <w:t>甲方：四川省人民医院（盖章）</w:t>
            </w:r>
          </w:p>
          <w:p w14:paraId="420C4BF9">
            <w:pPr>
              <w:rPr>
                <w:rFonts w:ascii="Times New Roman" w:hAnsi="Times New Roman"/>
                <w:szCs w:val="21"/>
                <w:highlight w:val="none"/>
              </w:rPr>
            </w:pPr>
            <w:r>
              <w:rPr>
                <w:rFonts w:ascii="Times New Roman" w:hAnsi="Times New Roman"/>
                <w:szCs w:val="21"/>
                <w:highlight w:val="none"/>
              </w:rPr>
              <w:t>法定代表人（授权代表签字）：</w:t>
            </w:r>
          </w:p>
          <w:p w14:paraId="32C795E5">
            <w:pPr>
              <w:rPr>
                <w:rFonts w:ascii="Times New Roman" w:hAnsi="Times New Roman"/>
                <w:szCs w:val="21"/>
                <w:highlight w:val="none"/>
              </w:rPr>
            </w:pPr>
            <w:r>
              <w:rPr>
                <w:rFonts w:ascii="Times New Roman" w:hAnsi="Times New Roman"/>
                <w:szCs w:val="21"/>
                <w:highlight w:val="none"/>
              </w:rPr>
              <w:t>地    址：四川省成都市一环路西二段32号</w:t>
            </w:r>
          </w:p>
          <w:p w14:paraId="41E0E014">
            <w:pPr>
              <w:rPr>
                <w:rFonts w:ascii="Times New Roman" w:hAnsi="Times New Roman"/>
                <w:szCs w:val="21"/>
                <w:highlight w:val="none"/>
              </w:rPr>
            </w:pPr>
            <w:r>
              <w:rPr>
                <w:rFonts w:ascii="Times New Roman" w:hAnsi="Times New Roman"/>
                <w:szCs w:val="21"/>
                <w:highlight w:val="none"/>
              </w:rPr>
              <w:t>开户银行：建设银行成都青羊支行</w:t>
            </w:r>
          </w:p>
          <w:p w14:paraId="2D7BCA1F">
            <w:pPr>
              <w:rPr>
                <w:rFonts w:hint="eastAsia" w:ascii="Times New Roman" w:hAnsi="Times New Roman"/>
                <w:szCs w:val="21"/>
                <w:highlight w:val="none"/>
              </w:rPr>
            </w:pPr>
            <w:r>
              <w:rPr>
                <w:rFonts w:ascii="Times New Roman" w:hAnsi="Times New Roman"/>
                <w:szCs w:val="21"/>
                <w:highlight w:val="none"/>
              </w:rPr>
              <w:t>账号：5100 1446 4360 5037 4282</w:t>
            </w:r>
          </w:p>
        </w:tc>
        <w:tc>
          <w:tcPr>
            <w:tcW w:w="5247" w:type="dxa"/>
            <w:noWrap w:val="0"/>
            <w:vAlign w:val="top"/>
          </w:tcPr>
          <w:p w14:paraId="4BC7BEF5">
            <w:pPr>
              <w:rPr>
                <w:rFonts w:ascii="Times New Roman" w:hAnsi="Times New Roman"/>
                <w:szCs w:val="21"/>
                <w:highlight w:val="none"/>
              </w:rPr>
            </w:pPr>
            <w:r>
              <w:rPr>
                <w:rFonts w:ascii="Times New Roman" w:hAnsi="Times New Roman"/>
                <w:szCs w:val="21"/>
                <w:highlight w:val="none"/>
              </w:rPr>
              <w:t>乙方：***（盖章）</w:t>
            </w:r>
          </w:p>
          <w:p w14:paraId="54126C2D">
            <w:pPr>
              <w:rPr>
                <w:rFonts w:ascii="Times New Roman" w:hAnsi="Times New Roman"/>
                <w:szCs w:val="21"/>
                <w:highlight w:val="none"/>
              </w:rPr>
            </w:pPr>
            <w:r>
              <w:rPr>
                <w:rFonts w:ascii="Times New Roman" w:hAnsi="Times New Roman"/>
                <w:szCs w:val="21"/>
                <w:highlight w:val="none"/>
              </w:rPr>
              <w:t>法定代表人（授权代表签字）：</w:t>
            </w:r>
          </w:p>
          <w:p w14:paraId="78EC395E">
            <w:pPr>
              <w:rPr>
                <w:rFonts w:ascii="Times New Roman" w:hAnsi="Times New Roman"/>
                <w:szCs w:val="21"/>
                <w:highlight w:val="none"/>
              </w:rPr>
            </w:pPr>
            <w:r>
              <w:rPr>
                <w:rFonts w:ascii="Times New Roman" w:hAnsi="Times New Roman"/>
                <w:szCs w:val="21"/>
                <w:highlight w:val="none"/>
              </w:rPr>
              <w:t>地址：***</w:t>
            </w:r>
          </w:p>
          <w:p w14:paraId="411BFF65">
            <w:pPr>
              <w:rPr>
                <w:rFonts w:ascii="Times New Roman" w:hAnsi="Times New Roman"/>
                <w:szCs w:val="21"/>
                <w:highlight w:val="none"/>
              </w:rPr>
            </w:pPr>
            <w:r>
              <w:rPr>
                <w:rFonts w:ascii="Times New Roman" w:hAnsi="Times New Roman"/>
                <w:szCs w:val="21"/>
                <w:highlight w:val="none"/>
              </w:rPr>
              <w:t>开户银行：***</w:t>
            </w:r>
          </w:p>
          <w:p w14:paraId="17BE9253">
            <w:pPr>
              <w:widowControl/>
              <w:jc w:val="left"/>
              <w:rPr>
                <w:rFonts w:hint="eastAsia" w:ascii="Times New Roman" w:hAnsi="Times New Roman"/>
                <w:highlight w:val="none"/>
              </w:rPr>
            </w:pPr>
            <w:r>
              <w:rPr>
                <w:rFonts w:ascii="Times New Roman" w:hAnsi="Times New Roman"/>
                <w:szCs w:val="21"/>
                <w:highlight w:val="none"/>
              </w:rPr>
              <w:t>账号：***</w:t>
            </w:r>
          </w:p>
        </w:tc>
      </w:tr>
    </w:tbl>
    <w:p w14:paraId="3AC90A4C">
      <w:pPr>
        <w:rPr>
          <w:rFonts w:ascii="Times New Roman" w:hAnsi="Times New Roman"/>
          <w:b/>
          <w:bCs/>
          <w:szCs w:val="21"/>
          <w:highlight w:val="none"/>
        </w:rPr>
      </w:pPr>
      <w:r>
        <w:rPr>
          <w:rFonts w:ascii="Times New Roman" w:hAnsi="Times New Roman"/>
          <w:b/>
          <w:bCs/>
          <w:szCs w:val="21"/>
          <w:highlight w:val="none"/>
        </w:rPr>
        <w:br w:type="page"/>
      </w:r>
    </w:p>
    <w:p w14:paraId="0C0648E1">
      <w:pPr>
        <w:widowControl/>
        <w:jc w:val="left"/>
        <w:rPr>
          <w:rFonts w:ascii="Times New Roman" w:hAnsi="Times New Roman"/>
          <w:b/>
          <w:bCs/>
          <w:szCs w:val="21"/>
          <w:highlight w:val="none"/>
        </w:rPr>
      </w:pPr>
      <w:r>
        <w:rPr>
          <w:rFonts w:ascii="Times New Roman" w:hAnsi="Times New Roman"/>
          <w:b/>
          <w:bCs/>
          <w:szCs w:val="21"/>
          <w:highlight w:val="none"/>
        </w:rPr>
        <w:t>附件1：配置清单</w:t>
      </w:r>
    </w:p>
    <w:p w14:paraId="251C751A">
      <w:pPr>
        <w:pStyle w:val="2"/>
        <w:rPr>
          <w:rFonts w:hint="eastAsia"/>
          <w:highlight w:val="none"/>
        </w:rPr>
      </w:pPr>
    </w:p>
    <w:p w14:paraId="3D6B9338">
      <w:pPr>
        <w:rPr>
          <w:rFonts w:hint="eastAsia" w:ascii="Times New Roman" w:hAnsi="Times New Roman"/>
          <w:szCs w:val="21"/>
          <w:highlight w:val="none"/>
        </w:rPr>
      </w:pPr>
      <w:r>
        <w:rPr>
          <w:rFonts w:ascii="Times New Roman" w:hAnsi="Times New Roman"/>
          <w:szCs w:val="21"/>
          <w:highlight w:val="none"/>
        </w:rPr>
        <w:t>注：本合同第一条中写明的</w:t>
      </w:r>
      <w:r>
        <w:rPr>
          <w:rFonts w:hint="eastAsia" w:ascii="Times New Roman" w:hAnsi="Times New Roman"/>
          <w:szCs w:val="21"/>
          <w:highlight w:val="none"/>
        </w:rPr>
        <w:t>货物</w:t>
      </w:r>
      <w:r>
        <w:rPr>
          <w:rFonts w:ascii="Times New Roman" w:hAnsi="Times New Roman"/>
          <w:szCs w:val="21"/>
          <w:highlight w:val="none"/>
        </w:rPr>
        <w:t>均须单独填写配置清单。</w:t>
      </w:r>
    </w:p>
    <w:p w14:paraId="21A2DB80">
      <w:pPr>
        <w:rPr>
          <w:rFonts w:ascii="Times New Roman" w:hAnsi="Times New Roman"/>
          <w:szCs w:val="21"/>
          <w:highlight w:val="none"/>
        </w:rPr>
      </w:pPr>
      <w:r>
        <w:rPr>
          <w:rFonts w:ascii="Times New Roman" w:hAnsi="Times New Roman"/>
          <w:szCs w:val="21"/>
          <w:highlight w:val="none"/>
        </w:rPr>
        <w:t>序号1：</w:t>
      </w:r>
      <w:r>
        <w:rPr>
          <w:rFonts w:hint="eastAsia" w:ascii="Times New Roman" w:hAnsi="Times New Roman"/>
          <w:szCs w:val="21"/>
          <w:highlight w:val="none"/>
        </w:rPr>
        <w:t>货物</w:t>
      </w:r>
      <w:r>
        <w:rPr>
          <w:rFonts w:ascii="Times New Roman" w:hAnsi="Times New Roman"/>
          <w:szCs w:val="21"/>
          <w:highlight w:val="none"/>
        </w:rPr>
        <w:t>名称：***</w:t>
      </w:r>
    </w:p>
    <w:p w14:paraId="53D10B77">
      <w:pPr>
        <w:rPr>
          <w:rFonts w:ascii="Times New Roman" w:hAnsi="Times New Roman"/>
          <w:szCs w:val="21"/>
          <w:highlight w:val="none"/>
        </w:rPr>
      </w:pPr>
      <w:r>
        <w:rPr>
          <w:rFonts w:ascii="Times New Roman" w:hAnsi="Times New Roman"/>
          <w:szCs w:val="21"/>
          <w:highlight w:val="none"/>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2845"/>
        <w:gridCol w:w="2415"/>
        <w:gridCol w:w="1446"/>
        <w:gridCol w:w="1305"/>
        <w:gridCol w:w="1022"/>
      </w:tblGrid>
      <w:tr w14:paraId="13071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2188DB2A">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序号</w:t>
            </w:r>
          </w:p>
        </w:tc>
        <w:tc>
          <w:tcPr>
            <w:tcW w:w="3073" w:type="dxa"/>
            <w:noWrap w:val="0"/>
            <w:vAlign w:val="center"/>
          </w:tcPr>
          <w:p w14:paraId="4548CC43">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组件名称</w:t>
            </w:r>
          </w:p>
        </w:tc>
        <w:tc>
          <w:tcPr>
            <w:tcW w:w="2609" w:type="dxa"/>
            <w:noWrap w:val="0"/>
            <w:vAlign w:val="center"/>
          </w:tcPr>
          <w:p w14:paraId="26BF3803">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型号/规格（如有）</w:t>
            </w:r>
          </w:p>
        </w:tc>
        <w:tc>
          <w:tcPr>
            <w:tcW w:w="1562" w:type="dxa"/>
            <w:noWrap w:val="0"/>
            <w:vAlign w:val="center"/>
          </w:tcPr>
          <w:p w14:paraId="6932AD09">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单位</w:t>
            </w:r>
          </w:p>
        </w:tc>
        <w:tc>
          <w:tcPr>
            <w:tcW w:w="1410" w:type="dxa"/>
            <w:noWrap w:val="0"/>
            <w:vAlign w:val="center"/>
          </w:tcPr>
          <w:p w14:paraId="33B109F2">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数量</w:t>
            </w:r>
          </w:p>
        </w:tc>
        <w:tc>
          <w:tcPr>
            <w:tcW w:w="1104" w:type="dxa"/>
            <w:noWrap w:val="0"/>
            <w:vAlign w:val="center"/>
          </w:tcPr>
          <w:p w14:paraId="059FFA26">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备注</w:t>
            </w:r>
          </w:p>
        </w:tc>
      </w:tr>
      <w:tr w14:paraId="2D39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1143090">
            <w:pPr>
              <w:pStyle w:val="2"/>
              <w:spacing w:after="0"/>
              <w:contextualSpacing/>
              <w:jc w:val="center"/>
              <w:rPr>
                <w:rFonts w:ascii="Times New Roman" w:hAnsi="Times New Roman"/>
                <w:kern w:val="0"/>
                <w:szCs w:val="21"/>
                <w:highlight w:val="none"/>
              </w:rPr>
            </w:pPr>
            <w:r>
              <w:rPr>
                <w:rFonts w:ascii="Times New Roman" w:hAnsi="Times New Roman"/>
                <w:szCs w:val="21"/>
                <w:highlight w:val="none"/>
              </w:rPr>
              <w:t>1</w:t>
            </w:r>
          </w:p>
        </w:tc>
        <w:tc>
          <w:tcPr>
            <w:tcW w:w="3073" w:type="dxa"/>
            <w:noWrap w:val="0"/>
            <w:vAlign w:val="center"/>
          </w:tcPr>
          <w:p w14:paraId="2754E749">
            <w:pPr>
              <w:pStyle w:val="2"/>
              <w:spacing w:after="0"/>
              <w:contextualSpacing/>
              <w:rPr>
                <w:rFonts w:ascii="Times New Roman" w:hAnsi="Times New Roman"/>
                <w:b/>
                <w:bCs/>
                <w:szCs w:val="21"/>
                <w:highlight w:val="none"/>
              </w:rPr>
            </w:pPr>
          </w:p>
        </w:tc>
        <w:tc>
          <w:tcPr>
            <w:tcW w:w="2609" w:type="dxa"/>
            <w:noWrap w:val="0"/>
            <w:vAlign w:val="center"/>
          </w:tcPr>
          <w:p w14:paraId="724C991A">
            <w:pPr>
              <w:pStyle w:val="2"/>
              <w:spacing w:after="0"/>
              <w:contextualSpacing/>
              <w:rPr>
                <w:rFonts w:ascii="Times New Roman" w:hAnsi="Times New Roman"/>
                <w:b/>
                <w:bCs/>
                <w:szCs w:val="21"/>
                <w:highlight w:val="none"/>
              </w:rPr>
            </w:pPr>
          </w:p>
        </w:tc>
        <w:tc>
          <w:tcPr>
            <w:tcW w:w="1562" w:type="dxa"/>
            <w:noWrap w:val="0"/>
            <w:vAlign w:val="center"/>
          </w:tcPr>
          <w:p w14:paraId="4FA617A5">
            <w:pPr>
              <w:pStyle w:val="2"/>
              <w:spacing w:after="0"/>
              <w:contextualSpacing/>
              <w:rPr>
                <w:rFonts w:ascii="Times New Roman" w:hAnsi="Times New Roman"/>
                <w:b/>
                <w:bCs/>
                <w:szCs w:val="21"/>
                <w:highlight w:val="none"/>
              </w:rPr>
            </w:pPr>
          </w:p>
        </w:tc>
        <w:tc>
          <w:tcPr>
            <w:tcW w:w="1410" w:type="dxa"/>
            <w:noWrap w:val="0"/>
            <w:vAlign w:val="center"/>
          </w:tcPr>
          <w:p w14:paraId="5F02D2A4">
            <w:pPr>
              <w:pStyle w:val="2"/>
              <w:spacing w:after="0"/>
              <w:contextualSpacing/>
              <w:rPr>
                <w:rFonts w:ascii="Times New Roman" w:hAnsi="Times New Roman"/>
                <w:b/>
                <w:bCs/>
                <w:szCs w:val="21"/>
                <w:highlight w:val="none"/>
              </w:rPr>
            </w:pPr>
          </w:p>
        </w:tc>
        <w:tc>
          <w:tcPr>
            <w:tcW w:w="1104" w:type="dxa"/>
            <w:noWrap w:val="0"/>
            <w:vAlign w:val="center"/>
          </w:tcPr>
          <w:p w14:paraId="17469924">
            <w:pPr>
              <w:contextualSpacing/>
              <w:rPr>
                <w:rFonts w:ascii="Times New Roman" w:hAnsi="Times New Roman"/>
                <w:b/>
                <w:bCs/>
                <w:szCs w:val="21"/>
                <w:highlight w:val="none"/>
              </w:rPr>
            </w:pPr>
          </w:p>
        </w:tc>
      </w:tr>
      <w:tr w14:paraId="62D7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3EE0B0E">
            <w:pPr>
              <w:pStyle w:val="2"/>
              <w:spacing w:after="0"/>
              <w:contextualSpacing/>
              <w:jc w:val="center"/>
              <w:rPr>
                <w:rFonts w:ascii="Times New Roman" w:hAnsi="Times New Roman"/>
                <w:b/>
                <w:bCs/>
                <w:szCs w:val="21"/>
                <w:highlight w:val="none"/>
              </w:rPr>
            </w:pPr>
            <w:r>
              <w:rPr>
                <w:rFonts w:ascii="Times New Roman" w:hAnsi="Times New Roman"/>
                <w:szCs w:val="21"/>
                <w:highlight w:val="none"/>
              </w:rPr>
              <w:t>2</w:t>
            </w:r>
          </w:p>
        </w:tc>
        <w:tc>
          <w:tcPr>
            <w:tcW w:w="3073" w:type="dxa"/>
            <w:noWrap w:val="0"/>
            <w:vAlign w:val="center"/>
          </w:tcPr>
          <w:p w14:paraId="32739A5F">
            <w:pPr>
              <w:pStyle w:val="2"/>
              <w:spacing w:after="0"/>
              <w:contextualSpacing/>
              <w:rPr>
                <w:rFonts w:ascii="Times New Roman" w:hAnsi="Times New Roman"/>
                <w:b/>
                <w:bCs/>
                <w:szCs w:val="21"/>
                <w:highlight w:val="none"/>
              </w:rPr>
            </w:pPr>
          </w:p>
        </w:tc>
        <w:tc>
          <w:tcPr>
            <w:tcW w:w="2609" w:type="dxa"/>
            <w:noWrap w:val="0"/>
            <w:vAlign w:val="center"/>
          </w:tcPr>
          <w:p w14:paraId="0A4BF834">
            <w:pPr>
              <w:pStyle w:val="2"/>
              <w:spacing w:after="0"/>
              <w:contextualSpacing/>
              <w:rPr>
                <w:rFonts w:ascii="Times New Roman" w:hAnsi="Times New Roman"/>
                <w:b/>
                <w:bCs/>
                <w:szCs w:val="21"/>
                <w:highlight w:val="none"/>
              </w:rPr>
            </w:pPr>
          </w:p>
        </w:tc>
        <w:tc>
          <w:tcPr>
            <w:tcW w:w="1562" w:type="dxa"/>
            <w:noWrap w:val="0"/>
            <w:vAlign w:val="center"/>
          </w:tcPr>
          <w:p w14:paraId="37934A15">
            <w:pPr>
              <w:contextualSpacing/>
              <w:rPr>
                <w:rFonts w:ascii="Times New Roman" w:hAnsi="Times New Roman"/>
                <w:b/>
                <w:bCs/>
                <w:szCs w:val="21"/>
                <w:highlight w:val="none"/>
              </w:rPr>
            </w:pPr>
          </w:p>
        </w:tc>
        <w:tc>
          <w:tcPr>
            <w:tcW w:w="1410" w:type="dxa"/>
            <w:noWrap w:val="0"/>
            <w:vAlign w:val="center"/>
          </w:tcPr>
          <w:p w14:paraId="725ABB51">
            <w:pPr>
              <w:contextualSpacing/>
              <w:rPr>
                <w:rFonts w:ascii="Times New Roman" w:hAnsi="Times New Roman"/>
                <w:b/>
                <w:bCs/>
                <w:szCs w:val="21"/>
                <w:highlight w:val="none"/>
              </w:rPr>
            </w:pPr>
          </w:p>
        </w:tc>
        <w:tc>
          <w:tcPr>
            <w:tcW w:w="1104" w:type="dxa"/>
            <w:noWrap w:val="0"/>
            <w:vAlign w:val="center"/>
          </w:tcPr>
          <w:p w14:paraId="779DE295">
            <w:pPr>
              <w:contextualSpacing/>
              <w:rPr>
                <w:rFonts w:ascii="Times New Roman" w:hAnsi="Times New Roman"/>
                <w:b/>
                <w:bCs/>
                <w:szCs w:val="21"/>
                <w:highlight w:val="none"/>
              </w:rPr>
            </w:pPr>
          </w:p>
        </w:tc>
      </w:tr>
      <w:tr w14:paraId="64C67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3A37D335">
            <w:pPr>
              <w:pStyle w:val="2"/>
              <w:spacing w:after="0"/>
              <w:contextualSpacing/>
              <w:jc w:val="center"/>
              <w:rPr>
                <w:rFonts w:ascii="Times New Roman" w:hAnsi="Times New Roman"/>
                <w:b/>
                <w:bCs/>
                <w:szCs w:val="21"/>
                <w:highlight w:val="none"/>
              </w:rPr>
            </w:pPr>
            <w:r>
              <w:rPr>
                <w:rFonts w:ascii="Times New Roman" w:hAnsi="Times New Roman"/>
                <w:b/>
                <w:bCs/>
                <w:szCs w:val="21"/>
                <w:highlight w:val="none"/>
              </w:rPr>
              <w:t>...</w:t>
            </w:r>
          </w:p>
        </w:tc>
        <w:tc>
          <w:tcPr>
            <w:tcW w:w="3073" w:type="dxa"/>
            <w:noWrap w:val="0"/>
            <w:vAlign w:val="center"/>
          </w:tcPr>
          <w:p w14:paraId="5C8B71D3">
            <w:pPr>
              <w:pStyle w:val="2"/>
              <w:spacing w:after="0"/>
              <w:contextualSpacing/>
              <w:rPr>
                <w:rFonts w:ascii="Times New Roman" w:hAnsi="Times New Roman"/>
                <w:b/>
                <w:bCs/>
                <w:szCs w:val="21"/>
                <w:highlight w:val="none"/>
              </w:rPr>
            </w:pPr>
          </w:p>
        </w:tc>
        <w:tc>
          <w:tcPr>
            <w:tcW w:w="2609" w:type="dxa"/>
            <w:noWrap w:val="0"/>
            <w:vAlign w:val="center"/>
          </w:tcPr>
          <w:p w14:paraId="2298A3C0">
            <w:pPr>
              <w:pStyle w:val="2"/>
              <w:spacing w:after="0"/>
              <w:contextualSpacing/>
              <w:rPr>
                <w:rFonts w:ascii="Times New Roman" w:hAnsi="Times New Roman"/>
                <w:b/>
                <w:bCs/>
                <w:szCs w:val="21"/>
                <w:highlight w:val="none"/>
              </w:rPr>
            </w:pPr>
          </w:p>
        </w:tc>
        <w:tc>
          <w:tcPr>
            <w:tcW w:w="1562" w:type="dxa"/>
            <w:noWrap w:val="0"/>
            <w:vAlign w:val="center"/>
          </w:tcPr>
          <w:p w14:paraId="7879FA7E">
            <w:pPr>
              <w:contextualSpacing/>
              <w:rPr>
                <w:rFonts w:ascii="Times New Roman" w:hAnsi="Times New Roman"/>
                <w:b/>
                <w:bCs/>
                <w:szCs w:val="21"/>
                <w:highlight w:val="none"/>
              </w:rPr>
            </w:pPr>
          </w:p>
        </w:tc>
        <w:tc>
          <w:tcPr>
            <w:tcW w:w="1410" w:type="dxa"/>
            <w:noWrap w:val="0"/>
            <w:vAlign w:val="center"/>
          </w:tcPr>
          <w:p w14:paraId="68D22CAF">
            <w:pPr>
              <w:contextualSpacing/>
              <w:rPr>
                <w:rFonts w:ascii="Times New Roman" w:hAnsi="Times New Roman"/>
                <w:b/>
                <w:bCs/>
                <w:szCs w:val="21"/>
                <w:highlight w:val="none"/>
              </w:rPr>
            </w:pPr>
          </w:p>
        </w:tc>
        <w:tc>
          <w:tcPr>
            <w:tcW w:w="1104" w:type="dxa"/>
            <w:noWrap w:val="0"/>
            <w:vAlign w:val="center"/>
          </w:tcPr>
          <w:p w14:paraId="3E33E718">
            <w:pPr>
              <w:contextualSpacing/>
              <w:rPr>
                <w:rFonts w:ascii="Times New Roman" w:hAnsi="Times New Roman"/>
                <w:b/>
                <w:bCs/>
                <w:szCs w:val="21"/>
                <w:highlight w:val="none"/>
              </w:rPr>
            </w:pPr>
          </w:p>
        </w:tc>
      </w:tr>
    </w:tbl>
    <w:p w14:paraId="3C96205E">
      <w:pPr>
        <w:rPr>
          <w:rFonts w:ascii="Times New Roman" w:hAnsi="Times New Roman"/>
          <w:b/>
          <w:bCs/>
          <w:highlight w:val="none"/>
        </w:rPr>
      </w:pPr>
      <w:r>
        <w:rPr>
          <w:rFonts w:ascii="Times New Roman" w:hAnsi="Times New Roman"/>
          <w:b/>
          <w:bCs/>
          <w:highlight w:val="none"/>
        </w:rPr>
        <w:br w:type="page"/>
      </w:r>
    </w:p>
    <w:p w14:paraId="1BB40B9F">
      <w:pPr>
        <w:pStyle w:val="2"/>
        <w:rPr>
          <w:rFonts w:ascii="Times New Roman" w:hAnsi="Times New Roman"/>
          <w:b/>
          <w:bCs/>
          <w:highlight w:val="none"/>
        </w:rPr>
      </w:pPr>
      <w:r>
        <w:rPr>
          <w:rFonts w:ascii="Times New Roman" w:hAnsi="Times New Roman"/>
          <w:b/>
          <w:bCs/>
          <w:highlight w:val="none"/>
        </w:rPr>
        <w:t>附件2：货物技术参数</w:t>
      </w:r>
    </w:p>
    <w:p w14:paraId="61036EAE">
      <w:pPr>
        <w:pStyle w:val="2"/>
        <w:rPr>
          <w:rFonts w:ascii="Times New Roman" w:hAnsi="Times New Roman"/>
          <w:highlight w:val="none"/>
        </w:rPr>
      </w:pPr>
    </w:p>
    <w:p w14:paraId="4E4DB316">
      <w:pPr>
        <w:pStyle w:val="16"/>
        <w:ind w:firstLine="0" w:firstLineChars="0"/>
        <w:rPr>
          <w:rFonts w:hint="eastAsia"/>
          <w:highlight w:val="none"/>
        </w:rPr>
      </w:pPr>
      <w:r>
        <w:rPr>
          <w:rFonts w:hint="eastAsia"/>
          <w:highlight w:val="none"/>
        </w:rPr>
        <w:t>*</w:t>
      </w:r>
      <w:r>
        <w:rPr>
          <w:highlight w:val="none"/>
        </w:rPr>
        <w:t>**</w:t>
      </w:r>
    </w:p>
    <w:p w14:paraId="2E5311E3">
      <w:pPr>
        <w:rPr>
          <w:highlight w:val="none"/>
        </w:rPr>
      </w:pPr>
    </w:p>
    <w:p w14:paraId="49791CD1">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AE76EE9-1DF7-46FD-B517-7BF3E9C89C7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3F38509-05C9-473F-BC18-3C6C71524E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13E115E-C703-487D-9EBC-704CE69176C9}"/>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CBEA768-ABF4-464E-A987-3F52A9CAF295}"/>
  </w:font>
  <w:font w:name="Segoe UI Symbol">
    <w:panose1 w:val="020B0502040204020203"/>
    <w:charset w:val="00"/>
    <w:family w:val="swiss"/>
    <w:pitch w:val="default"/>
    <w:sig w:usb0="800001E3" w:usb1="1200FFEF" w:usb2="00040000" w:usb3="04000000" w:csb0="00000001" w:csb1="40000000"/>
    <w:embedRegular r:id="rId5" w:fontKey="{D306F8FF-1DC5-4F72-869C-E761BFCA6AEB}"/>
  </w:font>
  <w:font w:name="Wingdings 2">
    <w:altName w:val="Wingdings"/>
    <w:panose1 w:val="05020102010507070707"/>
    <w:charset w:val="4D"/>
    <w:family w:val="decorative"/>
    <w:pitch w:val="default"/>
    <w:sig w:usb0="00000000" w:usb1="00000000" w:usb2="00000000" w:usb3="00000000" w:csb0="80000001" w:csb1="00000000"/>
    <w:embedRegular r:id="rId6" w:fontKey="{93DB0EB9-B1D9-491F-B29F-DA4873FFFCC6}"/>
  </w:font>
  <w:font w:name="Songti SC">
    <w:altName w:val="宋体"/>
    <w:panose1 w:val="02010600040101010101"/>
    <w:charset w:val="86"/>
    <w:family w:val="auto"/>
    <w:pitch w:val="default"/>
    <w:sig w:usb0="00000000" w:usb1="00000000" w:usb2="00000010" w:usb3="00000000" w:csb0="0004009F" w:csb1="00000000"/>
    <w:embedRegular r:id="rId7" w:fontKey="{780F844B-0A3A-428F-A50C-35531FA83898}"/>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A3D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3A3D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6">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6"/>
  </w:num>
  <w:num w:numId="4">
    <w:abstractNumId w:val="25"/>
  </w:num>
  <w:num w:numId="5">
    <w:abstractNumId w:val="11"/>
  </w:num>
  <w:num w:numId="6">
    <w:abstractNumId w:val="2"/>
  </w:num>
  <w:num w:numId="7">
    <w:abstractNumId w:val="1"/>
  </w:num>
  <w:num w:numId="8">
    <w:abstractNumId w:val="0"/>
  </w:num>
  <w:num w:numId="9">
    <w:abstractNumId w:val="4"/>
  </w:num>
  <w:num w:numId="10">
    <w:abstractNumId w:val="7"/>
  </w:num>
  <w:num w:numId="11">
    <w:abstractNumId w:val="22"/>
  </w:num>
  <w:num w:numId="12">
    <w:abstractNumId w:val="5"/>
  </w:num>
  <w:num w:numId="13">
    <w:abstractNumId w:val="26"/>
  </w:num>
  <w:num w:numId="14">
    <w:abstractNumId w:val="24"/>
  </w:num>
  <w:num w:numId="15">
    <w:abstractNumId w:val="19"/>
  </w:num>
  <w:num w:numId="16">
    <w:abstractNumId w:val="8"/>
  </w:num>
  <w:num w:numId="17">
    <w:abstractNumId w:val="12"/>
  </w:num>
  <w:num w:numId="18">
    <w:abstractNumId w:val="6"/>
  </w:num>
  <w:num w:numId="19">
    <w:abstractNumId w:val="15"/>
  </w:num>
  <w:num w:numId="20">
    <w:abstractNumId w:val="23"/>
  </w:num>
  <w:num w:numId="21">
    <w:abstractNumId w:val="21"/>
  </w:num>
  <w:num w:numId="22">
    <w:abstractNumId w:val="17"/>
  </w:num>
  <w:num w:numId="23">
    <w:abstractNumId w:val="14"/>
  </w:num>
  <w:num w:numId="24">
    <w:abstractNumId w:val="9"/>
  </w:num>
  <w:num w:numId="25">
    <w:abstractNumId w:val="18"/>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E4A62"/>
    <w:rsid w:val="006F4109"/>
    <w:rsid w:val="00710285"/>
    <w:rsid w:val="007365C1"/>
    <w:rsid w:val="00746494"/>
    <w:rsid w:val="0075510B"/>
    <w:rsid w:val="007760AF"/>
    <w:rsid w:val="007760B6"/>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B1434"/>
    <w:rsid w:val="00FF60E3"/>
    <w:rsid w:val="0168325F"/>
    <w:rsid w:val="01A1683A"/>
    <w:rsid w:val="01AC5842"/>
    <w:rsid w:val="01D50A7C"/>
    <w:rsid w:val="01EA636A"/>
    <w:rsid w:val="01FF7230"/>
    <w:rsid w:val="023C235A"/>
    <w:rsid w:val="024C0DD3"/>
    <w:rsid w:val="02CD3A5F"/>
    <w:rsid w:val="03033783"/>
    <w:rsid w:val="03D1158F"/>
    <w:rsid w:val="041F679F"/>
    <w:rsid w:val="04BC1856"/>
    <w:rsid w:val="04CA1777"/>
    <w:rsid w:val="058C78B0"/>
    <w:rsid w:val="05E13064"/>
    <w:rsid w:val="05E51322"/>
    <w:rsid w:val="05FD48BE"/>
    <w:rsid w:val="06897EFF"/>
    <w:rsid w:val="06CD36B9"/>
    <w:rsid w:val="078A573C"/>
    <w:rsid w:val="07945A7A"/>
    <w:rsid w:val="082425D6"/>
    <w:rsid w:val="083251D0"/>
    <w:rsid w:val="08326375"/>
    <w:rsid w:val="0837398B"/>
    <w:rsid w:val="083A1BBD"/>
    <w:rsid w:val="08745B19"/>
    <w:rsid w:val="08EE39BE"/>
    <w:rsid w:val="093A3733"/>
    <w:rsid w:val="0A220AAD"/>
    <w:rsid w:val="0A5151D8"/>
    <w:rsid w:val="0A726EFC"/>
    <w:rsid w:val="0AFA123A"/>
    <w:rsid w:val="0B4508AE"/>
    <w:rsid w:val="0B9C06D5"/>
    <w:rsid w:val="0BE91440"/>
    <w:rsid w:val="0C120997"/>
    <w:rsid w:val="0C774C9E"/>
    <w:rsid w:val="0C965124"/>
    <w:rsid w:val="0CF161C9"/>
    <w:rsid w:val="0D214DE6"/>
    <w:rsid w:val="0D26294C"/>
    <w:rsid w:val="0D3037CB"/>
    <w:rsid w:val="0D5C636E"/>
    <w:rsid w:val="0D7D4536"/>
    <w:rsid w:val="0DF742E8"/>
    <w:rsid w:val="0E0B7FF0"/>
    <w:rsid w:val="0E5B6625"/>
    <w:rsid w:val="0EAC189D"/>
    <w:rsid w:val="0EC42733"/>
    <w:rsid w:val="0F5D2ECD"/>
    <w:rsid w:val="0FC14BAE"/>
    <w:rsid w:val="0FE50F06"/>
    <w:rsid w:val="101A497B"/>
    <w:rsid w:val="10373D4C"/>
    <w:rsid w:val="10432B4B"/>
    <w:rsid w:val="10A15B58"/>
    <w:rsid w:val="110E1F50"/>
    <w:rsid w:val="111E587A"/>
    <w:rsid w:val="117A5014"/>
    <w:rsid w:val="11943BFC"/>
    <w:rsid w:val="127F05A0"/>
    <w:rsid w:val="12830CAB"/>
    <w:rsid w:val="128E407F"/>
    <w:rsid w:val="1299771C"/>
    <w:rsid w:val="12BC165D"/>
    <w:rsid w:val="130A5001"/>
    <w:rsid w:val="136D78F8"/>
    <w:rsid w:val="13806B2E"/>
    <w:rsid w:val="13AC16D1"/>
    <w:rsid w:val="14221993"/>
    <w:rsid w:val="142B4CEC"/>
    <w:rsid w:val="144B0EEA"/>
    <w:rsid w:val="14A32AD4"/>
    <w:rsid w:val="15284D87"/>
    <w:rsid w:val="15567E5A"/>
    <w:rsid w:val="15CC4977"/>
    <w:rsid w:val="16077093"/>
    <w:rsid w:val="162A4F7D"/>
    <w:rsid w:val="163F6D8E"/>
    <w:rsid w:val="16A82A66"/>
    <w:rsid w:val="16DE614F"/>
    <w:rsid w:val="17233056"/>
    <w:rsid w:val="175372AA"/>
    <w:rsid w:val="17826121"/>
    <w:rsid w:val="17976868"/>
    <w:rsid w:val="17BE7C25"/>
    <w:rsid w:val="17C3523B"/>
    <w:rsid w:val="18137F71"/>
    <w:rsid w:val="18316649"/>
    <w:rsid w:val="18E216F1"/>
    <w:rsid w:val="1954595C"/>
    <w:rsid w:val="1994787E"/>
    <w:rsid w:val="199A3C4D"/>
    <w:rsid w:val="1A2664F0"/>
    <w:rsid w:val="1A3411EE"/>
    <w:rsid w:val="1A50687F"/>
    <w:rsid w:val="1A82318C"/>
    <w:rsid w:val="1B0B27A2"/>
    <w:rsid w:val="1B634D6B"/>
    <w:rsid w:val="1B642891"/>
    <w:rsid w:val="1BC9751D"/>
    <w:rsid w:val="1C4C57FF"/>
    <w:rsid w:val="1C5A616E"/>
    <w:rsid w:val="1C625023"/>
    <w:rsid w:val="1C746B04"/>
    <w:rsid w:val="1D2821E4"/>
    <w:rsid w:val="1D8C2C2E"/>
    <w:rsid w:val="1DB4365C"/>
    <w:rsid w:val="1DC35F95"/>
    <w:rsid w:val="1DD000AF"/>
    <w:rsid w:val="1E09745A"/>
    <w:rsid w:val="1E0D2131"/>
    <w:rsid w:val="1E114F52"/>
    <w:rsid w:val="1E176351"/>
    <w:rsid w:val="1E594203"/>
    <w:rsid w:val="1ECD615C"/>
    <w:rsid w:val="1ED3045A"/>
    <w:rsid w:val="1ED32208"/>
    <w:rsid w:val="1FE21EC2"/>
    <w:rsid w:val="1FF95C9E"/>
    <w:rsid w:val="209239FD"/>
    <w:rsid w:val="20CF13CE"/>
    <w:rsid w:val="215D225D"/>
    <w:rsid w:val="21B53E47"/>
    <w:rsid w:val="22935D1D"/>
    <w:rsid w:val="2393373D"/>
    <w:rsid w:val="23B24AE2"/>
    <w:rsid w:val="23B769F1"/>
    <w:rsid w:val="23D4489F"/>
    <w:rsid w:val="23D83E1C"/>
    <w:rsid w:val="2437353F"/>
    <w:rsid w:val="24466FD8"/>
    <w:rsid w:val="24727DCD"/>
    <w:rsid w:val="25186BC6"/>
    <w:rsid w:val="252B6033"/>
    <w:rsid w:val="25537BFE"/>
    <w:rsid w:val="25F95EEC"/>
    <w:rsid w:val="262001B9"/>
    <w:rsid w:val="264F486A"/>
    <w:rsid w:val="271635BC"/>
    <w:rsid w:val="27421CD9"/>
    <w:rsid w:val="27B87AF9"/>
    <w:rsid w:val="27C941A8"/>
    <w:rsid w:val="27DA0163"/>
    <w:rsid w:val="27E80EA9"/>
    <w:rsid w:val="280414A1"/>
    <w:rsid w:val="28570368"/>
    <w:rsid w:val="28A27020"/>
    <w:rsid w:val="28E14F1E"/>
    <w:rsid w:val="297B5976"/>
    <w:rsid w:val="29C5318E"/>
    <w:rsid w:val="2A142F93"/>
    <w:rsid w:val="2A263B34"/>
    <w:rsid w:val="2A81391B"/>
    <w:rsid w:val="2ADA5A13"/>
    <w:rsid w:val="2B397896"/>
    <w:rsid w:val="2B502F98"/>
    <w:rsid w:val="2B935881"/>
    <w:rsid w:val="2BE05F64"/>
    <w:rsid w:val="2C9A0A9E"/>
    <w:rsid w:val="2D2F2FAF"/>
    <w:rsid w:val="2DA70D65"/>
    <w:rsid w:val="2DBC4548"/>
    <w:rsid w:val="2E3D31FA"/>
    <w:rsid w:val="2E693FEF"/>
    <w:rsid w:val="2E9C2616"/>
    <w:rsid w:val="2F575E37"/>
    <w:rsid w:val="2F745341"/>
    <w:rsid w:val="2FAE299B"/>
    <w:rsid w:val="2FEF6776"/>
    <w:rsid w:val="30136908"/>
    <w:rsid w:val="304B5DEC"/>
    <w:rsid w:val="30E31FB7"/>
    <w:rsid w:val="31322DBE"/>
    <w:rsid w:val="32165D3B"/>
    <w:rsid w:val="325356E2"/>
    <w:rsid w:val="332B3AC7"/>
    <w:rsid w:val="332B5D17"/>
    <w:rsid w:val="333F7A14"/>
    <w:rsid w:val="3427766B"/>
    <w:rsid w:val="343706EB"/>
    <w:rsid w:val="34713BFD"/>
    <w:rsid w:val="34830DA6"/>
    <w:rsid w:val="351A08D0"/>
    <w:rsid w:val="35805CB0"/>
    <w:rsid w:val="35A26038"/>
    <w:rsid w:val="35A41DB0"/>
    <w:rsid w:val="35BC70FA"/>
    <w:rsid w:val="36334CE5"/>
    <w:rsid w:val="3701395E"/>
    <w:rsid w:val="37920A5A"/>
    <w:rsid w:val="37BE35FD"/>
    <w:rsid w:val="380A6843"/>
    <w:rsid w:val="382B5F8F"/>
    <w:rsid w:val="391E6AEA"/>
    <w:rsid w:val="393671C3"/>
    <w:rsid w:val="3A3F1B1E"/>
    <w:rsid w:val="3A551407"/>
    <w:rsid w:val="3A68392F"/>
    <w:rsid w:val="3B033C36"/>
    <w:rsid w:val="3B9C7486"/>
    <w:rsid w:val="3C333E8E"/>
    <w:rsid w:val="3C8A61A4"/>
    <w:rsid w:val="3CB90F2D"/>
    <w:rsid w:val="3CE05DC4"/>
    <w:rsid w:val="3CEE6201"/>
    <w:rsid w:val="3D385C00"/>
    <w:rsid w:val="3DB50FFF"/>
    <w:rsid w:val="3DBF7BA4"/>
    <w:rsid w:val="3E4543F9"/>
    <w:rsid w:val="3E57579A"/>
    <w:rsid w:val="3E5D4E8E"/>
    <w:rsid w:val="3EAC2B6C"/>
    <w:rsid w:val="3EF618CF"/>
    <w:rsid w:val="3FB5491E"/>
    <w:rsid w:val="3FDF4E54"/>
    <w:rsid w:val="3FE25336"/>
    <w:rsid w:val="40073668"/>
    <w:rsid w:val="40223343"/>
    <w:rsid w:val="40866C82"/>
    <w:rsid w:val="40C31C84"/>
    <w:rsid w:val="40C907D4"/>
    <w:rsid w:val="41076015"/>
    <w:rsid w:val="42075FF8"/>
    <w:rsid w:val="422C3859"/>
    <w:rsid w:val="42842020"/>
    <w:rsid w:val="42876CE2"/>
    <w:rsid w:val="436D4129"/>
    <w:rsid w:val="43857197"/>
    <w:rsid w:val="43AA0EDA"/>
    <w:rsid w:val="44150A49"/>
    <w:rsid w:val="444340B2"/>
    <w:rsid w:val="44935E12"/>
    <w:rsid w:val="44E81B7F"/>
    <w:rsid w:val="4513485D"/>
    <w:rsid w:val="468567BB"/>
    <w:rsid w:val="4734568A"/>
    <w:rsid w:val="476060E7"/>
    <w:rsid w:val="4782487D"/>
    <w:rsid w:val="47A82838"/>
    <w:rsid w:val="47B71E17"/>
    <w:rsid w:val="48CC544E"/>
    <w:rsid w:val="49A10689"/>
    <w:rsid w:val="49D56585"/>
    <w:rsid w:val="49FC25C6"/>
    <w:rsid w:val="4A3D2AA8"/>
    <w:rsid w:val="4A475610"/>
    <w:rsid w:val="4A6C513B"/>
    <w:rsid w:val="4ABD5996"/>
    <w:rsid w:val="4B31068E"/>
    <w:rsid w:val="4B410375"/>
    <w:rsid w:val="4BA55220"/>
    <w:rsid w:val="4BAD0151"/>
    <w:rsid w:val="4BCA036B"/>
    <w:rsid w:val="4BF453E8"/>
    <w:rsid w:val="4C184E09"/>
    <w:rsid w:val="4C2757BD"/>
    <w:rsid w:val="4C7E73A7"/>
    <w:rsid w:val="4C8F75A2"/>
    <w:rsid w:val="4CDC3826"/>
    <w:rsid w:val="4D6D776D"/>
    <w:rsid w:val="4DAD4403"/>
    <w:rsid w:val="4E0336C0"/>
    <w:rsid w:val="4E6F0D56"/>
    <w:rsid w:val="4E8C008E"/>
    <w:rsid w:val="4E9B1B4B"/>
    <w:rsid w:val="4EA312FE"/>
    <w:rsid w:val="4EDC5ADC"/>
    <w:rsid w:val="4EE002CE"/>
    <w:rsid w:val="4FCA1FBB"/>
    <w:rsid w:val="4FEF758C"/>
    <w:rsid w:val="501A6E72"/>
    <w:rsid w:val="501C4F0D"/>
    <w:rsid w:val="50201D6B"/>
    <w:rsid w:val="503A2AB3"/>
    <w:rsid w:val="50526B81"/>
    <w:rsid w:val="50771A9C"/>
    <w:rsid w:val="50F6750C"/>
    <w:rsid w:val="51C47F6D"/>
    <w:rsid w:val="51C70692"/>
    <w:rsid w:val="52B256B5"/>
    <w:rsid w:val="52FB52AE"/>
    <w:rsid w:val="537F7C8D"/>
    <w:rsid w:val="54063F0A"/>
    <w:rsid w:val="5455382C"/>
    <w:rsid w:val="547F7727"/>
    <w:rsid w:val="55342CF9"/>
    <w:rsid w:val="553625CD"/>
    <w:rsid w:val="554674F7"/>
    <w:rsid w:val="560662B2"/>
    <w:rsid w:val="573E1C0D"/>
    <w:rsid w:val="589C07F4"/>
    <w:rsid w:val="59357973"/>
    <w:rsid w:val="59965D30"/>
    <w:rsid w:val="5A3727CC"/>
    <w:rsid w:val="5A6307F6"/>
    <w:rsid w:val="5AA47FD9"/>
    <w:rsid w:val="5ABA15AB"/>
    <w:rsid w:val="5B904C74"/>
    <w:rsid w:val="5BA529F7"/>
    <w:rsid w:val="5BB57758"/>
    <w:rsid w:val="5C205D85"/>
    <w:rsid w:val="5C6043D4"/>
    <w:rsid w:val="5C74699A"/>
    <w:rsid w:val="5D0A3490"/>
    <w:rsid w:val="5D4D6706"/>
    <w:rsid w:val="5D7E0D39"/>
    <w:rsid w:val="5DDF2DD1"/>
    <w:rsid w:val="5DE057CC"/>
    <w:rsid w:val="5E015DA9"/>
    <w:rsid w:val="5E292744"/>
    <w:rsid w:val="5E2E5CB0"/>
    <w:rsid w:val="5E490A40"/>
    <w:rsid w:val="5E9D3F29"/>
    <w:rsid w:val="5ED74D86"/>
    <w:rsid w:val="5EDF45D6"/>
    <w:rsid w:val="5F1540E6"/>
    <w:rsid w:val="5F1576F7"/>
    <w:rsid w:val="5F353859"/>
    <w:rsid w:val="5F3B6A32"/>
    <w:rsid w:val="5F64242D"/>
    <w:rsid w:val="5FB63195"/>
    <w:rsid w:val="60384CD1"/>
    <w:rsid w:val="60557590"/>
    <w:rsid w:val="60597AB8"/>
    <w:rsid w:val="60655808"/>
    <w:rsid w:val="606C7EF8"/>
    <w:rsid w:val="608E1541"/>
    <w:rsid w:val="60F86CEE"/>
    <w:rsid w:val="615362B5"/>
    <w:rsid w:val="617D1584"/>
    <w:rsid w:val="6220263B"/>
    <w:rsid w:val="62556F61"/>
    <w:rsid w:val="631127C2"/>
    <w:rsid w:val="63A9427A"/>
    <w:rsid w:val="63D462B1"/>
    <w:rsid w:val="63E678B4"/>
    <w:rsid w:val="63FF44D2"/>
    <w:rsid w:val="641A3596"/>
    <w:rsid w:val="648F5856"/>
    <w:rsid w:val="64C00105"/>
    <w:rsid w:val="64C36D7E"/>
    <w:rsid w:val="64D96647"/>
    <w:rsid w:val="64F90F01"/>
    <w:rsid w:val="65297D03"/>
    <w:rsid w:val="655B51E5"/>
    <w:rsid w:val="659770B8"/>
    <w:rsid w:val="65C23A09"/>
    <w:rsid w:val="65E40ADA"/>
    <w:rsid w:val="66330B86"/>
    <w:rsid w:val="66E22203"/>
    <w:rsid w:val="671F55B7"/>
    <w:rsid w:val="677B6565"/>
    <w:rsid w:val="67AB0BF9"/>
    <w:rsid w:val="67D22629"/>
    <w:rsid w:val="67F66FF7"/>
    <w:rsid w:val="68B812C9"/>
    <w:rsid w:val="694A4441"/>
    <w:rsid w:val="698536CB"/>
    <w:rsid w:val="69D50CF4"/>
    <w:rsid w:val="69D73D89"/>
    <w:rsid w:val="69FF522C"/>
    <w:rsid w:val="6A535578"/>
    <w:rsid w:val="6AE34B4E"/>
    <w:rsid w:val="6BBB1173"/>
    <w:rsid w:val="6BE05D30"/>
    <w:rsid w:val="6C487AFD"/>
    <w:rsid w:val="6C73229B"/>
    <w:rsid w:val="6C8664BC"/>
    <w:rsid w:val="6CB24363"/>
    <w:rsid w:val="6CB467A2"/>
    <w:rsid w:val="6CEB5F3B"/>
    <w:rsid w:val="6D3E7C18"/>
    <w:rsid w:val="6D8E6FF3"/>
    <w:rsid w:val="6D94212F"/>
    <w:rsid w:val="6DBB3A8B"/>
    <w:rsid w:val="6DCB0F7E"/>
    <w:rsid w:val="6E22773B"/>
    <w:rsid w:val="6E49116B"/>
    <w:rsid w:val="6E721F63"/>
    <w:rsid w:val="6EA93466"/>
    <w:rsid w:val="6EBE56B6"/>
    <w:rsid w:val="6EFF37D8"/>
    <w:rsid w:val="6F146151"/>
    <w:rsid w:val="6F1A6664"/>
    <w:rsid w:val="6F276F27"/>
    <w:rsid w:val="6F7D4948"/>
    <w:rsid w:val="6F960C48"/>
    <w:rsid w:val="6FCF0795"/>
    <w:rsid w:val="6FE70C3C"/>
    <w:rsid w:val="700560CB"/>
    <w:rsid w:val="70643A4D"/>
    <w:rsid w:val="70C90342"/>
    <w:rsid w:val="70F10A19"/>
    <w:rsid w:val="70FE448F"/>
    <w:rsid w:val="71381023"/>
    <w:rsid w:val="718627B6"/>
    <w:rsid w:val="71931917"/>
    <w:rsid w:val="72031631"/>
    <w:rsid w:val="722E3320"/>
    <w:rsid w:val="72347A3D"/>
    <w:rsid w:val="726A345E"/>
    <w:rsid w:val="72BD6ACB"/>
    <w:rsid w:val="732B6917"/>
    <w:rsid w:val="733A6CBD"/>
    <w:rsid w:val="735465E8"/>
    <w:rsid w:val="73714961"/>
    <w:rsid w:val="73FC0A2E"/>
    <w:rsid w:val="74060F7A"/>
    <w:rsid w:val="7431692A"/>
    <w:rsid w:val="74D27DA9"/>
    <w:rsid w:val="74D925D0"/>
    <w:rsid w:val="74FD680C"/>
    <w:rsid w:val="754825D6"/>
    <w:rsid w:val="754D1D92"/>
    <w:rsid w:val="75676A2A"/>
    <w:rsid w:val="758350A9"/>
    <w:rsid w:val="75AB44BA"/>
    <w:rsid w:val="75DE488F"/>
    <w:rsid w:val="76E41A31"/>
    <w:rsid w:val="76EE55AC"/>
    <w:rsid w:val="7702635B"/>
    <w:rsid w:val="773521BD"/>
    <w:rsid w:val="7771703D"/>
    <w:rsid w:val="77BE6726"/>
    <w:rsid w:val="77EE068E"/>
    <w:rsid w:val="78412EB3"/>
    <w:rsid w:val="788B412F"/>
    <w:rsid w:val="78AA2807"/>
    <w:rsid w:val="78F70E73"/>
    <w:rsid w:val="79687E1D"/>
    <w:rsid w:val="79BD2A0E"/>
    <w:rsid w:val="7AC3472A"/>
    <w:rsid w:val="7B560FD7"/>
    <w:rsid w:val="7B5F74F8"/>
    <w:rsid w:val="7B690630"/>
    <w:rsid w:val="7BC01667"/>
    <w:rsid w:val="7BD0027A"/>
    <w:rsid w:val="7C5123F4"/>
    <w:rsid w:val="7C7E6FA2"/>
    <w:rsid w:val="7CE710FA"/>
    <w:rsid w:val="7D040AB6"/>
    <w:rsid w:val="7D4119E6"/>
    <w:rsid w:val="7DAF162B"/>
    <w:rsid w:val="7DB303AF"/>
    <w:rsid w:val="7DC42B41"/>
    <w:rsid w:val="7DEB7B49"/>
    <w:rsid w:val="7DFB58B2"/>
    <w:rsid w:val="7E002EC9"/>
    <w:rsid w:val="7E5971A9"/>
    <w:rsid w:val="7EAD3051"/>
    <w:rsid w:val="7EBA751C"/>
    <w:rsid w:val="7F4D1F29"/>
    <w:rsid w:val="7F524A36"/>
    <w:rsid w:val="7F633DE8"/>
    <w:rsid w:val="7FD21F6C"/>
    <w:rsid w:val="7FD4460D"/>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8"/>
    <w:qFormat/>
    <w:uiPriority w:val="0"/>
    <w:rPr>
      <w:b/>
      <w:bCs/>
    </w:rPr>
  </w:style>
  <w:style w:type="paragraph" w:styleId="16">
    <w:name w:val="Body Text First Indent"/>
    <w:basedOn w:val="2"/>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7"/>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4"/>
    <w:qFormat/>
    <w:uiPriority w:val="0"/>
    <w:rPr>
      <w:rFonts w:ascii="Times New Roman" w:hAnsi="Times New Roman" w:eastAsia="仿宋" w:cs="Times New Roman"/>
      <w:b/>
      <w:sz w:val="32"/>
    </w:rPr>
  </w:style>
  <w:style w:type="paragraph" w:customStyle="1" w:styleId="41">
    <w:name w:val="sht标题1"/>
    <w:basedOn w:val="1"/>
    <w:next w:val="3"/>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47</Pages>
  <Words>1288</Words>
  <Characters>1381</Characters>
  <Lines>72</Lines>
  <Paragraphs>20</Paragraphs>
  <TotalTime>3</TotalTime>
  <ScaleCrop>false</ScaleCrop>
  <LinksUpToDate>false</LinksUpToDate>
  <CharactersWithSpaces>1447</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2026-07-15T03:56:00Z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