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四川省人民医院院前急救系统升级采购项目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bookmarkStart w:id="98" w:name="_GoBack"/>
      <w:bookmarkEnd w:id="98"/>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p>
    <w:p w14:paraId="267EBE78">
      <w:pPr>
        <w:pStyle w:val="14"/>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2"/>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2"/>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2"/>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2"/>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2"/>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2"/>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1907"/>
      <w:bookmarkStart w:id="2" w:name="_Toc471310326"/>
      <w:bookmarkStart w:id="3" w:name="_Toc192583766"/>
      <w:bookmarkStart w:id="4" w:name="_Toc62832406"/>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四川省人民医院院前急救系统升级采购项目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CGZX-YXX20260869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26F90A0">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人民币</w:t>
            </w:r>
            <w:r>
              <w:rPr>
                <w:rFonts w:hint="eastAsia" w:ascii="Times New Roman" w:hAnsi="Times New Roman" w:eastAsia="仿宋" w:cs="Times New Roman"/>
                <w:sz w:val="22"/>
                <w:u w:val="none"/>
                <w:lang w:val="en-US" w:eastAsia="zh-CN"/>
              </w:rPr>
              <w:t>41.9万</w:t>
            </w:r>
            <w:r>
              <w:rPr>
                <w:rFonts w:ascii="Times New Roman" w:hAnsi="Times New Roman" w:eastAsia="仿宋" w:cs="Times New Roman"/>
                <w:sz w:val="22"/>
                <w:u w:val="none"/>
              </w:rPr>
              <w:t>元</w:t>
            </w:r>
            <w:r>
              <w:rPr>
                <w:rFonts w:hint="eastAsia" w:ascii="Times New Roman" w:hAnsi="Times New Roman" w:eastAsia="仿宋" w:cs="Times New Roman"/>
                <w:sz w:val="22"/>
                <w:u w:val="none"/>
                <w:lang w:eastAsia="zh-CN"/>
              </w:rPr>
              <w:t>，</w:t>
            </w:r>
            <w:r>
              <w:rPr>
                <w:rFonts w:hint="eastAsia" w:ascii="Times New Roman" w:hAnsi="Times New Roman" w:eastAsia="仿宋" w:cs="Times New Roman"/>
                <w:sz w:val="22"/>
                <w:u w:val="none"/>
                <w:lang w:val="en-US" w:eastAsia="zh-CN"/>
              </w:rPr>
              <w:t>限高单价详见第四章。</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ascii="Times New Roman" w:hAnsi="Times New Roman" w:eastAsia="仿宋" w:cs="Times New Roman"/>
                <w:kern w:val="0"/>
                <w:sz w:val="22"/>
                <w:highlight w:val="none"/>
              </w:rPr>
            </w:pPr>
            <w:r>
              <w:rPr>
                <w:rFonts w:hint="eastAsia" w:ascii="Times New Roman" w:hAnsi="Times New Roman" w:eastAsia="仿宋" w:cs="Times New Roman"/>
                <w:kern w:val="0"/>
                <w:sz w:val="22"/>
                <w:highlight w:val="none"/>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中移（成都）信息通信科技有限公司</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供应商地址：</w:t>
            </w:r>
            <w:r>
              <w:rPr>
                <w:rFonts w:hint="eastAsia" w:ascii="Times New Roman" w:hAnsi="Times New Roman" w:eastAsia="仿宋" w:cs="Times New Roman"/>
                <w:sz w:val="22"/>
                <w:highlight w:val="none"/>
                <w:lang w:val="en-US" w:eastAsia="zh-CN"/>
              </w:rPr>
              <w:t>成都高新区新通大道1333号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w:t>
            </w:r>
            <w:r>
              <w:rPr>
                <w:rFonts w:hint="eastAsia" w:ascii="Times New Roman" w:hAnsi="Times New Roman" w:eastAsia="仿宋" w:cs="Times New Roman"/>
                <w:sz w:val="22"/>
                <w:szCs w:val="22"/>
                <w:lang w:val="en-US" w:eastAsia="zh-CN"/>
              </w:rPr>
              <w:t>成交</w:t>
            </w:r>
            <w:r>
              <w:rPr>
                <w:rFonts w:hint="eastAsia" w:ascii="Times New Roman" w:hAnsi="Times New Roman" w:eastAsia="仿宋" w:cs="Times New Roman"/>
                <w:sz w:val="22"/>
                <w:szCs w:val="22"/>
                <w:lang w:val="zh-CN" w:eastAsia="zh-CN"/>
              </w:rPr>
              <w:t>资格。）</w:t>
            </w:r>
          </w:p>
          <w:p w14:paraId="3A95077C">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履约保证金可以以支票、汇票、本票或者金融机构出具的保函等非现金形式提交（包括网银转账，电汇等方式）</w:t>
            </w:r>
            <w:r>
              <w:rPr>
                <w:rFonts w:ascii="Times New Roman" w:hAnsi="Times New Roman" w:eastAsia="仿宋" w:cs="Times New Roman"/>
                <w:sz w:val="22"/>
                <w:szCs w:val="22"/>
                <w:lang w:val="zh-CN"/>
              </w:rPr>
              <w:t>；</w:t>
            </w:r>
          </w:p>
          <w:p w14:paraId="024D00A2">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33D0822C">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项目验收合格且服务期结束后，供应商向采购人提供合法有效票据及其他相关请款资料，采购人在90工作日内将履约保证金扣减考核金额（如涉及考核）后一次性无息退还。</w:t>
            </w:r>
          </w:p>
          <w:p w14:paraId="6E42CB6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EBDCC85">
            <w:pPr>
              <w:pStyle w:val="28"/>
              <w:numPr>
                <w:ilvl w:val="0"/>
                <w:numId w:val="8"/>
              </w:numPr>
              <w:tabs>
                <w:tab w:val="left" w:pos="218"/>
              </w:tabs>
              <w:spacing w:line="360" w:lineRule="auto"/>
              <w:ind w:left="218" w:leftChars="104" w:firstLine="0" w:firstLineChars="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供应商拒绝履行与采购人订立的合同；</w:t>
            </w:r>
          </w:p>
          <w:p w14:paraId="4F09EBE3">
            <w:pPr>
              <w:pStyle w:val="28"/>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（2）因供应商严重违约或其它违法违规行为等情形，导致双方无法继续履约。</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78277E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（1）采购部门：招标采购中心</w:t>
            </w:r>
          </w:p>
          <w:p w14:paraId="0618E8EC">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丁</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87393463</w:t>
            </w:r>
          </w:p>
          <w:p w14:paraId="64ABCF4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（2）归口部门：医学信息中心</w:t>
            </w:r>
          </w:p>
          <w:p w14:paraId="66AD8B0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黄</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87393250</w:t>
            </w:r>
          </w:p>
          <w:p w14:paraId="2699BB77">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（3）监督部门：审计部</w:t>
            </w:r>
          </w:p>
          <w:p w14:paraId="509376EE">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联系方式：028-87394709</w:t>
            </w:r>
          </w:p>
          <w:p w14:paraId="0E7FA11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92583767"/>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24695EB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2583768"/>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6058" w:type="dxa"/>
            <w:vAlign w:val="center"/>
          </w:tcPr>
          <w:p w14:paraId="7748C337">
            <w:pPr>
              <w:jc w:val="left"/>
              <w:rPr>
                <w:rFonts w:hint="eastAsia" w:ascii="Times New Roman" w:hAnsi="Times New Roman" w:eastAsia="仿宋" w:cs="Times New Roman"/>
                <w:bCs/>
                <w:kern w:val="0"/>
                <w:sz w:val="22"/>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的条款（若涉及）</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92583769"/>
      <w:bookmarkStart w:id="14" w:name="_Toc3988"/>
      <w:r>
        <w:rPr>
          <w:rFonts w:ascii="Times New Roman" w:hAnsi="Times New Roman" w:cs="Times New Roman"/>
        </w:rPr>
        <w:t>采购需求</w:t>
      </w:r>
      <w:bookmarkEnd w:id="12"/>
      <w:bookmarkEnd w:id="13"/>
      <w:bookmarkEnd w:id="14"/>
    </w:p>
    <w:p w14:paraId="538AB14B">
      <w:pPr>
        <w:pStyle w:val="8"/>
        <w:numPr>
          <w:ilvl w:val="0"/>
          <w:numId w:val="0"/>
        </w:numPr>
        <w:ind w:firstLine="0" w:firstLineChars="0"/>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本项目拟确定一名供应商提供院前急救系统升级服务。</w:t>
      </w:r>
      <w:r>
        <w:rPr>
          <w:rFonts w:hint="eastAsia" w:ascii="仿宋" w:hAnsi="仿宋" w:eastAsia="仿宋" w:cs="仿宋"/>
          <w:sz w:val="24"/>
          <w:szCs w:val="24"/>
        </w:rPr>
        <w:cr/>
      </w:r>
      <w:r>
        <w:rPr>
          <w:rFonts w:hint="eastAsia" w:ascii="仿宋" w:hAnsi="仿宋" w:eastAsia="仿宋" w:cs="仿宋"/>
          <w:b/>
          <w:bCs/>
          <w:sz w:val="24"/>
          <w:szCs w:val="24"/>
        </w:rPr>
        <w:t>二、采购内容</w:t>
      </w:r>
      <w:r>
        <w:rPr>
          <w:rFonts w:hint="eastAsia" w:ascii="仿宋" w:hAnsi="仿宋" w:eastAsia="仿宋" w:cs="仿宋"/>
          <w:sz w:val="24"/>
          <w:szCs w:val="24"/>
        </w:rPr>
        <w:cr/>
      </w:r>
      <w:r>
        <w:rPr>
          <w:rFonts w:hint="eastAsia" w:ascii="仿宋" w:hAnsi="仿宋" w:eastAsia="仿宋" w:cs="仿宋"/>
          <w:b/>
          <w:bCs/>
          <w:sz w:val="24"/>
          <w:szCs w:val="24"/>
          <w:lang w:val="en-US" w:eastAsia="zh-CN"/>
        </w:rPr>
        <w:t>1.采购清单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90"/>
        <w:gridCol w:w="5790"/>
        <w:gridCol w:w="690"/>
        <w:gridCol w:w="690"/>
        <w:gridCol w:w="1890"/>
      </w:tblGrid>
      <w:tr w14:paraId="349C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3951609A">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序号</w:t>
            </w:r>
          </w:p>
        </w:tc>
        <w:tc>
          <w:tcPr>
            <w:tcW w:w="0" w:type="auto"/>
            <w:shd w:val="clear" w:color="auto" w:fill="auto"/>
            <w:tcMar>
              <w:top w:w="0" w:type="dxa"/>
              <w:left w:w="105" w:type="dxa"/>
              <w:bottom w:w="0" w:type="dxa"/>
              <w:right w:w="105" w:type="dxa"/>
            </w:tcMar>
            <w:vAlign w:val="center"/>
          </w:tcPr>
          <w:p w14:paraId="054D29AB">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品名</w:t>
            </w:r>
          </w:p>
        </w:tc>
        <w:tc>
          <w:tcPr>
            <w:tcW w:w="0" w:type="auto"/>
            <w:shd w:val="clear" w:color="auto" w:fill="auto"/>
            <w:tcMar>
              <w:top w:w="0" w:type="dxa"/>
              <w:left w:w="105" w:type="dxa"/>
              <w:bottom w:w="0" w:type="dxa"/>
              <w:right w:w="105" w:type="dxa"/>
            </w:tcMar>
            <w:vAlign w:val="center"/>
          </w:tcPr>
          <w:p w14:paraId="1CE881BE">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数量</w:t>
            </w:r>
          </w:p>
        </w:tc>
        <w:tc>
          <w:tcPr>
            <w:tcW w:w="0" w:type="auto"/>
            <w:shd w:val="clear" w:color="auto" w:fill="auto"/>
            <w:tcMar>
              <w:top w:w="0" w:type="dxa"/>
              <w:left w:w="105" w:type="dxa"/>
              <w:bottom w:w="0" w:type="dxa"/>
              <w:right w:w="105" w:type="dxa"/>
            </w:tcMar>
            <w:vAlign w:val="center"/>
          </w:tcPr>
          <w:p w14:paraId="3FD5BE84">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单位</w:t>
            </w:r>
          </w:p>
        </w:tc>
        <w:tc>
          <w:tcPr>
            <w:tcW w:w="0" w:type="auto"/>
            <w:shd w:val="clear" w:color="auto" w:fill="auto"/>
            <w:tcMar>
              <w:top w:w="0" w:type="dxa"/>
              <w:left w:w="105" w:type="dxa"/>
              <w:bottom w:w="0" w:type="dxa"/>
              <w:right w:w="105" w:type="dxa"/>
            </w:tcMar>
            <w:vAlign w:val="center"/>
          </w:tcPr>
          <w:p w14:paraId="094AAB84">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限高单价（元）</w:t>
            </w:r>
          </w:p>
        </w:tc>
      </w:tr>
      <w:tr w14:paraId="44FDC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6C38CC03">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714313DD">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重症预警指挥模块</w:t>
            </w:r>
          </w:p>
        </w:tc>
        <w:tc>
          <w:tcPr>
            <w:tcW w:w="0" w:type="auto"/>
            <w:shd w:val="clear" w:color="auto" w:fill="auto"/>
            <w:tcMar>
              <w:top w:w="0" w:type="dxa"/>
              <w:left w:w="105" w:type="dxa"/>
              <w:bottom w:w="0" w:type="dxa"/>
              <w:right w:w="105" w:type="dxa"/>
            </w:tcMar>
            <w:vAlign w:val="center"/>
          </w:tcPr>
          <w:p w14:paraId="49B42C75">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4152DD80">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2E788E3B">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64000</w:t>
            </w:r>
          </w:p>
        </w:tc>
      </w:tr>
      <w:tr w14:paraId="4072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3E0A1778">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2</w:t>
            </w:r>
          </w:p>
        </w:tc>
        <w:tc>
          <w:tcPr>
            <w:tcW w:w="0" w:type="auto"/>
            <w:shd w:val="clear" w:color="auto" w:fill="auto"/>
            <w:tcMar>
              <w:top w:w="0" w:type="dxa"/>
              <w:left w:w="105" w:type="dxa"/>
              <w:bottom w:w="0" w:type="dxa"/>
              <w:right w:w="105" w:type="dxa"/>
            </w:tcMar>
            <w:vAlign w:val="center"/>
          </w:tcPr>
          <w:p w14:paraId="50A1813D">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审核归档质控模块</w:t>
            </w:r>
          </w:p>
        </w:tc>
        <w:tc>
          <w:tcPr>
            <w:tcW w:w="0" w:type="auto"/>
            <w:shd w:val="clear" w:color="auto" w:fill="auto"/>
            <w:tcMar>
              <w:top w:w="0" w:type="dxa"/>
              <w:left w:w="105" w:type="dxa"/>
              <w:bottom w:w="0" w:type="dxa"/>
              <w:right w:w="105" w:type="dxa"/>
            </w:tcMar>
            <w:vAlign w:val="center"/>
          </w:tcPr>
          <w:p w14:paraId="019AE471">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75C14022">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6E79A370">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58000</w:t>
            </w:r>
          </w:p>
        </w:tc>
      </w:tr>
      <w:tr w14:paraId="3582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5EF9FEA7">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3</w:t>
            </w:r>
          </w:p>
        </w:tc>
        <w:tc>
          <w:tcPr>
            <w:tcW w:w="0" w:type="auto"/>
            <w:shd w:val="clear" w:color="auto" w:fill="auto"/>
            <w:tcMar>
              <w:top w:w="0" w:type="dxa"/>
              <w:left w:w="105" w:type="dxa"/>
              <w:bottom w:w="0" w:type="dxa"/>
              <w:right w:w="105" w:type="dxa"/>
            </w:tcMar>
            <w:vAlign w:val="center"/>
          </w:tcPr>
          <w:p w14:paraId="74FC40A3">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5G急救APP功能新增（出诊暂停恢复，送到目的地）</w:t>
            </w:r>
          </w:p>
        </w:tc>
        <w:tc>
          <w:tcPr>
            <w:tcW w:w="0" w:type="auto"/>
            <w:shd w:val="clear" w:color="auto" w:fill="auto"/>
            <w:tcMar>
              <w:top w:w="0" w:type="dxa"/>
              <w:left w:w="105" w:type="dxa"/>
              <w:bottom w:w="0" w:type="dxa"/>
              <w:right w:w="105" w:type="dxa"/>
            </w:tcMar>
            <w:vAlign w:val="center"/>
          </w:tcPr>
          <w:p w14:paraId="09F487C2">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37EF7839">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6A06A249">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40000</w:t>
            </w:r>
          </w:p>
        </w:tc>
      </w:tr>
      <w:tr w14:paraId="201C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0840E5C7">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4</w:t>
            </w:r>
          </w:p>
        </w:tc>
        <w:tc>
          <w:tcPr>
            <w:tcW w:w="0" w:type="auto"/>
            <w:shd w:val="clear" w:color="auto" w:fill="auto"/>
            <w:tcMar>
              <w:top w:w="0" w:type="dxa"/>
              <w:left w:w="105" w:type="dxa"/>
              <w:bottom w:w="0" w:type="dxa"/>
              <w:right w:w="105" w:type="dxa"/>
            </w:tcMar>
            <w:vAlign w:val="center"/>
          </w:tcPr>
          <w:p w14:paraId="0FBAF06F">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5G急救指挥大屏</w:t>
            </w:r>
          </w:p>
        </w:tc>
        <w:tc>
          <w:tcPr>
            <w:tcW w:w="0" w:type="auto"/>
            <w:shd w:val="clear" w:color="auto" w:fill="auto"/>
            <w:tcMar>
              <w:top w:w="0" w:type="dxa"/>
              <w:left w:w="105" w:type="dxa"/>
              <w:bottom w:w="0" w:type="dxa"/>
              <w:right w:w="105" w:type="dxa"/>
            </w:tcMar>
            <w:vAlign w:val="center"/>
          </w:tcPr>
          <w:p w14:paraId="7B1C9E90">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1552FD5A">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22A33D33">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40000</w:t>
            </w:r>
          </w:p>
        </w:tc>
      </w:tr>
      <w:tr w14:paraId="3C981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5CFB1650">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w:t>
            </w:r>
          </w:p>
        </w:tc>
        <w:tc>
          <w:tcPr>
            <w:tcW w:w="0" w:type="auto"/>
            <w:shd w:val="clear" w:color="auto" w:fill="auto"/>
            <w:tcMar>
              <w:top w:w="0" w:type="dxa"/>
              <w:left w:w="105" w:type="dxa"/>
              <w:bottom w:w="0" w:type="dxa"/>
              <w:right w:w="105" w:type="dxa"/>
            </w:tcMar>
            <w:vAlign w:val="center"/>
          </w:tcPr>
          <w:p w14:paraId="479ADA55">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5G急救系统与院内急诊对接</w:t>
            </w:r>
          </w:p>
        </w:tc>
        <w:tc>
          <w:tcPr>
            <w:tcW w:w="0" w:type="auto"/>
            <w:shd w:val="clear" w:color="auto" w:fill="auto"/>
            <w:tcMar>
              <w:top w:w="0" w:type="dxa"/>
              <w:left w:w="105" w:type="dxa"/>
              <w:bottom w:w="0" w:type="dxa"/>
              <w:right w:w="105" w:type="dxa"/>
            </w:tcMar>
            <w:vAlign w:val="center"/>
          </w:tcPr>
          <w:p w14:paraId="4140569F">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5B6F7A8E">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7A458E39">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30000</w:t>
            </w:r>
          </w:p>
        </w:tc>
      </w:tr>
      <w:tr w14:paraId="13C34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09E51393">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6</w:t>
            </w:r>
          </w:p>
        </w:tc>
        <w:tc>
          <w:tcPr>
            <w:tcW w:w="0" w:type="auto"/>
            <w:shd w:val="clear" w:color="auto" w:fill="auto"/>
            <w:tcMar>
              <w:top w:w="0" w:type="dxa"/>
              <w:left w:w="105" w:type="dxa"/>
              <w:bottom w:w="0" w:type="dxa"/>
              <w:right w:w="105" w:type="dxa"/>
            </w:tcMar>
            <w:vAlign w:val="center"/>
          </w:tcPr>
          <w:p w14:paraId="58D9B8ED">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5G急救系统与120调度对接</w:t>
            </w:r>
          </w:p>
        </w:tc>
        <w:tc>
          <w:tcPr>
            <w:tcW w:w="0" w:type="auto"/>
            <w:shd w:val="clear" w:color="auto" w:fill="auto"/>
            <w:tcMar>
              <w:top w:w="0" w:type="dxa"/>
              <w:left w:w="105" w:type="dxa"/>
              <w:bottom w:w="0" w:type="dxa"/>
              <w:right w:w="105" w:type="dxa"/>
            </w:tcMar>
            <w:vAlign w:val="center"/>
          </w:tcPr>
          <w:p w14:paraId="13844916">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4BE84C92">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46B10CBC">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30000</w:t>
            </w:r>
          </w:p>
        </w:tc>
      </w:tr>
      <w:tr w14:paraId="589AB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54E9EDF3">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7</w:t>
            </w:r>
          </w:p>
        </w:tc>
        <w:tc>
          <w:tcPr>
            <w:tcW w:w="0" w:type="auto"/>
            <w:shd w:val="clear" w:color="auto" w:fill="auto"/>
            <w:tcMar>
              <w:top w:w="0" w:type="dxa"/>
              <w:left w:w="105" w:type="dxa"/>
              <w:bottom w:w="0" w:type="dxa"/>
              <w:right w:w="105" w:type="dxa"/>
            </w:tcMar>
            <w:vAlign w:val="center"/>
          </w:tcPr>
          <w:p w14:paraId="7B887BB3">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5G急救系统与集成平台对接</w:t>
            </w:r>
          </w:p>
        </w:tc>
        <w:tc>
          <w:tcPr>
            <w:tcW w:w="0" w:type="auto"/>
            <w:shd w:val="clear" w:color="auto" w:fill="auto"/>
            <w:tcMar>
              <w:top w:w="0" w:type="dxa"/>
              <w:left w:w="105" w:type="dxa"/>
              <w:bottom w:w="0" w:type="dxa"/>
              <w:right w:w="105" w:type="dxa"/>
            </w:tcMar>
            <w:vAlign w:val="center"/>
          </w:tcPr>
          <w:p w14:paraId="0EE2F951">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0" w:type="auto"/>
            <w:shd w:val="clear" w:color="auto" w:fill="auto"/>
            <w:tcMar>
              <w:top w:w="0" w:type="dxa"/>
              <w:left w:w="105" w:type="dxa"/>
              <w:bottom w:w="0" w:type="dxa"/>
              <w:right w:w="105" w:type="dxa"/>
            </w:tcMar>
            <w:vAlign w:val="center"/>
          </w:tcPr>
          <w:p w14:paraId="16CF6527">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5B7A269F">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24000</w:t>
            </w:r>
          </w:p>
        </w:tc>
      </w:tr>
      <w:tr w14:paraId="55E0F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0D31C34B">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8</w:t>
            </w:r>
          </w:p>
        </w:tc>
        <w:tc>
          <w:tcPr>
            <w:tcW w:w="0" w:type="auto"/>
            <w:shd w:val="clear" w:color="auto" w:fill="auto"/>
            <w:tcMar>
              <w:top w:w="0" w:type="dxa"/>
              <w:left w:w="105" w:type="dxa"/>
              <w:bottom w:w="0" w:type="dxa"/>
              <w:right w:w="105" w:type="dxa"/>
            </w:tcMar>
            <w:vAlign w:val="center"/>
          </w:tcPr>
          <w:p w14:paraId="0387B3C7">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5G急救系统与CA系统对接</w:t>
            </w:r>
          </w:p>
        </w:tc>
        <w:tc>
          <w:tcPr>
            <w:tcW w:w="690" w:type="dxa"/>
            <w:shd w:val="clear" w:color="auto" w:fill="auto"/>
            <w:tcMar>
              <w:top w:w="0" w:type="dxa"/>
              <w:left w:w="105" w:type="dxa"/>
              <w:bottom w:w="0" w:type="dxa"/>
              <w:right w:w="105" w:type="dxa"/>
            </w:tcMar>
            <w:vAlign w:val="center"/>
          </w:tcPr>
          <w:p w14:paraId="43094844">
            <w:pPr>
              <w:pStyle w:val="8"/>
              <w:numPr>
                <w:ilvl w:val="0"/>
                <w:numId w:val="0"/>
              </w:num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690" w:type="dxa"/>
            <w:shd w:val="clear" w:color="auto" w:fill="auto"/>
            <w:tcMar>
              <w:top w:w="0" w:type="dxa"/>
              <w:left w:w="105" w:type="dxa"/>
              <w:bottom w:w="0" w:type="dxa"/>
              <w:right w:w="105" w:type="dxa"/>
            </w:tcMar>
            <w:vAlign w:val="center"/>
          </w:tcPr>
          <w:p w14:paraId="719D4F06">
            <w:pPr>
              <w:pStyle w:val="8"/>
              <w:numPr>
                <w:ilvl w:val="0"/>
                <w:numId w:val="0"/>
              </w:num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5FC3E36F">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29000</w:t>
            </w:r>
          </w:p>
        </w:tc>
      </w:tr>
      <w:tr w14:paraId="6CB9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45B29A1C">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9</w:t>
            </w:r>
          </w:p>
        </w:tc>
        <w:tc>
          <w:tcPr>
            <w:tcW w:w="0" w:type="auto"/>
            <w:shd w:val="clear" w:color="auto" w:fill="auto"/>
            <w:tcMar>
              <w:top w:w="0" w:type="dxa"/>
              <w:left w:w="105" w:type="dxa"/>
              <w:bottom w:w="0" w:type="dxa"/>
              <w:right w:w="105" w:type="dxa"/>
            </w:tcMar>
            <w:vAlign w:val="center"/>
          </w:tcPr>
          <w:p w14:paraId="342B1B40">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120安克定制接口（成都120厂家安克收费）</w:t>
            </w:r>
          </w:p>
        </w:tc>
        <w:tc>
          <w:tcPr>
            <w:tcW w:w="690" w:type="dxa"/>
            <w:shd w:val="clear" w:color="auto" w:fill="auto"/>
            <w:tcMar>
              <w:top w:w="0" w:type="dxa"/>
              <w:left w:w="105" w:type="dxa"/>
              <w:bottom w:w="0" w:type="dxa"/>
              <w:right w:w="105" w:type="dxa"/>
            </w:tcMar>
            <w:vAlign w:val="center"/>
          </w:tcPr>
          <w:p w14:paraId="37C89A99">
            <w:pPr>
              <w:pStyle w:val="8"/>
              <w:numPr>
                <w:ilvl w:val="0"/>
                <w:numId w:val="0"/>
              </w:num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690" w:type="dxa"/>
            <w:shd w:val="clear" w:color="auto" w:fill="auto"/>
            <w:tcMar>
              <w:top w:w="0" w:type="dxa"/>
              <w:left w:w="105" w:type="dxa"/>
              <w:bottom w:w="0" w:type="dxa"/>
              <w:right w:w="105" w:type="dxa"/>
            </w:tcMar>
            <w:vAlign w:val="center"/>
          </w:tcPr>
          <w:p w14:paraId="4C55DAFE">
            <w:pPr>
              <w:pStyle w:val="8"/>
              <w:numPr>
                <w:ilvl w:val="0"/>
                <w:numId w:val="0"/>
              </w:num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328850B2">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97000</w:t>
            </w:r>
          </w:p>
        </w:tc>
      </w:tr>
      <w:tr w14:paraId="3D3EF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0" w:type="auto"/>
            <w:shd w:val="clear" w:color="auto" w:fill="auto"/>
            <w:tcMar>
              <w:top w:w="0" w:type="dxa"/>
              <w:left w:w="105" w:type="dxa"/>
              <w:bottom w:w="0" w:type="dxa"/>
              <w:right w:w="105" w:type="dxa"/>
            </w:tcMar>
            <w:vAlign w:val="center"/>
          </w:tcPr>
          <w:p w14:paraId="3B49F8FA">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10</w:t>
            </w:r>
          </w:p>
        </w:tc>
        <w:tc>
          <w:tcPr>
            <w:tcW w:w="0" w:type="auto"/>
            <w:shd w:val="clear" w:color="auto" w:fill="auto"/>
            <w:tcMar>
              <w:top w:w="0" w:type="dxa"/>
              <w:left w:w="105" w:type="dxa"/>
              <w:bottom w:w="0" w:type="dxa"/>
              <w:right w:w="105" w:type="dxa"/>
            </w:tcMar>
            <w:vAlign w:val="center"/>
          </w:tcPr>
          <w:p w14:paraId="1222F46E">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5G急救系统本地化部署迁移</w:t>
            </w:r>
          </w:p>
        </w:tc>
        <w:tc>
          <w:tcPr>
            <w:tcW w:w="690" w:type="dxa"/>
            <w:shd w:val="clear" w:color="auto" w:fill="auto"/>
            <w:tcMar>
              <w:top w:w="0" w:type="dxa"/>
              <w:left w:w="105" w:type="dxa"/>
              <w:bottom w:w="0" w:type="dxa"/>
              <w:right w:w="105" w:type="dxa"/>
            </w:tcMar>
            <w:vAlign w:val="center"/>
          </w:tcPr>
          <w:p w14:paraId="19D31361">
            <w:pPr>
              <w:pStyle w:val="8"/>
              <w:numPr>
                <w:ilvl w:val="0"/>
                <w:numId w:val="0"/>
              </w:num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690" w:type="dxa"/>
            <w:shd w:val="clear" w:color="auto" w:fill="auto"/>
            <w:tcMar>
              <w:top w:w="0" w:type="dxa"/>
              <w:left w:w="105" w:type="dxa"/>
              <w:bottom w:w="0" w:type="dxa"/>
              <w:right w:w="105" w:type="dxa"/>
            </w:tcMar>
            <w:vAlign w:val="center"/>
          </w:tcPr>
          <w:p w14:paraId="0E07C296">
            <w:pPr>
              <w:pStyle w:val="8"/>
              <w:numPr>
                <w:ilvl w:val="0"/>
                <w:numId w:val="0"/>
              </w:numPr>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项</w:t>
            </w:r>
          </w:p>
        </w:tc>
        <w:tc>
          <w:tcPr>
            <w:tcW w:w="0" w:type="auto"/>
            <w:shd w:val="clear" w:color="auto" w:fill="auto"/>
            <w:tcMar>
              <w:top w:w="0" w:type="dxa"/>
              <w:left w:w="105" w:type="dxa"/>
              <w:bottom w:w="0" w:type="dxa"/>
              <w:right w:w="105" w:type="dxa"/>
            </w:tcMar>
            <w:vAlign w:val="center"/>
          </w:tcPr>
          <w:p w14:paraId="36BE4154">
            <w:pPr>
              <w:pStyle w:val="8"/>
              <w:numPr>
                <w:ilvl w:val="0"/>
                <w:numId w:val="0"/>
              </w:numPr>
              <w:ind w:firstLine="0" w:firstLineChars="0"/>
              <w:jc w:val="center"/>
              <w:rPr>
                <w:rFonts w:hint="eastAsia" w:ascii="仿宋" w:hAnsi="仿宋" w:eastAsia="仿宋" w:cs="仿宋"/>
                <w:sz w:val="24"/>
                <w:szCs w:val="24"/>
              </w:rPr>
            </w:pPr>
            <w:r>
              <w:rPr>
                <w:rFonts w:hint="eastAsia" w:ascii="仿宋" w:hAnsi="仿宋" w:eastAsia="仿宋" w:cs="仿宋"/>
                <w:sz w:val="24"/>
                <w:szCs w:val="24"/>
              </w:rPr>
              <w:t>7000</w:t>
            </w:r>
          </w:p>
        </w:tc>
      </w:tr>
    </w:tbl>
    <w:p w14:paraId="6232B5B2">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w:t>
      </w:r>
      <w:r>
        <w:rPr>
          <w:rStyle w:val="21"/>
          <w:rFonts w:hint="eastAsia" w:ascii="宋体" w:hAnsi="宋体" w:eastAsia="宋体" w:cs="宋体"/>
          <w:b/>
          <w:bCs/>
          <w:kern w:val="2"/>
          <w:sz w:val="24"/>
          <w:szCs w:val="24"/>
        </w:rPr>
        <w:t>接口清单</w:t>
      </w:r>
    </w:p>
    <w:p w14:paraId="7B31EF9F">
      <w:pPr>
        <w:pStyle w:val="8"/>
        <w:numPr>
          <w:ilvl w:val="0"/>
          <w:numId w:val="0"/>
        </w:numPr>
        <w:ind w:firstLine="480" w:firstLineChars="200"/>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本项目实施期间，凡涉及与东软集团股份有限公司（以下简称“东软”）既有系统对接，所产生的费用由采购人承担；其余非东软体系内的接口费用，则由成交供应商承担，涵盖设备、包装、运输、安装、调试、税费及可能衍生的各项支出，均包含在本次采购费用中，采购人不再支付成交金额以外的任何款项。对接过程中，成交供应商应与采购人除“东软集团股份有限公司”外现有软件供应商友好协商，并于协商前向采购人提交接口方案清单，对接所产生费用的限高价为本合同总价的10%。</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4"/>
        <w:gridCol w:w="1494"/>
        <w:gridCol w:w="3334"/>
        <w:gridCol w:w="4255"/>
      </w:tblGrid>
      <w:tr w14:paraId="4EA1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51ABF36A">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序号</w:t>
            </w:r>
          </w:p>
        </w:tc>
        <w:tc>
          <w:tcPr>
            <w:tcW w:w="1494" w:type="dxa"/>
            <w:shd w:val="clear" w:color="auto" w:fill="auto"/>
            <w:tcMar>
              <w:top w:w="0" w:type="dxa"/>
              <w:left w:w="105" w:type="dxa"/>
              <w:bottom w:w="0" w:type="dxa"/>
              <w:right w:w="105" w:type="dxa"/>
            </w:tcMar>
            <w:vAlign w:val="center"/>
          </w:tcPr>
          <w:p w14:paraId="365607E6">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软硬件</w:t>
            </w:r>
          </w:p>
        </w:tc>
        <w:tc>
          <w:tcPr>
            <w:tcW w:w="3334" w:type="dxa"/>
            <w:shd w:val="clear" w:color="auto" w:fill="auto"/>
            <w:tcMar>
              <w:top w:w="0" w:type="dxa"/>
              <w:left w:w="105" w:type="dxa"/>
              <w:bottom w:w="0" w:type="dxa"/>
              <w:right w:w="105" w:type="dxa"/>
            </w:tcMar>
            <w:vAlign w:val="center"/>
          </w:tcPr>
          <w:p w14:paraId="6E1D7C9C">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生产厂商（全称）</w:t>
            </w:r>
          </w:p>
        </w:tc>
        <w:tc>
          <w:tcPr>
            <w:tcW w:w="4255" w:type="dxa"/>
            <w:shd w:val="clear" w:color="auto" w:fill="auto"/>
            <w:tcMar>
              <w:top w:w="0" w:type="dxa"/>
              <w:left w:w="105" w:type="dxa"/>
              <w:bottom w:w="0" w:type="dxa"/>
              <w:right w:w="105" w:type="dxa"/>
            </w:tcMar>
            <w:vAlign w:val="center"/>
          </w:tcPr>
          <w:p w14:paraId="06494106">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对接描述</w:t>
            </w:r>
          </w:p>
        </w:tc>
      </w:tr>
      <w:tr w14:paraId="271CF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305FBFE2">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w:t>
            </w:r>
          </w:p>
        </w:tc>
        <w:tc>
          <w:tcPr>
            <w:tcW w:w="1494" w:type="dxa"/>
            <w:shd w:val="clear" w:color="auto" w:fill="auto"/>
            <w:tcMar>
              <w:top w:w="0" w:type="dxa"/>
              <w:left w:w="105" w:type="dxa"/>
              <w:bottom w:w="0" w:type="dxa"/>
              <w:right w:w="105" w:type="dxa"/>
            </w:tcMar>
            <w:vAlign w:val="center"/>
          </w:tcPr>
          <w:p w14:paraId="3D9BAFFB">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急诊系统</w:t>
            </w:r>
          </w:p>
        </w:tc>
        <w:tc>
          <w:tcPr>
            <w:tcW w:w="3334" w:type="dxa"/>
            <w:shd w:val="clear" w:color="auto" w:fill="auto"/>
            <w:tcMar>
              <w:top w:w="0" w:type="dxa"/>
              <w:left w:w="105" w:type="dxa"/>
              <w:bottom w:w="0" w:type="dxa"/>
              <w:right w:w="105" w:type="dxa"/>
            </w:tcMar>
            <w:vAlign w:val="center"/>
          </w:tcPr>
          <w:p w14:paraId="15FA437F">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成都信通网易医疗科技发展有限公司</w:t>
            </w:r>
          </w:p>
        </w:tc>
        <w:tc>
          <w:tcPr>
            <w:tcW w:w="4255" w:type="dxa"/>
            <w:shd w:val="clear" w:color="auto" w:fill="auto"/>
            <w:tcMar>
              <w:top w:w="0" w:type="dxa"/>
              <w:left w:w="105" w:type="dxa"/>
              <w:bottom w:w="0" w:type="dxa"/>
              <w:right w:w="105" w:type="dxa"/>
            </w:tcMar>
            <w:vAlign w:val="center"/>
          </w:tcPr>
          <w:p w14:paraId="7A3676DD">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相关功能接口对接</w:t>
            </w:r>
          </w:p>
        </w:tc>
      </w:tr>
      <w:tr w14:paraId="0FD67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59D0E795">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w:t>
            </w:r>
          </w:p>
        </w:tc>
        <w:tc>
          <w:tcPr>
            <w:tcW w:w="1494" w:type="dxa"/>
            <w:shd w:val="clear" w:color="auto" w:fill="auto"/>
            <w:tcMar>
              <w:top w:w="0" w:type="dxa"/>
              <w:left w:w="105" w:type="dxa"/>
              <w:bottom w:w="0" w:type="dxa"/>
              <w:right w:w="105" w:type="dxa"/>
            </w:tcMar>
            <w:vAlign w:val="center"/>
          </w:tcPr>
          <w:p w14:paraId="7D5FA29F">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120系统</w:t>
            </w:r>
          </w:p>
        </w:tc>
        <w:tc>
          <w:tcPr>
            <w:tcW w:w="3334" w:type="dxa"/>
            <w:shd w:val="clear" w:color="auto" w:fill="auto"/>
            <w:tcMar>
              <w:top w:w="0" w:type="dxa"/>
              <w:left w:w="105" w:type="dxa"/>
              <w:bottom w:w="0" w:type="dxa"/>
              <w:right w:w="105" w:type="dxa"/>
            </w:tcMar>
            <w:vAlign w:val="center"/>
          </w:tcPr>
          <w:p w14:paraId="4B6A70E2">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珠海市安克电子技术有限公司</w:t>
            </w:r>
          </w:p>
        </w:tc>
        <w:tc>
          <w:tcPr>
            <w:tcW w:w="4255" w:type="dxa"/>
            <w:shd w:val="clear" w:color="auto" w:fill="auto"/>
            <w:tcMar>
              <w:top w:w="0" w:type="dxa"/>
              <w:left w:w="105" w:type="dxa"/>
              <w:bottom w:w="0" w:type="dxa"/>
              <w:right w:w="105" w:type="dxa"/>
            </w:tcMar>
            <w:vAlign w:val="center"/>
          </w:tcPr>
          <w:p w14:paraId="4926E80A">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相关功能接口对接</w:t>
            </w:r>
          </w:p>
        </w:tc>
      </w:tr>
      <w:tr w14:paraId="45B43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0681C920">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w:t>
            </w:r>
          </w:p>
        </w:tc>
        <w:tc>
          <w:tcPr>
            <w:tcW w:w="1494" w:type="dxa"/>
            <w:shd w:val="clear" w:color="auto" w:fill="auto"/>
            <w:tcMar>
              <w:top w:w="0" w:type="dxa"/>
              <w:left w:w="105" w:type="dxa"/>
              <w:bottom w:w="0" w:type="dxa"/>
              <w:right w:w="105" w:type="dxa"/>
            </w:tcMar>
            <w:vAlign w:val="center"/>
          </w:tcPr>
          <w:p w14:paraId="2AF1BF3F">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集成平台</w:t>
            </w:r>
          </w:p>
        </w:tc>
        <w:tc>
          <w:tcPr>
            <w:tcW w:w="3334" w:type="dxa"/>
            <w:shd w:val="clear" w:color="auto" w:fill="auto"/>
            <w:tcMar>
              <w:top w:w="0" w:type="dxa"/>
              <w:left w:w="105" w:type="dxa"/>
              <w:bottom w:w="0" w:type="dxa"/>
              <w:right w:w="105" w:type="dxa"/>
            </w:tcMar>
            <w:vAlign w:val="center"/>
          </w:tcPr>
          <w:p w14:paraId="64E08F2A">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东软集团股份有限公司</w:t>
            </w:r>
          </w:p>
        </w:tc>
        <w:tc>
          <w:tcPr>
            <w:tcW w:w="4255" w:type="dxa"/>
            <w:shd w:val="clear" w:color="auto" w:fill="auto"/>
            <w:tcMar>
              <w:top w:w="0" w:type="dxa"/>
              <w:left w:w="105" w:type="dxa"/>
              <w:bottom w:w="0" w:type="dxa"/>
              <w:right w:w="105" w:type="dxa"/>
            </w:tcMar>
            <w:vAlign w:val="center"/>
          </w:tcPr>
          <w:p w14:paraId="2E8EA13A">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相关功能接口对接</w:t>
            </w:r>
          </w:p>
        </w:tc>
      </w:tr>
      <w:tr w14:paraId="07C2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2BB06B14">
            <w:pPr>
              <w:pStyle w:val="8"/>
              <w:numPr>
                <w:ilvl w:val="0"/>
                <w:numId w:val="0"/>
              </w:numPr>
              <w:ind w:firstLine="0" w:firstLineChars="0"/>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w:t>
            </w:r>
          </w:p>
        </w:tc>
        <w:tc>
          <w:tcPr>
            <w:tcW w:w="1494" w:type="dxa"/>
            <w:shd w:val="clear" w:color="auto" w:fill="auto"/>
            <w:tcMar>
              <w:top w:w="0" w:type="dxa"/>
              <w:left w:w="105" w:type="dxa"/>
              <w:bottom w:w="0" w:type="dxa"/>
              <w:right w:w="105" w:type="dxa"/>
            </w:tcMar>
            <w:vAlign w:val="center"/>
          </w:tcPr>
          <w:p w14:paraId="6659728F">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CA系统</w:t>
            </w:r>
          </w:p>
        </w:tc>
        <w:tc>
          <w:tcPr>
            <w:tcW w:w="3334" w:type="dxa"/>
            <w:shd w:val="clear" w:color="auto" w:fill="auto"/>
            <w:tcMar>
              <w:top w:w="0" w:type="dxa"/>
              <w:left w:w="105" w:type="dxa"/>
              <w:bottom w:w="0" w:type="dxa"/>
              <w:right w:w="105" w:type="dxa"/>
            </w:tcMar>
            <w:vAlign w:val="center"/>
          </w:tcPr>
          <w:p w14:paraId="28FD87A2">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北京数字认证股份有限公司</w:t>
            </w:r>
          </w:p>
        </w:tc>
        <w:tc>
          <w:tcPr>
            <w:tcW w:w="4255" w:type="dxa"/>
            <w:shd w:val="clear" w:color="auto" w:fill="auto"/>
            <w:tcMar>
              <w:top w:w="0" w:type="dxa"/>
              <w:left w:w="105" w:type="dxa"/>
              <w:bottom w:w="0" w:type="dxa"/>
              <w:right w:w="105" w:type="dxa"/>
            </w:tcMar>
            <w:vAlign w:val="center"/>
          </w:tcPr>
          <w:p w14:paraId="38FEE4C3">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相关功能接口对接</w:t>
            </w:r>
          </w:p>
        </w:tc>
      </w:tr>
      <w:tr w14:paraId="59D1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764" w:type="dxa"/>
            <w:shd w:val="clear" w:color="auto" w:fill="auto"/>
            <w:tcMar>
              <w:top w:w="0" w:type="dxa"/>
              <w:left w:w="105" w:type="dxa"/>
              <w:bottom w:w="0" w:type="dxa"/>
              <w:right w:w="105" w:type="dxa"/>
            </w:tcMar>
            <w:vAlign w:val="center"/>
          </w:tcPr>
          <w:p w14:paraId="24E0C7F8">
            <w:pPr>
              <w:pStyle w:val="8"/>
              <w:numPr>
                <w:ilvl w:val="0"/>
                <w:numId w:val="0"/>
              </w:numPr>
              <w:ind w:firstLine="0" w:firstLineChars="0"/>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w:t>
            </w:r>
          </w:p>
        </w:tc>
        <w:tc>
          <w:tcPr>
            <w:tcW w:w="1494" w:type="dxa"/>
            <w:shd w:val="clear" w:color="auto" w:fill="auto"/>
            <w:tcMar>
              <w:top w:w="0" w:type="dxa"/>
              <w:left w:w="105" w:type="dxa"/>
              <w:bottom w:w="0" w:type="dxa"/>
              <w:right w:w="105" w:type="dxa"/>
            </w:tcMar>
            <w:vAlign w:val="center"/>
          </w:tcPr>
          <w:p w14:paraId="63963EE1">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医院信息系统（HIS）</w:t>
            </w:r>
          </w:p>
        </w:tc>
        <w:tc>
          <w:tcPr>
            <w:tcW w:w="3334" w:type="dxa"/>
            <w:shd w:val="clear" w:color="auto" w:fill="auto"/>
            <w:tcMar>
              <w:top w:w="0" w:type="dxa"/>
              <w:left w:w="105" w:type="dxa"/>
              <w:bottom w:w="0" w:type="dxa"/>
              <w:right w:w="105" w:type="dxa"/>
            </w:tcMar>
            <w:vAlign w:val="center"/>
          </w:tcPr>
          <w:p w14:paraId="7EC84C60">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东软集团股份有限公司</w:t>
            </w:r>
          </w:p>
        </w:tc>
        <w:tc>
          <w:tcPr>
            <w:tcW w:w="4255" w:type="dxa"/>
            <w:shd w:val="clear" w:color="auto" w:fill="auto"/>
            <w:tcMar>
              <w:top w:w="0" w:type="dxa"/>
              <w:left w:w="105" w:type="dxa"/>
              <w:bottom w:w="0" w:type="dxa"/>
              <w:right w:w="105" w:type="dxa"/>
            </w:tcMar>
            <w:vAlign w:val="center"/>
          </w:tcPr>
          <w:p w14:paraId="25FC5F97">
            <w:pPr>
              <w:pStyle w:val="8"/>
              <w:numPr>
                <w:ilvl w:val="0"/>
                <w:numId w:val="0"/>
              </w:numPr>
              <w:ind w:firstLine="0" w:firstLineChars="0"/>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相关功能接口对接</w:t>
            </w:r>
          </w:p>
        </w:tc>
      </w:tr>
    </w:tbl>
    <w:p w14:paraId="47BAA638">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rPr>
        <w:t>三、技术、服务要求</w:t>
      </w:r>
      <w:r>
        <w:rPr>
          <w:rFonts w:hint="eastAsia" w:ascii="仿宋" w:hAnsi="仿宋" w:eastAsia="仿宋" w:cs="仿宋"/>
          <w:b/>
          <w:bCs/>
          <w:sz w:val="24"/>
          <w:szCs w:val="24"/>
        </w:rPr>
        <w:cr/>
      </w:r>
      <w:r>
        <w:rPr>
          <w:rFonts w:hint="eastAsia" w:ascii="仿宋" w:hAnsi="仿宋" w:eastAsia="仿宋" w:cs="仿宋"/>
          <w:b/>
          <w:bCs/>
          <w:sz w:val="24"/>
          <w:szCs w:val="24"/>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9"/>
        <w:gridCol w:w="1789"/>
        <w:gridCol w:w="1424"/>
        <w:gridCol w:w="5905"/>
      </w:tblGrid>
      <w:tr w14:paraId="518B9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1EDBD842">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序号</w:t>
            </w:r>
          </w:p>
        </w:tc>
        <w:tc>
          <w:tcPr>
            <w:tcW w:w="1545" w:type="dxa"/>
            <w:shd w:val="clear" w:color="auto" w:fill="auto"/>
            <w:tcMar>
              <w:top w:w="0" w:type="dxa"/>
              <w:left w:w="105" w:type="dxa"/>
              <w:bottom w:w="0" w:type="dxa"/>
              <w:right w:w="105" w:type="dxa"/>
            </w:tcMar>
            <w:vAlign w:val="center"/>
          </w:tcPr>
          <w:p w14:paraId="7668BFF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系统</w:t>
            </w:r>
          </w:p>
        </w:tc>
        <w:tc>
          <w:tcPr>
            <w:tcW w:w="1230" w:type="dxa"/>
            <w:shd w:val="clear" w:color="auto" w:fill="auto"/>
            <w:tcMar>
              <w:top w:w="0" w:type="dxa"/>
              <w:left w:w="105" w:type="dxa"/>
              <w:bottom w:w="0" w:type="dxa"/>
              <w:right w:w="105" w:type="dxa"/>
            </w:tcMar>
            <w:vAlign w:val="center"/>
          </w:tcPr>
          <w:p w14:paraId="3AFCE13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模块</w:t>
            </w:r>
          </w:p>
        </w:tc>
        <w:tc>
          <w:tcPr>
            <w:tcW w:w="5100" w:type="dxa"/>
            <w:shd w:val="clear" w:color="auto" w:fill="auto"/>
            <w:tcMar>
              <w:top w:w="0" w:type="dxa"/>
              <w:left w:w="105" w:type="dxa"/>
              <w:bottom w:w="0" w:type="dxa"/>
              <w:right w:w="105" w:type="dxa"/>
            </w:tcMar>
            <w:vAlign w:val="center"/>
          </w:tcPr>
          <w:p w14:paraId="2AD75D80">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参数</w:t>
            </w:r>
          </w:p>
        </w:tc>
      </w:tr>
      <w:tr w14:paraId="36EB5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5523830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1545" w:type="dxa"/>
            <w:shd w:val="clear" w:color="auto" w:fill="auto"/>
            <w:tcMar>
              <w:top w:w="0" w:type="dxa"/>
              <w:left w:w="105" w:type="dxa"/>
              <w:bottom w:w="0" w:type="dxa"/>
              <w:right w:w="105" w:type="dxa"/>
            </w:tcMar>
            <w:vAlign w:val="center"/>
          </w:tcPr>
          <w:p w14:paraId="57743BF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31875B9C">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重症预警指挥模块</w:t>
            </w:r>
          </w:p>
        </w:tc>
        <w:tc>
          <w:tcPr>
            <w:tcW w:w="5100" w:type="dxa"/>
            <w:shd w:val="clear" w:color="auto" w:fill="auto"/>
            <w:tcMar>
              <w:top w:w="0" w:type="dxa"/>
              <w:left w:w="105" w:type="dxa"/>
              <w:bottom w:w="0" w:type="dxa"/>
              <w:right w:w="105" w:type="dxa"/>
            </w:tcMar>
            <w:vAlign w:val="center"/>
          </w:tcPr>
          <w:p w14:paraId="2AACB3F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1、支持上报重症预警，填报姓名、年龄、性别、病种等信息，便于院内医生提前做好接诊准备；支持指定预警对象，预警到指定科室、医生用户；支持不指定对象，预警到管理员进行指挥分发；</w:t>
            </w:r>
          </w:p>
          <w:p w14:paraId="689CD4A5">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2、持管理员将预警一键指挥到指定科室或医生用户；指挥时支持修改调整患者病种、预警通知内容；支持按病种将预警对象设为默认，下次指挥自动带入预警对象；</w:t>
            </w:r>
          </w:p>
          <w:p w14:paraId="3491A68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3、支持短信+语音通知被指挥的医生，提示病种及预警详情；支持短信+语音通知被指挥的科室值班电话，提示病种及预警详情；</w:t>
            </w:r>
          </w:p>
          <w:p w14:paraId="612FFCF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4、支持各科室和用户处理收到的预警，反馈处理措施/意见；系统自动更新预警进度、预警状态；支持管理员人工关闭预警；</w:t>
            </w:r>
          </w:p>
          <w:p w14:paraId="47792C9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5、任务中发起的预警，支持参与预警的各用户快捷查看关联的急救任务；支持在急救任务详情中标识预警的状态、进度、病种信息；</w:t>
            </w:r>
          </w:p>
        </w:tc>
      </w:tr>
      <w:tr w14:paraId="1EC39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2148F9B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2</w:t>
            </w:r>
          </w:p>
        </w:tc>
        <w:tc>
          <w:tcPr>
            <w:tcW w:w="1545" w:type="dxa"/>
            <w:shd w:val="clear" w:color="auto" w:fill="auto"/>
            <w:tcMar>
              <w:top w:w="0" w:type="dxa"/>
              <w:left w:w="105" w:type="dxa"/>
              <w:bottom w:w="0" w:type="dxa"/>
              <w:right w:w="105" w:type="dxa"/>
            </w:tcMar>
            <w:vAlign w:val="center"/>
          </w:tcPr>
          <w:p w14:paraId="621FEB3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1CB0408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审核归档质控模块</w:t>
            </w:r>
          </w:p>
        </w:tc>
        <w:tc>
          <w:tcPr>
            <w:tcW w:w="5100" w:type="dxa"/>
            <w:shd w:val="clear" w:color="auto" w:fill="auto"/>
            <w:tcMar>
              <w:top w:w="0" w:type="dxa"/>
              <w:left w:w="105" w:type="dxa"/>
              <w:bottom w:w="0" w:type="dxa"/>
              <w:right w:w="105" w:type="dxa"/>
            </w:tcMar>
            <w:vAlign w:val="center"/>
          </w:tcPr>
          <w:p w14:paraId="31E7E322">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1、任务结束后，病历默认为未归档状态，可查看、筛选病历状态；</w:t>
            </w:r>
          </w:p>
          <w:p w14:paraId="79296F7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2、支持出诊人员将病历提交审核，病历进入待审核状态；</w:t>
            </w:r>
          </w:p>
          <w:p w14:paraId="2FE6C9D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3、待审核的病历，管理人员可查看、二次编辑、退回病历；</w:t>
            </w:r>
          </w:p>
          <w:p w14:paraId="13850C40">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4、管理人员审核病历后，病历进入已归档状态，也支持直接归档未归档的病历；</w:t>
            </w:r>
          </w:p>
          <w:p w14:paraId="79E521E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5、病历归档后的所有内容固化不可修改编辑，仅可查看、打印；</w:t>
            </w:r>
          </w:p>
          <w:p w14:paraId="505D7B12">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6、支持按病历模板设置自动归档，可自定义归档的时间；</w:t>
            </w:r>
          </w:p>
          <w:p w14:paraId="066D2D3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7、距离任务结束时间超过自动归档时间，自动将对应的病历归档；</w:t>
            </w:r>
          </w:p>
          <w:p w14:paraId="31E07FE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8、支持按病历模板设置归档超时提醒，可自定义提醒的时间；</w:t>
            </w:r>
          </w:p>
          <w:p w14:paraId="3986704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9、距离任务结束时间超过超时提醒时间，向病历创建人发送短信提醒；</w:t>
            </w:r>
          </w:p>
          <w:p w14:paraId="1C37EFF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10、支持统计指定时间范围内的任务完成情况，包括已完成、已出车未完成、已派车未出车等；</w:t>
            </w:r>
          </w:p>
          <w:p w14:paraId="7163A31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11、支持统计指定时间范围内的转运耗时情况，统计“接到患者”到“送达医院”的时间长度；</w:t>
            </w:r>
          </w:p>
          <w:p w14:paraId="68A8D8DF">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12、支持统计指定时间范围内的急救报警类型，包括日常急救、重症转运、紧急救援、行政用车等；</w:t>
            </w:r>
          </w:p>
          <w:p w14:paraId="00CF91D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13、支持对处理结果按照送往医院、特殊处理、就地处置、它车接走、死亡等分类进行分布统计；</w:t>
            </w:r>
          </w:p>
          <w:p w14:paraId="38DA383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14、支持统计指定时间范围内的急救资源占用情况，支持按车辆统计出车总次数；</w:t>
            </w:r>
          </w:p>
          <w:p w14:paraId="43149DA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15、支持统计指定时间范围内的任务转运总人次的变化情况；</w:t>
            </w:r>
          </w:p>
          <w:p w14:paraId="0FBBC91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16、支持统计指定时间范围内的病历数量，包括未归档、待审核、审核通过；</w:t>
            </w:r>
          </w:p>
        </w:tc>
      </w:tr>
      <w:tr w14:paraId="205F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45DDFF5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3</w:t>
            </w:r>
          </w:p>
        </w:tc>
        <w:tc>
          <w:tcPr>
            <w:tcW w:w="1545" w:type="dxa"/>
            <w:shd w:val="clear" w:color="auto" w:fill="auto"/>
            <w:tcMar>
              <w:top w:w="0" w:type="dxa"/>
              <w:left w:w="105" w:type="dxa"/>
              <w:bottom w:w="0" w:type="dxa"/>
              <w:right w:w="105" w:type="dxa"/>
            </w:tcMar>
            <w:vAlign w:val="center"/>
          </w:tcPr>
          <w:p w14:paraId="54F5BAC2">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262E918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5G急救APP功能新增（出诊暂停恢复，送到目的地）</w:t>
            </w:r>
          </w:p>
        </w:tc>
        <w:tc>
          <w:tcPr>
            <w:tcW w:w="5100" w:type="dxa"/>
            <w:shd w:val="clear" w:color="auto" w:fill="auto"/>
            <w:tcMar>
              <w:top w:w="0" w:type="dxa"/>
              <w:left w:w="105" w:type="dxa"/>
              <w:bottom w:w="0" w:type="dxa"/>
              <w:right w:w="105" w:type="dxa"/>
            </w:tcMar>
            <w:vAlign w:val="center"/>
          </w:tcPr>
          <w:p w14:paraId="328B781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1、待命车辆分为途中待命、站内待命，支持由途中待命转换为站内待命；</w:t>
            </w:r>
          </w:p>
          <w:p w14:paraId="723C0C5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2、不可出诊的车辆支持暂停调用，并且有弹窗防错提示，确认暂停后不再接受派单；</w:t>
            </w:r>
          </w:p>
          <w:p w14:paraId="1047FB4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3、暂停调用时支持选择恢复调用，车辆进入站内待命，可继续接受派单；</w:t>
            </w:r>
          </w:p>
          <w:p w14:paraId="7EE3921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4、接到患者以及任务结束，引导出诊人员选择送达地点，支持快捷点选、搜索急救群组内的医疗机构；</w:t>
            </w:r>
          </w:p>
          <w:p w14:paraId="062220D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5、展示急救群组内的所有可接诊患者医疗机构，可查看机构等级、专科病种、地图位置、预计到达时间和距离，可快捷拨打机构联系电话；</w:t>
            </w:r>
          </w:p>
          <w:p w14:paraId="61D02D4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6、支持多种方式排列急救群组内的医疗机构，包括AI推荐、时间优先、距离优先、救治能力；</w:t>
            </w:r>
          </w:p>
          <w:p w14:paraId="2D28E7E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7、如果患者不前往急救群组内的医疗机构，出诊人员可切换选择其他自定义地点；</w:t>
            </w:r>
          </w:p>
        </w:tc>
      </w:tr>
      <w:tr w14:paraId="3A24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6F051FDC">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4</w:t>
            </w:r>
          </w:p>
        </w:tc>
        <w:tc>
          <w:tcPr>
            <w:tcW w:w="1545" w:type="dxa"/>
            <w:shd w:val="clear" w:color="auto" w:fill="auto"/>
            <w:tcMar>
              <w:top w:w="0" w:type="dxa"/>
              <w:left w:w="105" w:type="dxa"/>
              <w:bottom w:w="0" w:type="dxa"/>
              <w:right w:w="105" w:type="dxa"/>
            </w:tcMar>
            <w:vAlign w:val="center"/>
          </w:tcPr>
          <w:p w14:paraId="168BC94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20198C65">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5G急救指挥大屏</w:t>
            </w:r>
          </w:p>
        </w:tc>
        <w:tc>
          <w:tcPr>
            <w:tcW w:w="5100" w:type="dxa"/>
            <w:shd w:val="clear" w:color="auto" w:fill="auto"/>
            <w:tcMar>
              <w:top w:w="0" w:type="dxa"/>
              <w:left w:w="105" w:type="dxa"/>
              <w:bottom w:w="0" w:type="dxa"/>
              <w:right w:w="105" w:type="dxa"/>
            </w:tcMar>
            <w:vAlign w:val="center"/>
          </w:tcPr>
          <w:p w14:paraId="747A3C22">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1、用户可切换查看多个正在进行中的所有急救任务；</w:t>
            </w:r>
          </w:p>
          <w:p w14:paraId="0E5C2655">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2、支持查看进行中的任务详情，包括出车、到达现场、患者上车等任务时间节点，以及车辆位置、路径导航；</w:t>
            </w:r>
          </w:p>
          <w:p w14:paraId="68A3519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3、可查看急救任务关联急救车上的患者年龄、性别、呼车原因、初步诊断等详情；</w:t>
            </w:r>
          </w:p>
          <w:p w14:paraId="0BCBA69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4、查看院前出诊数量、院内出诊数量等，快速感知全局态势；</w:t>
            </w:r>
          </w:p>
          <w:p w14:paraId="17B526F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5、支持按不同时间周期，统计分析派发急救任务数据，包括累计院前出诊数、3分钟内出诊数、到达现场数等。</w:t>
            </w:r>
          </w:p>
          <w:p w14:paraId="038D69A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6、支持按不同时间周期，统计出诊时间分布（小时）、统计出诊时间分布（星期）、任务类型分布、初次分科分布、急救措施分布、重症救治成功率、现场处置率等图表；</w:t>
            </w:r>
          </w:p>
        </w:tc>
      </w:tr>
      <w:tr w14:paraId="458C1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143BE83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5</w:t>
            </w:r>
          </w:p>
        </w:tc>
        <w:tc>
          <w:tcPr>
            <w:tcW w:w="1545" w:type="dxa"/>
            <w:shd w:val="clear" w:color="auto" w:fill="auto"/>
            <w:tcMar>
              <w:top w:w="0" w:type="dxa"/>
              <w:left w:w="105" w:type="dxa"/>
              <w:bottom w:w="0" w:type="dxa"/>
              <w:right w:w="105" w:type="dxa"/>
            </w:tcMar>
            <w:vAlign w:val="center"/>
          </w:tcPr>
          <w:p w14:paraId="2D31C1A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0E865722">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5G急救系统与院内急诊对接</w:t>
            </w:r>
          </w:p>
        </w:tc>
        <w:tc>
          <w:tcPr>
            <w:tcW w:w="5100" w:type="dxa"/>
            <w:shd w:val="clear" w:color="auto" w:fill="auto"/>
            <w:tcMar>
              <w:top w:w="0" w:type="dxa"/>
              <w:left w:w="105" w:type="dxa"/>
              <w:bottom w:w="0" w:type="dxa"/>
              <w:right w:w="105" w:type="dxa"/>
            </w:tcMar>
            <w:vAlign w:val="center"/>
          </w:tcPr>
          <w:p w14:paraId="1E16F9E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1、5G急救系统接入急诊系统分诊开单功能，支持提前直接分科、开单收费；校验引导医生完成必填信息、支持三无患者；</w:t>
            </w:r>
          </w:p>
          <w:p w14:paraId="265A275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2、5G急救系统支持在病历编辑过程中快捷完成开单，开单后支持继续编辑病历，数据内容自动同步，无需用户重复录入；</w:t>
            </w:r>
          </w:p>
          <w:p w14:paraId="025F20B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3、5G急救系统为方便分诊开单，有病历后增加自动建档（排除患者转运类型）；</w:t>
            </w:r>
          </w:p>
          <w:p w14:paraId="3528C1FF">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4、5G急救系统任务结束后系统，自动归档病历完整内容，形成不可修改的静态文件，支持共享至急诊、</w:t>
            </w:r>
            <w:r>
              <w:rPr>
                <w:rFonts w:hint="eastAsia" w:ascii="仿宋" w:hAnsi="仿宋" w:eastAsia="仿宋" w:cs="仿宋"/>
                <w:sz w:val="24"/>
                <w:szCs w:val="24"/>
                <w:lang w:val="en-US" w:eastAsia="zh-CN"/>
              </w:rPr>
              <w:t>医院信息系统（HIS）</w:t>
            </w:r>
            <w:r>
              <w:rPr>
                <w:rFonts w:hint="eastAsia" w:ascii="仿宋" w:hAnsi="仿宋" w:eastAsia="仿宋" w:cs="仿宋"/>
                <w:sz w:val="24"/>
                <w:szCs w:val="24"/>
              </w:rPr>
              <w:t>；</w:t>
            </w:r>
          </w:p>
        </w:tc>
      </w:tr>
      <w:tr w14:paraId="710B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5C4ED61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6</w:t>
            </w:r>
          </w:p>
        </w:tc>
        <w:tc>
          <w:tcPr>
            <w:tcW w:w="1545" w:type="dxa"/>
            <w:shd w:val="clear" w:color="auto" w:fill="auto"/>
            <w:tcMar>
              <w:top w:w="0" w:type="dxa"/>
              <w:left w:w="105" w:type="dxa"/>
              <w:bottom w:w="0" w:type="dxa"/>
              <w:right w:w="105" w:type="dxa"/>
            </w:tcMar>
            <w:vAlign w:val="center"/>
          </w:tcPr>
          <w:p w14:paraId="262EB0C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74B17889">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5G急救系统与120调度对接</w:t>
            </w:r>
          </w:p>
        </w:tc>
        <w:tc>
          <w:tcPr>
            <w:tcW w:w="5100" w:type="dxa"/>
            <w:shd w:val="clear" w:color="auto" w:fill="auto"/>
            <w:tcMar>
              <w:top w:w="0" w:type="dxa"/>
              <w:left w:w="105" w:type="dxa"/>
              <w:bottom w:w="0" w:type="dxa"/>
              <w:right w:w="105" w:type="dxa"/>
            </w:tcMar>
            <w:vAlign w:val="center"/>
          </w:tcPr>
          <w:p w14:paraId="22175AD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1、自动与120调度系统同步当班的出诊人员，包括医生姓名、护士姓名、司机姓名；</w:t>
            </w:r>
          </w:p>
          <w:p w14:paraId="37D8D325">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2、向120调度中心上报车辆位置，方便调度员就近派单；定位支持多种定位设备，包括OBD、车载监控、车载主机、平板app；</w:t>
            </w:r>
          </w:p>
          <w:p w14:paraId="00EC5650">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3、实时接收120调度中心的任务派单，自动获取接车地点、联系人、患者信息、出诊车辆、出诊人员等内容；</w:t>
            </w:r>
          </w:p>
          <w:p w14:paraId="5371691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4、派单成功后自动通知出诊成员（短信+语音电话），包括出诊车牌号、接车地点、电话、原因等；支持回溯通知结果、失败原因，</w:t>
            </w:r>
          </w:p>
          <w:p w14:paraId="3DBEF19C">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5、任务中向120调度中心上报任务进度，包括车牌号码、出诊人员、时间节点、车辆状态等；</w:t>
            </w:r>
          </w:p>
          <w:p w14:paraId="6A5C615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6、任务接收后向120调度中心上报详细出车结果，支持多次出诊记录的车辆、人员、时间节点、患者人数、患者基础信息、出诊结果等；</w:t>
            </w:r>
          </w:p>
          <w:p w14:paraId="176F41A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7、任务结束后向120调度中心上报患者的电子病历数据，包括体格检查、初步诊断、救治措施、NIHSS评分、新生儿评分等；支持单任务多车出诊、救治多名患者；</w:t>
            </w:r>
          </w:p>
          <w:p w14:paraId="0309ACE9">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8、急救任务中，支持由医院或120调度按需取消急救任务、吊牌增援以及更换急救车；</w:t>
            </w:r>
          </w:p>
          <w:p w14:paraId="02E0D13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9、支持暂停调用和恢复调用车辆，并实时同步至120调度系统，避免保养、维修、未当班等原因导致120派车出现冲突；</w:t>
            </w:r>
          </w:p>
          <w:p w14:paraId="3DF45222">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10、系统根据任务位置、急救车定位、车内视频，自动识别时间节点并有AI标识；支持人工调整已执行的时间节点，自动记录操作人；</w:t>
            </w:r>
          </w:p>
          <w:p w14:paraId="0A005C7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11、完成120调度系统和5G急救字段映射、转换功能</w:t>
            </w:r>
          </w:p>
          <w:p w14:paraId="510E5F9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12、使用国密加密方式，依照非对称、对称加密标准</w:t>
            </w:r>
          </w:p>
        </w:tc>
      </w:tr>
      <w:tr w14:paraId="3C891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1ED1C0F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7</w:t>
            </w:r>
          </w:p>
        </w:tc>
        <w:tc>
          <w:tcPr>
            <w:tcW w:w="1545" w:type="dxa"/>
            <w:shd w:val="clear" w:color="auto" w:fill="auto"/>
            <w:tcMar>
              <w:top w:w="0" w:type="dxa"/>
              <w:left w:w="105" w:type="dxa"/>
              <w:bottom w:w="0" w:type="dxa"/>
              <w:right w:w="105" w:type="dxa"/>
            </w:tcMar>
            <w:vAlign w:val="center"/>
          </w:tcPr>
          <w:p w14:paraId="2E95FB6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42D714A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5G急救系统与集成平台对接</w:t>
            </w:r>
          </w:p>
        </w:tc>
        <w:tc>
          <w:tcPr>
            <w:tcW w:w="5100" w:type="dxa"/>
            <w:shd w:val="clear" w:color="auto" w:fill="auto"/>
            <w:tcMar>
              <w:top w:w="0" w:type="dxa"/>
              <w:left w:w="105" w:type="dxa"/>
              <w:bottom w:w="0" w:type="dxa"/>
              <w:right w:w="105" w:type="dxa"/>
            </w:tcMar>
            <w:vAlign w:val="center"/>
          </w:tcPr>
          <w:p w14:paraId="317AFAB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1、自动同步医生账号，包括工号、姓名等信息，支持账号新增、修改；</w:t>
            </w:r>
          </w:p>
          <w:p w14:paraId="4B3E924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2、用户创建病历、分诊开单时，自动匹配操作医生的工号，与集成平台对齐；</w:t>
            </w:r>
          </w:p>
        </w:tc>
      </w:tr>
      <w:tr w14:paraId="703A6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2499B500">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8</w:t>
            </w:r>
          </w:p>
        </w:tc>
        <w:tc>
          <w:tcPr>
            <w:tcW w:w="1545" w:type="dxa"/>
            <w:shd w:val="clear" w:color="auto" w:fill="auto"/>
            <w:tcMar>
              <w:top w:w="0" w:type="dxa"/>
              <w:left w:w="105" w:type="dxa"/>
              <w:bottom w:w="0" w:type="dxa"/>
              <w:right w:w="105" w:type="dxa"/>
            </w:tcMar>
            <w:vAlign w:val="center"/>
          </w:tcPr>
          <w:p w14:paraId="0512B6DE">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22457B2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5G急救系统与CA系统对接</w:t>
            </w:r>
          </w:p>
        </w:tc>
        <w:tc>
          <w:tcPr>
            <w:tcW w:w="5100" w:type="dxa"/>
            <w:shd w:val="clear" w:color="auto" w:fill="auto"/>
            <w:tcMar>
              <w:top w:w="0" w:type="dxa"/>
              <w:left w:w="105" w:type="dxa"/>
              <w:bottom w:w="0" w:type="dxa"/>
              <w:right w:w="105" w:type="dxa"/>
            </w:tcMar>
            <w:vAlign w:val="center"/>
          </w:tcPr>
          <w:p w14:paraId="7B51F6B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1、集成CA系统的SDK组件，加密完成校验和鉴权；</w:t>
            </w:r>
          </w:p>
          <w:p w14:paraId="67581260">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2、自动调取注册用户的签名数据，支持出诊医生、出诊护士、接诊医生、接诊护士；</w:t>
            </w:r>
          </w:p>
          <w:p w14:paraId="26174CB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3、支持在电脑端查看、打印签名结果，自动嵌入电子病历；</w:t>
            </w:r>
          </w:p>
        </w:tc>
      </w:tr>
      <w:tr w14:paraId="3B094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51C93A9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9</w:t>
            </w:r>
          </w:p>
        </w:tc>
        <w:tc>
          <w:tcPr>
            <w:tcW w:w="1545" w:type="dxa"/>
            <w:shd w:val="clear" w:color="auto" w:fill="auto"/>
            <w:tcMar>
              <w:top w:w="0" w:type="dxa"/>
              <w:left w:w="105" w:type="dxa"/>
              <w:bottom w:w="0" w:type="dxa"/>
              <w:right w:w="105" w:type="dxa"/>
            </w:tcMar>
            <w:vAlign w:val="center"/>
          </w:tcPr>
          <w:p w14:paraId="7760366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767CC30F">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120安克定制接口（成都120厂家安克收费）</w:t>
            </w:r>
          </w:p>
        </w:tc>
        <w:tc>
          <w:tcPr>
            <w:tcW w:w="5100" w:type="dxa"/>
            <w:shd w:val="clear" w:color="auto" w:fill="auto"/>
            <w:tcMar>
              <w:top w:w="0" w:type="dxa"/>
              <w:left w:w="105" w:type="dxa"/>
              <w:bottom w:w="0" w:type="dxa"/>
              <w:right w:w="105" w:type="dxa"/>
            </w:tcMar>
            <w:vAlign w:val="center"/>
          </w:tcPr>
          <w:p w14:paraId="431E27A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1、对接范围：车辆定位、120任务派单、急救病历回传、急救结果回传；</w:t>
            </w:r>
          </w:p>
          <w:p w14:paraId="010EF58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2、车辆定位：以省医院现有5G救护车系统定位数据信息向120系统回传；</w:t>
            </w:r>
          </w:p>
          <w:p w14:paraId="4BEAAC8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3、120任务派单：调度任务除了到120接警系统外，120系统向5G救护车系统推送调度任务信息，医院每天当班车辆和人员、任务状态信息由5G救护车系统推送至120系统；</w:t>
            </w:r>
          </w:p>
          <w:p w14:paraId="2CCABE6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4、急救病历回传：120系统提供急救病历的全量字段、质控要求，医院急诊系统按照要求回传；</w:t>
            </w:r>
          </w:p>
          <w:p w14:paraId="1E376FF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5、急救结果回传：医院急诊系统将患者到院后的救治情况反馈至120系统；</w:t>
            </w:r>
          </w:p>
        </w:tc>
      </w:tr>
      <w:tr w14:paraId="5A1C2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0" w:type="dxa"/>
            <w:shd w:val="clear" w:color="auto" w:fill="auto"/>
            <w:tcMar>
              <w:top w:w="0" w:type="dxa"/>
              <w:left w:w="105" w:type="dxa"/>
              <w:bottom w:w="0" w:type="dxa"/>
              <w:right w:w="105" w:type="dxa"/>
            </w:tcMar>
            <w:vAlign w:val="center"/>
          </w:tcPr>
          <w:p w14:paraId="04581BC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10</w:t>
            </w:r>
          </w:p>
        </w:tc>
        <w:tc>
          <w:tcPr>
            <w:tcW w:w="1545" w:type="dxa"/>
            <w:shd w:val="clear" w:color="auto" w:fill="auto"/>
            <w:tcMar>
              <w:top w:w="0" w:type="dxa"/>
              <w:left w:w="105" w:type="dxa"/>
              <w:bottom w:w="0" w:type="dxa"/>
              <w:right w:w="105" w:type="dxa"/>
            </w:tcMar>
            <w:vAlign w:val="center"/>
          </w:tcPr>
          <w:p w14:paraId="3ECF16EF">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院前急救系统</w:t>
            </w:r>
          </w:p>
        </w:tc>
        <w:tc>
          <w:tcPr>
            <w:tcW w:w="1230" w:type="dxa"/>
            <w:shd w:val="clear" w:color="auto" w:fill="auto"/>
            <w:tcMar>
              <w:top w:w="0" w:type="dxa"/>
              <w:left w:w="105" w:type="dxa"/>
              <w:bottom w:w="0" w:type="dxa"/>
              <w:right w:w="105" w:type="dxa"/>
            </w:tcMar>
            <w:vAlign w:val="center"/>
          </w:tcPr>
          <w:p w14:paraId="668BB58D">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rPr>
            </w:pPr>
            <w:r>
              <w:rPr>
                <w:rFonts w:hint="eastAsia" w:ascii="仿宋" w:hAnsi="仿宋" w:eastAsia="仿宋" w:cs="仿宋"/>
                <w:sz w:val="24"/>
                <w:szCs w:val="24"/>
              </w:rPr>
              <w:t>5G急救系统本地化部署迁移</w:t>
            </w:r>
          </w:p>
        </w:tc>
        <w:tc>
          <w:tcPr>
            <w:tcW w:w="5100" w:type="dxa"/>
            <w:shd w:val="clear" w:color="auto" w:fill="auto"/>
            <w:tcMar>
              <w:top w:w="0" w:type="dxa"/>
              <w:left w:w="105" w:type="dxa"/>
              <w:bottom w:w="0" w:type="dxa"/>
              <w:right w:w="105" w:type="dxa"/>
            </w:tcMar>
            <w:vAlign w:val="center"/>
          </w:tcPr>
          <w:p w14:paraId="7189914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both"/>
              <w:textAlignment w:val="auto"/>
              <w:rPr>
                <w:rFonts w:hint="eastAsia" w:ascii="仿宋" w:hAnsi="仿宋" w:eastAsia="仿宋" w:cs="仿宋"/>
                <w:sz w:val="24"/>
                <w:szCs w:val="24"/>
              </w:rPr>
            </w:pPr>
            <w:r>
              <w:rPr>
                <w:rFonts w:hint="eastAsia" w:ascii="仿宋" w:hAnsi="仿宋" w:eastAsia="仿宋" w:cs="仿宋"/>
                <w:sz w:val="24"/>
                <w:szCs w:val="24"/>
              </w:rPr>
              <w:t>对急救系统进行本地部署、调试和运维</w:t>
            </w:r>
          </w:p>
        </w:tc>
      </w:tr>
    </w:tbl>
    <w:p w14:paraId="2A5707EC">
      <w:pPr>
        <w:pStyle w:val="8"/>
        <w:numPr>
          <w:ilvl w:val="0"/>
          <w:numId w:val="0"/>
        </w:numPr>
        <w:ind w:firstLine="0" w:firstLineChars="0"/>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5"/>
        <w:gridCol w:w="1527"/>
        <w:gridCol w:w="6109"/>
        <w:gridCol w:w="1436"/>
      </w:tblGrid>
      <w:tr w14:paraId="387EB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75" w:type="dxa"/>
            <w:shd w:val="clear" w:color="auto" w:fill="auto"/>
            <w:tcMar>
              <w:top w:w="0" w:type="dxa"/>
              <w:left w:w="105" w:type="dxa"/>
              <w:bottom w:w="0" w:type="dxa"/>
              <w:right w:w="105" w:type="dxa"/>
            </w:tcMar>
            <w:vAlign w:val="top"/>
          </w:tcPr>
          <w:p w14:paraId="57BE3897">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527" w:type="dxa"/>
            <w:shd w:val="clear" w:color="auto" w:fill="auto"/>
            <w:tcMar>
              <w:top w:w="0" w:type="dxa"/>
              <w:left w:w="105" w:type="dxa"/>
              <w:bottom w:w="0" w:type="dxa"/>
              <w:right w:w="105" w:type="dxa"/>
            </w:tcMar>
            <w:vAlign w:val="top"/>
          </w:tcPr>
          <w:p w14:paraId="060D8D98">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服务类型</w:t>
            </w:r>
          </w:p>
        </w:tc>
        <w:tc>
          <w:tcPr>
            <w:tcW w:w="6109" w:type="dxa"/>
            <w:shd w:val="clear" w:color="auto" w:fill="auto"/>
            <w:tcMar>
              <w:top w:w="0" w:type="dxa"/>
              <w:left w:w="105" w:type="dxa"/>
              <w:bottom w:w="0" w:type="dxa"/>
              <w:right w:w="105" w:type="dxa"/>
            </w:tcMar>
            <w:vAlign w:val="top"/>
          </w:tcPr>
          <w:p w14:paraId="66D0D491">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服务内容</w:t>
            </w:r>
          </w:p>
        </w:tc>
        <w:tc>
          <w:tcPr>
            <w:tcW w:w="1436" w:type="dxa"/>
            <w:shd w:val="clear" w:color="auto" w:fill="auto"/>
            <w:tcMar>
              <w:top w:w="0" w:type="dxa"/>
              <w:left w:w="105" w:type="dxa"/>
              <w:bottom w:w="0" w:type="dxa"/>
              <w:right w:w="105" w:type="dxa"/>
            </w:tcMar>
            <w:vAlign w:val="top"/>
          </w:tcPr>
          <w:p w14:paraId="11E7E2F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b/>
                <w:bCs/>
                <w:sz w:val="24"/>
                <w:szCs w:val="24"/>
              </w:rPr>
            </w:pPr>
            <w:r>
              <w:rPr>
                <w:rStyle w:val="21"/>
                <w:rFonts w:hint="eastAsia" w:ascii="仿宋" w:hAnsi="仿宋" w:eastAsia="仿宋" w:cs="仿宋"/>
                <w:b/>
                <w:bCs/>
                <w:sz w:val="24"/>
                <w:szCs w:val="24"/>
              </w:rPr>
              <w:t>服务期</w:t>
            </w:r>
          </w:p>
        </w:tc>
      </w:tr>
      <w:tr w14:paraId="1788D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75" w:type="dxa"/>
            <w:shd w:val="clear" w:color="auto" w:fill="auto"/>
            <w:tcMar>
              <w:top w:w="0" w:type="dxa"/>
              <w:left w:w="105" w:type="dxa"/>
              <w:bottom w:w="0" w:type="dxa"/>
              <w:right w:w="105" w:type="dxa"/>
            </w:tcMar>
            <w:vAlign w:val="center"/>
          </w:tcPr>
          <w:p w14:paraId="741EE764">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1527" w:type="dxa"/>
            <w:shd w:val="clear" w:color="auto" w:fill="auto"/>
            <w:tcMar>
              <w:top w:w="0" w:type="dxa"/>
              <w:left w:w="105" w:type="dxa"/>
              <w:bottom w:w="0" w:type="dxa"/>
              <w:right w:w="105" w:type="dxa"/>
            </w:tcMar>
            <w:vAlign w:val="center"/>
          </w:tcPr>
          <w:p w14:paraId="3C280C2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基本服务</w:t>
            </w:r>
          </w:p>
        </w:tc>
        <w:tc>
          <w:tcPr>
            <w:tcW w:w="6109" w:type="dxa"/>
            <w:shd w:val="clear" w:color="auto" w:fill="auto"/>
            <w:tcMar>
              <w:top w:w="0" w:type="dxa"/>
              <w:left w:w="105" w:type="dxa"/>
              <w:bottom w:w="0" w:type="dxa"/>
              <w:right w:w="105" w:type="dxa"/>
            </w:tcMar>
            <w:vAlign w:val="top"/>
          </w:tcPr>
          <w:p w14:paraId="498EC836">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基本服务至少满足以下内容：</w:t>
            </w:r>
          </w:p>
          <w:p w14:paraId="01361AF9">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1、稳定性：</w:t>
            </w:r>
            <w:r>
              <w:rPr>
                <w:rFonts w:hint="eastAsia" w:ascii="仿宋" w:hAnsi="仿宋" w:eastAsia="仿宋" w:cs="仿宋"/>
                <w:sz w:val="24"/>
                <w:szCs w:val="24"/>
              </w:rPr>
              <w:t>服务期内需保障业务稳定，不无故出现崩溃或宕机现象；</w:t>
            </w:r>
          </w:p>
          <w:p w14:paraId="0608216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2、安全性：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1190A23B">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3、数据质量：</w:t>
            </w:r>
            <w:r>
              <w:rPr>
                <w:rFonts w:hint="eastAsia" w:ascii="仿宋" w:hAnsi="仿宋" w:eastAsia="仿宋" w:cs="仿宋"/>
                <w:sz w:val="24"/>
                <w:szCs w:val="24"/>
              </w:rPr>
              <w:t>供应商收到异议后</w:t>
            </w:r>
            <w:r>
              <w:rPr>
                <w:rFonts w:hint="eastAsia" w:ascii="仿宋" w:hAnsi="仿宋" w:eastAsia="仿宋" w:cs="仿宋"/>
                <w:b w:val="0"/>
                <w:bCs w:val="0"/>
                <w:sz w:val="24"/>
                <w:szCs w:val="24"/>
              </w:rPr>
              <w:t>，</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3065A130">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4、响应速度：</w:t>
            </w:r>
            <w:r>
              <w:rPr>
                <w:rFonts w:hint="eastAsia" w:ascii="仿宋" w:hAnsi="仿宋" w:eastAsia="仿宋" w:cs="仿宋"/>
                <w:sz w:val="24"/>
                <w:szCs w:val="24"/>
              </w:rPr>
              <w:t>服务期内，采购人通过电话、微信、现场提出的支持需求，供应商须在需求提出的当日完成响应；</w:t>
            </w:r>
          </w:p>
          <w:p w14:paraId="2F196C5C">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5、定期巡检：</w:t>
            </w:r>
            <w:r>
              <w:rPr>
                <w:rFonts w:hint="eastAsia" w:ascii="仿宋" w:hAnsi="仿宋" w:eastAsia="仿宋" w:cs="仿宋"/>
                <w:sz w:val="24"/>
                <w:szCs w:val="24"/>
              </w:rPr>
              <w:t>服务期内每月提供至少1次软硬件服务期巡检报告；</w:t>
            </w:r>
          </w:p>
          <w:p w14:paraId="1E34AED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6、培训服务：</w:t>
            </w:r>
            <w:r>
              <w:rPr>
                <w:rFonts w:hint="eastAsia" w:ascii="仿宋" w:hAnsi="仿宋" w:eastAsia="仿宋" w:cs="仿宋"/>
                <w:sz w:val="24"/>
                <w:szCs w:val="24"/>
              </w:rPr>
              <w:t>每年提供≥2次培训服务，并提交培训方案和签到表；</w:t>
            </w:r>
          </w:p>
          <w:p w14:paraId="7BBD9FDA">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7、文档服务：</w:t>
            </w:r>
            <w:r>
              <w:rPr>
                <w:rFonts w:hint="eastAsia" w:ascii="仿宋" w:hAnsi="仿宋" w:eastAsia="仿宋" w:cs="仿宋"/>
                <w:sz w:val="24"/>
                <w:szCs w:val="24"/>
              </w:rPr>
              <w:t>上线运行之日提交本次采购内容的操作手册、服务器信息、业务数据库表结构，若采购内容的相关文档发生变化，需在 30 日内提供最新文档。服务期满后需提交本次采购内容的运维记录签字扫描版本。</w:t>
            </w:r>
          </w:p>
          <w:p w14:paraId="131B56B9">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rPr>
            </w:pPr>
            <w:r>
              <w:rPr>
                <w:rStyle w:val="21"/>
                <w:rFonts w:hint="eastAsia" w:ascii="仿宋" w:hAnsi="仿宋" w:eastAsia="仿宋" w:cs="仿宋"/>
                <w:b/>
                <w:bCs/>
                <w:sz w:val="24"/>
                <w:szCs w:val="24"/>
              </w:rPr>
              <w:t>8、人员服务：</w:t>
            </w:r>
            <w:r>
              <w:rPr>
                <w:rFonts w:hint="eastAsia" w:ascii="仿宋" w:hAnsi="仿宋" w:eastAsia="仿宋" w:cs="仿宋"/>
                <w:sz w:val="24"/>
                <w:szCs w:val="24"/>
              </w:rPr>
              <w:t>无</w:t>
            </w:r>
          </w:p>
          <w:p w14:paraId="0D6F69A7">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b/>
                <w:bCs/>
                <w:sz w:val="24"/>
                <w:szCs w:val="24"/>
                <w:lang w:val="en-US" w:eastAsia="zh-CN"/>
              </w:rPr>
              <w:t>9、</w:t>
            </w:r>
            <w:r>
              <w:rPr>
                <w:rStyle w:val="21"/>
                <w:rFonts w:hint="eastAsia" w:ascii="仿宋" w:hAnsi="仿宋" w:eastAsia="仿宋" w:cs="仿宋"/>
                <w:b/>
                <w:bCs/>
                <w:sz w:val="24"/>
                <w:szCs w:val="24"/>
              </w:rPr>
              <w:t>其他：</w:t>
            </w:r>
          </w:p>
          <w:p w14:paraId="09C5696A">
            <w:pPr>
              <w:pStyle w:val="15"/>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rPr>
              <w:t>1）</w:t>
            </w:r>
            <w:r>
              <w:rPr>
                <w:rFonts w:hint="eastAsia" w:ascii="仿宋" w:hAnsi="仿宋" w:eastAsia="仿宋" w:cs="仿宋"/>
                <w:color w:val="auto"/>
                <w:sz w:val="24"/>
                <w:szCs w:val="24"/>
                <w:u w:val="none"/>
              </w:rPr>
              <w:t>从合同签订生效之日起，采购人</w:t>
            </w:r>
            <w:r>
              <w:rPr>
                <w:rStyle w:val="21"/>
                <w:rFonts w:hint="eastAsia" w:ascii="仿宋" w:hAnsi="仿宋" w:eastAsia="仿宋" w:cs="仿宋"/>
                <w:b/>
                <w:bCs/>
                <w:color w:val="auto"/>
                <w:sz w:val="24"/>
                <w:szCs w:val="24"/>
                <w:u w:val="none"/>
              </w:rPr>
              <w:t>每月</w:t>
            </w:r>
            <w:r>
              <w:rPr>
                <w:rFonts w:hint="eastAsia" w:ascii="仿宋" w:hAnsi="仿宋" w:eastAsia="仿宋" w:cs="仿宋"/>
                <w:color w:val="auto"/>
                <w:sz w:val="24"/>
                <w:szCs w:val="24"/>
                <w:u w:val="none"/>
              </w:rPr>
              <w:t>按照</w:t>
            </w:r>
            <w:r>
              <w:rPr>
                <w:rStyle w:val="21"/>
                <w:rFonts w:hint="eastAsia" w:ascii="仿宋" w:hAnsi="仿宋" w:eastAsia="仿宋" w:cs="仿宋"/>
                <w:b/>
                <w:bCs/>
                <w:color w:val="auto"/>
                <w:sz w:val="24"/>
                <w:szCs w:val="24"/>
                <w:u w:val="none"/>
              </w:rPr>
              <w:t>四川省人民医院供应商考核</w:t>
            </w:r>
            <w:r>
              <w:rPr>
                <w:rFonts w:hint="eastAsia" w:ascii="仿宋" w:hAnsi="仿宋" w:eastAsia="仿宋" w:cs="仿宋"/>
                <w:color w:val="auto"/>
                <w:sz w:val="24"/>
                <w:szCs w:val="24"/>
                <w:u w:val="none"/>
              </w:rPr>
              <w:t>指标对供应商行为进行评价考核，考核结果关联最终付款金额和履约保证金</w:t>
            </w:r>
            <w:r>
              <w:rPr>
                <w:rFonts w:hint="eastAsia" w:ascii="仿宋" w:hAnsi="仿宋" w:eastAsia="仿宋" w:cs="仿宋"/>
                <w:color w:val="auto"/>
                <w:sz w:val="24"/>
                <w:szCs w:val="24"/>
                <w:u w:val="none"/>
                <w:shd w:val="clear"/>
              </w:rPr>
              <w:t>（如有履约保证金）</w:t>
            </w:r>
            <w:r>
              <w:rPr>
                <w:rFonts w:hint="eastAsia" w:ascii="仿宋" w:hAnsi="仿宋" w:eastAsia="仿宋" w:cs="仿宋"/>
                <w:color w:val="auto"/>
                <w:sz w:val="24"/>
                <w:szCs w:val="24"/>
                <w:u w:val="none"/>
              </w:rPr>
              <w:t>。</w:t>
            </w:r>
          </w:p>
          <w:p w14:paraId="38583553">
            <w:pPr>
              <w:pStyle w:val="15"/>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2）</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供应商应当与本项目相关的第三方保持有痕的沟通，明确项目的具体要求和功能等方面的细节。采购人负责组织、监督和验收，以确保项目的顺利完成。</w:t>
            </w:r>
          </w:p>
          <w:p w14:paraId="7A30AAB7">
            <w:pPr>
              <w:pStyle w:val="15"/>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rPr>
            </w:pPr>
            <w:r>
              <w:rPr>
                <w:rFonts w:hint="eastAsia" w:ascii="仿宋" w:hAnsi="仿宋" w:eastAsia="仿宋" w:cs="仿宋"/>
                <w:color w:val="auto"/>
                <w:sz w:val="24"/>
                <w:szCs w:val="24"/>
                <w:u w:val="none"/>
              </w:rPr>
              <w:t>3）如涉及因本项目开发的系统原因造成采购人的经济损失，由</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供应商负责向采购人进行赔偿。</w:t>
            </w:r>
          </w:p>
          <w:p w14:paraId="5AC18908">
            <w:pPr>
              <w:pStyle w:val="15"/>
              <w:keepNext w:val="0"/>
              <w:keepLines w:val="0"/>
              <w:pageBreakBefore w:val="0"/>
              <w:widowControl/>
              <w:suppressLineNumbers w:val="0"/>
              <w:shd w:val="clear"/>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4）电子病历七级涉及相关功能点，无条件配合进行功能升级或对接</w:t>
            </w:r>
          </w:p>
        </w:tc>
        <w:tc>
          <w:tcPr>
            <w:tcW w:w="1436" w:type="dxa"/>
            <w:shd w:val="clear" w:color="auto" w:fill="auto"/>
            <w:tcMar>
              <w:top w:w="0" w:type="dxa"/>
              <w:left w:w="105" w:type="dxa"/>
              <w:bottom w:w="0" w:type="dxa"/>
              <w:right w:w="105" w:type="dxa"/>
            </w:tcMar>
            <w:vAlign w:val="center"/>
          </w:tcPr>
          <w:p w14:paraId="31260CD3">
            <w:pPr>
              <w:pStyle w:val="15"/>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color w:val="auto"/>
                <w:sz w:val="24"/>
                <w:szCs w:val="24"/>
                <w:u w:val="none"/>
              </w:rPr>
              <w:t>验收合格之日起，提供不低于3年</w:t>
            </w:r>
          </w:p>
        </w:tc>
      </w:tr>
    </w:tbl>
    <w:p w14:paraId="61CEB7E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hanging="482" w:hangingChars="200"/>
        <w:textAlignment w:val="auto"/>
        <w:rPr>
          <w:rFonts w:hint="eastAsia" w:ascii="仿宋" w:hAnsi="仿宋" w:eastAsia="仿宋" w:cs="仿宋"/>
          <w:sz w:val="24"/>
          <w:szCs w:val="24"/>
        </w:rPr>
      </w:pPr>
      <w:r>
        <w:rPr>
          <w:rFonts w:hint="eastAsia" w:ascii="仿宋" w:hAnsi="仿宋" w:eastAsia="仿宋" w:cs="仿宋"/>
          <w:b/>
          <w:bCs/>
          <w:sz w:val="24"/>
          <w:szCs w:val="24"/>
        </w:rPr>
        <w:t>四、商务要求</w:t>
      </w:r>
    </w:p>
    <w:p w14:paraId="6E1528B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79" w:leftChars="228"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1.实施时间：合同生效后，需在5个工作日内开始实施。</w:t>
      </w:r>
    </w:p>
    <w:p w14:paraId="1C72D12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实施周期：本项目开始实施之日起60日内，完成本项目包含的所有软硬件功能的上线运行。未在实施周期内完成，视为供应商违约并自动放弃该项目，采购人有权终止合同，合同所有款项将不予支付（如有履约保证金，将不予退还），已支付款项，供应商应于7个工作日内退还采购人。</w:t>
      </w:r>
    </w:p>
    <w:p w14:paraId="2B07641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3.服务地点：本项目涉及的四川省人民医院所有院区。</w:t>
      </w:r>
    </w:p>
    <w:p w14:paraId="024B48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合同签订生效且项目验收合格后，供应商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53964904"/>
      <w:bookmarkEnd w:id="15"/>
      <w:bookmarkStart w:id="16" w:name="_Toc18622"/>
      <w:bookmarkEnd w:id="16"/>
      <w:r>
        <w:rPr>
          <w:rFonts w:hint="eastAsia" w:ascii="仿宋" w:hAnsi="仿宋" w:eastAsia="仿宋" w:cs="仿宋"/>
          <w:sz w:val="24"/>
          <w:szCs w:val="24"/>
          <w:highlight w:val="none"/>
          <w:lang w:val="en-US" w:eastAsia="zh-CN"/>
        </w:rPr>
        <w:t>5.履约验收方案</w:t>
      </w:r>
    </w:p>
    <w:p w14:paraId="38B6A9C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（5）履约验收内容：按照基于本项目采购需求编制的采购文件要求及供应商响应文件情况，由供应商向采购人提供的全部软硬件系统。</w:t>
      </w:r>
    </w:p>
    <w:p w14:paraId="5778B2C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（6）履约验收时间：供应商完成本项目包含的所有软硬件功能的上线运行后5日内通知采购人验收，采购人接供应商通知后10日内组织验收。</w:t>
      </w:r>
    </w:p>
    <w:p w14:paraId="63BC65D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3）产品生产厂家出具的产品说明书、技术白皮书等官方技术资料（如涉及）。</w:t>
      </w:r>
    </w:p>
    <w:p w14:paraId="3FBFD51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075232A1">
      <w:pPr>
        <w:pStyle w:val="8"/>
        <w:numPr>
          <w:ilvl w:val="0"/>
          <w:numId w:val="0"/>
        </w:numPr>
        <w:ind w:firstLine="480" w:firstLineChars="200"/>
        <w:rPr>
          <w:rFonts w:hint="eastAsia" w:ascii="仿宋" w:hAnsi="仿宋" w:eastAsia="仿宋" w:cs="仿宋"/>
          <w:sz w:val="24"/>
          <w:szCs w:val="24"/>
        </w:rPr>
      </w:pPr>
      <w:r>
        <w:rPr>
          <w:rFonts w:hint="eastAsia" w:ascii="仿宋" w:hAnsi="仿宋" w:eastAsia="仿宋" w:cs="仿宋"/>
          <w:sz w:val="24"/>
          <w:szCs w:val="24"/>
          <w:highlight w:val="none"/>
          <w:lang w:val="en-US" w:eastAsia="zh-CN"/>
        </w:rPr>
        <w:t>6.知识产权归属：由采购人、供应商双方共同开发的项目：采购人、供应商双方共同研发的该系统软件产品，知识产权归采购人、供应商双方共同拥有，软件所有数据归采购人所有。</w:t>
      </w:r>
    </w:p>
    <w:p w14:paraId="09075411">
      <w:pPr>
        <w:pStyle w:val="8"/>
        <w:ind w:firstLine="0"/>
        <w:rPr>
          <w:rFonts w:hint="eastAsia" w:ascii="仿宋" w:hAnsi="仿宋" w:eastAsia="仿宋" w:cs="仿宋"/>
          <w:sz w:val="24"/>
          <w:szCs w:val="24"/>
        </w:rPr>
      </w:pPr>
    </w:p>
    <w:p w14:paraId="108C78E3">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44F987DC">
      <w:pPr>
        <w:pStyle w:val="2"/>
        <w:keepNext w:val="0"/>
        <w:keepLines w:val="0"/>
        <w:widowControl/>
        <w:numPr>
          <w:ilvl w:val="0"/>
          <w:numId w:val="0"/>
        </w:numPr>
        <w:suppressLineNumbers w:val="0"/>
        <w:spacing w:before="0" w:beforeAutospacing="0" w:after="0" w:afterAutospacing="0"/>
        <w:ind w:leftChars="0"/>
        <w:jc w:val="both"/>
        <w:rPr>
          <w:rFonts w:hint="eastAsia" w:ascii="仿宋" w:hAnsi="仿宋" w:eastAsia="仿宋" w:cs="仿宋"/>
          <w:sz w:val="24"/>
          <w:szCs w:val="24"/>
        </w:rPr>
      </w:pPr>
      <w:r>
        <w:rPr>
          <w:rStyle w:val="21"/>
          <w:rFonts w:hint="eastAsia" w:ascii="仿宋" w:hAnsi="仿宋" w:eastAsia="仿宋" w:cs="仿宋"/>
          <w:b/>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2BDF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6B22BEC4">
            <w:pPr>
              <w:pStyle w:val="15"/>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32"/>
                <w:szCs w:val="32"/>
              </w:rPr>
              <w:t>四川省人民医院供应商考核</w:t>
            </w:r>
          </w:p>
        </w:tc>
      </w:tr>
      <w:tr w14:paraId="6E17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57951D18">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49669C4C">
            <w:pPr>
              <w:keepNext w:val="0"/>
              <w:keepLines w:val="0"/>
              <w:widowControl/>
              <w:suppressLineNumbers w:val="0"/>
              <w:jc w:val="left"/>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223248A7">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186B1954">
            <w:pPr>
              <w:keepNext w:val="0"/>
              <w:keepLines w:val="0"/>
              <w:widowControl/>
              <w:suppressLineNumbers w:val="0"/>
              <w:jc w:val="left"/>
              <w:rPr>
                <w:rFonts w:hint="eastAsia" w:ascii="仿宋" w:hAnsi="仿宋" w:eastAsia="仿宋" w:cs="仿宋"/>
                <w:sz w:val="24"/>
                <w:szCs w:val="24"/>
              </w:rPr>
            </w:pPr>
          </w:p>
        </w:tc>
      </w:tr>
      <w:tr w14:paraId="24C6F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46D9771">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0DF83215">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087A171A">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66624E33">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34F12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80C64F1">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性能质</w:t>
            </w:r>
          </w:p>
          <w:p w14:paraId="33C291C1">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量评价</w:t>
            </w:r>
          </w:p>
          <w:p w14:paraId="0A372C93">
            <w:pPr>
              <w:pStyle w:val="15"/>
              <w:keepNext w:val="0"/>
              <w:keepLines w:val="0"/>
              <w:widowControl/>
              <w:suppressLineNumbers w:val="0"/>
              <w:spacing w:after="195" w:afterAutospacing="0"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 </w:t>
            </w:r>
          </w:p>
        </w:tc>
        <w:tc>
          <w:tcPr>
            <w:tcW w:w="1350" w:type="dxa"/>
            <w:shd w:val="clear" w:color="auto" w:fill="auto"/>
            <w:tcMar>
              <w:top w:w="0" w:type="dxa"/>
              <w:left w:w="105" w:type="dxa"/>
              <w:bottom w:w="0" w:type="dxa"/>
              <w:right w:w="105" w:type="dxa"/>
            </w:tcMar>
            <w:vAlign w:val="center"/>
          </w:tcPr>
          <w:p w14:paraId="5F9BC4DB">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稳定性</w:t>
            </w:r>
          </w:p>
        </w:tc>
        <w:tc>
          <w:tcPr>
            <w:tcW w:w="5415" w:type="dxa"/>
            <w:gridSpan w:val="3"/>
            <w:shd w:val="clear" w:color="auto" w:fill="auto"/>
            <w:tcMar>
              <w:top w:w="0" w:type="dxa"/>
              <w:left w:w="105" w:type="dxa"/>
              <w:bottom w:w="0" w:type="dxa"/>
              <w:right w:w="105" w:type="dxa"/>
            </w:tcMar>
            <w:vAlign w:val="center"/>
          </w:tcPr>
          <w:p w14:paraId="1BF1FA8B">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440B6442">
            <w:pPr>
              <w:keepNext w:val="0"/>
              <w:keepLines w:val="0"/>
              <w:widowControl/>
              <w:suppressLineNumbers w:val="0"/>
              <w:jc w:val="left"/>
              <w:rPr>
                <w:rFonts w:hint="eastAsia" w:ascii="仿宋" w:hAnsi="仿宋" w:eastAsia="仿宋" w:cs="仿宋"/>
                <w:sz w:val="24"/>
                <w:szCs w:val="24"/>
              </w:rPr>
            </w:pPr>
          </w:p>
        </w:tc>
      </w:tr>
      <w:tr w14:paraId="54092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92F807E">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2E89CE1">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安全性</w:t>
            </w:r>
          </w:p>
        </w:tc>
        <w:tc>
          <w:tcPr>
            <w:tcW w:w="5415" w:type="dxa"/>
            <w:gridSpan w:val="3"/>
            <w:shd w:val="clear" w:color="auto" w:fill="auto"/>
            <w:tcMar>
              <w:top w:w="0" w:type="dxa"/>
              <w:left w:w="105" w:type="dxa"/>
              <w:bottom w:w="0" w:type="dxa"/>
              <w:right w:w="105" w:type="dxa"/>
            </w:tcMar>
            <w:vAlign w:val="center"/>
          </w:tcPr>
          <w:p w14:paraId="52104ABD">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5E232203">
            <w:pPr>
              <w:keepNext w:val="0"/>
              <w:keepLines w:val="0"/>
              <w:widowControl/>
              <w:suppressLineNumbers w:val="0"/>
              <w:jc w:val="left"/>
              <w:rPr>
                <w:rFonts w:hint="eastAsia" w:ascii="仿宋" w:hAnsi="仿宋" w:eastAsia="仿宋" w:cs="仿宋"/>
                <w:sz w:val="24"/>
                <w:szCs w:val="24"/>
              </w:rPr>
            </w:pPr>
          </w:p>
        </w:tc>
      </w:tr>
      <w:tr w14:paraId="7D619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A40FF1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08296AC">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用户满意度</w:t>
            </w:r>
          </w:p>
        </w:tc>
        <w:tc>
          <w:tcPr>
            <w:tcW w:w="5415" w:type="dxa"/>
            <w:gridSpan w:val="3"/>
            <w:shd w:val="clear" w:color="auto" w:fill="auto"/>
            <w:tcMar>
              <w:top w:w="0" w:type="dxa"/>
              <w:left w:w="105" w:type="dxa"/>
              <w:bottom w:w="0" w:type="dxa"/>
              <w:right w:w="105" w:type="dxa"/>
            </w:tcMar>
            <w:vAlign w:val="center"/>
          </w:tcPr>
          <w:p w14:paraId="384D916F">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1084609B">
            <w:pPr>
              <w:keepNext w:val="0"/>
              <w:keepLines w:val="0"/>
              <w:widowControl/>
              <w:suppressLineNumbers w:val="0"/>
              <w:jc w:val="left"/>
              <w:rPr>
                <w:rFonts w:hint="eastAsia" w:ascii="仿宋" w:hAnsi="仿宋" w:eastAsia="仿宋" w:cs="仿宋"/>
                <w:sz w:val="24"/>
                <w:szCs w:val="24"/>
              </w:rPr>
            </w:pPr>
          </w:p>
        </w:tc>
      </w:tr>
      <w:tr w14:paraId="65C61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7B623D4A">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使用支</w:t>
            </w:r>
          </w:p>
          <w:p w14:paraId="5AF8828F">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持评价</w:t>
            </w:r>
          </w:p>
        </w:tc>
        <w:tc>
          <w:tcPr>
            <w:tcW w:w="1350" w:type="dxa"/>
            <w:shd w:val="clear" w:color="auto" w:fill="auto"/>
            <w:tcMar>
              <w:top w:w="0" w:type="dxa"/>
              <w:left w:w="105" w:type="dxa"/>
              <w:bottom w:w="0" w:type="dxa"/>
              <w:right w:w="105" w:type="dxa"/>
            </w:tcMar>
            <w:vAlign w:val="center"/>
          </w:tcPr>
          <w:p w14:paraId="6D2E5F92">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考勤</w:t>
            </w:r>
          </w:p>
        </w:tc>
        <w:tc>
          <w:tcPr>
            <w:tcW w:w="5415" w:type="dxa"/>
            <w:gridSpan w:val="3"/>
            <w:shd w:val="clear" w:color="auto" w:fill="auto"/>
            <w:tcMar>
              <w:top w:w="0" w:type="dxa"/>
              <w:left w:w="105" w:type="dxa"/>
              <w:bottom w:w="0" w:type="dxa"/>
              <w:right w:w="105" w:type="dxa"/>
            </w:tcMar>
            <w:vAlign w:val="center"/>
          </w:tcPr>
          <w:p w14:paraId="327D1FBD">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4CC77BFB">
            <w:pPr>
              <w:keepNext w:val="0"/>
              <w:keepLines w:val="0"/>
              <w:widowControl/>
              <w:suppressLineNumbers w:val="0"/>
              <w:jc w:val="left"/>
              <w:rPr>
                <w:rFonts w:hint="eastAsia" w:ascii="仿宋" w:hAnsi="仿宋" w:eastAsia="仿宋" w:cs="仿宋"/>
                <w:sz w:val="24"/>
                <w:szCs w:val="24"/>
              </w:rPr>
            </w:pPr>
          </w:p>
        </w:tc>
      </w:tr>
      <w:tr w14:paraId="2C8D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1B15803">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47704F5">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响应速度</w:t>
            </w:r>
          </w:p>
        </w:tc>
        <w:tc>
          <w:tcPr>
            <w:tcW w:w="5415" w:type="dxa"/>
            <w:gridSpan w:val="3"/>
            <w:shd w:val="clear" w:color="auto" w:fill="auto"/>
            <w:tcMar>
              <w:top w:w="0" w:type="dxa"/>
              <w:left w:w="105" w:type="dxa"/>
              <w:bottom w:w="0" w:type="dxa"/>
              <w:right w:w="105" w:type="dxa"/>
            </w:tcMar>
            <w:vAlign w:val="center"/>
          </w:tcPr>
          <w:p w14:paraId="09CAA462">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16C4BFDC">
            <w:pPr>
              <w:keepNext w:val="0"/>
              <w:keepLines w:val="0"/>
              <w:widowControl/>
              <w:suppressLineNumbers w:val="0"/>
              <w:jc w:val="left"/>
              <w:rPr>
                <w:rFonts w:hint="eastAsia" w:ascii="仿宋" w:hAnsi="仿宋" w:eastAsia="仿宋" w:cs="仿宋"/>
                <w:sz w:val="24"/>
                <w:szCs w:val="24"/>
              </w:rPr>
            </w:pPr>
          </w:p>
        </w:tc>
      </w:tr>
      <w:tr w14:paraId="7A47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ADD2BF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90F28D0">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备件供应</w:t>
            </w:r>
          </w:p>
          <w:p w14:paraId="37FF3925">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(本项仅涉</w:t>
            </w:r>
          </w:p>
          <w:p w14:paraId="04CFBE9D">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35124820">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5415" w:type="dxa"/>
            <w:gridSpan w:val="3"/>
            <w:shd w:val="clear" w:color="auto" w:fill="auto"/>
            <w:tcMar>
              <w:top w:w="0" w:type="dxa"/>
              <w:left w:w="105" w:type="dxa"/>
              <w:bottom w:w="0" w:type="dxa"/>
              <w:right w:w="105" w:type="dxa"/>
            </w:tcMar>
            <w:vAlign w:val="center"/>
          </w:tcPr>
          <w:p w14:paraId="5F469706">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4D86E738">
            <w:pPr>
              <w:keepNext w:val="0"/>
              <w:keepLines w:val="0"/>
              <w:widowControl/>
              <w:suppressLineNumbers w:val="0"/>
              <w:jc w:val="left"/>
              <w:rPr>
                <w:rFonts w:hint="eastAsia" w:ascii="仿宋" w:hAnsi="仿宋" w:eastAsia="仿宋" w:cs="仿宋"/>
                <w:sz w:val="24"/>
                <w:szCs w:val="24"/>
              </w:rPr>
            </w:pPr>
          </w:p>
        </w:tc>
      </w:tr>
      <w:tr w14:paraId="085C5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BD4E152">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8BBB2F4">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定期巡检</w:t>
            </w:r>
          </w:p>
        </w:tc>
        <w:tc>
          <w:tcPr>
            <w:tcW w:w="5415" w:type="dxa"/>
            <w:gridSpan w:val="3"/>
            <w:shd w:val="clear" w:color="auto" w:fill="auto"/>
            <w:tcMar>
              <w:top w:w="0" w:type="dxa"/>
              <w:left w:w="105" w:type="dxa"/>
              <w:bottom w:w="0" w:type="dxa"/>
              <w:right w:w="105" w:type="dxa"/>
            </w:tcMar>
            <w:vAlign w:val="center"/>
          </w:tcPr>
          <w:p w14:paraId="358EF501">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6EB11430">
            <w:pPr>
              <w:keepNext w:val="0"/>
              <w:keepLines w:val="0"/>
              <w:widowControl/>
              <w:suppressLineNumbers w:val="0"/>
              <w:jc w:val="left"/>
              <w:rPr>
                <w:rFonts w:hint="eastAsia" w:ascii="仿宋" w:hAnsi="仿宋" w:eastAsia="仿宋" w:cs="仿宋"/>
                <w:sz w:val="24"/>
                <w:szCs w:val="24"/>
              </w:rPr>
            </w:pPr>
          </w:p>
        </w:tc>
      </w:tr>
      <w:tr w14:paraId="0AE2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6CF725B">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6E24E93B">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培训服务</w:t>
            </w:r>
          </w:p>
        </w:tc>
        <w:tc>
          <w:tcPr>
            <w:tcW w:w="5415" w:type="dxa"/>
            <w:gridSpan w:val="3"/>
            <w:shd w:val="clear" w:color="auto" w:fill="auto"/>
            <w:tcMar>
              <w:top w:w="0" w:type="dxa"/>
              <w:left w:w="105" w:type="dxa"/>
              <w:bottom w:w="0" w:type="dxa"/>
              <w:right w:w="105" w:type="dxa"/>
            </w:tcMar>
            <w:vAlign w:val="center"/>
          </w:tcPr>
          <w:p w14:paraId="7A7E9D9A">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13073055">
            <w:pPr>
              <w:keepNext w:val="0"/>
              <w:keepLines w:val="0"/>
              <w:widowControl/>
              <w:suppressLineNumbers w:val="0"/>
              <w:jc w:val="left"/>
              <w:rPr>
                <w:rFonts w:hint="eastAsia" w:ascii="仿宋" w:hAnsi="仿宋" w:eastAsia="仿宋" w:cs="仿宋"/>
                <w:sz w:val="24"/>
                <w:szCs w:val="24"/>
              </w:rPr>
            </w:pPr>
          </w:p>
        </w:tc>
      </w:tr>
      <w:tr w14:paraId="4B4D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789EF60">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49E7C30">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技术文档</w:t>
            </w:r>
          </w:p>
        </w:tc>
        <w:tc>
          <w:tcPr>
            <w:tcW w:w="5415" w:type="dxa"/>
            <w:gridSpan w:val="3"/>
            <w:shd w:val="clear" w:color="auto" w:fill="auto"/>
            <w:tcMar>
              <w:top w:w="0" w:type="dxa"/>
              <w:left w:w="105" w:type="dxa"/>
              <w:bottom w:w="0" w:type="dxa"/>
              <w:right w:w="105" w:type="dxa"/>
            </w:tcMar>
            <w:vAlign w:val="center"/>
          </w:tcPr>
          <w:p w14:paraId="598AAD11">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645ED75E">
            <w:pPr>
              <w:keepNext w:val="0"/>
              <w:keepLines w:val="0"/>
              <w:widowControl/>
              <w:suppressLineNumbers w:val="0"/>
              <w:jc w:val="left"/>
              <w:rPr>
                <w:rFonts w:hint="eastAsia" w:ascii="仿宋" w:hAnsi="仿宋" w:eastAsia="仿宋" w:cs="仿宋"/>
                <w:sz w:val="24"/>
                <w:szCs w:val="24"/>
              </w:rPr>
            </w:pPr>
          </w:p>
        </w:tc>
      </w:tr>
      <w:tr w14:paraId="3459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3369E826">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违规违</w:t>
            </w:r>
          </w:p>
          <w:p w14:paraId="1F1DD17A">
            <w:pPr>
              <w:pStyle w:val="15"/>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纪评价</w:t>
            </w:r>
          </w:p>
        </w:tc>
        <w:tc>
          <w:tcPr>
            <w:tcW w:w="1350" w:type="dxa"/>
            <w:shd w:val="clear" w:color="auto" w:fill="auto"/>
            <w:tcMar>
              <w:top w:w="0" w:type="dxa"/>
              <w:left w:w="105" w:type="dxa"/>
              <w:bottom w:w="0" w:type="dxa"/>
              <w:right w:w="105" w:type="dxa"/>
            </w:tcMar>
            <w:vAlign w:val="center"/>
          </w:tcPr>
          <w:p w14:paraId="481AA7ED">
            <w:pPr>
              <w:pStyle w:val="15"/>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廉洁从业</w:t>
            </w:r>
          </w:p>
        </w:tc>
        <w:tc>
          <w:tcPr>
            <w:tcW w:w="5415" w:type="dxa"/>
            <w:gridSpan w:val="3"/>
            <w:shd w:val="clear" w:color="auto" w:fill="auto"/>
            <w:tcMar>
              <w:top w:w="0" w:type="dxa"/>
              <w:left w:w="105" w:type="dxa"/>
              <w:bottom w:w="0" w:type="dxa"/>
              <w:right w:w="105" w:type="dxa"/>
            </w:tcMar>
            <w:vAlign w:val="center"/>
          </w:tcPr>
          <w:p w14:paraId="15B8E1FC">
            <w:pPr>
              <w:pStyle w:val="15"/>
              <w:keepNext w:val="0"/>
              <w:keepLines w:val="0"/>
              <w:widowControl/>
              <w:suppressLineNumbers w:val="0"/>
              <w:autoSpaceDE w:val="0"/>
              <w:autoSpaceDN/>
              <w:rPr>
                <w:rFonts w:hint="eastAsia" w:ascii="仿宋" w:hAnsi="仿宋" w:eastAsia="仿宋" w:cs="仿宋"/>
                <w:sz w:val="24"/>
                <w:szCs w:val="24"/>
              </w:rPr>
            </w:pPr>
            <w:r>
              <w:rPr>
                <w:rStyle w:val="21"/>
                <w:rFonts w:hint="eastAsia" w:ascii="仿宋" w:hAnsi="仿宋" w:eastAsia="仿宋" w:cs="仿宋"/>
                <w:b/>
                <w:bCs/>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5459A868">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一票否决</w:t>
            </w:r>
          </w:p>
        </w:tc>
      </w:tr>
      <w:tr w14:paraId="2095F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5306F2F">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17E89B7">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安全规范</w:t>
            </w:r>
          </w:p>
        </w:tc>
        <w:tc>
          <w:tcPr>
            <w:tcW w:w="5415" w:type="dxa"/>
            <w:gridSpan w:val="3"/>
            <w:shd w:val="clear" w:color="auto" w:fill="auto"/>
            <w:tcMar>
              <w:top w:w="0" w:type="dxa"/>
              <w:left w:w="105" w:type="dxa"/>
              <w:bottom w:w="0" w:type="dxa"/>
              <w:right w:w="105" w:type="dxa"/>
            </w:tcMar>
            <w:vAlign w:val="center"/>
          </w:tcPr>
          <w:p w14:paraId="09F8B179">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7679A22D">
            <w:pPr>
              <w:keepNext w:val="0"/>
              <w:keepLines w:val="0"/>
              <w:widowControl/>
              <w:suppressLineNumbers w:val="0"/>
              <w:jc w:val="left"/>
              <w:rPr>
                <w:rFonts w:hint="eastAsia" w:ascii="仿宋" w:hAnsi="仿宋" w:eastAsia="仿宋" w:cs="仿宋"/>
                <w:sz w:val="24"/>
                <w:szCs w:val="24"/>
              </w:rPr>
            </w:pPr>
          </w:p>
        </w:tc>
      </w:tr>
      <w:tr w14:paraId="5EE7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0F665C0">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3F46336F">
            <w:pPr>
              <w:pStyle w:val="15"/>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其他违纪违规</w:t>
            </w:r>
          </w:p>
        </w:tc>
        <w:tc>
          <w:tcPr>
            <w:tcW w:w="5415" w:type="dxa"/>
            <w:gridSpan w:val="3"/>
            <w:shd w:val="clear" w:color="auto" w:fill="auto"/>
            <w:tcMar>
              <w:top w:w="0" w:type="dxa"/>
              <w:left w:w="105" w:type="dxa"/>
              <w:bottom w:w="0" w:type="dxa"/>
              <w:right w:w="105" w:type="dxa"/>
            </w:tcMar>
            <w:vAlign w:val="center"/>
          </w:tcPr>
          <w:p w14:paraId="32E19818">
            <w:pPr>
              <w:pStyle w:val="15"/>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40D0B5B5">
            <w:pPr>
              <w:keepNext w:val="0"/>
              <w:keepLines w:val="0"/>
              <w:widowControl/>
              <w:suppressLineNumbers w:val="0"/>
              <w:jc w:val="left"/>
              <w:rPr>
                <w:rFonts w:hint="eastAsia" w:ascii="仿宋" w:hAnsi="仿宋" w:eastAsia="仿宋" w:cs="仿宋"/>
                <w:sz w:val="24"/>
                <w:szCs w:val="24"/>
              </w:rPr>
            </w:pPr>
          </w:p>
        </w:tc>
      </w:tr>
      <w:tr w14:paraId="0D0EC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0FD714B">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扣分合计</w:t>
            </w:r>
          </w:p>
        </w:tc>
        <w:tc>
          <w:tcPr>
            <w:tcW w:w="7425" w:type="dxa"/>
            <w:gridSpan w:val="5"/>
            <w:shd w:val="clear" w:color="auto" w:fill="auto"/>
            <w:tcMar>
              <w:top w:w="0" w:type="dxa"/>
              <w:left w:w="105" w:type="dxa"/>
              <w:bottom w:w="0" w:type="dxa"/>
              <w:right w:w="105" w:type="dxa"/>
            </w:tcMar>
            <w:vAlign w:val="center"/>
          </w:tcPr>
          <w:p w14:paraId="4E91DB07">
            <w:pPr>
              <w:keepNext w:val="0"/>
              <w:keepLines w:val="0"/>
              <w:widowControl/>
              <w:suppressLineNumbers w:val="0"/>
              <w:jc w:val="left"/>
              <w:rPr>
                <w:rFonts w:hint="eastAsia" w:ascii="仿宋" w:hAnsi="仿宋" w:eastAsia="仿宋" w:cs="仿宋"/>
                <w:sz w:val="24"/>
                <w:szCs w:val="24"/>
              </w:rPr>
            </w:pPr>
          </w:p>
        </w:tc>
      </w:tr>
      <w:tr w14:paraId="75F5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53D32ECA">
            <w:pPr>
              <w:pStyle w:val="15"/>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考核人</w:t>
            </w:r>
          </w:p>
        </w:tc>
        <w:tc>
          <w:tcPr>
            <w:tcW w:w="7425" w:type="dxa"/>
            <w:gridSpan w:val="5"/>
            <w:shd w:val="clear" w:color="auto" w:fill="auto"/>
            <w:tcMar>
              <w:top w:w="0" w:type="dxa"/>
              <w:left w:w="105" w:type="dxa"/>
              <w:bottom w:w="0" w:type="dxa"/>
              <w:right w:w="105" w:type="dxa"/>
            </w:tcMar>
            <w:vAlign w:val="center"/>
          </w:tcPr>
          <w:p w14:paraId="4CBF7048">
            <w:pPr>
              <w:pStyle w:val="15"/>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color w:val="000000"/>
                <w:sz w:val="24"/>
                <w:szCs w:val="24"/>
              </w:rPr>
              <w:t> </w:t>
            </w:r>
          </w:p>
          <w:p w14:paraId="70AC6946">
            <w:pPr>
              <w:pStyle w:val="15"/>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color w:val="000000"/>
                <w:sz w:val="24"/>
                <w:szCs w:val="24"/>
              </w:rPr>
              <w:t>                                                               年    月    日</w:t>
            </w:r>
          </w:p>
        </w:tc>
      </w:tr>
    </w:tbl>
    <w:p w14:paraId="49D7419B">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jc w:val="left"/>
        <w:textAlignment w:val="auto"/>
        <w:rPr>
          <w:rFonts w:hint="eastAsia" w:ascii="仿宋" w:hAnsi="仿宋" w:eastAsia="仿宋" w:cs="仿宋"/>
          <w:sz w:val="24"/>
          <w:szCs w:val="24"/>
        </w:rPr>
      </w:pPr>
      <w:r>
        <w:rPr>
          <w:rStyle w:val="21"/>
          <w:rFonts w:hint="eastAsia" w:ascii="仿宋" w:hAnsi="仿宋" w:eastAsia="仿宋" w:cs="仿宋"/>
          <w:color w:val="000000"/>
          <w:kern w:val="2"/>
          <w:sz w:val="24"/>
          <w:szCs w:val="24"/>
        </w:rPr>
        <w:t>备注：</w:t>
      </w:r>
    </w:p>
    <w:p w14:paraId="1A83C509">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b w:val="0"/>
          <w:bCs w:val="0"/>
          <w:color w:val="000000"/>
          <w:kern w:val="2"/>
          <w:sz w:val="24"/>
          <w:szCs w:val="24"/>
          <w:u w:val="none"/>
        </w:rPr>
        <w:t>1.</w:t>
      </w:r>
      <w:r>
        <w:rPr>
          <w:rFonts w:hint="eastAsia" w:ascii="仿宋" w:hAnsi="仿宋" w:eastAsia="仿宋" w:cs="仿宋"/>
          <w:color w:val="000000"/>
          <w:kern w:val="2"/>
          <w:sz w:val="24"/>
          <w:szCs w:val="24"/>
          <w:u w:val="none"/>
        </w:rPr>
        <w:t>服务期内，采购人可按照本项目采购需求内容对应的考核指标对供应商进行考核，具体指标以采购人要求为准；</w:t>
      </w:r>
    </w:p>
    <w:p w14:paraId="4A8E86FC">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b w:val="0"/>
          <w:bCs w:val="0"/>
          <w:color w:val="000000"/>
          <w:kern w:val="2"/>
          <w:sz w:val="24"/>
          <w:szCs w:val="24"/>
          <w:u w:val="none"/>
        </w:rPr>
        <w:t>2.</w:t>
      </w:r>
      <w:r>
        <w:rPr>
          <w:rFonts w:hint="eastAsia" w:ascii="仿宋" w:hAnsi="仿宋" w:eastAsia="仿宋" w:cs="仿宋"/>
          <w:color w:val="000000"/>
          <w:kern w:val="2"/>
          <w:sz w:val="24"/>
          <w:szCs w:val="24"/>
          <w:u w:val="none"/>
        </w:rPr>
        <w:t>考核关联最终付款金额，具体计算规则如下：</w:t>
      </w:r>
    </w:p>
    <w:p w14:paraId="196CCC08">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lang w:eastAsia="zh-CN"/>
        </w:rPr>
      </w:pPr>
      <w:r>
        <w:rPr>
          <w:rStyle w:val="21"/>
          <w:rFonts w:hint="eastAsia" w:ascii="仿宋" w:hAnsi="仿宋" w:eastAsia="仿宋" w:cs="仿宋"/>
          <w:b w:val="0"/>
          <w:bCs/>
          <w:color w:val="000000"/>
          <w:kern w:val="2"/>
          <w:sz w:val="24"/>
          <w:szCs w:val="24"/>
          <w:u w:val="none"/>
          <w:lang w:val="en-US" w:eastAsia="zh-CN"/>
        </w:rPr>
        <w:t>1）</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=服务期汇总考核扣分之和÷服务期内考核次数</w:t>
      </w:r>
      <w:r>
        <w:rPr>
          <w:rFonts w:hint="eastAsia" w:ascii="仿宋" w:hAnsi="仿宋" w:eastAsia="仿宋" w:cs="仿宋"/>
          <w:color w:val="000000"/>
          <w:kern w:val="2"/>
          <w:sz w:val="24"/>
          <w:szCs w:val="24"/>
          <w:u w:val="none"/>
          <w:lang w:eastAsia="zh-CN"/>
        </w:rPr>
        <w:t>；</w:t>
      </w:r>
    </w:p>
    <w:p w14:paraId="70FEF544">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2）0分&lt;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≤3分，将对供应商进行诫勉谈话；</w:t>
      </w:r>
    </w:p>
    <w:p w14:paraId="1C254823">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3）3分&lt;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≤5分，对供应商提出警告，</w:t>
      </w:r>
      <w:r>
        <w:rPr>
          <w:rFonts w:hint="eastAsia" w:ascii="仿宋" w:hAnsi="仿宋" w:eastAsia="仿宋" w:cs="仿宋"/>
          <w:kern w:val="2"/>
          <w:sz w:val="24"/>
          <w:szCs w:val="24"/>
          <w:u w:val="none"/>
        </w:rPr>
        <w:t>从合同待支付金额中或履约保证金中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val="en-US" w:eastAsia="zh-CN"/>
        </w:rPr>
        <w:t>总</w:t>
      </w:r>
      <w:r>
        <w:rPr>
          <w:rFonts w:hint="eastAsia" w:ascii="仿宋" w:hAnsi="仿宋" w:eastAsia="仿宋" w:cs="仿宋"/>
          <w:color w:val="000000"/>
          <w:kern w:val="2"/>
          <w:sz w:val="24"/>
          <w:szCs w:val="24"/>
          <w:u w:val="none"/>
        </w:rPr>
        <w:t>金额5%费用，扣完为止；</w:t>
      </w:r>
    </w:p>
    <w:p w14:paraId="108835B6">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color w:val="000000"/>
          <w:kern w:val="2"/>
          <w:sz w:val="24"/>
          <w:szCs w:val="24"/>
          <w:u w:val="none"/>
        </w:rPr>
        <w:t>4）5分&lt;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≤10分，对供应商提出严重警告，</w:t>
      </w:r>
      <w:r>
        <w:rPr>
          <w:rFonts w:hint="eastAsia" w:ascii="仿宋" w:hAnsi="仿宋" w:eastAsia="仿宋" w:cs="仿宋"/>
          <w:kern w:val="2"/>
          <w:sz w:val="24"/>
          <w:szCs w:val="24"/>
          <w:u w:val="none"/>
        </w:rPr>
        <w:t>从合同待支付金额中或履约保证金中</w:t>
      </w:r>
      <w:r>
        <w:rPr>
          <w:rFonts w:hint="eastAsia" w:ascii="仿宋" w:hAnsi="仿宋" w:eastAsia="仿宋" w:cs="仿宋"/>
          <w:color w:val="000000"/>
          <w:kern w:val="2"/>
          <w:sz w:val="24"/>
          <w:szCs w:val="24"/>
          <w:u w:val="none"/>
        </w:rPr>
        <w:t>扣除合同</w:t>
      </w:r>
      <w:r>
        <w:rPr>
          <w:rFonts w:hint="eastAsia" w:ascii="仿宋" w:hAnsi="仿宋" w:eastAsia="仿宋" w:cs="仿宋"/>
          <w:color w:val="000000"/>
          <w:kern w:val="2"/>
          <w:sz w:val="24"/>
          <w:szCs w:val="24"/>
          <w:u w:val="none"/>
          <w:lang w:val="en-US" w:eastAsia="zh-CN"/>
        </w:rPr>
        <w:t>总</w:t>
      </w:r>
      <w:r>
        <w:rPr>
          <w:rFonts w:hint="eastAsia" w:ascii="仿宋" w:hAnsi="仿宋" w:eastAsia="仿宋" w:cs="仿宋"/>
          <w:color w:val="000000"/>
          <w:kern w:val="2"/>
          <w:sz w:val="24"/>
          <w:szCs w:val="24"/>
          <w:u w:val="none"/>
        </w:rPr>
        <w:t>金额10%费用，扣完为止；</w:t>
      </w:r>
    </w:p>
    <w:p w14:paraId="75239D6E">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lang w:eastAsia="zh-CN"/>
        </w:rPr>
      </w:pPr>
      <w:r>
        <w:rPr>
          <w:rFonts w:hint="eastAsia" w:ascii="仿宋" w:hAnsi="仿宋" w:eastAsia="仿宋" w:cs="仿宋"/>
          <w:color w:val="000000"/>
          <w:kern w:val="2"/>
          <w:sz w:val="24"/>
          <w:szCs w:val="24"/>
          <w:u w:val="none"/>
          <w:lang w:val="en-US" w:eastAsia="zh-CN"/>
        </w:rPr>
        <w:t>5</w:t>
      </w:r>
      <w:r>
        <w:rPr>
          <w:rFonts w:hint="eastAsia" w:ascii="仿宋" w:hAnsi="仿宋" w:eastAsia="仿宋" w:cs="仿宋"/>
          <w:color w:val="000000"/>
          <w:kern w:val="2"/>
          <w:sz w:val="24"/>
          <w:szCs w:val="24"/>
          <w:u w:val="none"/>
        </w:rPr>
        <w:t>）10分&lt;</w:t>
      </w:r>
      <w:r>
        <w:rPr>
          <w:rStyle w:val="21"/>
          <w:rFonts w:hint="eastAsia" w:ascii="仿宋" w:hAnsi="仿宋" w:eastAsia="仿宋" w:cs="仿宋"/>
          <w:color w:val="000000"/>
          <w:kern w:val="2"/>
          <w:sz w:val="24"/>
          <w:szCs w:val="24"/>
          <w:u w:val="none"/>
        </w:rPr>
        <w:t>平均扣分</w:t>
      </w:r>
      <w:r>
        <w:rPr>
          <w:rFonts w:hint="eastAsia" w:ascii="仿宋" w:hAnsi="仿宋" w:eastAsia="仿宋" w:cs="仿宋"/>
          <w:color w:val="000000"/>
          <w:kern w:val="2"/>
          <w:sz w:val="24"/>
          <w:szCs w:val="24"/>
          <w:u w:val="none"/>
        </w:rPr>
        <w:t>，视为</w:t>
      </w:r>
      <w:r>
        <w:rPr>
          <w:rStyle w:val="21"/>
          <w:rFonts w:hint="eastAsia" w:ascii="仿宋" w:hAnsi="仿宋" w:eastAsia="仿宋" w:cs="仿宋"/>
          <w:color w:val="000000"/>
          <w:kern w:val="2"/>
          <w:sz w:val="24"/>
          <w:szCs w:val="24"/>
          <w:u w:val="none"/>
        </w:rPr>
        <w:t>不合格</w:t>
      </w:r>
      <w:r>
        <w:rPr>
          <w:rFonts w:hint="eastAsia" w:ascii="仿宋" w:hAnsi="仿宋" w:eastAsia="仿宋" w:cs="仿宋"/>
          <w:color w:val="000000"/>
          <w:kern w:val="2"/>
          <w:sz w:val="24"/>
          <w:szCs w:val="24"/>
          <w:u w:val="none"/>
        </w:rPr>
        <w:t>，终止合同，合同待支付金额</w:t>
      </w:r>
      <w:r>
        <w:rPr>
          <w:rFonts w:hint="eastAsia" w:ascii="仿宋" w:hAnsi="仿宋" w:eastAsia="仿宋" w:cs="仿宋"/>
          <w:color w:val="000000"/>
          <w:kern w:val="2"/>
          <w:sz w:val="24"/>
          <w:szCs w:val="24"/>
          <w:u w:val="none"/>
          <w:lang w:val="en-US" w:eastAsia="zh-CN"/>
        </w:rPr>
        <w:t>不予支付，</w:t>
      </w:r>
      <w:r>
        <w:rPr>
          <w:rFonts w:hint="eastAsia" w:ascii="仿宋" w:hAnsi="仿宋" w:eastAsia="仿宋" w:cs="仿宋"/>
          <w:color w:val="000000"/>
          <w:kern w:val="2"/>
          <w:sz w:val="24"/>
          <w:szCs w:val="24"/>
          <w:u w:val="none"/>
        </w:rPr>
        <w:t>履约保</w:t>
      </w:r>
      <w:r>
        <w:rPr>
          <w:rFonts w:hint="eastAsia" w:ascii="仿宋" w:hAnsi="仿宋" w:eastAsia="仿宋" w:cs="仿宋"/>
          <w:color w:val="000000"/>
          <w:kern w:val="2"/>
          <w:sz w:val="24"/>
          <w:szCs w:val="24"/>
          <w:u w:val="none"/>
          <w:lang w:val="en-US" w:eastAsia="zh-CN"/>
        </w:rPr>
        <w:t>证</w:t>
      </w:r>
      <w:r>
        <w:rPr>
          <w:rFonts w:hint="eastAsia" w:ascii="仿宋" w:hAnsi="仿宋" w:eastAsia="仿宋" w:cs="仿宋"/>
          <w:color w:val="000000"/>
          <w:kern w:val="2"/>
          <w:sz w:val="24"/>
          <w:szCs w:val="24"/>
          <w:u w:val="none"/>
        </w:rPr>
        <w:t>金（如有履约保证金）不予退还</w:t>
      </w:r>
      <w:r>
        <w:rPr>
          <w:rFonts w:hint="eastAsia" w:ascii="仿宋" w:hAnsi="仿宋" w:eastAsia="仿宋" w:cs="仿宋"/>
          <w:color w:val="000000"/>
          <w:kern w:val="2"/>
          <w:sz w:val="24"/>
          <w:szCs w:val="24"/>
          <w:u w:val="none"/>
          <w:lang w:eastAsia="zh-CN"/>
        </w:rPr>
        <w:t>。</w:t>
      </w:r>
    </w:p>
    <w:p w14:paraId="3E387B4A">
      <w:pPr>
        <w:pStyle w:val="15"/>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b w:val="0"/>
          <w:bCs w:val="0"/>
          <w:color w:val="000000"/>
          <w:kern w:val="2"/>
          <w:sz w:val="24"/>
          <w:szCs w:val="24"/>
          <w:u w:val="none"/>
        </w:rPr>
        <w:t>3.</w:t>
      </w:r>
      <w:r>
        <w:rPr>
          <w:rFonts w:hint="eastAsia" w:ascii="仿宋" w:hAnsi="仿宋" w:eastAsia="仿宋" w:cs="仿宋"/>
          <w:color w:val="000000"/>
          <w:kern w:val="2"/>
          <w:sz w:val="24"/>
          <w:szCs w:val="24"/>
          <w:u w:val="none"/>
        </w:rPr>
        <w:t>供应商出现一票否决时，将对其违法违纪的相关情况汇报院纪委，同时按供应商违约情况取消本次合作，扣除所有剩余款项和履约保证金（如有履约保证金），并保留后续追究供应商责任的权利。</w:t>
      </w:r>
    </w:p>
    <w:p w14:paraId="48DD2A5B">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ascii="Times New Roman" w:hAnsi="Times New Roman" w:eastAsia="宋体" w:cs="Times New Roman"/>
          <w:sz w:val="24"/>
          <w:szCs w:val="24"/>
          <w:u w:val="none"/>
        </w:rPr>
      </w:pPr>
      <w:r>
        <w:rPr>
          <w:rFonts w:hint="eastAsia" w:ascii="仿宋" w:hAnsi="仿宋" w:eastAsia="仿宋" w:cs="仿宋"/>
          <w:b w:val="0"/>
          <w:bCs w:val="0"/>
          <w:color w:val="000000"/>
          <w:kern w:val="2"/>
          <w:sz w:val="24"/>
          <w:szCs w:val="24"/>
          <w:u w:val="none"/>
        </w:rPr>
        <w:t>4.</w:t>
      </w:r>
      <w:r>
        <w:rPr>
          <w:rFonts w:hint="eastAsia" w:ascii="仿宋" w:hAnsi="仿宋" w:eastAsia="仿宋" w:cs="仿宋"/>
          <w:color w:val="000000"/>
          <w:kern w:val="2"/>
          <w:sz w:val="24"/>
          <w:szCs w:val="24"/>
          <w:u w:val="none"/>
        </w:rPr>
        <w:t>本考核指标最终解释权归四川省医学科学院·四川省人民医院。</w:t>
      </w:r>
    </w:p>
    <w:p w14:paraId="7806636B">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7" w:name="_Toc192583770"/>
      <w:bookmarkStart w:id="18" w:name="_Toc3094"/>
      <w:bookmarkStart w:id="19" w:name="_Toc22827"/>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4960"/>
      <w:bookmarkStart w:id="21" w:name="_Toc5913"/>
      <w:bookmarkStart w:id="22" w:name="_Toc29819"/>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9428"/>
      <w:bookmarkStart w:id="24" w:name="_Toc30609"/>
      <w:bookmarkStart w:id="25" w:name="_Toc19851"/>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1544"/>
      <w:bookmarkStart w:id="27" w:name="_Toc9041"/>
      <w:bookmarkStart w:id="28" w:name="_Toc32352"/>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4097"/>
      <w:bookmarkStart w:id="30" w:name="_Toc21472"/>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17163"/>
      <w:bookmarkStart w:id="32" w:name="_Toc32749"/>
      <w:bookmarkStart w:id="33" w:name="_Toc24859"/>
      <w:bookmarkStart w:id="34" w:name="_Toc1690"/>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3558"/>
      <w:bookmarkStart w:id="36" w:name="_Toc24123"/>
      <w:bookmarkStart w:id="37" w:name="_Toc6803"/>
      <w:bookmarkStart w:id="38" w:name="_Toc17905"/>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5996"/>
      <w:bookmarkStart w:id="40" w:name="_Toc27135"/>
      <w:bookmarkStart w:id="41" w:name="_Toc27526"/>
      <w:bookmarkStart w:id="42" w:name="_Toc2989"/>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5056"/>
      <w:bookmarkStart w:id="44" w:name="_Toc2031"/>
      <w:bookmarkStart w:id="45" w:name="_Toc19987"/>
      <w:bookmarkStart w:id="46" w:name="_Toc7233"/>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11352"/>
      <w:bookmarkStart w:id="48" w:name="_Toc6482"/>
      <w:bookmarkStart w:id="49" w:name="_Toc14829"/>
      <w:bookmarkStart w:id="50" w:name="_Toc16029"/>
      <w:bookmarkStart w:id="51" w:name="_Toc3023"/>
      <w:bookmarkStart w:id="52" w:name="_Toc21519"/>
    </w:p>
    <w:p w14:paraId="45B9BDA8">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1ADAD40">
      <w:pPr>
        <w:pStyle w:val="3"/>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31838"/>
      <w:bookmarkStart w:id="54" w:name="_Toc17857"/>
      <w:bookmarkStart w:id="55" w:name="_Toc22676"/>
      <w:bookmarkStart w:id="56" w:name="_Toc30971"/>
      <w:bookmarkStart w:id="57" w:name="_Toc4305"/>
      <w:r>
        <w:rPr>
          <w:rFonts w:ascii="Times New Roman" w:hAnsi="Times New Roman" w:cs="Times New Roman"/>
        </w:rPr>
        <w:br w:type="page"/>
      </w:r>
    </w:p>
    <w:p w14:paraId="23ED41BF">
      <w:pPr>
        <w:pStyle w:val="3"/>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2"/>
          <w:szCs w:val="28"/>
        </w:rPr>
      </w:pPr>
      <w:r>
        <w:rPr>
          <w:bCs/>
        </w:rPr>
        <w:br w:type="page"/>
      </w:r>
      <w:bookmarkStart w:id="58" w:name="_Toc27186"/>
      <w:bookmarkStart w:id="59" w:name="_Toc15613"/>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904"/>
      <w:bookmarkStart w:id="62" w:name="_Toc13706"/>
      <w:bookmarkStart w:id="63" w:name="_Toc25357"/>
    </w:p>
    <w:p w14:paraId="6BE6D0D2">
      <w:pPr>
        <w:pStyle w:val="3"/>
        <w:ind w:firstLine="0"/>
        <w:rPr>
          <w:szCs w:val="32"/>
        </w:rPr>
      </w:pPr>
      <w:bookmarkStart w:id="64" w:name="_Toc15508"/>
      <w:bookmarkStart w:id="65" w:name="_Toc23146"/>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1"/>
        <w:ind w:left="420" w:leftChars="200"/>
        <w:jc w:val="both"/>
        <w:rPr>
          <w:rFonts w:ascii="Times New Roman" w:hAnsi="Times New Roman" w:eastAsia="仿宋" w:cs="Times New Roman"/>
          <w:color w:val="auto"/>
        </w:rPr>
      </w:pPr>
    </w:p>
    <w:p w14:paraId="15610D6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6" w:name="_Toc12015"/>
      <w:bookmarkStart w:id="67" w:name="_Toc25638"/>
      <w:bookmarkStart w:id="68" w:name="_Toc20589"/>
      <w:bookmarkStart w:id="69" w:name="_Toc27661"/>
      <w:bookmarkStart w:id="70" w:name="_Toc15526"/>
      <w:bookmarkStart w:id="71" w:name="_Toc11351"/>
      <w:r>
        <w:rPr>
          <w:rStyle w:val="40"/>
          <w:b/>
        </w:rPr>
        <w:t>法定代表人身份证明书</w:t>
      </w:r>
      <w:bookmarkEnd w:id="66"/>
      <w:bookmarkEnd w:id="67"/>
      <w:bookmarkEnd w:id="68"/>
      <w:bookmarkEnd w:id="69"/>
      <w:bookmarkEnd w:id="70"/>
      <w:bookmarkEnd w:id="71"/>
    </w:p>
    <w:p w14:paraId="3A3BA539">
      <w:pPr>
        <w:pStyle w:val="31"/>
        <w:jc w:val="center"/>
        <w:rPr>
          <w:rFonts w:ascii="Times New Roman" w:hAnsi="Times New Roman" w:eastAsia="仿宋" w:cs="Times New Roman"/>
          <w:color w:val="auto"/>
        </w:rPr>
      </w:pPr>
    </w:p>
    <w:p w14:paraId="1D3E4E35">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1"/>
        <w:jc w:val="center"/>
        <w:rPr>
          <w:rFonts w:ascii="Times New Roman" w:hAnsi="Times New Roman" w:eastAsia="仿宋" w:cs="Times New Roman"/>
          <w:color w:val="auto"/>
        </w:rPr>
      </w:pPr>
    </w:p>
    <w:p w14:paraId="296D8A83">
      <w:pPr>
        <w:pStyle w:val="31"/>
        <w:jc w:val="center"/>
        <w:rPr>
          <w:rFonts w:ascii="Times New Roman" w:hAnsi="Times New Roman" w:eastAsia="仿宋" w:cs="Times New Roman"/>
          <w:color w:val="auto"/>
        </w:rPr>
      </w:pPr>
    </w:p>
    <w:p w14:paraId="6A679389">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1"/>
        <w:jc w:val="both"/>
        <w:rPr>
          <w:rFonts w:ascii="Times New Roman" w:hAnsi="Times New Roman" w:eastAsia="仿宋" w:cs="Times New Roman"/>
          <w:color w:val="auto"/>
        </w:rPr>
      </w:pPr>
    </w:p>
    <w:p w14:paraId="1381E3FD">
      <w:pPr>
        <w:pStyle w:val="31"/>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1"/>
        <w:jc w:val="center"/>
        <w:rPr>
          <w:rFonts w:ascii="Times New Roman" w:hAnsi="Times New Roman" w:eastAsia="仿宋" w:cs="Times New Roman"/>
          <w:color w:val="auto"/>
        </w:rPr>
      </w:pPr>
    </w:p>
    <w:p w14:paraId="2EEFDF95">
      <w:pPr>
        <w:pStyle w:val="31"/>
        <w:jc w:val="center"/>
        <w:rPr>
          <w:rFonts w:ascii="Times New Roman" w:hAnsi="Times New Roman" w:eastAsia="仿宋" w:cs="Times New Roman"/>
          <w:color w:val="auto"/>
        </w:rPr>
      </w:pPr>
    </w:p>
    <w:p w14:paraId="4361194A">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1"/>
        <w:jc w:val="both"/>
        <w:rPr>
          <w:rFonts w:ascii="Times New Roman" w:hAnsi="Times New Roman" w:eastAsia="仿宋" w:cs="Times New Roman"/>
          <w:color w:val="auto"/>
          <w:sz w:val="32"/>
          <w:szCs w:val="32"/>
        </w:rPr>
      </w:pPr>
    </w:p>
    <w:p w14:paraId="6EE83E0D">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5EA16FDB">
      <w:pPr>
        <w:pStyle w:val="31"/>
        <w:jc w:val="center"/>
        <w:rPr>
          <w:rFonts w:ascii="Times New Roman" w:hAnsi="Times New Roman" w:eastAsia="仿宋" w:cs="Times New Roman"/>
          <w:b/>
          <w:bCs/>
          <w:color w:val="auto"/>
        </w:rPr>
      </w:pPr>
    </w:p>
    <w:p w14:paraId="724D1D6A">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1"/>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2" w:name="_Toc12967"/>
      <w:bookmarkStart w:id="73" w:name="_Toc23967"/>
      <w:bookmarkStart w:id="74" w:name="_Toc26969"/>
      <w:bookmarkStart w:id="75" w:name="_Toc1074"/>
      <w:bookmarkStart w:id="76" w:name="_Toc2041"/>
      <w:bookmarkStart w:id="77" w:name="_Toc16435"/>
      <w:r>
        <w:rPr>
          <w:rStyle w:val="40"/>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8"/>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1"/>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8" w:name="_Toc26839"/>
      <w:bookmarkStart w:id="79" w:name="_Toc31686"/>
      <w:bookmarkStart w:id="80" w:name="_Toc28634"/>
      <w:bookmarkStart w:id="81" w:name="_Toc1369"/>
      <w:bookmarkStart w:id="82" w:name="_Toc21082"/>
      <w:bookmarkStart w:id="83" w:name="_Toc24806"/>
      <w:r>
        <w:rPr>
          <w:rStyle w:val="40"/>
          <w:b/>
        </w:rPr>
        <w:t>评分需要提供的证明材料</w:t>
      </w:r>
      <w:bookmarkEnd w:id="78"/>
      <w:bookmarkEnd w:id="79"/>
      <w:bookmarkEnd w:id="80"/>
      <w:bookmarkEnd w:id="81"/>
      <w:bookmarkEnd w:id="82"/>
      <w:bookmarkEnd w:id="83"/>
    </w:p>
    <w:p w14:paraId="5023EAE2">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1"/>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871"/>
      <w:bookmarkStart w:id="85" w:name="_Toc32605"/>
      <w:bookmarkStart w:id="86" w:name="_Toc24494"/>
    </w:p>
    <w:p w14:paraId="05758452">
      <w:pPr>
        <w:pStyle w:val="3"/>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lang w:val="zh-TW"/>
        </w:rPr>
      </w:pPr>
    </w:p>
    <w:p w14:paraId="27D10C87">
      <w:pPr>
        <w:pStyle w:val="7"/>
        <w:rPr>
          <w:rFonts w:ascii="Times New Roman" w:hAnsi="Times New Roman" w:eastAsia="仿宋" w:cs="Times New Roman"/>
          <w:b/>
          <w:bCs/>
          <w:sz w:val="24"/>
          <w:szCs w:val="24"/>
          <w:highlight w:val="none"/>
        </w:rPr>
      </w:pPr>
      <w:r>
        <w:rPr>
          <w:rFonts w:ascii="Times New Roman" w:hAnsi="Times New Roman" w:eastAsia="仿宋" w:cs="Times New Roman"/>
          <w:b/>
          <w:bCs/>
          <w:sz w:val="24"/>
          <w:szCs w:val="24"/>
          <w:highlight w:val="none"/>
        </w:rPr>
        <w:t>1.报价一览表</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3"/>
        <w:gridCol w:w="2236"/>
        <w:gridCol w:w="736"/>
        <w:gridCol w:w="737"/>
        <w:gridCol w:w="1652"/>
        <w:gridCol w:w="1835"/>
        <w:gridCol w:w="1905"/>
      </w:tblGrid>
      <w:tr w14:paraId="7B83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5CEBAC3B">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序号</w:t>
            </w:r>
          </w:p>
        </w:tc>
        <w:tc>
          <w:tcPr>
            <w:tcW w:w="2236" w:type="dxa"/>
            <w:shd w:val="clear" w:color="auto" w:fill="auto"/>
            <w:tcMar>
              <w:top w:w="0" w:type="dxa"/>
              <w:left w:w="105" w:type="dxa"/>
              <w:bottom w:w="0" w:type="dxa"/>
              <w:right w:w="105" w:type="dxa"/>
            </w:tcMar>
            <w:vAlign w:val="center"/>
          </w:tcPr>
          <w:p w14:paraId="4E7BB8EE">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品名</w:t>
            </w:r>
          </w:p>
        </w:tc>
        <w:tc>
          <w:tcPr>
            <w:tcW w:w="736" w:type="dxa"/>
            <w:shd w:val="clear" w:color="auto" w:fill="auto"/>
            <w:tcMar>
              <w:top w:w="0" w:type="dxa"/>
              <w:left w:w="105" w:type="dxa"/>
              <w:bottom w:w="0" w:type="dxa"/>
              <w:right w:w="105" w:type="dxa"/>
            </w:tcMar>
            <w:vAlign w:val="center"/>
          </w:tcPr>
          <w:p w14:paraId="6218A3D9">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数量</w:t>
            </w:r>
          </w:p>
        </w:tc>
        <w:tc>
          <w:tcPr>
            <w:tcW w:w="737" w:type="dxa"/>
            <w:shd w:val="clear" w:color="auto" w:fill="auto"/>
            <w:tcMar>
              <w:top w:w="0" w:type="dxa"/>
              <w:left w:w="105" w:type="dxa"/>
              <w:bottom w:w="0" w:type="dxa"/>
              <w:right w:w="105" w:type="dxa"/>
            </w:tcMar>
            <w:vAlign w:val="center"/>
          </w:tcPr>
          <w:p w14:paraId="702C8A6F">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单位</w:t>
            </w:r>
          </w:p>
        </w:tc>
        <w:tc>
          <w:tcPr>
            <w:tcW w:w="1652" w:type="dxa"/>
            <w:shd w:val="clear" w:color="auto" w:fill="auto"/>
            <w:tcMar>
              <w:top w:w="0" w:type="dxa"/>
              <w:left w:w="105" w:type="dxa"/>
              <w:bottom w:w="0" w:type="dxa"/>
              <w:right w:w="105" w:type="dxa"/>
            </w:tcMar>
            <w:vAlign w:val="center"/>
          </w:tcPr>
          <w:p w14:paraId="4060F788">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单价（元）</w:t>
            </w:r>
          </w:p>
        </w:tc>
        <w:tc>
          <w:tcPr>
            <w:tcW w:w="1835" w:type="dxa"/>
            <w:shd w:val="clear" w:color="auto" w:fill="auto"/>
            <w:tcMar>
              <w:top w:w="0" w:type="dxa"/>
              <w:left w:w="105" w:type="dxa"/>
              <w:bottom w:w="0" w:type="dxa"/>
              <w:right w:w="105" w:type="dxa"/>
            </w:tcMar>
            <w:vAlign w:val="center"/>
          </w:tcPr>
          <w:p w14:paraId="352BF075">
            <w:pPr>
              <w:pStyle w:val="8"/>
              <w:numPr>
                <w:ilvl w:val="0"/>
                <w:numId w:val="0"/>
              </w:numPr>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总价（元）</w:t>
            </w:r>
          </w:p>
        </w:tc>
        <w:tc>
          <w:tcPr>
            <w:tcW w:w="1905" w:type="dxa"/>
            <w:shd w:val="clear" w:color="auto" w:fill="auto"/>
            <w:tcMar>
              <w:top w:w="0" w:type="dxa"/>
              <w:left w:w="105" w:type="dxa"/>
              <w:bottom w:w="0" w:type="dxa"/>
              <w:right w:w="105" w:type="dxa"/>
            </w:tcMar>
            <w:vAlign w:val="center"/>
          </w:tcPr>
          <w:p w14:paraId="58EC4F82">
            <w:pPr>
              <w:pStyle w:val="8"/>
              <w:numPr>
                <w:ilvl w:val="0"/>
                <w:numId w:val="0"/>
              </w:numPr>
              <w:spacing w:line="240" w:lineRule="auto"/>
              <w:ind w:firstLine="0" w:firstLineChars="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备注</w:t>
            </w:r>
          </w:p>
        </w:tc>
      </w:tr>
      <w:tr w14:paraId="1DB42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0EA9BFA2">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2236" w:type="dxa"/>
            <w:shd w:val="clear" w:color="auto" w:fill="auto"/>
            <w:tcMar>
              <w:top w:w="0" w:type="dxa"/>
              <w:left w:w="105" w:type="dxa"/>
              <w:bottom w:w="0" w:type="dxa"/>
              <w:right w:w="105" w:type="dxa"/>
            </w:tcMar>
            <w:vAlign w:val="center"/>
          </w:tcPr>
          <w:p w14:paraId="4F8DCDDE">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重症预警指挥模块</w:t>
            </w:r>
          </w:p>
        </w:tc>
        <w:tc>
          <w:tcPr>
            <w:tcW w:w="736" w:type="dxa"/>
            <w:shd w:val="clear" w:color="auto" w:fill="auto"/>
            <w:tcMar>
              <w:top w:w="0" w:type="dxa"/>
              <w:left w:w="105" w:type="dxa"/>
              <w:bottom w:w="0" w:type="dxa"/>
              <w:right w:w="105" w:type="dxa"/>
            </w:tcMar>
            <w:vAlign w:val="center"/>
          </w:tcPr>
          <w:p w14:paraId="17D8563A">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61E9B0F0">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07EB9002">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7F93F207">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26897E4A">
            <w:pPr>
              <w:pStyle w:val="8"/>
              <w:numPr>
                <w:ilvl w:val="0"/>
                <w:numId w:val="0"/>
              </w:numPr>
              <w:spacing w:line="240" w:lineRule="auto"/>
              <w:ind w:firstLine="0" w:firstLineChars="0"/>
              <w:jc w:val="center"/>
              <w:rPr>
                <w:rFonts w:hint="eastAsia" w:ascii="仿宋" w:hAnsi="仿宋" w:eastAsia="仿宋" w:cs="仿宋"/>
                <w:sz w:val="21"/>
                <w:szCs w:val="21"/>
              </w:rPr>
            </w:pPr>
          </w:p>
        </w:tc>
      </w:tr>
      <w:tr w14:paraId="0259B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73C5250D">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2</w:t>
            </w:r>
          </w:p>
        </w:tc>
        <w:tc>
          <w:tcPr>
            <w:tcW w:w="2236" w:type="dxa"/>
            <w:shd w:val="clear" w:color="auto" w:fill="auto"/>
            <w:tcMar>
              <w:top w:w="0" w:type="dxa"/>
              <w:left w:w="105" w:type="dxa"/>
              <w:bottom w:w="0" w:type="dxa"/>
              <w:right w:w="105" w:type="dxa"/>
            </w:tcMar>
            <w:vAlign w:val="center"/>
          </w:tcPr>
          <w:p w14:paraId="02D1A440">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审核归档质控模块</w:t>
            </w:r>
          </w:p>
        </w:tc>
        <w:tc>
          <w:tcPr>
            <w:tcW w:w="736" w:type="dxa"/>
            <w:shd w:val="clear" w:color="auto" w:fill="auto"/>
            <w:tcMar>
              <w:top w:w="0" w:type="dxa"/>
              <w:left w:w="105" w:type="dxa"/>
              <w:bottom w:w="0" w:type="dxa"/>
              <w:right w:w="105" w:type="dxa"/>
            </w:tcMar>
            <w:vAlign w:val="center"/>
          </w:tcPr>
          <w:p w14:paraId="12CEBD75">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1266F110">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3C40DBBE">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477B5E52">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62D47CAD">
            <w:pPr>
              <w:pStyle w:val="8"/>
              <w:numPr>
                <w:ilvl w:val="0"/>
                <w:numId w:val="0"/>
              </w:numPr>
              <w:spacing w:line="240" w:lineRule="auto"/>
              <w:ind w:firstLine="0" w:firstLineChars="0"/>
              <w:jc w:val="center"/>
              <w:rPr>
                <w:rFonts w:hint="eastAsia" w:ascii="仿宋" w:hAnsi="仿宋" w:eastAsia="仿宋" w:cs="仿宋"/>
                <w:sz w:val="21"/>
                <w:szCs w:val="21"/>
              </w:rPr>
            </w:pPr>
          </w:p>
        </w:tc>
      </w:tr>
      <w:tr w14:paraId="751DD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7E6D8999">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3</w:t>
            </w:r>
          </w:p>
        </w:tc>
        <w:tc>
          <w:tcPr>
            <w:tcW w:w="2236" w:type="dxa"/>
            <w:shd w:val="clear" w:color="auto" w:fill="auto"/>
            <w:tcMar>
              <w:top w:w="0" w:type="dxa"/>
              <w:left w:w="105" w:type="dxa"/>
              <w:bottom w:w="0" w:type="dxa"/>
              <w:right w:w="105" w:type="dxa"/>
            </w:tcMar>
            <w:vAlign w:val="center"/>
          </w:tcPr>
          <w:p w14:paraId="36041F0D">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5G急救APP功能新增（出诊暂停恢复，送到目的地）</w:t>
            </w:r>
          </w:p>
        </w:tc>
        <w:tc>
          <w:tcPr>
            <w:tcW w:w="736" w:type="dxa"/>
            <w:shd w:val="clear" w:color="auto" w:fill="auto"/>
            <w:tcMar>
              <w:top w:w="0" w:type="dxa"/>
              <w:left w:w="105" w:type="dxa"/>
              <w:bottom w:w="0" w:type="dxa"/>
              <w:right w:w="105" w:type="dxa"/>
            </w:tcMar>
            <w:vAlign w:val="center"/>
          </w:tcPr>
          <w:p w14:paraId="24D89513">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2E0B7623">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5E1CDC88">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4D5ECA44">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5669883F">
            <w:pPr>
              <w:pStyle w:val="8"/>
              <w:numPr>
                <w:ilvl w:val="0"/>
                <w:numId w:val="0"/>
              </w:numPr>
              <w:spacing w:line="240" w:lineRule="auto"/>
              <w:ind w:firstLine="0" w:firstLineChars="0"/>
              <w:jc w:val="center"/>
              <w:rPr>
                <w:rFonts w:hint="eastAsia" w:ascii="仿宋" w:hAnsi="仿宋" w:eastAsia="仿宋" w:cs="仿宋"/>
                <w:sz w:val="21"/>
                <w:szCs w:val="21"/>
              </w:rPr>
            </w:pPr>
          </w:p>
        </w:tc>
      </w:tr>
      <w:tr w14:paraId="5BB6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11BD2227">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4</w:t>
            </w:r>
          </w:p>
        </w:tc>
        <w:tc>
          <w:tcPr>
            <w:tcW w:w="2236" w:type="dxa"/>
            <w:shd w:val="clear" w:color="auto" w:fill="auto"/>
            <w:tcMar>
              <w:top w:w="0" w:type="dxa"/>
              <w:left w:w="105" w:type="dxa"/>
              <w:bottom w:w="0" w:type="dxa"/>
              <w:right w:w="105" w:type="dxa"/>
            </w:tcMar>
            <w:vAlign w:val="center"/>
          </w:tcPr>
          <w:p w14:paraId="27C97A69">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5G急救指挥大屏</w:t>
            </w:r>
          </w:p>
        </w:tc>
        <w:tc>
          <w:tcPr>
            <w:tcW w:w="736" w:type="dxa"/>
            <w:shd w:val="clear" w:color="auto" w:fill="auto"/>
            <w:tcMar>
              <w:top w:w="0" w:type="dxa"/>
              <w:left w:w="105" w:type="dxa"/>
              <w:bottom w:w="0" w:type="dxa"/>
              <w:right w:w="105" w:type="dxa"/>
            </w:tcMar>
            <w:vAlign w:val="center"/>
          </w:tcPr>
          <w:p w14:paraId="73DC5582">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4FC9B1D3">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0FDEA28D">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7D96B860">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397CF17D">
            <w:pPr>
              <w:pStyle w:val="8"/>
              <w:numPr>
                <w:ilvl w:val="0"/>
                <w:numId w:val="0"/>
              </w:numPr>
              <w:spacing w:line="240" w:lineRule="auto"/>
              <w:ind w:firstLine="0" w:firstLineChars="0"/>
              <w:jc w:val="center"/>
              <w:rPr>
                <w:rFonts w:hint="eastAsia" w:ascii="仿宋" w:hAnsi="仿宋" w:eastAsia="仿宋" w:cs="仿宋"/>
                <w:sz w:val="21"/>
                <w:szCs w:val="21"/>
                <w:lang w:val="en-US" w:eastAsia="zh-CN"/>
              </w:rPr>
            </w:pPr>
          </w:p>
        </w:tc>
      </w:tr>
      <w:tr w14:paraId="68C7A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432CF1F8">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w:t>
            </w:r>
          </w:p>
        </w:tc>
        <w:tc>
          <w:tcPr>
            <w:tcW w:w="2236" w:type="dxa"/>
            <w:shd w:val="clear" w:color="auto" w:fill="auto"/>
            <w:tcMar>
              <w:top w:w="0" w:type="dxa"/>
              <w:left w:w="105" w:type="dxa"/>
              <w:bottom w:w="0" w:type="dxa"/>
              <w:right w:w="105" w:type="dxa"/>
            </w:tcMar>
            <w:vAlign w:val="center"/>
          </w:tcPr>
          <w:p w14:paraId="4D6EAAD1">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5G急救系统与院内急诊对接</w:t>
            </w:r>
          </w:p>
        </w:tc>
        <w:tc>
          <w:tcPr>
            <w:tcW w:w="736" w:type="dxa"/>
            <w:shd w:val="clear" w:color="auto" w:fill="auto"/>
            <w:tcMar>
              <w:top w:w="0" w:type="dxa"/>
              <w:left w:w="105" w:type="dxa"/>
              <w:bottom w:w="0" w:type="dxa"/>
              <w:right w:w="105" w:type="dxa"/>
            </w:tcMar>
            <w:vAlign w:val="center"/>
          </w:tcPr>
          <w:p w14:paraId="001B856D">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495D96B0">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39C8B68E">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7AEA5E3B">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61B4138E">
            <w:pPr>
              <w:pStyle w:val="8"/>
              <w:numPr>
                <w:ilvl w:val="0"/>
                <w:numId w:val="0"/>
              </w:numPr>
              <w:spacing w:line="240" w:lineRule="auto"/>
              <w:ind w:firstLine="0" w:firstLineChars="0"/>
              <w:jc w:val="center"/>
              <w:rPr>
                <w:rFonts w:hint="eastAsia" w:ascii="仿宋" w:hAnsi="仿宋" w:eastAsia="仿宋" w:cs="仿宋"/>
                <w:sz w:val="21"/>
                <w:szCs w:val="21"/>
              </w:rPr>
            </w:pPr>
          </w:p>
        </w:tc>
      </w:tr>
      <w:tr w14:paraId="6C98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6005761F">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6</w:t>
            </w:r>
          </w:p>
        </w:tc>
        <w:tc>
          <w:tcPr>
            <w:tcW w:w="2236" w:type="dxa"/>
            <w:shd w:val="clear" w:color="auto" w:fill="auto"/>
            <w:tcMar>
              <w:top w:w="0" w:type="dxa"/>
              <w:left w:w="105" w:type="dxa"/>
              <w:bottom w:w="0" w:type="dxa"/>
              <w:right w:w="105" w:type="dxa"/>
            </w:tcMar>
            <w:vAlign w:val="center"/>
          </w:tcPr>
          <w:p w14:paraId="1730BD99">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5G急救系统与120调度对接</w:t>
            </w:r>
          </w:p>
        </w:tc>
        <w:tc>
          <w:tcPr>
            <w:tcW w:w="736" w:type="dxa"/>
            <w:shd w:val="clear" w:color="auto" w:fill="auto"/>
            <w:tcMar>
              <w:top w:w="0" w:type="dxa"/>
              <w:left w:w="105" w:type="dxa"/>
              <w:bottom w:w="0" w:type="dxa"/>
              <w:right w:w="105" w:type="dxa"/>
            </w:tcMar>
            <w:vAlign w:val="center"/>
          </w:tcPr>
          <w:p w14:paraId="5B03BE83">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6798A778">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510E4EB8">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37627AFC">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612362D3">
            <w:pPr>
              <w:pStyle w:val="8"/>
              <w:numPr>
                <w:ilvl w:val="0"/>
                <w:numId w:val="0"/>
              </w:numPr>
              <w:spacing w:line="240" w:lineRule="auto"/>
              <w:ind w:firstLine="0" w:firstLineChars="0"/>
              <w:jc w:val="center"/>
              <w:rPr>
                <w:rFonts w:hint="eastAsia" w:ascii="仿宋" w:hAnsi="仿宋" w:eastAsia="仿宋" w:cs="仿宋"/>
                <w:sz w:val="21"/>
                <w:szCs w:val="21"/>
              </w:rPr>
            </w:pPr>
          </w:p>
        </w:tc>
      </w:tr>
      <w:tr w14:paraId="2E372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0BE54957">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7</w:t>
            </w:r>
          </w:p>
        </w:tc>
        <w:tc>
          <w:tcPr>
            <w:tcW w:w="2236" w:type="dxa"/>
            <w:shd w:val="clear" w:color="auto" w:fill="auto"/>
            <w:tcMar>
              <w:top w:w="0" w:type="dxa"/>
              <w:left w:w="105" w:type="dxa"/>
              <w:bottom w:w="0" w:type="dxa"/>
              <w:right w:w="105" w:type="dxa"/>
            </w:tcMar>
            <w:vAlign w:val="center"/>
          </w:tcPr>
          <w:p w14:paraId="41016C67">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5G急救系统与集成平台对接</w:t>
            </w:r>
          </w:p>
        </w:tc>
        <w:tc>
          <w:tcPr>
            <w:tcW w:w="736" w:type="dxa"/>
            <w:shd w:val="clear" w:color="auto" w:fill="auto"/>
            <w:tcMar>
              <w:top w:w="0" w:type="dxa"/>
              <w:left w:w="105" w:type="dxa"/>
              <w:bottom w:w="0" w:type="dxa"/>
              <w:right w:w="105" w:type="dxa"/>
            </w:tcMar>
            <w:vAlign w:val="center"/>
          </w:tcPr>
          <w:p w14:paraId="738DA057">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36FA1257">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72F89922">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2F1BF60C">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57C8C155">
            <w:pPr>
              <w:pStyle w:val="8"/>
              <w:numPr>
                <w:ilvl w:val="0"/>
                <w:numId w:val="0"/>
              </w:numPr>
              <w:spacing w:line="240" w:lineRule="auto"/>
              <w:ind w:firstLine="0" w:firstLineChars="0"/>
              <w:jc w:val="center"/>
              <w:rPr>
                <w:rFonts w:hint="eastAsia" w:ascii="仿宋" w:hAnsi="仿宋" w:eastAsia="仿宋" w:cs="仿宋"/>
                <w:sz w:val="21"/>
                <w:szCs w:val="21"/>
              </w:rPr>
            </w:pPr>
          </w:p>
        </w:tc>
      </w:tr>
      <w:tr w14:paraId="0B1CA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327F35FB">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8</w:t>
            </w:r>
          </w:p>
        </w:tc>
        <w:tc>
          <w:tcPr>
            <w:tcW w:w="2236" w:type="dxa"/>
            <w:shd w:val="clear" w:color="auto" w:fill="auto"/>
            <w:tcMar>
              <w:top w:w="0" w:type="dxa"/>
              <w:left w:w="105" w:type="dxa"/>
              <w:bottom w:w="0" w:type="dxa"/>
              <w:right w:w="105" w:type="dxa"/>
            </w:tcMar>
            <w:vAlign w:val="center"/>
          </w:tcPr>
          <w:p w14:paraId="68778118">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5G急救系统与CA系统对接</w:t>
            </w:r>
          </w:p>
        </w:tc>
        <w:tc>
          <w:tcPr>
            <w:tcW w:w="736" w:type="dxa"/>
            <w:shd w:val="clear" w:color="auto" w:fill="auto"/>
            <w:tcMar>
              <w:top w:w="0" w:type="dxa"/>
              <w:left w:w="105" w:type="dxa"/>
              <w:bottom w:w="0" w:type="dxa"/>
              <w:right w:w="105" w:type="dxa"/>
            </w:tcMar>
            <w:vAlign w:val="center"/>
          </w:tcPr>
          <w:p w14:paraId="45D84A0D">
            <w:pPr>
              <w:pStyle w:val="8"/>
              <w:numPr>
                <w:ilvl w:val="0"/>
                <w:numId w:val="0"/>
              </w:numPr>
              <w:spacing w:line="240" w:lineRule="auto"/>
              <w:ind w:left="0" w:leftChars="0"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0AA3A5B9">
            <w:pPr>
              <w:pStyle w:val="8"/>
              <w:numPr>
                <w:ilvl w:val="0"/>
                <w:numId w:val="0"/>
              </w:numPr>
              <w:spacing w:line="240" w:lineRule="auto"/>
              <w:ind w:left="0" w:leftChars="0"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3C7DA0EF">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0A40E542">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636FC163">
            <w:pPr>
              <w:pStyle w:val="8"/>
              <w:numPr>
                <w:ilvl w:val="0"/>
                <w:numId w:val="0"/>
              </w:numPr>
              <w:spacing w:line="240" w:lineRule="auto"/>
              <w:ind w:firstLine="0" w:firstLineChars="0"/>
              <w:jc w:val="center"/>
              <w:rPr>
                <w:rFonts w:hint="eastAsia" w:ascii="仿宋" w:hAnsi="仿宋" w:eastAsia="仿宋" w:cs="仿宋"/>
                <w:sz w:val="21"/>
                <w:szCs w:val="21"/>
              </w:rPr>
            </w:pPr>
          </w:p>
        </w:tc>
      </w:tr>
      <w:tr w14:paraId="655E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03053B9E">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9</w:t>
            </w:r>
          </w:p>
        </w:tc>
        <w:tc>
          <w:tcPr>
            <w:tcW w:w="2236" w:type="dxa"/>
            <w:shd w:val="clear" w:color="auto" w:fill="auto"/>
            <w:tcMar>
              <w:top w:w="0" w:type="dxa"/>
              <w:left w:w="105" w:type="dxa"/>
              <w:bottom w:w="0" w:type="dxa"/>
              <w:right w:w="105" w:type="dxa"/>
            </w:tcMar>
            <w:vAlign w:val="center"/>
          </w:tcPr>
          <w:p w14:paraId="41BC34FC">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120安克定制接口（成都120厂家安克收费）</w:t>
            </w:r>
          </w:p>
        </w:tc>
        <w:tc>
          <w:tcPr>
            <w:tcW w:w="736" w:type="dxa"/>
            <w:shd w:val="clear" w:color="auto" w:fill="auto"/>
            <w:tcMar>
              <w:top w:w="0" w:type="dxa"/>
              <w:left w:w="105" w:type="dxa"/>
              <w:bottom w:w="0" w:type="dxa"/>
              <w:right w:w="105" w:type="dxa"/>
            </w:tcMar>
            <w:vAlign w:val="center"/>
          </w:tcPr>
          <w:p w14:paraId="481382BA">
            <w:pPr>
              <w:pStyle w:val="8"/>
              <w:numPr>
                <w:ilvl w:val="0"/>
                <w:numId w:val="0"/>
              </w:numPr>
              <w:spacing w:line="240" w:lineRule="auto"/>
              <w:ind w:left="0" w:leftChars="0"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170E1693">
            <w:pPr>
              <w:pStyle w:val="8"/>
              <w:numPr>
                <w:ilvl w:val="0"/>
                <w:numId w:val="0"/>
              </w:numPr>
              <w:spacing w:line="240" w:lineRule="auto"/>
              <w:ind w:left="0" w:leftChars="0"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05ADCD65">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2B09A26D">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6D7DE4AB">
            <w:pPr>
              <w:pStyle w:val="8"/>
              <w:numPr>
                <w:ilvl w:val="0"/>
                <w:numId w:val="0"/>
              </w:numPr>
              <w:spacing w:line="240" w:lineRule="auto"/>
              <w:ind w:firstLine="0" w:firstLineChars="0"/>
              <w:jc w:val="center"/>
              <w:rPr>
                <w:rFonts w:hint="eastAsia" w:ascii="仿宋" w:hAnsi="仿宋" w:eastAsia="仿宋" w:cs="仿宋"/>
                <w:sz w:val="21"/>
                <w:szCs w:val="21"/>
              </w:rPr>
            </w:pPr>
          </w:p>
        </w:tc>
      </w:tr>
      <w:tr w14:paraId="26358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43" w:type="dxa"/>
            <w:shd w:val="clear" w:color="auto" w:fill="auto"/>
            <w:tcMar>
              <w:top w:w="0" w:type="dxa"/>
              <w:left w:w="105" w:type="dxa"/>
              <w:bottom w:w="0" w:type="dxa"/>
              <w:right w:w="105" w:type="dxa"/>
            </w:tcMar>
            <w:vAlign w:val="center"/>
          </w:tcPr>
          <w:p w14:paraId="7D43BD85">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10</w:t>
            </w:r>
          </w:p>
        </w:tc>
        <w:tc>
          <w:tcPr>
            <w:tcW w:w="2236" w:type="dxa"/>
            <w:shd w:val="clear" w:color="auto" w:fill="auto"/>
            <w:tcMar>
              <w:top w:w="0" w:type="dxa"/>
              <w:left w:w="105" w:type="dxa"/>
              <w:bottom w:w="0" w:type="dxa"/>
              <w:right w:w="105" w:type="dxa"/>
            </w:tcMar>
            <w:vAlign w:val="center"/>
          </w:tcPr>
          <w:p w14:paraId="67B33E6D">
            <w:pPr>
              <w:pStyle w:val="8"/>
              <w:numPr>
                <w:ilvl w:val="0"/>
                <w:numId w:val="0"/>
              </w:numPr>
              <w:spacing w:line="240" w:lineRule="auto"/>
              <w:ind w:firstLine="0" w:firstLineChars="0"/>
              <w:jc w:val="center"/>
              <w:rPr>
                <w:rFonts w:hint="eastAsia" w:ascii="仿宋" w:hAnsi="仿宋" w:eastAsia="仿宋" w:cs="仿宋"/>
                <w:sz w:val="21"/>
                <w:szCs w:val="21"/>
              </w:rPr>
            </w:pPr>
            <w:r>
              <w:rPr>
                <w:rFonts w:hint="eastAsia" w:ascii="仿宋" w:hAnsi="仿宋" w:eastAsia="仿宋" w:cs="仿宋"/>
                <w:sz w:val="21"/>
                <w:szCs w:val="21"/>
              </w:rPr>
              <w:t>5G急救系统本地化部署迁移</w:t>
            </w:r>
          </w:p>
        </w:tc>
        <w:tc>
          <w:tcPr>
            <w:tcW w:w="736" w:type="dxa"/>
            <w:shd w:val="clear" w:color="auto" w:fill="auto"/>
            <w:tcMar>
              <w:top w:w="0" w:type="dxa"/>
              <w:left w:w="105" w:type="dxa"/>
              <w:bottom w:w="0" w:type="dxa"/>
              <w:right w:w="105" w:type="dxa"/>
            </w:tcMar>
            <w:vAlign w:val="center"/>
          </w:tcPr>
          <w:p w14:paraId="463C4019">
            <w:pPr>
              <w:pStyle w:val="8"/>
              <w:numPr>
                <w:ilvl w:val="0"/>
                <w:numId w:val="0"/>
              </w:numPr>
              <w:spacing w:line="240" w:lineRule="auto"/>
              <w:ind w:left="0" w:leftChars="0" w:firstLine="0" w:firstLineChars="0"/>
              <w:jc w:val="center"/>
              <w:rPr>
                <w:rFonts w:hint="eastAsia" w:ascii="仿宋" w:hAnsi="仿宋" w:eastAsia="仿宋" w:cs="仿宋"/>
                <w:sz w:val="21"/>
                <w:szCs w:val="21"/>
              </w:rPr>
            </w:pPr>
            <w:r>
              <w:rPr>
                <w:rFonts w:hint="eastAsia" w:ascii="仿宋" w:hAnsi="仿宋" w:eastAsia="仿宋" w:cs="仿宋"/>
                <w:sz w:val="21"/>
                <w:szCs w:val="21"/>
              </w:rPr>
              <w:t>1</w:t>
            </w:r>
          </w:p>
        </w:tc>
        <w:tc>
          <w:tcPr>
            <w:tcW w:w="737" w:type="dxa"/>
            <w:shd w:val="clear" w:color="auto" w:fill="auto"/>
            <w:tcMar>
              <w:top w:w="0" w:type="dxa"/>
              <w:left w:w="105" w:type="dxa"/>
              <w:bottom w:w="0" w:type="dxa"/>
              <w:right w:w="105" w:type="dxa"/>
            </w:tcMar>
            <w:vAlign w:val="center"/>
          </w:tcPr>
          <w:p w14:paraId="72B279AF">
            <w:pPr>
              <w:pStyle w:val="8"/>
              <w:numPr>
                <w:ilvl w:val="0"/>
                <w:numId w:val="0"/>
              </w:numPr>
              <w:spacing w:line="240" w:lineRule="auto"/>
              <w:ind w:left="0" w:leftChars="0" w:firstLine="0" w:firstLineChars="0"/>
              <w:jc w:val="center"/>
              <w:rPr>
                <w:rFonts w:hint="eastAsia" w:ascii="仿宋" w:hAnsi="仿宋" w:eastAsia="仿宋" w:cs="仿宋"/>
                <w:sz w:val="21"/>
                <w:szCs w:val="21"/>
              </w:rPr>
            </w:pPr>
            <w:r>
              <w:rPr>
                <w:rFonts w:hint="eastAsia" w:ascii="仿宋" w:hAnsi="仿宋" w:eastAsia="仿宋" w:cs="仿宋"/>
                <w:sz w:val="21"/>
                <w:szCs w:val="21"/>
              </w:rPr>
              <w:t>项</w:t>
            </w:r>
          </w:p>
        </w:tc>
        <w:tc>
          <w:tcPr>
            <w:tcW w:w="1652" w:type="dxa"/>
            <w:shd w:val="clear" w:color="auto" w:fill="auto"/>
            <w:tcMar>
              <w:top w:w="0" w:type="dxa"/>
              <w:left w:w="105" w:type="dxa"/>
              <w:bottom w:w="0" w:type="dxa"/>
              <w:right w:w="105" w:type="dxa"/>
            </w:tcMar>
            <w:vAlign w:val="center"/>
          </w:tcPr>
          <w:p w14:paraId="5502B319">
            <w:pPr>
              <w:pStyle w:val="8"/>
              <w:numPr>
                <w:ilvl w:val="0"/>
                <w:numId w:val="0"/>
              </w:numPr>
              <w:spacing w:line="240" w:lineRule="auto"/>
              <w:ind w:firstLine="0" w:firstLineChars="0"/>
              <w:jc w:val="center"/>
              <w:rPr>
                <w:rFonts w:hint="eastAsia" w:ascii="仿宋" w:hAnsi="仿宋" w:eastAsia="仿宋" w:cs="仿宋"/>
                <w:sz w:val="21"/>
                <w:szCs w:val="21"/>
              </w:rPr>
            </w:pPr>
          </w:p>
        </w:tc>
        <w:tc>
          <w:tcPr>
            <w:tcW w:w="1835" w:type="dxa"/>
            <w:shd w:val="clear" w:color="auto" w:fill="auto"/>
            <w:tcMar>
              <w:top w:w="0" w:type="dxa"/>
              <w:left w:w="105" w:type="dxa"/>
              <w:bottom w:w="0" w:type="dxa"/>
              <w:right w:w="105" w:type="dxa"/>
            </w:tcMar>
            <w:vAlign w:val="center"/>
          </w:tcPr>
          <w:p w14:paraId="31AF1CB1">
            <w:pPr>
              <w:pStyle w:val="8"/>
              <w:numPr>
                <w:ilvl w:val="0"/>
                <w:numId w:val="0"/>
              </w:numPr>
              <w:spacing w:line="240" w:lineRule="auto"/>
              <w:ind w:firstLine="0" w:firstLineChars="0"/>
              <w:jc w:val="center"/>
              <w:rPr>
                <w:rFonts w:hint="eastAsia" w:ascii="仿宋" w:hAnsi="仿宋" w:eastAsia="仿宋" w:cs="仿宋"/>
                <w:sz w:val="21"/>
                <w:szCs w:val="21"/>
              </w:rPr>
            </w:pPr>
          </w:p>
        </w:tc>
        <w:tc>
          <w:tcPr>
            <w:tcW w:w="1905" w:type="dxa"/>
            <w:shd w:val="clear" w:color="auto" w:fill="auto"/>
            <w:tcMar>
              <w:top w:w="0" w:type="dxa"/>
              <w:left w:w="105" w:type="dxa"/>
              <w:bottom w:w="0" w:type="dxa"/>
              <w:right w:w="105" w:type="dxa"/>
            </w:tcMar>
            <w:vAlign w:val="center"/>
          </w:tcPr>
          <w:p w14:paraId="543AF93A">
            <w:pPr>
              <w:pStyle w:val="8"/>
              <w:numPr>
                <w:ilvl w:val="0"/>
                <w:numId w:val="0"/>
              </w:numPr>
              <w:spacing w:line="240" w:lineRule="auto"/>
              <w:ind w:firstLine="0" w:firstLineChars="0"/>
              <w:jc w:val="center"/>
              <w:rPr>
                <w:rFonts w:hint="eastAsia" w:ascii="仿宋" w:hAnsi="仿宋" w:eastAsia="仿宋" w:cs="仿宋"/>
                <w:sz w:val="21"/>
                <w:szCs w:val="21"/>
              </w:rPr>
            </w:pPr>
          </w:p>
        </w:tc>
      </w:tr>
    </w:tbl>
    <w:p w14:paraId="0E97FC2C">
      <w:pPr>
        <w:widowControl/>
        <w:jc w:val="left"/>
        <w:rPr>
          <w:rFonts w:ascii="Times New Roman" w:hAnsi="Times New Roman" w:eastAsia="仿宋" w:cs="Times New Roman"/>
          <w:szCs w:val="21"/>
          <w:lang w:val="zh-TW"/>
        </w:rPr>
      </w:pPr>
    </w:p>
    <w:p w14:paraId="124E15CA">
      <w:pPr>
        <w:widowControl/>
        <w:jc w:val="lef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2.服务期：</w:t>
      </w:r>
      <w:r>
        <w:rPr>
          <w:rFonts w:hint="eastAsia" w:ascii="仿宋" w:hAnsi="仿宋" w:eastAsia="仿宋" w:cs="仿宋"/>
          <w:color w:val="auto"/>
          <w:sz w:val="24"/>
          <w:szCs w:val="24"/>
          <w:u w:val="none"/>
        </w:rPr>
        <w:t>验收合格之日起，提供</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rPr>
        <w:t>年</w:t>
      </w:r>
      <w:r>
        <w:rPr>
          <w:rFonts w:hint="eastAsia" w:ascii="仿宋" w:hAnsi="仿宋" w:eastAsia="仿宋" w:cs="仿宋"/>
          <w:color w:val="auto"/>
          <w:sz w:val="24"/>
          <w:szCs w:val="24"/>
          <w:u w:val="none"/>
          <w:lang w:eastAsia="zh-CN"/>
        </w:rPr>
        <w:t>。</w:t>
      </w:r>
    </w:p>
    <w:p w14:paraId="2A79688B">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14685"/>
      <w:bookmarkStart w:id="89" w:name="_Toc29032"/>
      <w:bookmarkStart w:id="90" w:name="_Toc3000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00809F2">
      <w:pPr>
        <w:jc w:val="center"/>
        <w:rPr>
          <w:rFonts w:ascii="黑体" w:hAnsi="黑体" w:eastAsia="黑体"/>
          <w:b/>
          <w:bCs/>
          <w:sz w:val="48"/>
          <w:szCs w:val="48"/>
        </w:rPr>
      </w:pPr>
      <w:r>
        <w:rPr>
          <w:rFonts w:hint="eastAsia" w:ascii="黑体" w:hAnsi="黑体" w:eastAsia="黑体"/>
          <w:b/>
          <w:bCs/>
          <w:sz w:val="48"/>
          <w:szCs w:val="48"/>
        </w:rPr>
        <w:t>软 件</w:t>
      </w:r>
      <w:r>
        <w:rPr>
          <w:rFonts w:ascii="黑体" w:hAnsi="黑体" w:eastAsia="黑体"/>
          <w:b/>
          <w:bCs/>
          <w:sz w:val="48"/>
          <w:szCs w:val="48"/>
        </w:rPr>
        <w:t xml:space="preserve"> </w:t>
      </w:r>
      <w:r>
        <w:rPr>
          <w:rFonts w:hint="eastAsia" w:ascii="黑体" w:hAnsi="黑体" w:eastAsia="黑体"/>
          <w:b/>
          <w:bCs/>
          <w:sz w:val="48"/>
          <w:szCs w:val="48"/>
        </w:rPr>
        <w:t xml:space="preserve">开 发 </w:t>
      </w:r>
      <w:r>
        <w:rPr>
          <w:rFonts w:ascii="黑体" w:hAnsi="黑体" w:eastAsia="黑体"/>
          <w:b/>
          <w:bCs/>
          <w:sz w:val="48"/>
          <w:szCs w:val="48"/>
        </w:rPr>
        <w:t>合 同</w:t>
      </w:r>
    </w:p>
    <w:p w14:paraId="65A9F303">
      <w:pPr>
        <w:contextualSpacing/>
        <w:rPr>
          <w:rFonts w:hint="eastAsia" w:ascii="Times New Roman" w:hAnsi="Times New Roman"/>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251C2640">
        <w:tblPrEx>
          <w:tblCellMar>
            <w:top w:w="0" w:type="dxa"/>
            <w:left w:w="0" w:type="dxa"/>
            <w:bottom w:w="0" w:type="dxa"/>
            <w:right w:w="0" w:type="dxa"/>
          </w:tblCellMar>
        </w:tblPrEx>
        <w:trPr>
          <w:trHeight w:val="767" w:hRule="atLeast"/>
          <w:jc w:val="center"/>
        </w:trPr>
        <w:tc>
          <w:tcPr>
            <w:tcW w:w="10204" w:type="dxa"/>
            <w:gridSpan w:val="2"/>
            <w:noWrap w:val="0"/>
            <w:vAlign w:val="top"/>
          </w:tcPr>
          <w:p w14:paraId="0F8CA8A5">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hint="eastAsia" w:ascii="Times New Roman" w:hAnsi="Times New Roman"/>
                <w:color w:val="000000"/>
                <w:szCs w:val="21"/>
              </w:rPr>
              <w:t>CGZX</w:t>
            </w:r>
            <w:r>
              <w:rPr>
                <w:rFonts w:ascii="Times New Roman" w:hAnsi="Times New Roman"/>
                <w:color w:val="000000"/>
                <w:szCs w:val="21"/>
              </w:rPr>
              <w:t>-***</w:t>
            </w:r>
          </w:p>
          <w:p w14:paraId="0EE2A737">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7F6B3FA3">
        <w:tblPrEx>
          <w:tblCellMar>
            <w:top w:w="0" w:type="dxa"/>
            <w:left w:w="0" w:type="dxa"/>
            <w:bottom w:w="0" w:type="dxa"/>
            <w:right w:w="0" w:type="dxa"/>
          </w:tblCellMar>
        </w:tblPrEx>
        <w:trPr>
          <w:jc w:val="center"/>
        </w:trPr>
        <w:tc>
          <w:tcPr>
            <w:tcW w:w="4962" w:type="dxa"/>
            <w:noWrap w:val="0"/>
            <w:vAlign w:val="top"/>
          </w:tcPr>
          <w:p w14:paraId="69E8C76F">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5DB176A7">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03918DC8">
            <w:pPr>
              <w:rPr>
                <w:rFonts w:hint="eastAsia" w:ascii="Times New Roman" w:hAnsi="Times New Roman"/>
                <w:szCs w:val="21"/>
              </w:rPr>
            </w:pPr>
            <w:r>
              <w:rPr>
                <w:rFonts w:ascii="Times New Roman" w:hAnsi="Times New Roman"/>
                <w:b/>
                <w:bCs/>
                <w:szCs w:val="21"/>
              </w:rPr>
              <w:t>项目联系人</w:t>
            </w:r>
            <w:r>
              <w:rPr>
                <w:rFonts w:ascii="Times New Roman" w:hAnsi="Times New Roman"/>
                <w:szCs w:val="21"/>
              </w:rPr>
              <w:t xml:space="preserve">：*** </w:t>
            </w:r>
            <w:r>
              <w:rPr>
                <w:rFonts w:ascii="Times New Roman" w:hAnsi="Times New Roman"/>
                <w:b/>
                <w:bCs/>
                <w:szCs w:val="21"/>
              </w:rPr>
              <w:t>电话</w:t>
            </w:r>
            <w:r>
              <w:rPr>
                <w:rFonts w:ascii="Times New Roman" w:hAnsi="Times New Roman"/>
                <w:szCs w:val="21"/>
              </w:rPr>
              <w:t>：***</w:t>
            </w:r>
          </w:p>
        </w:tc>
        <w:tc>
          <w:tcPr>
            <w:tcW w:w="5242" w:type="dxa"/>
            <w:noWrap w:val="0"/>
            <w:vAlign w:val="top"/>
          </w:tcPr>
          <w:p w14:paraId="33A7B3E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35FDF8D1">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15195E18">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7E4399D1">
            <w:pPr>
              <w:contextualSpacing/>
              <w:rPr>
                <w:rFonts w:hint="eastAsia" w:ascii="Times New Roman" w:hAnsi="Times New Roman"/>
                <w:szCs w:val="21"/>
              </w:rPr>
            </w:pPr>
            <w:r>
              <w:rPr>
                <w:rFonts w:ascii="Times New Roman" w:hAnsi="Times New Roman"/>
                <w:b/>
                <w:bCs/>
                <w:szCs w:val="21"/>
              </w:rPr>
              <w:t>联系人</w:t>
            </w:r>
            <w:r>
              <w:rPr>
                <w:rFonts w:ascii="Times New Roman" w:hAnsi="Times New Roman"/>
                <w:szCs w:val="21"/>
              </w:rPr>
              <w:t>：***</w:t>
            </w:r>
          </w:p>
        </w:tc>
      </w:tr>
    </w:tbl>
    <w:p w14:paraId="3CB0C331">
      <w:pPr>
        <w:adjustRightInd w:val="0"/>
        <w:snapToGrid w:val="0"/>
        <w:spacing w:before="312" w:beforeLines="100" w:after="312" w:afterLines="100"/>
        <w:contextualSpacing/>
        <w:jc w:val="left"/>
        <w:rPr>
          <w:rFonts w:ascii="Times New Roman" w:hAnsi="Times New Roman"/>
          <w:color w:val="000000"/>
          <w:szCs w:val="21"/>
          <w:highlight w:val="none"/>
        </w:rPr>
      </w:pPr>
      <w:bookmarkStart w:id="94" w:name="OLE_LINK5"/>
      <w:bookmarkStart w:id="95" w:name="OLE_LINK6"/>
    </w:p>
    <w:p w14:paraId="3D2509C9">
      <w:pPr>
        <w:adjustRightInd w:val="0"/>
        <w:snapToGrid w:val="0"/>
        <w:spacing w:before="312" w:beforeLines="100" w:after="312" w:afterLines="100"/>
        <w:ind w:firstLine="420" w:firstLineChars="200"/>
        <w:contextualSpacing/>
        <w:jc w:val="left"/>
        <w:rPr>
          <w:rFonts w:ascii="Times New Roman" w:hAnsi="Times New Roman"/>
          <w:b/>
          <w:szCs w:val="21"/>
          <w:highlight w:val="none"/>
        </w:rPr>
      </w:pPr>
      <w:r>
        <w:rPr>
          <w:rFonts w:ascii="Times New Roman" w:hAnsi="Times New Roman"/>
          <w:color w:val="000000"/>
          <w:szCs w:val="21"/>
          <w:highlight w:val="none"/>
        </w:rPr>
        <w:t>根据《中华人民共和国民法典》及甲方</w:t>
      </w:r>
      <w:r>
        <w:rPr>
          <w:rFonts w:hint="eastAsia" w:ascii="Times New Roman" w:hAnsi="Times New Roman"/>
          <w:color w:val="000000"/>
          <w:szCs w:val="21"/>
          <w:highlight w:val="none"/>
        </w:rPr>
        <w:t>发布</w:t>
      </w:r>
      <w:r>
        <w:rPr>
          <w:rFonts w:ascii="Times New Roman" w:hAnsi="Times New Roman"/>
          <w:color w:val="000000"/>
          <w:szCs w:val="21"/>
          <w:highlight w:val="none"/>
        </w:rPr>
        <w:t>的</w:t>
      </w:r>
      <w:r>
        <w:rPr>
          <w:rFonts w:hint="eastAsia" w:ascii="Times New Roman" w:hAnsi="Times New Roman"/>
          <w:color w:val="000000"/>
          <w:szCs w:val="21"/>
          <w:highlight w:val="none"/>
        </w:rPr>
        <w:t>*</w:t>
      </w:r>
      <w:r>
        <w:rPr>
          <w:rFonts w:ascii="Times New Roman" w:hAnsi="Times New Roman"/>
          <w:color w:val="000000"/>
          <w:szCs w:val="21"/>
          <w:highlight w:val="none"/>
        </w:rPr>
        <w:t>**项目（项目编号：</w:t>
      </w:r>
      <w:r>
        <w:rPr>
          <w:rFonts w:ascii="Times New Roman" w:hAnsi="Times New Roman"/>
          <w:szCs w:val="21"/>
          <w:highlight w:val="none"/>
        </w:rPr>
        <w:t>***</w:t>
      </w:r>
      <w:r>
        <w:rPr>
          <w:rFonts w:ascii="Times New Roman" w:hAnsi="Times New Roman"/>
          <w:color w:val="000000"/>
          <w:szCs w:val="21"/>
          <w:highlight w:val="none"/>
        </w:rPr>
        <w:t>）《采购文件》、乙方的《</w:t>
      </w:r>
      <w:r>
        <w:rPr>
          <w:rFonts w:hint="eastAsia" w:ascii="Times New Roman" w:hAnsi="Times New Roman"/>
          <w:color w:val="000000"/>
          <w:szCs w:val="21"/>
          <w:highlight w:val="none"/>
        </w:rPr>
        <w:t>响应</w:t>
      </w:r>
      <w:r>
        <w:rPr>
          <w:rFonts w:ascii="Times New Roman" w:hAnsi="Times New Roman"/>
          <w:color w:val="000000"/>
          <w:szCs w:val="21"/>
          <w:highlight w:val="none"/>
        </w:rPr>
        <w:t>文件》，甲、乙双方同意签订本合同。详细技术说明及其他有关合同项目的特定信息</w:t>
      </w:r>
      <w:r>
        <w:rPr>
          <w:rFonts w:hint="eastAsia" w:ascii="Times New Roman" w:hAnsi="Times New Roman"/>
          <w:color w:val="000000"/>
          <w:szCs w:val="21"/>
          <w:highlight w:val="none"/>
        </w:rPr>
        <w:t>可</w:t>
      </w:r>
      <w:r>
        <w:rPr>
          <w:rFonts w:ascii="Times New Roman" w:hAnsi="Times New Roman"/>
          <w:color w:val="000000"/>
          <w:szCs w:val="21"/>
          <w:highlight w:val="none"/>
        </w:rPr>
        <w:t>由合同附件予以说明，合同附件及本项目的《采购文件》、《</w:t>
      </w:r>
      <w:r>
        <w:rPr>
          <w:rFonts w:hint="eastAsia" w:ascii="Times New Roman" w:hAnsi="Times New Roman"/>
          <w:color w:val="000000"/>
          <w:szCs w:val="21"/>
          <w:highlight w:val="none"/>
        </w:rPr>
        <w:t>响应</w:t>
      </w:r>
      <w:r>
        <w:rPr>
          <w:rFonts w:ascii="Times New Roman" w:hAnsi="Times New Roman"/>
          <w:color w:val="000000"/>
          <w:szCs w:val="21"/>
          <w:highlight w:val="none"/>
        </w:rPr>
        <w:t>文件》等均为本合同不可分割的部分。双方同意共同遵守</w:t>
      </w:r>
      <w:r>
        <w:rPr>
          <w:rFonts w:hint="eastAsia" w:ascii="Times New Roman" w:hAnsi="Times New Roman"/>
          <w:color w:val="000000"/>
          <w:szCs w:val="21"/>
          <w:highlight w:val="none"/>
        </w:rPr>
        <w:t>以下</w:t>
      </w:r>
      <w:r>
        <w:rPr>
          <w:rFonts w:ascii="Times New Roman" w:hAnsi="Times New Roman"/>
          <w:color w:val="000000"/>
          <w:szCs w:val="21"/>
          <w:highlight w:val="none"/>
        </w:rPr>
        <w:t>条款：</w:t>
      </w:r>
    </w:p>
    <w:bookmarkEnd w:id="94"/>
    <w:bookmarkEnd w:id="95"/>
    <w:p w14:paraId="446F67DD">
      <w:pPr>
        <w:ind w:firstLine="420" w:firstLineChars="200"/>
        <w:rPr>
          <w:rFonts w:ascii="Times New Roman" w:hAnsi="Times New Roman"/>
          <w:color w:val="000000"/>
          <w:szCs w:val="21"/>
          <w:highlight w:val="none"/>
        </w:rPr>
      </w:pPr>
    </w:p>
    <w:p w14:paraId="2E74E6A9">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开发项目</w:t>
      </w:r>
      <w:r>
        <w:rPr>
          <w:rFonts w:ascii="Times New Roman" w:hAnsi="Times New Roman"/>
          <w:b/>
          <w:bCs/>
          <w:szCs w:val="21"/>
          <w:highlight w:val="none"/>
        </w:rPr>
        <w:t>信息</w:t>
      </w:r>
    </w:p>
    <w:p w14:paraId="1C6B59B1">
      <w:pPr>
        <w:pStyle w:val="29"/>
        <w:numPr>
          <w:ilvl w:val="0"/>
          <w:numId w:val="13"/>
        </w:numPr>
        <w:ind w:left="0" w:firstLine="0" w:firstLineChars="0"/>
        <w:contextualSpacing/>
        <w:rPr>
          <w:rFonts w:ascii="Times New Roman" w:hAnsi="Times New Roman"/>
          <w:color w:val="000000"/>
          <w:szCs w:val="21"/>
          <w:highlight w:val="none"/>
        </w:rPr>
      </w:pPr>
      <w:r>
        <w:rPr>
          <w:rFonts w:hint="eastAsia" w:ascii="Times New Roman" w:hAnsi="Times New Roman"/>
          <w:color w:val="000000"/>
          <w:szCs w:val="21"/>
          <w:highlight w:val="none"/>
        </w:rPr>
        <w:t>软件名称：*</w:t>
      </w:r>
      <w:r>
        <w:rPr>
          <w:rFonts w:ascii="Times New Roman" w:hAnsi="Times New Roman"/>
          <w:color w:val="000000"/>
          <w:szCs w:val="21"/>
          <w:highlight w:val="none"/>
        </w:rPr>
        <w:t>**</w:t>
      </w:r>
      <w:r>
        <w:rPr>
          <w:rFonts w:hint="eastAsia" w:ascii="Times New Roman" w:hAnsi="Times New Roman"/>
          <w:color w:val="000000"/>
          <w:szCs w:val="21"/>
          <w:highlight w:val="none"/>
        </w:rPr>
        <w:t>。</w:t>
      </w:r>
    </w:p>
    <w:p w14:paraId="21CA1F25">
      <w:pPr>
        <w:pStyle w:val="29"/>
        <w:numPr>
          <w:ilvl w:val="0"/>
          <w:numId w:val="13"/>
        </w:numPr>
        <w:ind w:left="0" w:firstLine="0" w:firstLineChars="0"/>
        <w:contextualSpacing/>
        <w:rPr>
          <w:rFonts w:hint="eastAsia" w:ascii="Times New Roman" w:hAnsi="Times New Roman"/>
          <w:color w:val="000000"/>
          <w:szCs w:val="21"/>
          <w:highlight w:val="none"/>
        </w:rPr>
      </w:pPr>
      <w:r>
        <w:rPr>
          <w:rFonts w:hint="eastAsia" w:ascii="Times New Roman" w:hAnsi="Times New Roman"/>
          <w:color w:val="000000"/>
          <w:szCs w:val="21"/>
          <w:highlight w:val="none"/>
        </w:rPr>
        <w:t>软件的主要功能：</w:t>
      </w:r>
      <w:bookmarkStart w:id="96" w:name="OLE_LINK1"/>
      <w:r>
        <w:rPr>
          <w:rFonts w:hint="eastAsia" w:ascii="Times New Roman" w:hAnsi="Times New Roman"/>
          <w:color w:val="000000"/>
          <w:szCs w:val="21"/>
          <w:highlight w:val="none"/>
        </w:rPr>
        <w:t>*</w:t>
      </w:r>
      <w:r>
        <w:rPr>
          <w:rFonts w:ascii="Times New Roman" w:hAnsi="Times New Roman"/>
          <w:color w:val="000000"/>
          <w:szCs w:val="21"/>
          <w:highlight w:val="none"/>
        </w:rPr>
        <w:t>**</w:t>
      </w:r>
      <w:r>
        <w:rPr>
          <w:rFonts w:hint="eastAsia" w:ascii="Times New Roman" w:hAnsi="Times New Roman"/>
          <w:i/>
          <w:iCs/>
          <w:color w:val="000000"/>
          <w:szCs w:val="21"/>
          <w:highlight w:val="none"/>
        </w:rPr>
        <w:t>&lt;根据项目实际情况可附附件说明</w:t>
      </w:r>
      <w:bookmarkEnd w:id="96"/>
      <w:r>
        <w:rPr>
          <w:rFonts w:hint="eastAsia" w:ascii="Times New Roman" w:hAnsi="Times New Roman"/>
          <w:i/>
          <w:iCs/>
          <w:color w:val="000000"/>
          <w:szCs w:val="21"/>
          <w:highlight w:val="none"/>
        </w:rPr>
        <w:t>&gt;</w:t>
      </w:r>
    </w:p>
    <w:p w14:paraId="461998F5">
      <w:pPr>
        <w:pStyle w:val="29"/>
        <w:numPr>
          <w:ilvl w:val="0"/>
          <w:numId w:val="13"/>
        </w:numPr>
        <w:ind w:left="0" w:firstLine="0" w:firstLineChars="0"/>
        <w:contextualSpacing/>
        <w:rPr>
          <w:rFonts w:ascii="Times New Roman" w:hAnsi="Times New Roman"/>
          <w:color w:val="000000"/>
          <w:szCs w:val="21"/>
          <w:highlight w:val="none"/>
        </w:rPr>
      </w:pPr>
      <w:r>
        <w:rPr>
          <w:rFonts w:ascii="Times New Roman" w:hAnsi="Times New Roman"/>
          <w:szCs w:val="21"/>
          <w:highlight w:val="none"/>
        </w:rPr>
        <w:t>软件的</w:t>
      </w:r>
      <w:r>
        <w:rPr>
          <w:rFonts w:hint="eastAsia" w:ascii="Times New Roman" w:hAnsi="Times New Roman"/>
          <w:szCs w:val="21"/>
          <w:highlight w:val="none"/>
        </w:rPr>
        <w:t>设计</w:t>
      </w:r>
      <w:r>
        <w:rPr>
          <w:rFonts w:ascii="Times New Roman" w:hAnsi="Times New Roman"/>
          <w:szCs w:val="21"/>
          <w:highlight w:val="none"/>
        </w:rPr>
        <w:t>要求：</w:t>
      </w:r>
      <w:r>
        <w:rPr>
          <w:rFonts w:hint="eastAsia" w:ascii="Times New Roman" w:hAnsi="Times New Roman"/>
          <w:szCs w:val="21"/>
          <w:highlight w:val="none"/>
        </w:rPr>
        <w:t>*</w:t>
      </w:r>
      <w:r>
        <w:rPr>
          <w:rFonts w:ascii="Times New Roman" w:hAnsi="Times New Roman"/>
          <w:szCs w:val="21"/>
          <w:highlight w:val="none"/>
        </w:rPr>
        <w:t>**</w:t>
      </w:r>
      <w:r>
        <w:rPr>
          <w:rFonts w:hint="eastAsia" w:ascii="Times New Roman" w:hAnsi="Times New Roman"/>
          <w:i/>
          <w:iCs/>
          <w:color w:val="000000"/>
          <w:szCs w:val="21"/>
          <w:highlight w:val="none"/>
        </w:rPr>
        <w:t>&lt;根据项目实际情况可附附件说明&gt;</w:t>
      </w:r>
    </w:p>
    <w:p w14:paraId="058523C8">
      <w:pPr>
        <w:pStyle w:val="29"/>
        <w:numPr>
          <w:ilvl w:val="0"/>
          <w:numId w:val="13"/>
        </w:numPr>
        <w:ind w:left="0" w:firstLine="0" w:firstLineChars="0"/>
        <w:rPr>
          <w:rFonts w:ascii="Times New Roman" w:hAnsi="Times New Roman"/>
          <w:color w:val="000000"/>
          <w:szCs w:val="21"/>
          <w:highlight w:val="none"/>
        </w:rPr>
      </w:pPr>
      <w:r>
        <w:rPr>
          <w:rFonts w:hint="eastAsia" w:ascii="Times New Roman" w:hAnsi="Times New Roman"/>
          <w:color w:val="000000"/>
          <w:szCs w:val="21"/>
          <w:highlight w:val="none"/>
        </w:rPr>
        <w:t>分项明细：</w:t>
      </w:r>
      <w:r>
        <w:rPr>
          <w:rFonts w:hint="eastAsia" w:ascii="Times New Roman" w:hAnsi="Times New Roman"/>
          <w:i/>
          <w:iCs/>
          <w:color w:val="000000"/>
          <w:szCs w:val="21"/>
          <w:highlight w:val="none"/>
        </w:rPr>
        <w:t>&lt;根据项目实际情况调整&gt;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41304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8541E83">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2977" w:type="dxa"/>
            <w:noWrap w:val="0"/>
            <w:vAlign w:val="center"/>
          </w:tcPr>
          <w:p w14:paraId="3CD4306A">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分项名称</w:t>
            </w:r>
          </w:p>
        </w:tc>
        <w:tc>
          <w:tcPr>
            <w:tcW w:w="3686" w:type="dxa"/>
            <w:noWrap w:val="0"/>
            <w:vAlign w:val="center"/>
          </w:tcPr>
          <w:p w14:paraId="5E940E42">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具体内容</w:t>
            </w:r>
          </w:p>
        </w:tc>
        <w:tc>
          <w:tcPr>
            <w:tcW w:w="963" w:type="dxa"/>
            <w:noWrap w:val="0"/>
            <w:vAlign w:val="center"/>
          </w:tcPr>
          <w:p w14:paraId="657B6817">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分项价格（万元）</w:t>
            </w:r>
          </w:p>
        </w:tc>
        <w:tc>
          <w:tcPr>
            <w:tcW w:w="2016" w:type="dxa"/>
            <w:noWrap w:val="0"/>
            <w:vAlign w:val="top"/>
          </w:tcPr>
          <w:p w14:paraId="36D5B8AC">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备注</w:t>
            </w:r>
          </w:p>
        </w:tc>
      </w:tr>
      <w:tr w14:paraId="3A8C9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018C4208">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2977" w:type="dxa"/>
            <w:noWrap w:val="0"/>
            <w:vAlign w:val="center"/>
          </w:tcPr>
          <w:p w14:paraId="478C0A68">
            <w:pPr>
              <w:pStyle w:val="29"/>
              <w:ind w:firstLine="0" w:firstLineChars="0"/>
              <w:rPr>
                <w:rFonts w:ascii="Times New Roman" w:hAnsi="Times New Roman"/>
                <w:color w:val="000000"/>
                <w:szCs w:val="21"/>
                <w:highlight w:val="none"/>
              </w:rPr>
            </w:pPr>
          </w:p>
        </w:tc>
        <w:tc>
          <w:tcPr>
            <w:tcW w:w="3686" w:type="dxa"/>
            <w:noWrap w:val="0"/>
            <w:vAlign w:val="center"/>
          </w:tcPr>
          <w:p w14:paraId="62669DDD">
            <w:pPr>
              <w:pStyle w:val="29"/>
              <w:ind w:firstLine="0" w:firstLineChars="0"/>
              <w:rPr>
                <w:rFonts w:ascii="Times New Roman" w:hAnsi="Times New Roman"/>
                <w:color w:val="000000"/>
                <w:szCs w:val="21"/>
                <w:highlight w:val="none"/>
              </w:rPr>
            </w:pPr>
          </w:p>
        </w:tc>
        <w:tc>
          <w:tcPr>
            <w:tcW w:w="963" w:type="dxa"/>
            <w:noWrap w:val="0"/>
            <w:vAlign w:val="center"/>
          </w:tcPr>
          <w:p w14:paraId="57DCB8A5">
            <w:pPr>
              <w:pStyle w:val="29"/>
              <w:ind w:firstLine="0" w:firstLineChars="0"/>
              <w:jc w:val="center"/>
              <w:rPr>
                <w:rFonts w:ascii="Times New Roman" w:hAnsi="Times New Roman"/>
                <w:color w:val="000000"/>
                <w:szCs w:val="21"/>
                <w:highlight w:val="none"/>
              </w:rPr>
            </w:pPr>
          </w:p>
        </w:tc>
        <w:tc>
          <w:tcPr>
            <w:tcW w:w="2016" w:type="dxa"/>
            <w:noWrap w:val="0"/>
            <w:vAlign w:val="top"/>
          </w:tcPr>
          <w:p w14:paraId="59134A2A">
            <w:pPr>
              <w:pStyle w:val="29"/>
              <w:ind w:firstLine="0" w:firstLineChars="0"/>
              <w:rPr>
                <w:rFonts w:ascii="Times New Roman" w:hAnsi="Times New Roman"/>
                <w:color w:val="000000"/>
                <w:szCs w:val="21"/>
                <w:highlight w:val="none"/>
              </w:rPr>
            </w:pPr>
          </w:p>
        </w:tc>
      </w:tr>
      <w:tr w14:paraId="78A56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7ABEE2AC">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2977" w:type="dxa"/>
            <w:noWrap w:val="0"/>
            <w:vAlign w:val="center"/>
          </w:tcPr>
          <w:p w14:paraId="5D0654A7">
            <w:pPr>
              <w:pStyle w:val="29"/>
              <w:ind w:firstLine="0" w:firstLineChars="0"/>
              <w:rPr>
                <w:rFonts w:ascii="Times New Roman" w:hAnsi="Times New Roman"/>
                <w:color w:val="000000"/>
                <w:szCs w:val="21"/>
                <w:highlight w:val="none"/>
              </w:rPr>
            </w:pPr>
          </w:p>
        </w:tc>
        <w:tc>
          <w:tcPr>
            <w:tcW w:w="3686" w:type="dxa"/>
            <w:noWrap w:val="0"/>
            <w:vAlign w:val="center"/>
          </w:tcPr>
          <w:p w14:paraId="0772B457">
            <w:pPr>
              <w:pStyle w:val="29"/>
              <w:ind w:firstLine="0" w:firstLineChars="0"/>
              <w:rPr>
                <w:rFonts w:ascii="Times New Roman" w:hAnsi="Times New Roman"/>
                <w:color w:val="000000"/>
                <w:szCs w:val="21"/>
                <w:highlight w:val="none"/>
              </w:rPr>
            </w:pPr>
          </w:p>
        </w:tc>
        <w:tc>
          <w:tcPr>
            <w:tcW w:w="963" w:type="dxa"/>
            <w:noWrap w:val="0"/>
            <w:vAlign w:val="center"/>
          </w:tcPr>
          <w:p w14:paraId="2786964E">
            <w:pPr>
              <w:pStyle w:val="29"/>
              <w:ind w:firstLine="0" w:firstLineChars="0"/>
              <w:jc w:val="center"/>
              <w:rPr>
                <w:rFonts w:ascii="Times New Roman" w:hAnsi="Times New Roman"/>
                <w:color w:val="000000"/>
                <w:szCs w:val="21"/>
                <w:highlight w:val="none"/>
              </w:rPr>
            </w:pPr>
          </w:p>
        </w:tc>
        <w:tc>
          <w:tcPr>
            <w:tcW w:w="2016" w:type="dxa"/>
            <w:noWrap w:val="0"/>
            <w:vAlign w:val="top"/>
          </w:tcPr>
          <w:p w14:paraId="02EAB91B">
            <w:pPr>
              <w:pStyle w:val="29"/>
              <w:ind w:firstLine="0" w:firstLineChars="0"/>
              <w:rPr>
                <w:rFonts w:ascii="Times New Roman" w:hAnsi="Times New Roman"/>
                <w:color w:val="000000"/>
                <w:szCs w:val="21"/>
                <w:highlight w:val="none"/>
              </w:rPr>
            </w:pPr>
          </w:p>
        </w:tc>
      </w:tr>
      <w:tr w14:paraId="33AD1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2A61608A">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2977" w:type="dxa"/>
            <w:noWrap w:val="0"/>
            <w:vAlign w:val="center"/>
          </w:tcPr>
          <w:p w14:paraId="7A00E933">
            <w:pPr>
              <w:pStyle w:val="29"/>
              <w:ind w:firstLine="0" w:firstLineChars="0"/>
              <w:rPr>
                <w:rFonts w:ascii="Times New Roman" w:hAnsi="Times New Roman"/>
                <w:color w:val="000000"/>
                <w:szCs w:val="21"/>
                <w:highlight w:val="none"/>
              </w:rPr>
            </w:pPr>
          </w:p>
        </w:tc>
        <w:tc>
          <w:tcPr>
            <w:tcW w:w="3686" w:type="dxa"/>
            <w:noWrap w:val="0"/>
            <w:vAlign w:val="center"/>
          </w:tcPr>
          <w:p w14:paraId="79B2CFDD">
            <w:pPr>
              <w:pStyle w:val="29"/>
              <w:ind w:firstLine="0" w:firstLineChars="0"/>
              <w:rPr>
                <w:rFonts w:ascii="Times New Roman" w:hAnsi="Times New Roman"/>
                <w:color w:val="000000"/>
                <w:szCs w:val="21"/>
                <w:highlight w:val="none"/>
              </w:rPr>
            </w:pPr>
          </w:p>
        </w:tc>
        <w:tc>
          <w:tcPr>
            <w:tcW w:w="963" w:type="dxa"/>
            <w:noWrap w:val="0"/>
            <w:vAlign w:val="center"/>
          </w:tcPr>
          <w:p w14:paraId="400095B1">
            <w:pPr>
              <w:pStyle w:val="29"/>
              <w:ind w:firstLine="0" w:firstLineChars="0"/>
              <w:jc w:val="center"/>
              <w:rPr>
                <w:rFonts w:ascii="Times New Roman" w:hAnsi="Times New Roman"/>
                <w:color w:val="000000"/>
                <w:szCs w:val="21"/>
                <w:highlight w:val="none"/>
              </w:rPr>
            </w:pPr>
          </w:p>
        </w:tc>
        <w:tc>
          <w:tcPr>
            <w:tcW w:w="2016" w:type="dxa"/>
            <w:noWrap w:val="0"/>
            <w:vAlign w:val="top"/>
          </w:tcPr>
          <w:p w14:paraId="4D060498">
            <w:pPr>
              <w:pStyle w:val="29"/>
              <w:ind w:firstLine="0" w:firstLineChars="0"/>
              <w:rPr>
                <w:rFonts w:ascii="Times New Roman" w:hAnsi="Times New Roman"/>
                <w:color w:val="000000"/>
                <w:szCs w:val="21"/>
                <w:highlight w:val="none"/>
              </w:rPr>
            </w:pPr>
          </w:p>
        </w:tc>
      </w:tr>
      <w:tr w14:paraId="37FC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noWrap w:val="0"/>
            <w:vAlign w:val="center"/>
          </w:tcPr>
          <w:p w14:paraId="6105501E">
            <w:pPr>
              <w:pStyle w:val="29"/>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2977" w:type="dxa"/>
            <w:noWrap w:val="0"/>
            <w:vAlign w:val="center"/>
          </w:tcPr>
          <w:p w14:paraId="1B02C872">
            <w:pPr>
              <w:pStyle w:val="29"/>
              <w:ind w:firstLine="0" w:firstLineChars="0"/>
              <w:rPr>
                <w:rFonts w:ascii="Times New Roman" w:hAnsi="Times New Roman"/>
                <w:color w:val="000000"/>
                <w:szCs w:val="21"/>
                <w:highlight w:val="none"/>
              </w:rPr>
            </w:pPr>
          </w:p>
        </w:tc>
        <w:tc>
          <w:tcPr>
            <w:tcW w:w="3686" w:type="dxa"/>
            <w:noWrap w:val="0"/>
            <w:vAlign w:val="center"/>
          </w:tcPr>
          <w:p w14:paraId="47B677F2">
            <w:pPr>
              <w:pStyle w:val="29"/>
              <w:ind w:firstLine="0" w:firstLineChars="0"/>
              <w:rPr>
                <w:rFonts w:ascii="Times New Roman" w:hAnsi="Times New Roman"/>
                <w:color w:val="000000"/>
                <w:szCs w:val="21"/>
                <w:highlight w:val="none"/>
              </w:rPr>
            </w:pPr>
          </w:p>
        </w:tc>
        <w:tc>
          <w:tcPr>
            <w:tcW w:w="963" w:type="dxa"/>
            <w:noWrap w:val="0"/>
            <w:vAlign w:val="center"/>
          </w:tcPr>
          <w:p w14:paraId="13F4616E">
            <w:pPr>
              <w:pStyle w:val="29"/>
              <w:ind w:firstLine="0" w:firstLineChars="0"/>
              <w:jc w:val="center"/>
              <w:rPr>
                <w:rFonts w:ascii="Times New Roman" w:hAnsi="Times New Roman"/>
                <w:color w:val="000000"/>
                <w:szCs w:val="21"/>
                <w:highlight w:val="none"/>
              </w:rPr>
            </w:pPr>
          </w:p>
        </w:tc>
        <w:tc>
          <w:tcPr>
            <w:tcW w:w="2016" w:type="dxa"/>
            <w:noWrap w:val="0"/>
            <w:vAlign w:val="top"/>
          </w:tcPr>
          <w:p w14:paraId="38E080D5">
            <w:pPr>
              <w:pStyle w:val="29"/>
              <w:ind w:firstLine="0" w:firstLineChars="0"/>
              <w:rPr>
                <w:rFonts w:ascii="Times New Roman" w:hAnsi="Times New Roman"/>
                <w:color w:val="000000"/>
                <w:szCs w:val="21"/>
                <w:highlight w:val="none"/>
              </w:rPr>
            </w:pPr>
          </w:p>
        </w:tc>
      </w:tr>
    </w:tbl>
    <w:p w14:paraId="6F5CAF31">
      <w:pPr>
        <w:pStyle w:val="29"/>
        <w:numPr>
          <w:ilvl w:val="0"/>
          <w:numId w:val="12"/>
        </w:numPr>
        <w:snapToGrid w:val="0"/>
        <w:ind w:firstLineChars="0"/>
        <w:rPr>
          <w:rFonts w:ascii="Times New Roman" w:hAnsi="Times New Roman"/>
          <w:b/>
          <w:bCs/>
          <w:szCs w:val="21"/>
          <w:highlight w:val="none"/>
        </w:rPr>
      </w:pPr>
      <w:r>
        <w:rPr>
          <w:rFonts w:ascii="Times New Roman" w:hAnsi="Times New Roman"/>
          <w:b/>
          <w:bCs/>
          <w:szCs w:val="21"/>
          <w:highlight w:val="none"/>
        </w:rPr>
        <w:t>合同总价</w:t>
      </w:r>
    </w:p>
    <w:p w14:paraId="499781D2">
      <w:pPr>
        <w:pStyle w:val="29"/>
        <w:numPr>
          <w:ilvl w:val="3"/>
          <w:numId w:val="12"/>
        </w:numPr>
        <w:ind w:left="0" w:firstLine="0" w:firstLineChars="0"/>
        <w:contextualSpacing/>
        <w:jc w:val="left"/>
        <w:rPr>
          <w:rFonts w:hint="eastAsia" w:ascii="Times New Roman" w:hAnsi="Times New Roman"/>
          <w:szCs w:val="21"/>
          <w:highlight w:val="none"/>
        </w:rPr>
      </w:pPr>
      <w:r>
        <w:rPr>
          <w:rFonts w:hint="eastAsia" w:ascii="Times New Roman" w:hAnsi="Times New Roman"/>
          <w:szCs w:val="21"/>
          <w:highlight w:val="none"/>
        </w:rPr>
        <w:t>本</w:t>
      </w:r>
      <w:r>
        <w:rPr>
          <w:rFonts w:ascii="Times New Roman" w:hAnsi="Times New Roman"/>
          <w:szCs w:val="21"/>
          <w:highlight w:val="none"/>
        </w:rPr>
        <w:t>合同总价（含税）为人民币大写：*** 圆整，即RMB *** 元，该合同总价已包括</w:t>
      </w:r>
      <w:r>
        <w:rPr>
          <w:rFonts w:hint="eastAsia" w:ascii="Times New Roman" w:hAnsi="Times New Roman"/>
          <w:szCs w:val="21"/>
          <w:highlight w:val="none"/>
        </w:rPr>
        <w:t>软件</w:t>
      </w:r>
      <w:r>
        <w:rPr>
          <w:rFonts w:ascii="Times New Roman" w:hAnsi="Times New Roman"/>
          <w:szCs w:val="21"/>
          <w:highlight w:val="none"/>
        </w:rPr>
        <w:t>设计、</w:t>
      </w:r>
      <w:r>
        <w:rPr>
          <w:rFonts w:hint="eastAsia" w:ascii="Times New Roman" w:hAnsi="Times New Roman"/>
          <w:szCs w:val="21"/>
          <w:highlight w:val="none"/>
        </w:rPr>
        <w:t>开发、交付、培训等服务、与其它第三方软件的全部接口、技术支持</w:t>
      </w:r>
      <w:r>
        <w:rPr>
          <w:rFonts w:ascii="Times New Roman" w:hAnsi="Times New Roman"/>
          <w:szCs w:val="21"/>
          <w:highlight w:val="none"/>
        </w:rPr>
        <w:t>以及乙方为全面履行</w:t>
      </w:r>
      <w:r>
        <w:rPr>
          <w:rFonts w:hint="eastAsia" w:ascii="Times New Roman" w:hAnsi="Times New Roman"/>
          <w:szCs w:val="21"/>
          <w:highlight w:val="none"/>
        </w:rPr>
        <w:t>本</w:t>
      </w:r>
      <w:r>
        <w:rPr>
          <w:rFonts w:ascii="Times New Roman" w:hAnsi="Times New Roman"/>
          <w:szCs w:val="21"/>
          <w:highlight w:val="none"/>
        </w:rPr>
        <w:t>合同义务所完成的</w:t>
      </w:r>
      <w:r>
        <w:rPr>
          <w:rFonts w:hint="eastAsia" w:ascii="Times New Roman" w:hAnsi="Times New Roman"/>
          <w:szCs w:val="21"/>
          <w:highlight w:val="none"/>
        </w:rPr>
        <w:t>其它</w:t>
      </w:r>
      <w:r>
        <w:rPr>
          <w:rFonts w:ascii="Times New Roman" w:hAnsi="Times New Roman"/>
          <w:szCs w:val="21"/>
          <w:highlight w:val="none"/>
        </w:rPr>
        <w:t>所有事项的含税费用。</w:t>
      </w:r>
    </w:p>
    <w:p w14:paraId="3D18DB98">
      <w:pPr>
        <w:pStyle w:val="29"/>
        <w:ind w:firstLine="0" w:firstLineChars="0"/>
        <w:rPr>
          <w:rFonts w:ascii="Times New Roman" w:hAnsi="Times New Roman"/>
          <w:szCs w:val="21"/>
          <w:highlight w:val="none"/>
        </w:rPr>
      </w:pPr>
      <w:r>
        <w:rPr>
          <w:rFonts w:ascii="Times New Roman" w:hAnsi="Times New Roman"/>
          <w:szCs w:val="21"/>
          <w:highlight w:val="none"/>
        </w:rPr>
        <w:t>2.本合同执行期间合同总价不变，甲方无须另向乙方支付本合同规定之外的其他任何费用。</w:t>
      </w:r>
    </w:p>
    <w:p w14:paraId="4DEC0927">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工期</w:t>
      </w:r>
    </w:p>
    <w:p w14:paraId="184F3994">
      <w:pPr>
        <w:pStyle w:val="29"/>
        <w:numPr>
          <w:ilvl w:val="0"/>
          <w:numId w:val="14"/>
        </w:numPr>
        <w:ind w:left="0" w:firstLine="0" w:firstLineChars="0"/>
        <w:rPr>
          <w:rFonts w:ascii="Times New Roman" w:hAnsi="Times New Roman"/>
          <w:szCs w:val="21"/>
          <w:highlight w:val="none"/>
        </w:rPr>
      </w:pPr>
      <w:r>
        <w:rPr>
          <w:rFonts w:hint="eastAsia" w:ascii="Times New Roman" w:hAnsi="Times New Roman"/>
          <w:szCs w:val="21"/>
          <w:highlight w:val="none"/>
        </w:rPr>
        <w:t>工期：</w:t>
      </w:r>
    </w:p>
    <w:p w14:paraId="67E87980">
      <w:pPr>
        <w:pStyle w:val="29"/>
        <w:numPr>
          <w:ilvl w:val="0"/>
          <w:numId w:val="15"/>
        </w:numPr>
        <w:snapToGrid w:val="0"/>
        <w:ind w:firstLineChars="0"/>
        <w:rPr>
          <w:rFonts w:ascii="Times New Roman" w:hAnsi="Times New Roman"/>
          <w:szCs w:val="21"/>
          <w:highlight w:val="none"/>
        </w:rPr>
      </w:pPr>
      <w:r>
        <w:rPr>
          <w:rFonts w:hint="eastAsia"/>
          <w:highlight w:val="none"/>
        </w:rPr>
        <w:t>实施时间：</w:t>
      </w:r>
      <w:r>
        <w:rPr>
          <w:rFonts w:hint="eastAsia" w:ascii="宋体" w:hAnsi="宋体" w:cs="宋体"/>
          <w:szCs w:val="21"/>
          <w:highlight w:val="none"/>
        </w:rPr>
        <w:t>从合同签订生效之日起，需在</w:t>
      </w:r>
      <w:r>
        <w:rPr>
          <w:rFonts w:hint="eastAsia" w:ascii="宋体" w:hAnsi="宋体" w:cs="宋体"/>
          <w:szCs w:val="21"/>
          <w:highlight w:val="none"/>
          <w:u w:val="single"/>
        </w:rPr>
        <w:t xml:space="preserve">5 </w:t>
      </w:r>
      <w:r>
        <w:rPr>
          <w:rFonts w:hint="eastAsia" w:ascii="宋体" w:hAnsi="宋体" w:cs="宋体"/>
          <w:szCs w:val="21"/>
          <w:highlight w:val="none"/>
        </w:rPr>
        <w:t>个工作日内开始实施</w:t>
      </w:r>
      <w:r>
        <w:rPr>
          <w:rFonts w:hint="eastAsia" w:ascii="Times New Roman" w:hAnsi="Times New Roman"/>
          <w:szCs w:val="21"/>
          <w:highlight w:val="none"/>
        </w:rPr>
        <w:t>。</w:t>
      </w:r>
    </w:p>
    <w:p w14:paraId="502A8B41">
      <w:pPr>
        <w:pStyle w:val="29"/>
        <w:numPr>
          <w:ilvl w:val="0"/>
          <w:numId w:val="15"/>
        </w:numPr>
        <w:snapToGrid w:val="0"/>
        <w:ind w:firstLineChars="0"/>
        <w:rPr>
          <w:rFonts w:ascii="Times New Roman" w:hAnsi="Times New Roman"/>
          <w:szCs w:val="21"/>
          <w:highlight w:val="none"/>
        </w:rPr>
      </w:pPr>
      <w:r>
        <w:rPr>
          <w:rFonts w:hint="eastAsia" w:ascii="宋体" w:hAnsi="宋体" w:cs="宋体"/>
          <w:szCs w:val="21"/>
          <w:highlight w:val="none"/>
        </w:rPr>
        <w:t>实施周期：本项目开始实施之日起</w:t>
      </w:r>
      <w:r>
        <w:rPr>
          <w:rFonts w:hint="eastAsia" w:ascii="宋体" w:hAnsi="宋体" w:cs="宋体"/>
          <w:b/>
          <w:bCs/>
          <w:szCs w:val="21"/>
          <w:highlight w:val="none"/>
          <w:u w:val="single"/>
        </w:rPr>
        <w:t xml:space="preserve">  60 </w:t>
      </w:r>
      <w:r>
        <w:rPr>
          <w:rFonts w:hint="eastAsia" w:ascii="宋体" w:hAnsi="宋体" w:cs="宋体"/>
          <w:szCs w:val="21"/>
          <w:highlight w:val="none"/>
        </w:rPr>
        <w:t>日内，完成本项目包含的所有</w:t>
      </w:r>
      <w:r>
        <w:rPr>
          <w:rFonts w:hint="eastAsia" w:ascii="宋体" w:hAnsi="宋体" w:cs="宋体"/>
          <w:b/>
          <w:bCs/>
          <w:szCs w:val="21"/>
          <w:highlight w:val="none"/>
          <w:u w:val="single"/>
        </w:rPr>
        <w:t>软件</w:t>
      </w:r>
      <w:r>
        <w:rPr>
          <w:rFonts w:hint="eastAsia" w:ascii="宋体" w:hAnsi="宋体" w:cs="宋体"/>
          <w:szCs w:val="21"/>
          <w:highlight w:val="none"/>
        </w:rPr>
        <w:t>功能的上线运行，并通知甲方进行验收。未在实施周期内完成，视为乙方违约并自动放弃该项目，甲方有权终止合同，合同所有款项将不予支付</w:t>
      </w:r>
      <w:r>
        <w:rPr>
          <w:rFonts w:hint="eastAsia" w:ascii="宋体" w:hAnsi="宋体" w:cs="宋体"/>
          <w:bCs/>
          <w:color w:val="000000"/>
          <w:highlight w:val="none"/>
        </w:rPr>
        <w:t>（如有履约保证金，</w:t>
      </w:r>
      <w:r>
        <w:rPr>
          <w:rFonts w:hint="eastAsia" w:ascii="宋体" w:hAnsi="宋体" w:cs="宋体"/>
          <w:szCs w:val="21"/>
          <w:highlight w:val="none"/>
        </w:rPr>
        <w:t>将不予退还</w:t>
      </w:r>
      <w:r>
        <w:rPr>
          <w:rFonts w:hint="eastAsia" w:ascii="宋体" w:hAnsi="宋体" w:cs="宋体"/>
          <w:bCs/>
          <w:color w:val="000000"/>
          <w:highlight w:val="none"/>
        </w:rPr>
        <w:t>），</w:t>
      </w:r>
      <w:r>
        <w:rPr>
          <w:rFonts w:hint="eastAsia"/>
          <w:highlight w:val="none"/>
        </w:rPr>
        <w:t>已支付款项，供乙方应于7个工作日内退还甲方</w:t>
      </w:r>
      <w:r>
        <w:rPr>
          <w:rFonts w:hint="eastAsia" w:ascii="Times New Roman" w:hAnsi="Times New Roman"/>
          <w:szCs w:val="21"/>
          <w:highlight w:val="none"/>
        </w:rPr>
        <w:t>。</w:t>
      </w:r>
    </w:p>
    <w:p w14:paraId="71B40E58">
      <w:pPr>
        <w:pStyle w:val="29"/>
        <w:numPr>
          <w:ilvl w:val="0"/>
          <w:numId w:val="15"/>
        </w:numPr>
        <w:snapToGrid w:val="0"/>
        <w:ind w:firstLineChars="0"/>
        <w:rPr>
          <w:rFonts w:ascii="Times New Roman" w:hAnsi="Times New Roman"/>
          <w:szCs w:val="21"/>
          <w:highlight w:val="none"/>
        </w:rPr>
      </w:pPr>
      <w:r>
        <w:rPr>
          <w:rFonts w:hint="eastAsia" w:ascii="Times New Roman" w:hAnsi="Times New Roman"/>
          <w:szCs w:val="21"/>
          <w:highlight w:val="none"/>
        </w:rPr>
        <w:t>开发完成时间：</w:t>
      </w:r>
      <w:r>
        <w:rPr>
          <w:rFonts w:ascii="Times New Roman" w:hAnsi="Times New Roman"/>
          <w:szCs w:val="21"/>
          <w:highlight w:val="none"/>
        </w:rPr>
        <w:t>202*</w:t>
      </w:r>
      <w:r>
        <w:rPr>
          <w:rFonts w:hint="eastAsia" w:ascii="Times New Roman" w:hAnsi="Times New Roman"/>
          <w:szCs w:val="21"/>
          <w:highlight w:val="none"/>
        </w:rPr>
        <w:t>年*</w:t>
      </w:r>
      <w:r>
        <w:rPr>
          <w:rFonts w:ascii="Times New Roman" w:hAnsi="Times New Roman"/>
          <w:szCs w:val="21"/>
          <w:highlight w:val="none"/>
        </w:rPr>
        <w:t>**</w:t>
      </w:r>
      <w:r>
        <w:rPr>
          <w:rFonts w:hint="eastAsia" w:ascii="Times New Roman" w:hAnsi="Times New Roman"/>
          <w:szCs w:val="21"/>
          <w:highlight w:val="none"/>
        </w:rPr>
        <w:t>月*</w:t>
      </w:r>
      <w:r>
        <w:rPr>
          <w:rFonts w:ascii="Times New Roman" w:hAnsi="Times New Roman"/>
          <w:szCs w:val="21"/>
          <w:highlight w:val="none"/>
        </w:rPr>
        <w:t>**</w:t>
      </w:r>
      <w:r>
        <w:rPr>
          <w:rFonts w:hint="eastAsia" w:ascii="Times New Roman" w:hAnsi="Times New Roman"/>
          <w:szCs w:val="21"/>
          <w:highlight w:val="none"/>
        </w:rPr>
        <w:t>日。</w:t>
      </w:r>
    </w:p>
    <w:p w14:paraId="66B9D431">
      <w:pPr>
        <w:pStyle w:val="29"/>
        <w:numPr>
          <w:ilvl w:val="0"/>
          <w:numId w:val="15"/>
        </w:numPr>
        <w:snapToGrid w:val="0"/>
        <w:ind w:firstLineChars="0"/>
        <w:rPr>
          <w:rFonts w:ascii="Times New Roman" w:hAnsi="Times New Roman"/>
          <w:szCs w:val="21"/>
          <w:highlight w:val="none"/>
          <w:u w:val="single"/>
        </w:rPr>
      </w:pPr>
      <w:r>
        <w:rPr>
          <w:rFonts w:hint="eastAsia" w:ascii="Times New Roman" w:hAnsi="Times New Roman"/>
          <w:szCs w:val="21"/>
          <w:highlight w:val="none"/>
          <w:u w:val="single"/>
        </w:rPr>
        <w:t>软件开发进度见附件：《开发进度表》</w:t>
      </w:r>
      <w:r>
        <w:rPr>
          <w:rFonts w:hint="eastAsia" w:ascii="Times New Roman" w:hAnsi="Times New Roman"/>
          <w:i/>
          <w:iCs/>
          <w:szCs w:val="21"/>
          <w:highlight w:val="none"/>
        </w:rPr>
        <w:t>&lt;根据项目实际情况编制&gt;</w:t>
      </w:r>
    </w:p>
    <w:p w14:paraId="392688B0">
      <w:pPr>
        <w:pStyle w:val="29"/>
        <w:numPr>
          <w:ilvl w:val="0"/>
          <w:numId w:val="14"/>
        </w:numPr>
        <w:ind w:left="0" w:firstLine="0" w:firstLineChars="0"/>
        <w:rPr>
          <w:rFonts w:hint="eastAsia" w:ascii="Times New Roman" w:hAnsi="Times New Roman"/>
          <w:szCs w:val="21"/>
          <w:highlight w:val="none"/>
        </w:rPr>
      </w:pPr>
      <w:r>
        <w:rPr>
          <w:rFonts w:hint="eastAsia" w:ascii="Times New Roman" w:hAnsi="Times New Roman"/>
          <w:szCs w:val="21"/>
          <w:highlight w:val="none"/>
        </w:rPr>
        <w:t>如甲方原因推迟开发，甲方应向乙方提供书面延期通知书，并在确定继续开发时提供开工通知书，同时计算工期时应扣除因甲方原因造成的延期时间。</w:t>
      </w:r>
    </w:p>
    <w:p w14:paraId="78B0E229">
      <w:pPr>
        <w:pStyle w:val="29"/>
        <w:numPr>
          <w:ilvl w:val="0"/>
          <w:numId w:val="12"/>
        </w:numPr>
        <w:snapToGrid w:val="0"/>
        <w:ind w:firstLineChars="0"/>
        <w:rPr>
          <w:rFonts w:ascii="Times New Roman" w:hAnsi="Times New Roman"/>
          <w:b/>
          <w:bCs/>
          <w:szCs w:val="21"/>
          <w:highlight w:val="none"/>
        </w:rPr>
      </w:pPr>
      <w:r>
        <w:rPr>
          <w:rFonts w:hint="eastAsia" w:ascii="Times New Roman" w:hAnsi="Times New Roman"/>
          <w:b/>
          <w:bCs/>
          <w:szCs w:val="21"/>
          <w:highlight w:val="none"/>
        </w:rPr>
        <w:t>交付</w:t>
      </w:r>
    </w:p>
    <w:p w14:paraId="73F521B4">
      <w:pPr>
        <w:pStyle w:val="29"/>
        <w:numPr>
          <w:ilvl w:val="0"/>
          <w:numId w:val="16"/>
        </w:numPr>
        <w:ind w:left="0" w:firstLine="0" w:firstLineChars="0"/>
        <w:rPr>
          <w:rFonts w:ascii="Times New Roman" w:hAnsi="Times New Roman"/>
          <w:szCs w:val="21"/>
          <w:highlight w:val="none"/>
        </w:rPr>
      </w:pPr>
      <w:r>
        <w:rPr>
          <w:rFonts w:hint="eastAsia" w:ascii="Times New Roman" w:hAnsi="Times New Roman"/>
          <w:szCs w:val="21"/>
          <w:highlight w:val="none"/>
        </w:rPr>
        <w:t>交付的内容、形式及数量：</w:t>
      </w:r>
      <w:r>
        <w:rPr>
          <w:rFonts w:hint="eastAsia" w:ascii="Times New Roman" w:hAnsi="Times New Roman"/>
          <w:i/>
          <w:iCs/>
          <w:szCs w:val="21"/>
          <w:highlight w:val="none"/>
        </w:rPr>
        <w:t>&lt;</w:t>
      </w:r>
      <w:r>
        <w:rPr>
          <w:rFonts w:ascii="Times New Roman" w:hAnsi="Times New Roman"/>
          <w:i/>
          <w:iCs/>
          <w:szCs w:val="21"/>
          <w:highlight w:val="none"/>
        </w:rPr>
        <w:t>包括但不限于完成甲方功能要求的可执行软件、软件的设计文件、软件的测试报告、软件使用说明书及在开发过程中产生的其他文档</w:t>
      </w:r>
      <w:r>
        <w:rPr>
          <w:rFonts w:hint="eastAsia" w:ascii="Times New Roman" w:hAnsi="Times New Roman"/>
          <w:i/>
          <w:iCs/>
          <w:szCs w:val="21"/>
          <w:highlight w:val="none"/>
        </w:rPr>
        <w:t>，根据项目实际情况编制本条款具体内容，如内容较多可附附件&gt;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42"/>
        <w:gridCol w:w="1711"/>
        <w:gridCol w:w="2532"/>
        <w:gridCol w:w="2001"/>
        <w:gridCol w:w="544"/>
        <w:gridCol w:w="545"/>
        <w:gridCol w:w="1872"/>
      </w:tblGrid>
      <w:tr w14:paraId="4C659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6BB3664C">
            <w:pPr>
              <w:pStyle w:val="29"/>
              <w:ind w:firstLine="0" w:firstLineChars="0"/>
              <w:jc w:val="center"/>
              <w:rPr>
                <w:rFonts w:ascii="Times New Roman" w:hAnsi="Times New Roman"/>
                <w:color w:val="000000"/>
                <w:szCs w:val="21"/>
                <w:highlight w:val="none"/>
              </w:rPr>
            </w:pPr>
            <w:r>
              <w:rPr>
                <w:rFonts w:ascii="Times New Roman" w:hAnsi="Times New Roman"/>
                <w:color w:val="000000"/>
                <w:szCs w:val="21"/>
                <w:highlight w:val="none"/>
              </w:rPr>
              <w:t>序号</w:t>
            </w:r>
          </w:p>
        </w:tc>
        <w:tc>
          <w:tcPr>
            <w:tcW w:w="1815" w:type="dxa"/>
            <w:noWrap w:val="0"/>
            <w:vAlign w:val="center"/>
          </w:tcPr>
          <w:p w14:paraId="58367E3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交付事项</w:t>
            </w:r>
          </w:p>
        </w:tc>
        <w:tc>
          <w:tcPr>
            <w:tcW w:w="2694" w:type="dxa"/>
            <w:noWrap w:val="0"/>
            <w:vAlign w:val="center"/>
          </w:tcPr>
          <w:p w14:paraId="62AFF85C">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交付内容</w:t>
            </w:r>
          </w:p>
        </w:tc>
        <w:tc>
          <w:tcPr>
            <w:tcW w:w="2126" w:type="dxa"/>
            <w:noWrap w:val="0"/>
            <w:vAlign w:val="center"/>
          </w:tcPr>
          <w:p w14:paraId="0760ABF2">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交付形式</w:t>
            </w:r>
          </w:p>
        </w:tc>
        <w:tc>
          <w:tcPr>
            <w:tcW w:w="567" w:type="dxa"/>
            <w:noWrap w:val="0"/>
            <w:vAlign w:val="top"/>
          </w:tcPr>
          <w:p w14:paraId="3384DA5A">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单位</w:t>
            </w:r>
          </w:p>
        </w:tc>
        <w:tc>
          <w:tcPr>
            <w:tcW w:w="567" w:type="dxa"/>
            <w:noWrap w:val="0"/>
            <w:vAlign w:val="top"/>
          </w:tcPr>
          <w:p w14:paraId="08EFF49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数量</w:t>
            </w:r>
          </w:p>
        </w:tc>
        <w:tc>
          <w:tcPr>
            <w:tcW w:w="1987" w:type="dxa"/>
            <w:noWrap w:val="0"/>
            <w:vAlign w:val="top"/>
          </w:tcPr>
          <w:p w14:paraId="1FC74817">
            <w:pPr>
              <w:pStyle w:val="29"/>
              <w:ind w:firstLine="0" w:firstLineChars="0"/>
              <w:jc w:val="center"/>
              <w:rPr>
                <w:rFonts w:hint="eastAsia" w:ascii="Times New Roman" w:hAnsi="Times New Roman"/>
                <w:color w:val="000000"/>
                <w:szCs w:val="21"/>
                <w:highlight w:val="none"/>
              </w:rPr>
            </w:pPr>
            <w:r>
              <w:rPr>
                <w:rFonts w:hint="eastAsia" w:ascii="Times New Roman" w:hAnsi="Times New Roman"/>
                <w:color w:val="000000"/>
                <w:szCs w:val="21"/>
                <w:highlight w:val="none"/>
              </w:rPr>
              <w:t>备注</w:t>
            </w:r>
          </w:p>
        </w:tc>
      </w:tr>
      <w:tr w14:paraId="14EB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C659B94">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1</w:t>
            </w:r>
          </w:p>
        </w:tc>
        <w:tc>
          <w:tcPr>
            <w:tcW w:w="1815" w:type="dxa"/>
            <w:noWrap w:val="0"/>
            <w:vAlign w:val="center"/>
          </w:tcPr>
          <w:p w14:paraId="27176DEB">
            <w:pPr>
              <w:pStyle w:val="29"/>
              <w:ind w:firstLine="0" w:firstLineChars="0"/>
              <w:rPr>
                <w:rFonts w:ascii="Times New Roman" w:hAnsi="Times New Roman"/>
                <w:color w:val="000000"/>
                <w:szCs w:val="21"/>
                <w:highlight w:val="none"/>
              </w:rPr>
            </w:pPr>
          </w:p>
        </w:tc>
        <w:tc>
          <w:tcPr>
            <w:tcW w:w="2694" w:type="dxa"/>
            <w:noWrap w:val="0"/>
            <w:vAlign w:val="center"/>
          </w:tcPr>
          <w:p w14:paraId="0DA980B9">
            <w:pPr>
              <w:pStyle w:val="29"/>
              <w:ind w:firstLine="0" w:firstLineChars="0"/>
              <w:rPr>
                <w:rFonts w:ascii="Times New Roman" w:hAnsi="Times New Roman"/>
                <w:color w:val="000000"/>
                <w:szCs w:val="21"/>
                <w:highlight w:val="none"/>
              </w:rPr>
            </w:pPr>
          </w:p>
        </w:tc>
        <w:tc>
          <w:tcPr>
            <w:tcW w:w="2126" w:type="dxa"/>
            <w:noWrap w:val="0"/>
            <w:vAlign w:val="center"/>
          </w:tcPr>
          <w:p w14:paraId="1DD6C1EE">
            <w:pPr>
              <w:pStyle w:val="29"/>
              <w:ind w:firstLine="0" w:firstLineChars="0"/>
              <w:rPr>
                <w:rFonts w:ascii="Times New Roman" w:hAnsi="Times New Roman"/>
                <w:color w:val="000000"/>
                <w:szCs w:val="21"/>
                <w:highlight w:val="none"/>
              </w:rPr>
            </w:pPr>
          </w:p>
        </w:tc>
        <w:tc>
          <w:tcPr>
            <w:tcW w:w="567" w:type="dxa"/>
            <w:noWrap w:val="0"/>
            <w:vAlign w:val="center"/>
          </w:tcPr>
          <w:p w14:paraId="1B74E586">
            <w:pPr>
              <w:pStyle w:val="29"/>
              <w:ind w:firstLine="0" w:firstLineChars="0"/>
              <w:jc w:val="center"/>
              <w:rPr>
                <w:rFonts w:ascii="Times New Roman" w:hAnsi="Times New Roman"/>
                <w:color w:val="000000"/>
                <w:szCs w:val="21"/>
                <w:highlight w:val="none"/>
              </w:rPr>
            </w:pPr>
          </w:p>
        </w:tc>
        <w:tc>
          <w:tcPr>
            <w:tcW w:w="567" w:type="dxa"/>
            <w:noWrap w:val="0"/>
            <w:vAlign w:val="center"/>
          </w:tcPr>
          <w:p w14:paraId="0E582B89">
            <w:pPr>
              <w:pStyle w:val="29"/>
              <w:ind w:firstLine="0" w:firstLineChars="0"/>
              <w:jc w:val="center"/>
              <w:rPr>
                <w:rFonts w:ascii="Times New Roman" w:hAnsi="Times New Roman"/>
                <w:color w:val="000000"/>
                <w:szCs w:val="21"/>
                <w:highlight w:val="none"/>
              </w:rPr>
            </w:pPr>
          </w:p>
        </w:tc>
        <w:tc>
          <w:tcPr>
            <w:tcW w:w="1987" w:type="dxa"/>
            <w:noWrap w:val="0"/>
            <w:vAlign w:val="center"/>
          </w:tcPr>
          <w:p w14:paraId="3C38C102">
            <w:pPr>
              <w:pStyle w:val="29"/>
              <w:ind w:firstLine="0" w:firstLineChars="0"/>
              <w:rPr>
                <w:rFonts w:ascii="Times New Roman" w:hAnsi="Times New Roman"/>
                <w:color w:val="000000"/>
                <w:szCs w:val="21"/>
                <w:highlight w:val="none"/>
              </w:rPr>
            </w:pPr>
          </w:p>
        </w:tc>
      </w:tr>
      <w:tr w14:paraId="1CBC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8D01DE0">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2</w:t>
            </w:r>
          </w:p>
        </w:tc>
        <w:tc>
          <w:tcPr>
            <w:tcW w:w="1815" w:type="dxa"/>
            <w:noWrap w:val="0"/>
            <w:vAlign w:val="center"/>
          </w:tcPr>
          <w:p w14:paraId="18CEE41C">
            <w:pPr>
              <w:pStyle w:val="29"/>
              <w:ind w:firstLine="0" w:firstLineChars="0"/>
              <w:rPr>
                <w:rFonts w:ascii="Times New Roman" w:hAnsi="Times New Roman"/>
                <w:color w:val="000000"/>
                <w:szCs w:val="21"/>
                <w:highlight w:val="none"/>
              </w:rPr>
            </w:pPr>
          </w:p>
        </w:tc>
        <w:tc>
          <w:tcPr>
            <w:tcW w:w="2694" w:type="dxa"/>
            <w:noWrap w:val="0"/>
            <w:vAlign w:val="center"/>
          </w:tcPr>
          <w:p w14:paraId="13A658B7">
            <w:pPr>
              <w:pStyle w:val="29"/>
              <w:ind w:firstLine="0" w:firstLineChars="0"/>
              <w:rPr>
                <w:rFonts w:ascii="Times New Roman" w:hAnsi="Times New Roman"/>
                <w:color w:val="000000"/>
                <w:szCs w:val="21"/>
                <w:highlight w:val="none"/>
              </w:rPr>
            </w:pPr>
          </w:p>
        </w:tc>
        <w:tc>
          <w:tcPr>
            <w:tcW w:w="2126" w:type="dxa"/>
            <w:noWrap w:val="0"/>
            <w:vAlign w:val="center"/>
          </w:tcPr>
          <w:p w14:paraId="1F6F7E5D">
            <w:pPr>
              <w:pStyle w:val="29"/>
              <w:ind w:firstLine="0" w:firstLineChars="0"/>
              <w:rPr>
                <w:rFonts w:ascii="Times New Roman" w:hAnsi="Times New Roman"/>
                <w:color w:val="000000"/>
                <w:szCs w:val="21"/>
                <w:highlight w:val="none"/>
              </w:rPr>
            </w:pPr>
          </w:p>
        </w:tc>
        <w:tc>
          <w:tcPr>
            <w:tcW w:w="567" w:type="dxa"/>
            <w:noWrap w:val="0"/>
            <w:vAlign w:val="center"/>
          </w:tcPr>
          <w:p w14:paraId="4D1CE4D3">
            <w:pPr>
              <w:pStyle w:val="29"/>
              <w:ind w:firstLine="0" w:firstLineChars="0"/>
              <w:jc w:val="center"/>
              <w:rPr>
                <w:rFonts w:ascii="Times New Roman" w:hAnsi="Times New Roman"/>
                <w:color w:val="000000"/>
                <w:szCs w:val="21"/>
                <w:highlight w:val="none"/>
              </w:rPr>
            </w:pPr>
          </w:p>
        </w:tc>
        <w:tc>
          <w:tcPr>
            <w:tcW w:w="567" w:type="dxa"/>
            <w:noWrap w:val="0"/>
            <w:vAlign w:val="center"/>
          </w:tcPr>
          <w:p w14:paraId="3E45C71F">
            <w:pPr>
              <w:pStyle w:val="29"/>
              <w:ind w:firstLine="0" w:firstLineChars="0"/>
              <w:jc w:val="center"/>
              <w:rPr>
                <w:rFonts w:ascii="Times New Roman" w:hAnsi="Times New Roman"/>
                <w:color w:val="000000"/>
                <w:szCs w:val="21"/>
                <w:highlight w:val="none"/>
              </w:rPr>
            </w:pPr>
          </w:p>
        </w:tc>
        <w:tc>
          <w:tcPr>
            <w:tcW w:w="1987" w:type="dxa"/>
            <w:noWrap w:val="0"/>
            <w:vAlign w:val="center"/>
          </w:tcPr>
          <w:p w14:paraId="2BE73FDE">
            <w:pPr>
              <w:pStyle w:val="29"/>
              <w:ind w:firstLine="0" w:firstLineChars="0"/>
              <w:rPr>
                <w:rFonts w:ascii="Times New Roman" w:hAnsi="Times New Roman"/>
                <w:color w:val="000000"/>
                <w:szCs w:val="21"/>
                <w:highlight w:val="none"/>
              </w:rPr>
            </w:pPr>
          </w:p>
        </w:tc>
      </w:tr>
      <w:tr w14:paraId="48B89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141D3FB4">
            <w:pPr>
              <w:pStyle w:val="29"/>
              <w:ind w:firstLine="0" w:firstLineChars="0"/>
              <w:jc w:val="center"/>
              <w:rPr>
                <w:rFonts w:ascii="Times New Roman" w:hAnsi="Times New Roman"/>
                <w:color w:val="000000"/>
                <w:szCs w:val="21"/>
                <w:highlight w:val="none"/>
              </w:rPr>
            </w:pPr>
            <w:r>
              <w:rPr>
                <w:rFonts w:hint="eastAsia" w:ascii="Times New Roman" w:hAnsi="Times New Roman"/>
                <w:color w:val="000000"/>
                <w:szCs w:val="21"/>
                <w:highlight w:val="none"/>
              </w:rPr>
              <w:t>3</w:t>
            </w:r>
          </w:p>
        </w:tc>
        <w:tc>
          <w:tcPr>
            <w:tcW w:w="1815" w:type="dxa"/>
            <w:noWrap w:val="0"/>
            <w:vAlign w:val="center"/>
          </w:tcPr>
          <w:p w14:paraId="1B77A709">
            <w:pPr>
              <w:pStyle w:val="29"/>
              <w:ind w:firstLine="0" w:firstLineChars="0"/>
              <w:rPr>
                <w:rFonts w:ascii="Times New Roman" w:hAnsi="Times New Roman"/>
                <w:color w:val="000000"/>
                <w:szCs w:val="21"/>
                <w:highlight w:val="none"/>
              </w:rPr>
            </w:pPr>
          </w:p>
        </w:tc>
        <w:tc>
          <w:tcPr>
            <w:tcW w:w="2694" w:type="dxa"/>
            <w:noWrap w:val="0"/>
            <w:vAlign w:val="center"/>
          </w:tcPr>
          <w:p w14:paraId="4EB6B33A">
            <w:pPr>
              <w:pStyle w:val="29"/>
              <w:ind w:firstLine="0" w:firstLineChars="0"/>
              <w:rPr>
                <w:rFonts w:ascii="Times New Roman" w:hAnsi="Times New Roman"/>
                <w:color w:val="000000"/>
                <w:szCs w:val="21"/>
                <w:highlight w:val="none"/>
              </w:rPr>
            </w:pPr>
          </w:p>
        </w:tc>
        <w:tc>
          <w:tcPr>
            <w:tcW w:w="2126" w:type="dxa"/>
            <w:noWrap w:val="0"/>
            <w:vAlign w:val="center"/>
          </w:tcPr>
          <w:p w14:paraId="5E878469">
            <w:pPr>
              <w:pStyle w:val="29"/>
              <w:ind w:firstLine="0" w:firstLineChars="0"/>
              <w:rPr>
                <w:rFonts w:ascii="Times New Roman" w:hAnsi="Times New Roman"/>
                <w:color w:val="000000"/>
                <w:szCs w:val="21"/>
                <w:highlight w:val="none"/>
              </w:rPr>
            </w:pPr>
          </w:p>
        </w:tc>
        <w:tc>
          <w:tcPr>
            <w:tcW w:w="567" w:type="dxa"/>
            <w:noWrap w:val="0"/>
            <w:vAlign w:val="center"/>
          </w:tcPr>
          <w:p w14:paraId="085371EA">
            <w:pPr>
              <w:pStyle w:val="29"/>
              <w:ind w:firstLine="0" w:firstLineChars="0"/>
              <w:jc w:val="center"/>
              <w:rPr>
                <w:rFonts w:ascii="Times New Roman" w:hAnsi="Times New Roman"/>
                <w:color w:val="000000"/>
                <w:szCs w:val="21"/>
                <w:highlight w:val="none"/>
              </w:rPr>
            </w:pPr>
          </w:p>
        </w:tc>
        <w:tc>
          <w:tcPr>
            <w:tcW w:w="567" w:type="dxa"/>
            <w:noWrap w:val="0"/>
            <w:vAlign w:val="center"/>
          </w:tcPr>
          <w:p w14:paraId="0722EB85">
            <w:pPr>
              <w:pStyle w:val="29"/>
              <w:ind w:firstLine="0" w:firstLineChars="0"/>
              <w:jc w:val="center"/>
              <w:rPr>
                <w:rFonts w:ascii="Times New Roman" w:hAnsi="Times New Roman"/>
                <w:color w:val="000000"/>
                <w:szCs w:val="21"/>
                <w:highlight w:val="none"/>
              </w:rPr>
            </w:pPr>
          </w:p>
        </w:tc>
        <w:tc>
          <w:tcPr>
            <w:tcW w:w="1987" w:type="dxa"/>
            <w:noWrap w:val="0"/>
            <w:vAlign w:val="center"/>
          </w:tcPr>
          <w:p w14:paraId="1893047B">
            <w:pPr>
              <w:pStyle w:val="29"/>
              <w:ind w:firstLine="0" w:firstLineChars="0"/>
              <w:rPr>
                <w:rFonts w:ascii="Times New Roman" w:hAnsi="Times New Roman"/>
                <w:color w:val="000000"/>
                <w:szCs w:val="21"/>
                <w:highlight w:val="none"/>
              </w:rPr>
            </w:pPr>
          </w:p>
        </w:tc>
      </w:tr>
      <w:tr w14:paraId="266E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58" w:type="dxa"/>
            <w:noWrap w:val="0"/>
            <w:vAlign w:val="center"/>
          </w:tcPr>
          <w:p w14:paraId="403F54AB">
            <w:pPr>
              <w:pStyle w:val="29"/>
              <w:ind w:firstLine="0" w:firstLineChars="0"/>
              <w:jc w:val="center"/>
              <w:rPr>
                <w:rFonts w:hint="eastAsia" w:ascii="Times New Roman" w:hAnsi="Times New Roman"/>
                <w:color w:val="000000"/>
                <w:szCs w:val="21"/>
                <w:highlight w:val="none"/>
              </w:rPr>
            </w:pPr>
            <w:r>
              <w:rPr>
                <w:rFonts w:ascii="Times New Roman" w:hAnsi="Times New Roman"/>
                <w:color w:val="000000"/>
                <w:szCs w:val="21"/>
                <w:highlight w:val="none"/>
              </w:rPr>
              <w:t>…</w:t>
            </w:r>
          </w:p>
        </w:tc>
        <w:tc>
          <w:tcPr>
            <w:tcW w:w="1815" w:type="dxa"/>
            <w:noWrap w:val="0"/>
            <w:vAlign w:val="center"/>
          </w:tcPr>
          <w:p w14:paraId="46EB1CAA">
            <w:pPr>
              <w:pStyle w:val="29"/>
              <w:ind w:firstLine="0" w:firstLineChars="0"/>
              <w:rPr>
                <w:rFonts w:ascii="Times New Roman" w:hAnsi="Times New Roman"/>
                <w:color w:val="000000"/>
                <w:szCs w:val="21"/>
                <w:highlight w:val="none"/>
              </w:rPr>
            </w:pPr>
          </w:p>
        </w:tc>
        <w:tc>
          <w:tcPr>
            <w:tcW w:w="2694" w:type="dxa"/>
            <w:noWrap w:val="0"/>
            <w:vAlign w:val="center"/>
          </w:tcPr>
          <w:p w14:paraId="5FDF07AC">
            <w:pPr>
              <w:pStyle w:val="29"/>
              <w:ind w:firstLine="0" w:firstLineChars="0"/>
              <w:rPr>
                <w:rFonts w:ascii="Times New Roman" w:hAnsi="Times New Roman"/>
                <w:color w:val="000000"/>
                <w:szCs w:val="21"/>
                <w:highlight w:val="none"/>
              </w:rPr>
            </w:pPr>
          </w:p>
        </w:tc>
        <w:tc>
          <w:tcPr>
            <w:tcW w:w="2126" w:type="dxa"/>
            <w:noWrap w:val="0"/>
            <w:vAlign w:val="center"/>
          </w:tcPr>
          <w:p w14:paraId="2EBEA69E">
            <w:pPr>
              <w:pStyle w:val="29"/>
              <w:ind w:firstLine="0" w:firstLineChars="0"/>
              <w:rPr>
                <w:rFonts w:ascii="Times New Roman" w:hAnsi="Times New Roman"/>
                <w:color w:val="000000"/>
                <w:szCs w:val="21"/>
                <w:highlight w:val="none"/>
              </w:rPr>
            </w:pPr>
          </w:p>
        </w:tc>
        <w:tc>
          <w:tcPr>
            <w:tcW w:w="567" w:type="dxa"/>
            <w:noWrap w:val="0"/>
            <w:vAlign w:val="center"/>
          </w:tcPr>
          <w:p w14:paraId="0A0A3A7E">
            <w:pPr>
              <w:pStyle w:val="29"/>
              <w:ind w:firstLine="0" w:firstLineChars="0"/>
              <w:jc w:val="center"/>
              <w:rPr>
                <w:rFonts w:ascii="Times New Roman" w:hAnsi="Times New Roman"/>
                <w:color w:val="000000"/>
                <w:szCs w:val="21"/>
                <w:highlight w:val="none"/>
              </w:rPr>
            </w:pPr>
          </w:p>
        </w:tc>
        <w:tc>
          <w:tcPr>
            <w:tcW w:w="567" w:type="dxa"/>
            <w:noWrap w:val="0"/>
            <w:vAlign w:val="center"/>
          </w:tcPr>
          <w:p w14:paraId="5613A8E3">
            <w:pPr>
              <w:pStyle w:val="29"/>
              <w:ind w:firstLine="0" w:firstLineChars="0"/>
              <w:jc w:val="center"/>
              <w:rPr>
                <w:rFonts w:ascii="Times New Roman" w:hAnsi="Times New Roman"/>
                <w:color w:val="000000"/>
                <w:szCs w:val="21"/>
                <w:highlight w:val="none"/>
              </w:rPr>
            </w:pPr>
          </w:p>
        </w:tc>
        <w:tc>
          <w:tcPr>
            <w:tcW w:w="1987" w:type="dxa"/>
            <w:noWrap w:val="0"/>
            <w:vAlign w:val="center"/>
          </w:tcPr>
          <w:p w14:paraId="6239191B">
            <w:pPr>
              <w:pStyle w:val="29"/>
              <w:ind w:firstLine="0" w:firstLineChars="0"/>
              <w:rPr>
                <w:rFonts w:ascii="Times New Roman" w:hAnsi="Times New Roman"/>
                <w:color w:val="000000"/>
                <w:szCs w:val="21"/>
                <w:highlight w:val="none"/>
              </w:rPr>
            </w:pPr>
          </w:p>
        </w:tc>
      </w:tr>
    </w:tbl>
    <w:p w14:paraId="354CC1D6">
      <w:pPr>
        <w:pStyle w:val="29"/>
        <w:numPr>
          <w:ilvl w:val="0"/>
          <w:numId w:val="16"/>
        </w:numPr>
        <w:ind w:left="0" w:firstLine="0" w:firstLineChars="0"/>
        <w:rPr>
          <w:rFonts w:ascii="Times New Roman" w:hAnsi="Times New Roman"/>
          <w:szCs w:val="21"/>
          <w:highlight w:val="none"/>
        </w:rPr>
      </w:pPr>
      <w:r>
        <w:rPr>
          <w:rFonts w:hint="eastAsia" w:ascii="宋体" w:hAnsi="宋体" w:cs="宋体"/>
          <w:szCs w:val="21"/>
          <w:highlight w:val="none"/>
        </w:rPr>
        <w:t>服务地点：本项目涉及的四川省人民医院所有院区</w:t>
      </w:r>
      <w:r>
        <w:rPr>
          <w:rFonts w:hint="eastAsia" w:ascii="Times New Roman" w:hAnsi="Times New Roman"/>
          <w:szCs w:val="21"/>
          <w:highlight w:val="none"/>
        </w:rPr>
        <w:t>。</w:t>
      </w:r>
    </w:p>
    <w:p w14:paraId="46152D40">
      <w:pPr>
        <w:pStyle w:val="29"/>
        <w:numPr>
          <w:ilvl w:val="0"/>
          <w:numId w:val="12"/>
        </w:numPr>
        <w:snapToGrid w:val="0"/>
        <w:ind w:firstLineChars="0"/>
        <w:rPr>
          <w:rFonts w:hint="eastAsia" w:ascii="Times New Roman" w:hAnsi="Times New Roman"/>
          <w:b/>
          <w:bCs/>
          <w:szCs w:val="21"/>
          <w:highlight w:val="none"/>
        </w:rPr>
      </w:pPr>
      <w:r>
        <w:rPr>
          <w:rFonts w:hint="eastAsia" w:ascii="Times New Roman" w:hAnsi="Times New Roman"/>
          <w:b/>
          <w:bCs/>
          <w:szCs w:val="21"/>
          <w:highlight w:val="none"/>
        </w:rPr>
        <w:t>验收</w:t>
      </w:r>
    </w:p>
    <w:p w14:paraId="682B5B6F">
      <w:pPr>
        <w:pStyle w:val="29"/>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甲、乙双方确定，按照本合同约定的验收方案对乙方交付的开发成果进行验收。</w:t>
      </w:r>
    </w:p>
    <w:p w14:paraId="076CCC66">
      <w:pPr>
        <w:pStyle w:val="29"/>
        <w:numPr>
          <w:ilvl w:val="0"/>
          <w:numId w:val="17"/>
        </w:numPr>
        <w:ind w:firstLineChars="0"/>
        <w:rPr>
          <w:rFonts w:ascii="Times New Roman" w:hAnsi="Times New Roman"/>
          <w:color w:val="000000"/>
          <w:szCs w:val="21"/>
          <w:highlight w:val="none"/>
        </w:rPr>
      </w:pPr>
      <w:r>
        <w:rPr>
          <w:rFonts w:hint="eastAsia" w:ascii="Times New Roman" w:hAnsi="Times New Roman"/>
          <w:color w:val="000000"/>
          <w:szCs w:val="21"/>
          <w:highlight w:val="none"/>
        </w:rPr>
        <w:t>验收方案：</w:t>
      </w:r>
    </w:p>
    <w:p w14:paraId="5B4D126E">
      <w:pPr>
        <w:pStyle w:val="29"/>
        <w:numPr>
          <w:ilvl w:val="0"/>
          <w:numId w:val="18"/>
        </w:numPr>
        <w:ind w:firstLineChars="0"/>
        <w:contextualSpacing/>
        <w:rPr>
          <w:color w:val="000000"/>
          <w:szCs w:val="21"/>
          <w:highlight w:val="none"/>
        </w:rPr>
      </w:pPr>
      <w:r>
        <w:rPr>
          <w:rFonts w:hint="eastAsia"/>
          <w:color w:val="000000"/>
          <w:szCs w:val="21"/>
          <w:highlight w:val="none"/>
        </w:rPr>
        <w:t>验收主体：甲方</w:t>
      </w:r>
    </w:p>
    <w:p w14:paraId="7A67B2B8">
      <w:pPr>
        <w:pStyle w:val="29"/>
        <w:numPr>
          <w:ilvl w:val="0"/>
          <w:numId w:val="18"/>
        </w:numPr>
        <w:ind w:firstLineChars="0"/>
        <w:contextualSpacing/>
        <w:rPr>
          <w:color w:val="000000"/>
          <w:szCs w:val="21"/>
          <w:highlight w:val="none"/>
        </w:rPr>
      </w:pPr>
      <w:r>
        <w:rPr>
          <w:rFonts w:hint="eastAsia"/>
          <w:color w:val="000000"/>
          <w:szCs w:val="21"/>
          <w:highlight w:val="none"/>
        </w:rPr>
        <w:t>验收组织方式：自行验收</w:t>
      </w:r>
    </w:p>
    <w:p w14:paraId="0534FD79">
      <w:pPr>
        <w:pStyle w:val="29"/>
        <w:numPr>
          <w:ilvl w:val="0"/>
          <w:numId w:val="18"/>
        </w:numPr>
        <w:ind w:firstLineChars="0"/>
        <w:contextualSpacing/>
        <w:rPr>
          <w:color w:val="000000"/>
          <w:szCs w:val="21"/>
          <w:highlight w:val="none"/>
        </w:rPr>
      </w:pPr>
      <w:r>
        <w:rPr>
          <w:color w:val="000000"/>
          <w:szCs w:val="21"/>
          <w:highlight w:val="none"/>
        </w:rPr>
        <w:t>验收程序：</w:t>
      </w:r>
      <w:r>
        <w:rPr>
          <w:highlight w:val="none"/>
        </w:rPr>
        <w:sym w:font="Wingdings 2" w:char="F052"/>
      </w:r>
      <w:r>
        <w:rPr>
          <w:rFonts w:hint="eastAsia"/>
          <w:color w:val="000000"/>
          <w:szCs w:val="21"/>
          <w:highlight w:val="none"/>
        </w:rPr>
        <w:t>一次性验收</w:t>
      </w:r>
      <w:r>
        <w:rPr>
          <w:color w:val="000000"/>
          <w:szCs w:val="21"/>
          <w:highlight w:val="none"/>
        </w:rPr>
        <w:t xml:space="preserve">   </w:t>
      </w:r>
      <w:r>
        <w:rPr>
          <w:highlight w:val="none"/>
        </w:rPr>
        <w:sym w:font="Wingdings" w:char="F0A8"/>
      </w:r>
      <w:r>
        <w:rPr>
          <w:rFonts w:hint="eastAsia"/>
          <w:color w:val="000000"/>
          <w:szCs w:val="21"/>
          <w:highlight w:val="none"/>
        </w:rPr>
        <w:t>分段</w:t>
      </w:r>
      <w:r>
        <w:rPr>
          <w:color w:val="000000"/>
          <w:szCs w:val="21"/>
          <w:highlight w:val="none"/>
        </w:rPr>
        <w:t>/</w:t>
      </w:r>
      <w:r>
        <w:rPr>
          <w:rFonts w:hint="eastAsia"/>
          <w:color w:val="000000"/>
          <w:szCs w:val="21"/>
          <w:highlight w:val="none"/>
        </w:rPr>
        <w:t>分期验收</w:t>
      </w:r>
    </w:p>
    <w:p w14:paraId="369AFA2F">
      <w:pPr>
        <w:pStyle w:val="29"/>
        <w:numPr>
          <w:ilvl w:val="0"/>
          <w:numId w:val="18"/>
        </w:numPr>
        <w:ind w:firstLineChars="0"/>
        <w:contextualSpacing/>
        <w:rPr>
          <w:color w:val="000000"/>
          <w:szCs w:val="21"/>
          <w:highlight w:val="none"/>
        </w:rPr>
      </w:pPr>
      <w:r>
        <w:rPr>
          <w:color w:val="000000"/>
          <w:szCs w:val="21"/>
          <w:highlight w:val="none"/>
        </w:rPr>
        <w:t>验收方式：</w:t>
      </w:r>
      <w:r>
        <w:rPr>
          <w:color w:val="000000"/>
          <w:highlight w:val="none"/>
        </w:rPr>
        <w:sym w:font="Wingdings 2" w:char="F052"/>
      </w:r>
      <w:r>
        <w:rPr>
          <w:rFonts w:hint="eastAsia"/>
          <w:color w:val="000000"/>
          <w:highlight w:val="none"/>
        </w:rPr>
        <w:t>现场整体验收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考核验收</w:t>
      </w:r>
      <w:r>
        <w:rPr>
          <w:color w:val="000000"/>
          <w:kern w:val="0"/>
          <w:szCs w:val="21"/>
          <w:highlight w:val="none"/>
          <w:shd w:val="clear" w:color="auto" w:fill="FFFFFF"/>
        </w:rPr>
        <w:t xml:space="preserve">   </w:t>
      </w:r>
      <w:r>
        <w:rPr>
          <w:color w:val="000000"/>
          <w:highlight w:val="none"/>
          <w:shd w:val="clear" w:color="auto" w:fill="FFFFFF"/>
        </w:rPr>
        <w:sym w:font="Wingdings" w:char="F0A8"/>
      </w:r>
      <w:r>
        <w:rPr>
          <w:rFonts w:hint="eastAsia"/>
          <w:color w:val="000000"/>
          <w:highlight w:val="none"/>
          <w:shd w:val="clear" w:color="auto" w:fill="FFFFFF"/>
        </w:rPr>
        <w:t>其它验收方式：</w:t>
      </w:r>
      <w:r>
        <w:rPr>
          <w:color w:val="000000"/>
          <w:highlight w:val="none"/>
          <w:u w:val="single"/>
          <w:shd w:val="clear" w:color="auto" w:fill="FFFFFF"/>
        </w:rPr>
        <w:t>***</w:t>
      </w:r>
    </w:p>
    <w:p w14:paraId="0AEA8D8E">
      <w:pPr>
        <w:pStyle w:val="29"/>
        <w:numPr>
          <w:ilvl w:val="0"/>
          <w:numId w:val="18"/>
        </w:numPr>
        <w:ind w:firstLineChars="0"/>
        <w:contextualSpacing/>
        <w:rPr>
          <w:szCs w:val="21"/>
          <w:highlight w:val="none"/>
        </w:rPr>
      </w:pPr>
      <w:r>
        <w:rPr>
          <w:rFonts w:hint="eastAsia"/>
          <w:szCs w:val="21"/>
          <w:highlight w:val="none"/>
        </w:rPr>
        <w:t>履约</w:t>
      </w:r>
      <w:r>
        <w:rPr>
          <w:szCs w:val="21"/>
          <w:highlight w:val="none"/>
        </w:rPr>
        <w:t>验收内容：</w:t>
      </w:r>
      <w:r>
        <w:rPr>
          <w:rFonts w:hint="eastAsia"/>
          <w:szCs w:val="21"/>
          <w:highlight w:val="none"/>
        </w:rPr>
        <w:t>按照甲方的采购文件要求及乙方响应文件响应情况，由乙方向甲方交付的</w:t>
      </w:r>
      <w:r>
        <w:rPr>
          <w:rFonts w:hint="eastAsia"/>
          <w:szCs w:val="21"/>
          <w:highlight w:val="none"/>
          <w:u w:val="single"/>
        </w:rPr>
        <w:t>全部内容</w:t>
      </w:r>
      <w:r>
        <w:rPr>
          <w:rFonts w:hint="eastAsia"/>
          <w:szCs w:val="21"/>
          <w:highlight w:val="none"/>
        </w:rPr>
        <w:t>。</w:t>
      </w:r>
    </w:p>
    <w:p w14:paraId="6415E4A3">
      <w:pPr>
        <w:pStyle w:val="29"/>
        <w:numPr>
          <w:ilvl w:val="0"/>
          <w:numId w:val="18"/>
        </w:numPr>
        <w:ind w:firstLineChars="0"/>
        <w:contextualSpacing/>
        <w:rPr>
          <w:color w:val="000000"/>
          <w:szCs w:val="21"/>
          <w:highlight w:val="none"/>
        </w:rPr>
      </w:pPr>
      <w:r>
        <w:rPr>
          <w:rFonts w:hint="eastAsia"/>
          <w:color w:val="000000"/>
          <w:szCs w:val="21"/>
          <w:highlight w:val="none"/>
        </w:rPr>
        <w:t>履约</w:t>
      </w:r>
      <w:r>
        <w:rPr>
          <w:color w:val="000000"/>
          <w:szCs w:val="21"/>
          <w:highlight w:val="none"/>
        </w:rPr>
        <w:t>验收时间：</w:t>
      </w:r>
    </w:p>
    <w:p w14:paraId="286A7ABF">
      <w:pPr>
        <w:pStyle w:val="29"/>
        <w:ind w:left="420" w:leftChars="200" w:firstLine="0" w:firstLineChars="0"/>
        <w:contextualSpacing/>
        <w:rPr>
          <w:rFonts w:hint="eastAsia"/>
          <w:color w:val="000000"/>
          <w:szCs w:val="21"/>
          <w:highlight w:val="none"/>
        </w:rPr>
      </w:pPr>
      <w:r>
        <w:rPr>
          <w:highlight w:val="none"/>
        </w:rPr>
        <w:sym w:font="Wingdings 2" w:char="F052"/>
      </w:r>
      <w:r>
        <w:rPr>
          <w:rFonts w:hint="eastAsia" w:ascii="Times New Roman" w:hAnsi="Times New Roman"/>
          <w:color w:val="000000"/>
          <w:szCs w:val="21"/>
          <w:highlight w:val="none"/>
        </w:rPr>
        <w:t>乙方</w:t>
      </w:r>
      <w:r>
        <w:rPr>
          <w:rFonts w:ascii="Times New Roman" w:hAnsi="Times New Roman"/>
          <w:color w:val="000000"/>
          <w:szCs w:val="21"/>
          <w:highlight w:val="none"/>
        </w:rPr>
        <w:t>完成</w:t>
      </w:r>
      <w:r>
        <w:rPr>
          <w:rFonts w:hint="eastAsia" w:ascii="Times New Roman" w:hAnsi="Times New Roman"/>
          <w:color w:val="000000"/>
          <w:szCs w:val="21"/>
          <w:highlight w:val="none"/>
        </w:rPr>
        <w:t>全部交付</w:t>
      </w:r>
      <w:r>
        <w:rPr>
          <w:rFonts w:ascii="Times New Roman" w:hAnsi="Times New Roman"/>
          <w:color w:val="000000"/>
          <w:szCs w:val="21"/>
          <w:highlight w:val="none"/>
        </w:rPr>
        <w:t>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4CDE9BC0">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2" w:char="00A3"/>
      </w:r>
      <w:r>
        <w:rPr>
          <w:rFonts w:ascii="Times New Roman" w:hAnsi="Times New Roman"/>
          <w:color w:val="000000"/>
          <w:szCs w:val="21"/>
          <w:highlight w:val="none"/>
        </w:rPr>
        <w:t>服务期满且</w:t>
      </w:r>
      <w:r>
        <w:rPr>
          <w:rFonts w:hint="eastAsia" w:ascii="Times New Roman" w:hAnsi="Times New Roman"/>
          <w:color w:val="000000"/>
          <w:szCs w:val="21"/>
          <w:highlight w:val="none"/>
        </w:rPr>
        <w:t>乙方</w:t>
      </w:r>
      <w:r>
        <w:rPr>
          <w:rFonts w:ascii="Times New Roman" w:hAnsi="Times New Roman"/>
          <w:color w:val="000000"/>
          <w:szCs w:val="21"/>
          <w:highlight w:val="none"/>
        </w:rPr>
        <w:t>完成所有服务内容后X日内通知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71CEB236">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乙方</w:t>
      </w:r>
      <w:r>
        <w:rPr>
          <w:rFonts w:ascii="Times New Roman" w:hAnsi="Times New Roman"/>
          <w:color w:val="000000"/>
          <w:szCs w:val="21"/>
          <w:highlight w:val="none"/>
        </w:rPr>
        <w:t>完成每一阶段或轮次服务内容后X日内通知</w:t>
      </w:r>
      <w:r>
        <w:rPr>
          <w:rFonts w:hint="eastAsia" w:ascii="Times New Roman" w:hAnsi="Times New Roman"/>
          <w:color w:val="000000"/>
          <w:szCs w:val="21"/>
          <w:highlight w:val="none"/>
        </w:rPr>
        <w:t>甲方</w:t>
      </w:r>
      <w:r>
        <w:rPr>
          <w:rFonts w:ascii="Times New Roman" w:hAnsi="Times New Roman"/>
          <w:color w:val="000000"/>
          <w:szCs w:val="21"/>
          <w:highlight w:val="none"/>
        </w:rPr>
        <w:t>验收，</w:t>
      </w:r>
      <w:r>
        <w:rPr>
          <w:rFonts w:hint="eastAsia" w:ascii="Times New Roman" w:hAnsi="Times New Roman"/>
          <w:color w:val="000000"/>
          <w:szCs w:val="21"/>
          <w:highlight w:val="none"/>
        </w:rPr>
        <w:t>甲方</w:t>
      </w:r>
      <w:r>
        <w:rPr>
          <w:rFonts w:ascii="Times New Roman" w:hAnsi="Times New Roman"/>
          <w:color w:val="000000"/>
          <w:szCs w:val="21"/>
          <w:highlight w:val="none"/>
        </w:rPr>
        <w:t>接</w:t>
      </w:r>
      <w:r>
        <w:rPr>
          <w:rFonts w:hint="eastAsia" w:ascii="Times New Roman" w:hAnsi="Times New Roman"/>
          <w:color w:val="000000"/>
          <w:szCs w:val="21"/>
          <w:highlight w:val="none"/>
        </w:rPr>
        <w:t>乙方</w:t>
      </w:r>
      <w:r>
        <w:rPr>
          <w:rFonts w:ascii="Times New Roman" w:hAnsi="Times New Roman"/>
          <w:color w:val="000000"/>
          <w:szCs w:val="21"/>
          <w:highlight w:val="none"/>
        </w:rPr>
        <w:t>通知后X日内组织验收</w:t>
      </w:r>
    </w:p>
    <w:p w14:paraId="7778C478">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甲方</w:t>
      </w:r>
      <w:r>
        <w:rPr>
          <w:rFonts w:ascii="Times New Roman" w:hAnsi="Times New Roman"/>
          <w:color w:val="000000"/>
          <w:szCs w:val="21"/>
          <w:highlight w:val="none"/>
        </w:rPr>
        <w:t>完成考核后X日内组织验收</w:t>
      </w:r>
    </w:p>
    <w:p w14:paraId="1F6FDF8E">
      <w:pPr>
        <w:pStyle w:val="8"/>
        <w:spacing w:after="0"/>
        <w:ind w:left="420" w:leftChars="200" w:firstLine="0" w:firstLineChars="0"/>
        <w:contextualSpacing/>
        <w:rPr>
          <w:rFonts w:ascii="Times New Roman" w:hAnsi="Times New Roman"/>
          <w:color w:val="000000"/>
          <w:szCs w:val="21"/>
          <w:highlight w:val="none"/>
          <w:shd w:val="clear" w:color="auto" w:fill="FFFFFF"/>
        </w:rPr>
      </w:pPr>
      <w:r>
        <w:rPr>
          <w:rFonts w:ascii="Times New Roman" w:hAnsi="Times New Roman"/>
          <w:color w:val="000000"/>
          <w:szCs w:val="21"/>
          <w:highlight w:val="none"/>
        </w:rPr>
        <w:sym w:font="Wingdings" w:char="F0A8"/>
      </w:r>
      <w:r>
        <w:rPr>
          <w:rFonts w:ascii="Times New Roman" w:hAnsi="Times New Roman"/>
          <w:color w:val="000000"/>
          <w:szCs w:val="21"/>
          <w:highlight w:val="none"/>
        </w:rPr>
        <w:t xml:space="preserve">其它验收时间：            </w:t>
      </w:r>
    </w:p>
    <w:p w14:paraId="170357EE">
      <w:pPr>
        <w:pStyle w:val="29"/>
        <w:numPr>
          <w:ilvl w:val="0"/>
          <w:numId w:val="18"/>
        </w:numPr>
        <w:ind w:firstLineChars="0"/>
        <w:contextualSpacing/>
        <w:rPr>
          <w:szCs w:val="21"/>
          <w:highlight w:val="none"/>
        </w:rPr>
      </w:pPr>
      <w:r>
        <w:rPr>
          <w:rFonts w:hint="eastAsia"/>
          <w:szCs w:val="21"/>
          <w:highlight w:val="none"/>
        </w:rPr>
        <w:t xml:space="preserve">是否邀请本项目的其他供应商：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8A8372B">
      <w:pPr>
        <w:pStyle w:val="29"/>
        <w:numPr>
          <w:ilvl w:val="0"/>
          <w:numId w:val="18"/>
        </w:numPr>
        <w:ind w:firstLineChars="0"/>
        <w:contextualSpacing/>
        <w:rPr>
          <w:szCs w:val="21"/>
          <w:highlight w:val="none"/>
        </w:rPr>
      </w:pPr>
      <w:r>
        <w:rPr>
          <w:rFonts w:hint="eastAsia"/>
          <w:szCs w:val="21"/>
          <w:highlight w:val="none"/>
        </w:rPr>
        <w:t xml:space="preserve">是否邀请专家：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28CAD53">
      <w:pPr>
        <w:pStyle w:val="29"/>
        <w:numPr>
          <w:ilvl w:val="0"/>
          <w:numId w:val="18"/>
        </w:numPr>
        <w:ind w:firstLineChars="0"/>
        <w:contextualSpacing/>
        <w:rPr>
          <w:szCs w:val="21"/>
          <w:highlight w:val="none"/>
        </w:rPr>
      </w:pPr>
      <w:r>
        <w:rPr>
          <w:rFonts w:hint="eastAsia"/>
          <w:szCs w:val="21"/>
          <w:highlight w:val="none"/>
        </w:rPr>
        <w:t xml:space="preserve">是否邀请服务对象：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6A205296">
      <w:pPr>
        <w:pStyle w:val="29"/>
        <w:numPr>
          <w:ilvl w:val="0"/>
          <w:numId w:val="18"/>
        </w:numPr>
        <w:ind w:firstLineChars="0"/>
        <w:contextualSpacing/>
        <w:rPr>
          <w:szCs w:val="21"/>
          <w:highlight w:val="none"/>
        </w:rPr>
      </w:pPr>
      <w:r>
        <w:rPr>
          <w:szCs w:val="21"/>
          <w:highlight w:val="none"/>
        </w:rPr>
        <w:t>是否</w:t>
      </w:r>
      <w:r>
        <w:rPr>
          <w:rFonts w:hint="eastAsia"/>
          <w:szCs w:val="21"/>
          <w:highlight w:val="none"/>
        </w:rPr>
        <w:t>邀请</w:t>
      </w:r>
      <w:r>
        <w:rPr>
          <w:szCs w:val="21"/>
          <w:highlight w:val="none"/>
        </w:rPr>
        <w:t>第三方检测机构：</w:t>
      </w:r>
      <w:r>
        <w:rPr>
          <w:kern w:val="0"/>
          <w:highlight w:val="none"/>
          <w:shd w:val="clear" w:color="auto" w:fill="FFFFFF"/>
        </w:rPr>
        <w:t xml:space="preserve"> </w:t>
      </w:r>
      <w:r>
        <w:rPr>
          <w:kern w:val="0"/>
          <w:highlight w:val="none"/>
          <w:shd w:val="clear" w:color="auto" w:fill="FFFFFF"/>
        </w:rPr>
        <w:sym w:font="Wingdings" w:char="F0A8"/>
      </w:r>
      <w:r>
        <w:rPr>
          <w:szCs w:val="21"/>
          <w:highlight w:val="none"/>
          <w:shd w:val="clear" w:color="auto" w:fill="FFFFFF"/>
        </w:rPr>
        <w:t xml:space="preserve">是   </w:t>
      </w:r>
      <w:r>
        <w:rPr>
          <w:kern w:val="0"/>
          <w:highlight w:val="none"/>
        </w:rPr>
        <w:sym w:font="Wingdings 2" w:char="F052"/>
      </w:r>
      <w:r>
        <w:rPr>
          <w:szCs w:val="21"/>
          <w:highlight w:val="none"/>
          <w:shd w:val="clear" w:color="auto" w:fill="FFFFFF"/>
        </w:rPr>
        <w:t>否</w:t>
      </w:r>
    </w:p>
    <w:p w14:paraId="4EA3965F">
      <w:pPr>
        <w:pStyle w:val="29"/>
        <w:numPr>
          <w:ilvl w:val="0"/>
          <w:numId w:val="18"/>
        </w:numPr>
        <w:ind w:firstLineChars="0"/>
        <w:contextualSpacing/>
        <w:rPr>
          <w:szCs w:val="21"/>
          <w:highlight w:val="none"/>
        </w:rPr>
      </w:pPr>
      <w:r>
        <w:rPr>
          <w:szCs w:val="21"/>
          <w:highlight w:val="none"/>
        </w:rPr>
        <w:t>验收标准：</w:t>
      </w:r>
    </w:p>
    <w:p w14:paraId="6E16E55F">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shd w:val="clear" w:color="auto" w:fill="FFFFFF"/>
        </w:rPr>
        <w:t>国家相关法律法规、行业标准、技术规范。</w:t>
      </w:r>
    </w:p>
    <w:p w14:paraId="45DD5B1B">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甲方采购</w:t>
      </w:r>
      <w:r>
        <w:rPr>
          <w:rFonts w:ascii="Times New Roman" w:hAnsi="Times New Roman"/>
          <w:szCs w:val="21"/>
          <w:highlight w:val="none"/>
        </w:rPr>
        <w:t>文件相关技术、服务要求、</w:t>
      </w:r>
      <w:r>
        <w:rPr>
          <w:rFonts w:hint="eastAsia" w:ascii="Times New Roman" w:hAnsi="Times New Roman"/>
          <w:szCs w:val="21"/>
          <w:highlight w:val="none"/>
        </w:rPr>
        <w:t>乙方响应</w:t>
      </w:r>
      <w:r>
        <w:rPr>
          <w:rFonts w:ascii="Times New Roman" w:hAnsi="Times New Roman"/>
          <w:szCs w:val="21"/>
          <w:highlight w:val="none"/>
        </w:rPr>
        <w:t>文件相关响应内容。</w:t>
      </w:r>
    </w:p>
    <w:p w14:paraId="05CB9E6F">
      <w:pPr>
        <w:pStyle w:val="8"/>
        <w:numPr>
          <w:ilvl w:val="0"/>
          <w:numId w:val="19"/>
        </w:numPr>
        <w:spacing w:after="0"/>
        <w:ind w:firstLineChars="0"/>
        <w:contextualSpacing/>
        <w:rPr>
          <w:rFonts w:hint="eastAsia" w:ascii="Times New Roman" w:hAnsi="Times New Roman"/>
          <w:szCs w:val="21"/>
          <w:highlight w:val="none"/>
        </w:rPr>
      </w:pPr>
      <w:r>
        <w:rPr>
          <w:rFonts w:hint="eastAsia" w:ascii="Times New Roman" w:hAnsi="Times New Roman"/>
          <w:szCs w:val="21"/>
          <w:highlight w:val="none"/>
        </w:rPr>
        <w:t>产品生产厂家出具的产品说明书、技术白皮书等官方技术资料（如涉及）。</w:t>
      </w:r>
    </w:p>
    <w:p w14:paraId="7F1FA2BC">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如验收时，</w:t>
      </w:r>
      <w:r>
        <w:rPr>
          <w:rFonts w:hint="eastAsia" w:ascii="Times New Roman" w:hAnsi="Times New Roman"/>
          <w:szCs w:val="21"/>
          <w:highlight w:val="none"/>
        </w:rPr>
        <w:t>甲方</w:t>
      </w:r>
      <w:r>
        <w:rPr>
          <w:rFonts w:ascii="Times New Roman" w:hAnsi="Times New Roman"/>
          <w:szCs w:val="21"/>
          <w:highlight w:val="none"/>
        </w:rPr>
        <w:t>与</w:t>
      </w:r>
      <w:r>
        <w:rPr>
          <w:rFonts w:hint="eastAsia" w:ascii="Times New Roman" w:hAnsi="Times New Roman"/>
          <w:szCs w:val="21"/>
          <w:highlight w:val="none"/>
        </w:rPr>
        <w:t>乙方</w:t>
      </w:r>
      <w:r>
        <w:rPr>
          <w:rFonts w:ascii="Times New Roman" w:hAnsi="Times New Roman"/>
          <w:szCs w:val="21"/>
          <w:highlight w:val="none"/>
        </w:rPr>
        <w:t>认为本项目验收标准中的技术指标、质量要求等内容存在相互抵触或对其理解存在异议，应按照其中更严格的要求、标准等进行验收。</w:t>
      </w:r>
    </w:p>
    <w:p w14:paraId="5198E7D7">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参照</w:t>
      </w:r>
      <w:r>
        <w:rPr>
          <w:rFonts w:ascii="Times New Roman" w:hAnsi="Times New Roman"/>
          <w:szCs w:val="21"/>
          <w:highlight w:val="none"/>
        </w:rPr>
        <w:t>《财政部关于进一步加强政府采购需求和履约验收管理的指导意见》（财库〔2016〕205号）的要求进行验收。</w:t>
      </w:r>
    </w:p>
    <w:p w14:paraId="26A8523B">
      <w:pPr>
        <w:pStyle w:val="8"/>
        <w:numPr>
          <w:ilvl w:val="0"/>
          <w:numId w:val="19"/>
        </w:numPr>
        <w:spacing w:after="0"/>
        <w:ind w:firstLineChars="0"/>
        <w:contextualSpacing/>
        <w:rPr>
          <w:rFonts w:ascii="Times New Roman" w:hAnsi="Times New Roman"/>
          <w:szCs w:val="21"/>
          <w:highlight w:val="none"/>
        </w:rPr>
      </w:pPr>
      <w:r>
        <w:rPr>
          <w:rFonts w:ascii="Times New Roman" w:hAnsi="Times New Roman"/>
          <w:szCs w:val="21"/>
          <w:highlight w:val="none"/>
        </w:rPr>
        <w:t>如本项目验收方式为考核验收，则考核结果须为合格。</w:t>
      </w:r>
    </w:p>
    <w:p w14:paraId="0150C4E3">
      <w:pPr>
        <w:pStyle w:val="8"/>
        <w:numPr>
          <w:ilvl w:val="0"/>
          <w:numId w:val="19"/>
        </w:numPr>
        <w:spacing w:after="0"/>
        <w:ind w:firstLineChars="0"/>
        <w:contextualSpacing/>
        <w:rPr>
          <w:rFonts w:ascii="Times New Roman" w:hAnsi="Times New Roman"/>
          <w:szCs w:val="21"/>
          <w:highlight w:val="none"/>
        </w:rPr>
      </w:pPr>
      <w:r>
        <w:rPr>
          <w:rFonts w:hint="eastAsia" w:ascii="Times New Roman" w:hAnsi="Times New Roman"/>
          <w:szCs w:val="21"/>
          <w:highlight w:val="none"/>
        </w:rPr>
        <w:t>其它标准：</w:t>
      </w:r>
      <w:r>
        <w:rPr>
          <w:rFonts w:hint="eastAsia" w:ascii="Times New Roman" w:hAnsi="Times New Roman"/>
          <w:szCs w:val="21"/>
          <w:highlight w:val="none"/>
          <w:u w:val="single"/>
        </w:rPr>
        <w:t>无。</w:t>
      </w:r>
    </w:p>
    <w:p w14:paraId="31344303">
      <w:pPr>
        <w:pStyle w:val="29"/>
        <w:numPr>
          <w:ilvl w:val="0"/>
          <w:numId w:val="18"/>
        </w:numPr>
        <w:ind w:firstLineChars="0"/>
        <w:contextualSpacing/>
        <w:rPr>
          <w:szCs w:val="21"/>
          <w:highlight w:val="none"/>
        </w:rPr>
      </w:pPr>
      <w:r>
        <w:rPr>
          <w:szCs w:val="21"/>
          <w:highlight w:val="none"/>
        </w:rPr>
        <w:t>其它验收要求：</w:t>
      </w:r>
      <w:r>
        <w:rPr>
          <w:color w:val="000000"/>
          <w:kern w:val="0"/>
          <w:szCs w:val="21"/>
          <w:highlight w:val="none"/>
          <w:u w:val="single"/>
        </w:rPr>
        <w:t>无</w:t>
      </w:r>
      <w:r>
        <w:rPr>
          <w:i/>
          <w:iCs/>
          <w:color w:val="000000"/>
          <w:kern w:val="0"/>
          <w:szCs w:val="21"/>
          <w:highlight w:val="none"/>
        </w:rPr>
        <w:t>&lt;如有请填写&gt;</w:t>
      </w:r>
    </w:p>
    <w:p w14:paraId="19C47D0D">
      <w:pPr>
        <w:pStyle w:val="29"/>
        <w:numPr>
          <w:ilvl w:val="0"/>
          <w:numId w:val="17"/>
        </w:numPr>
        <w:ind w:left="0" w:firstLine="0" w:firstLineChars="0"/>
        <w:contextualSpacing/>
        <w:rPr>
          <w:rFonts w:ascii="Times New Roman" w:hAnsi="Times New Roman"/>
          <w:szCs w:val="21"/>
          <w:highlight w:val="none"/>
        </w:rPr>
      </w:pPr>
      <w:r>
        <w:rPr>
          <w:rFonts w:hint="eastAsia" w:ascii="Times New Roman" w:hAnsi="Times New Roman"/>
          <w:szCs w:val="21"/>
          <w:highlight w:val="none"/>
        </w:rPr>
        <w:t>乙方按照本合同向甲方交付的软件：</w:t>
      </w:r>
      <w:bookmarkStart w:id="97" w:name="OLE_LINK3"/>
      <w:r>
        <w:rPr>
          <w:rFonts w:hint="eastAsia" w:ascii="Times New Roman" w:hAnsi="Times New Roman"/>
          <w:i/>
          <w:iCs/>
          <w:color w:val="000000"/>
          <w:szCs w:val="21"/>
          <w:highlight w:val="none"/>
        </w:rPr>
        <w:t>&lt;根据项目实际情况选择</w:t>
      </w:r>
      <w:bookmarkEnd w:id="97"/>
      <w:r>
        <w:rPr>
          <w:rFonts w:hint="eastAsia" w:ascii="Times New Roman" w:hAnsi="Times New Roman"/>
          <w:i/>
          <w:iCs/>
          <w:color w:val="000000"/>
          <w:szCs w:val="21"/>
          <w:highlight w:val="none"/>
        </w:rPr>
        <w:t>&gt;</w:t>
      </w:r>
    </w:p>
    <w:p w14:paraId="4B98FDB6">
      <w:pPr>
        <w:pStyle w:val="29"/>
        <w:ind w:left="315" w:leftChars="150" w:firstLine="0" w:firstLineChars="0"/>
        <w:rPr>
          <w:rFonts w:ascii="Times New Roman" w:hAnsi="Times New Roman"/>
          <w:szCs w:val="21"/>
          <w:highlight w:val="none"/>
          <w:u w:val="single"/>
        </w:rPr>
      </w:pPr>
      <w:r>
        <w:rPr>
          <w:rFonts w:hint="eastAsia" w:ascii="Times New Roman" w:hAnsi="Times New Roman"/>
          <w:szCs w:val="21"/>
          <w:highlight w:val="none"/>
        </w:rPr>
        <w:sym w:font="Wingdings 2" w:char="00A3"/>
      </w:r>
      <w:r>
        <w:rPr>
          <w:rFonts w:hint="eastAsia" w:ascii="Times New Roman" w:hAnsi="Times New Roman"/>
          <w:szCs w:val="21"/>
          <w:highlight w:val="none"/>
          <w:u w:val="single"/>
        </w:rPr>
        <w:t>有试运行期</w:t>
      </w:r>
      <w:r>
        <w:rPr>
          <w:rFonts w:hint="eastAsia" w:ascii="Times New Roman" w:hAnsi="Times New Roman"/>
          <w:szCs w:val="21"/>
          <w:highlight w:val="none"/>
        </w:rPr>
        <w:t>，试运行期为*</w:t>
      </w:r>
      <w:r>
        <w:rPr>
          <w:rFonts w:ascii="Times New Roman" w:hAnsi="Times New Roman"/>
          <w:szCs w:val="21"/>
          <w:highlight w:val="none"/>
        </w:rPr>
        <w:t>**</w:t>
      </w:r>
      <w:r>
        <w:rPr>
          <w:rFonts w:hint="eastAsia" w:ascii="Times New Roman" w:hAnsi="Times New Roman"/>
          <w:szCs w:val="21"/>
          <w:highlight w:val="none"/>
        </w:rPr>
        <w:t>，</w:t>
      </w:r>
      <w:r>
        <w:rPr>
          <w:rFonts w:ascii="Times New Roman" w:hAnsi="Times New Roman"/>
          <w:szCs w:val="21"/>
          <w:highlight w:val="none"/>
        </w:rPr>
        <w:t>试运行期间，如发现软件有缺陷，或性能和质量不</w:t>
      </w:r>
      <w:r>
        <w:rPr>
          <w:rFonts w:hint="eastAsia" w:ascii="Times New Roman" w:hAnsi="Times New Roman"/>
          <w:szCs w:val="21"/>
          <w:highlight w:val="none"/>
        </w:rPr>
        <w:t>符合本项目</w:t>
      </w:r>
      <w:r>
        <w:rPr>
          <w:rFonts w:ascii="Times New Roman" w:hAnsi="Times New Roman"/>
          <w:szCs w:val="21"/>
          <w:highlight w:val="none"/>
        </w:rPr>
        <w:t>要求</w:t>
      </w:r>
      <w:r>
        <w:rPr>
          <w:rFonts w:hint="eastAsia" w:ascii="Times New Roman" w:hAnsi="Times New Roman"/>
          <w:szCs w:val="21"/>
          <w:highlight w:val="none"/>
        </w:rPr>
        <w:t>时</w:t>
      </w:r>
      <w:r>
        <w:rPr>
          <w:rFonts w:ascii="Times New Roman" w:hAnsi="Times New Roman"/>
          <w:szCs w:val="21"/>
          <w:highlight w:val="none"/>
        </w:rPr>
        <w:t>，</w:t>
      </w:r>
      <w:r>
        <w:rPr>
          <w:rFonts w:hint="eastAsia" w:ascii="Times New Roman" w:hAnsi="Times New Roman"/>
          <w:szCs w:val="21"/>
          <w:highlight w:val="none"/>
        </w:rPr>
        <w:t>乙方须对相关问题进行修改和更正，同时试运行期时限按照上述修改、更正期进行相应顺延。</w:t>
      </w:r>
    </w:p>
    <w:p w14:paraId="6C0C92DD">
      <w:pPr>
        <w:pStyle w:val="29"/>
        <w:ind w:left="315" w:leftChars="150" w:firstLine="0" w:firstLineChars="0"/>
        <w:rPr>
          <w:rFonts w:hint="eastAsia" w:ascii="Times New Roman" w:hAnsi="Times New Roman"/>
          <w:szCs w:val="21"/>
          <w:highlight w:val="none"/>
        </w:rPr>
      </w:pPr>
      <w:r>
        <w:rPr>
          <w:rFonts w:hint="eastAsia" w:ascii="Times New Roman" w:hAnsi="Times New Roman"/>
          <w:szCs w:val="21"/>
          <w:highlight w:val="none"/>
        </w:rPr>
        <w:sym w:font="Wingdings 2" w:char="0052"/>
      </w:r>
      <w:r>
        <w:rPr>
          <w:rFonts w:hint="eastAsia" w:ascii="Times New Roman" w:hAnsi="Times New Roman"/>
          <w:szCs w:val="21"/>
          <w:highlight w:val="none"/>
          <w:u w:val="single"/>
        </w:rPr>
        <w:t>无试运行期</w:t>
      </w:r>
    </w:p>
    <w:p w14:paraId="63578A7E">
      <w:pPr>
        <w:pStyle w:val="29"/>
        <w:numPr>
          <w:ilvl w:val="0"/>
          <w:numId w:val="17"/>
        </w:numPr>
        <w:ind w:left="0" w:firstLine="0" w:firstLineChars="0"/>
        <w:rPr>
          <w:rFonts w:ascii="Times New Roman" w:hAnsi="Times New Roman"/>
          <w:szCs w:val="21"/>
          <w:highlight w:val="none"/>
        </w:rPr>
      </w:pPr>
      <w:r>
        <w:rPr>
          <w:rFonts w:hint="eastAsia" w:ascii="Times New Roman" w:hAnsi="Times New Roman"/>
          <w:szCs w:val="21"/>
          <w:highlight w:val="none"/>
        </w:rPr>
        <w:t>若验收交付内容涉及试运行的，经试运行达到设计使用要求、技术质量标准并经甲方认可后视为验收通过。</w:t>
      </w:r>
    </w:p>
    <w:p w14:paraId="4DB30FC3">
      <w:pPr>
        <w:pStyle w:val="29"/>
        <w:numPr>
          <w:ilvl w:val="0"/>
          <w:numId w:val="17"/>
        </w:numPr>
        <w:ind w:left="0" w:firstLine="0" w:firstLineChars="0"/>
        <w:rPr>
          <w:rFonts w:ascii="Times New Roman" w:hAnsi="Times New Roman"/>
          <w:szCs w:val="21"/>
          <w:highlight w:val="none"/>
        </w:rPr>
      </w:pPr>
      <w:r>
        <w:rPr>
          <w:rFonts w:ascii="Times New Roman" w:hAnsi="Times New Roman"/>
          <w:szCs w:val="21"/>
          <w:highlight w:val="none"/>
        </w:rPr>
        <w:t>如验收合格，双方签署验收报告</w:t>
      </w:r>
      <w:r>
        <w:rPr>
          <w:rFonts w:hint="eastAsia" w:ascii="Times New Roman" w:hAnsi="Times New Roman"/>
          <w:szCs w:val="21"/>
          <w:highlight w:val="none"/>
        </w:rPr>
        <w:t>；</w:t>
      </w:r>
      <w:r>
        <w:rPr>
          <w:rFonts w:ascii="Times New Roman" w:hAnsi="Times New Roman"/>
          <w:szCs w:val="21"/>
          <w:highlight w:val="none"/>
        </w:rPr>
        <w:t>如</w:t>
      </w:r>
      <w:r>
        <w:rPr>
          <w:rFonts w:hint="eastAsia" w:ascii="Times New Roman" w:hAnsi="Times New Roman"/>
          <w:szCs w:val="21"/>
          <w:highlight w:val="none"/>
        </w:rPr>
        <w:t>验收不合格</w:t>
      </w:r>
      <w:r>
        <w:rPr>
          <w:rFonts w:ascii="Times New Roman" w:hAnsi="Times New Roman"/>
          <w:szCs w:val="21"/>
          <w:highlight w:val="none"/>
        </w:rPr>
        <w:t>，甲方应</w:t>
      </w:r>
      <w:r>
        <w:rPr>
          <w:rFonts w:hint="eastAsia" w:ascii="Times New Roman" w:hAnsi="Times New Roman"/>
          <w:szCs w:val="21"/>
          <w:highlight w:val="none"/>
        </w:rPr>
        <w:t>进行</w:t>
      </w:r>
      <w:r>
        <w:rPr>
          <w:rFonts w:ascii="Times New Roman" w:hAnsi="Times New Roman"/>
          <w:szCs w:val="21"/>
          <w:highlight w:val="none"/>
        </w:rPr>
        <w:t>详尽的</w:t>
      </w:r>
      <w:r>
        <w:rPr>
          <w:rFonts w:hint="eastAsia" w:ascii="Times New Roman" w:hAnsi="Times New Roman"/>
          <w:szCs w:val="21"/>
          <w:highlight w:val="none"/>
        </w:rPr>
        <w:t>现场</w:t>
      </w:r>
      <w:r>
        <w:rPr>
          <w:rFonts w:ascii="Times New Roman" w:hAnsi="Times New Roman"/>
          <w:szCs w:val="21"/>
          <w:highlight w:val="none"/>
        </w:rPr>
        <w:t>记录，或由甲乙双方签署备忘录，此现场记录或备忘录可用作</w:t>
      </w:r>
      <w:r>
        <w:rPr>
          <w:rFonts w:hint="eastAsia" w:ascii="Times New Roman" w:hAnsi="Times New Roman"/>
          <w:szCs w:val="21"/>
          <w:highlight w:val="none"/>
        </w:rPr>
        <w:t>修改和更正相关问题</w:t>
      </w:r>
      <w:r>
        <w:rPr>
          <w:rFonts w:ascii="Times New Roman" w:hAnsi="Times New Roman"/>
          <w:szCs w:val="21"/>
          <w:highlight w:val="none"/>
        </w:rPr>
        <w:t>的有效证据，由此产生的时间延误与</w:t>
      </w:r>
      <w:r>
        <w:rPr>
          <w:rFonts w:hint="eastAsia" w:ascii="Times New Roman" w:hAnsi="Times New Roman"/>
          <w:szCs w:val="21"/>
          <w:highlight w:val="none"/>
        </w:rPr>
        <w:t>经济损失</w:t>
      </w:r>
      <w:r>
        <w:rPr>
          <w:rFonts w:ascii="Times New Roman" w:hAnsi="Times New Roman"/>
          <w:szCs w:val="21"/>
          <w:highlight w:val="none"/>
        </w:rPr>
        <w:t>由乙方承担，验收期限相应顺延</w:t>
      </w:r>
      <w:r>
        <w:rPr>
          <w:rFonts w:hint="eastAsia" w:ascii="Times New Roman" w:hAnsi="Times New Roman"/>
          <w:szCs w:val="21"/>
          <w:highlight w:val="none"/>
        </w:rPr>
        <w:t>，且</w:t>
      </w:r>
      <w:r>
        <w:rPr>
          <w:rFonts w:ascii="Times New Roman" w:hAnsi="Times New Roman"/>
          <w:szCs w:val="21"/>
          <w:highlight w:val="none"/>
        </w:rPr>
        <w:t>甲方有权拒绝签署验收报告，</w:t>
      </w:r>
      <w:r>
        <w:rPr>
          <w:rFonts w:hint="eastAsia" w:ascii="Times New Roman" w:hAnsi="Times New Roman"/>
          <w:szCs w:val="21"/>
          <w:highlight w:val="none"/>
        </w:rPr>
        <w:t>并</w:t>
      </w:r>
      <w:r>
        <w:rPr>
          <w:rFonts w:ascii="Times New Roman" w:hAnsi="Times New Roman"/>
          <w:szCs w:val="21"/>
          <w:highlight w:val="none"/>
        </w:rPr>
        <w:t>要求乙方无条件</w:t>
      </w:r>
      <w:r>
        <w:rPr>
          <w:rFonts w:hint="eastAsia" w:ascii="Times New Roman" w:hAnsi="Times New Roman"/>
          <w:szCs w:val="21"/>
          <w:highlight w:val="none"/>
        </w:rPr>
        <w:t>修改和更正</w:t>
      </w:r>
      <w:r>
        <w:rPr>
          <w:rFonts w:ascii="Times New Roman" w:hAnsi="Times New Roman"/>
          <w:szCs w:val="21"/>
          <w:highlight w:val="none"/>
        </w:rPr>
        <w:t>，</w:t>
      </w:r>
      <w:r>
        <w:rPr>
          <w:rFonts w:hint="eastAsia" w:ascii="Times New Roman" w:hAnsi="Times New Roman"/>
          <w:szCs w:val="21"/>
          <w:highlight w:val="none"/>
        </w:rPr>
        <w:t>而后进行再次验收，乙方应承担因此额外产生的全部费用。如果仍不合格，甲方有权终止本合同并视作乙方不能交付而须支付合同总价10</w:t>
      </w:r>
      <w:r>
        <w:rPr>
          <w:rFonts w:ascii="Times New Roman" w:hAnsi="Times New Roman"/>
          <w:szCs w:val="21"/>
          <w:highlight w:val="none"/>
        </w:rPr>
        <w:t>%的</w:t>
      </w:r>
      <w:r>
        <w:rPr>
          <w:rFonts w:hint="eastAsia" w:ascii="Times New Roman" w:hAnsi="Times New Roman"/>
          <w:szCs w:val="21"/>
          <w:highlight w:val="none"/>
        </w:rPr>
        <w:t>违约金给甲方，违约金不能弥补甲方损失的，乙方应全额赔偿。</w:t>
      </w:r>
    </w:p>
    <w:p w14:paraId="34886CB7">
      <w:pPr>
        <w:pStyle w:val="29"/>
        <w:numPr>
          <w:ilvl w:val="0"/>
          <w:numId w:val="12"/>
        </w:numPr>
        <w:snapToGrid w:val="0"/>
        <w:ind w:firstLineChars="0"/>
        <w:rPr>
          <w:rFonts w:hint="eastAsia" w:ascii="Times New Roman" w:hAnsi="Times New Roman"/>
          <w:b/>
          <w:bCs/>
          <w:szCs w:val="21"/>
          <w:highlight w:val="none"/>
        </w:rPr>
      </w:pPr>
      <w:r>
        <w:rPr>
          <w:rFonts w:ascii="Times New Roman" w:hAnsi="Times New Roman"/>
          <w:b/>
          <w:bCs/>
          <w:szCs w:val="21"/>
          <w:highlight w:val="none"/>
        </w:rPr>
        <w:t>知识产权</w:t>
      </w:r>
      <w:r>
        <w:rPr>
          <w:rFonts w:hint="eastAsia" w:ascii="Times New Roman" w:hAnsi="Times New Roman"/>
          <w:b/>
          <w:bCs/>
          <w:szCs w:val="21"/>
          <w:highlight w:val="none"/>
        </w:rPr>
        <w:t>及保密</w:t>
      </w:r>
    </w:p>
    <w:p w14:paraId="2F7AF8FB">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甲、乙双方确定，因履行本合同所产生的开发成果及其相关知识产权归属</w:t>
      </w:r>
      <w:r>
        <w:rPr>
          <w:rFonts w:hint="eastAsia" w:ascii="Times New Roman" w:hAnsi="Times New Roman"/>
          <w:szCs w:val="21"/>
          <w:highlight w:val="none"/>
          <w:u w:val="single"/>
        </w:rPr>
        <w:t>甲方所有</w:t>
      </w:r>
      <w:r>
        <w:rPr>
          <w:rFonts w:hint="eastAsia" w:ascii="Times New Roman" w:hAnsi="Times New Roman"/>
          <w:szCs w:val="21"/>
          <w:highlight w:val="none"/>
        </w:rPr>
        <w:t>。</w:t>
      </w:r>
    </w:p>
    <w:p w14:paraId="156AB6DC">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乙方不得在向甲方交付开发成果之前，自行将开发成果转让给第三方。</w:t>
      </w:r>
    </w:p>
    <w:p w14:paraId="7C86DFE0">
      <w:pPr>
        <w:pStyle w:val="29"/>
        <w:numPr>
          <w:ilvl w:val="0"/>
          <w:numId w:val="20"/>
        </w:numPr>
        <w:ind w:left="0" w:firstLine="0" w:firstLineChars="0"/>
        <w:rPr>
          <w:rFonts w:hint="eastAsia" w:ascii="Times New Roman" w:hAnsi="Times New Roman"/>
          <w:szCs w:val="21"/>
          <w:highlight w:val="none"/>
        </w:rPr>
      </w:pPr>
      <w:r>
        <w:rPr>
          <w:rFonts w:hint="eastAsia" w:ascii="Times New Roman" w:hAnsi="Times New Roman"/>
          <w:szCs w:val="21"/>
          <w:highlight w:val="none"/>
        </w:rPr>
        <w:t>乙方须保证，对于其提供的软件系统拥有知识产权或已获得权利人的授权，甲方无需另行支付任何费用。本项目使用乙方提供的软件不会侵犯第三方的合法权益，否则乙方应当负责处理索赔或涉诉等各项事宜，造成甲方损失的，乙方还应当承担赔偿责任。</w:t>
      </w:r>
    </w:p>
    <w:p w14:paraId="62FC368A">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甲、乙双方确定，甲方有权利用乙方按照本合同约定提供的产品，进行后续改进，由此产生的具有实质性或创造性技术进步特征的新的技术成果及其权利归属，由甲方享有。</w:t>
      </w:r>
    </w:p>
    <w:p w14:paraId="79A0F926">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甲、乙双方确定，本合同价格已</w:t>
      </w:r>
      <w:r>
        <w:rPr>
          <w:rFonts w:ascii="Times New Roman" w:hAnsi="Times New Roman"/>
          <w:szCs w:val="21"/>
          <w:highlight w:val="none"/>
        </w:rPr>
        <w:t>包含向</w:t>
      </w:r>
      <w:r>
        <w:rPr>
          <w:rFonts w:hint="eastAsia" w:ascii="Times New Roman" w:hAnsi="Times New Roman"/>
          <w:szCs w:val="21"/>
          <w:highlight w:val="none"/>
        </w:rPr>
        <w:t>本合同涉及的相关</w:t>
      </w:r>
      <w:r>
        <w:rPr>
          <w:rFonts w:ascii="Times New Roman" w:hAnsi="Times New Roman"/>
          <w:szCs w:val="21"/>
          <w:highlight w:val="none"/>
        </w:rPr>
        <w:t>所有权人支付的专利权、商标权或其他知识产权的有关费用及税费。</w:t>
      </w:r>
    </w:p>
    <w:p w14:paraId="3F294998">
      <w:pPr>
        <w:pStyle w:val="29"/>
        <w:numPr>
          <w:ilvl w:val="0"/>
          <w:numId w:val="20"/>
        </w:numPr>
        <w:ind w:left="0" w:firstLine="0" w:firstLineChars="0"/>
        <w:rPr>
          <w:rFonts w:ascii="Times New Roman" w:hAnsi="Times New Roman"/>
          <w:szCs w:val="21"/>
          <w:highlight w:val="none"/>
        </w:rPr>
      </w:pPr>
      <w:r>
        <w:rPr>
          <w:rFonts w:hint="eastAsia" w:ascii="Times New Roman" w:hAnsi="Times New Roman"/>
          <w:szCs w:val="21"/>
          <w:highlight w:val="none"/>
        </w:rPr>
        <w:t>甲乙双方均应对本合同内容，包括但不限于项目关键技术、实施方案等予以保密，非经双方一致同意，任何一方不得将协议内容泄露、提供给第三方或用作其他不正当用途。</w:t>
      </w:r>
    </w:p>
    <w:p w14:paraId="42C2BF4C">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付款方式</w:t>
      </w:r>
    </w:p>
    <w:p w14:paraId="08E40771">
      <w:pPr>
        <w:pStyle w:val="29"/>
        <w:numPr>
          <w:ilvl w:val="0"/>
          <w:numId w:val="21"/>
        </w:numPr>
        <w:ind w:firstLineChars="0"/>
        <w:rPr>
          <w:rFonts w:ascii="Times New Roman" w:hAnsi="Times New Roman"/>
          <w:szCs w:val="21"/>
          <w:highlight w:val="none"/>
        </w:rPr>
      </w:pPr>
      <w:r>
        <w:rPr>
          <w:rFonts w:hint="eastAsia" w:ascii="Times New Roman" w:hAnsi="Times New Roman"/>
          <w:szCs w:val="21"/>
          <w:highlight w:val="none"/>
        </w:rPr>
        <w:t>履约保证金：</w:t>
      </w:r>
    </w:p>
    <w:p w14:paraId="31658C1F">
      <w:pPr>
        <w:pStyle w:val="8"/>
        <w:spacing w:after="0"/>
        <w:ind w:left="420" w:leftChars="200"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ascii="Times New Roman" w:hAnsi="Times New Roman"/>
          <w:color w:val="000000"/>
          <w:szCs w:val="21"/>
          <w:highlight w:val="none"/>
        </w:rPr>
        <w:t>乙方在合同签订生效之日起的***个工作日内，按合同总价***%支付履约保证金</w:t>
      </w:r>
      <w:r>
        <w:rPr>
          <w:rFonts w:hint="eastAsia" w:ascii="Times New Roman" w:hAnsi="Times New Roman"/>
          <w:color w:val="000000"/>
          <w:szCs w:val="21"/>
          <w:highlight w:val="none"/>
        </w:rPr>
        <w:t>；项目</w:t>
      </w:r>
      <w:r>
        <w:rPr>
          <w:rFonts w:ascii="Times New Roman" w:hAnsi="Times New Roman"/>
          <w:color w:val="000000"/>
          <w:szCs w:val="21"/>
          <w:highlight w:val="none"/>
        </w:rPr>
        <w:t>验收合格</w:t>
      </w:r>
      <w:r>
        <w:rPr>
          <w:rFonts w:hint="eastAsia" w:ascii="Times New Roman" w:hAnsi="Times New Roman"/>
          <w:color w:val="000000"/>
          <w:szCs w:val="21"/>
          <w:highlight w:val="none"/>
        </w:rPr>
        <w:t>且服务期结束</w:t>
      </w:r>
      <w:r>
        <w:rPr>
          <w:rFonts w:ascii="Times New Roman" w:hAnsi="Times New Roman"/>
          <w:color w:val="000000"/>
          <w:szCs w:val="21"/>
          <w:highlight w:val="none"/>
        </w:rPr>
        <w:t>之</w:t>
      </w:r>
      <w:r>
        <w:rPr>
          <w:rFonts w:hint="eastAsia" w:ascii="Times New Roman" w:hAnsi="Times New Roman"/>
          <w:color w:val="000000"/>
          <w:szCs w:val="21"/>
          <w:highlight w:val="none"/>
        </w:rPr>
        <w:t>后</w:t>
      </w:r>
      <w:r>
        <w:rPr>
          <w:rFonts w:ascii="Times New Roman" w:hAnsi="Times New Roman"/>
          <w:color w:val="000000"/>
          <w:szCs w:val="21"/>
          <w:highlight w:val="none"/>
        </w:rPr>
        <w:t>，</w:t>
      </w:r>
      <w:r>
        <w:rPr>
          <w:rFonts w:hint="eastAsia" w:ascii="宋体" w:hAnsi="宋体" w:cs="宋体"/>
          <w:szCs w:val="21"/>
          <w:highlight w:val="none"/>
        </w:rPr>
        <w:t>乙方向甲方提供合法有效票据及其他相关请款资料，甲方在</w:t>
      </w:r>
      <w:r>
        <w:rPr>
          <w:rFonts w:hint="eastAsia" w:ascii="宋体" w:hAnsi="宋体" w:cs="宋体"/>
          <w:szCs w:val="21"/>
          <w:highlight w:val="none"/>
          <w:u w:val="single"/>
        </w:rPr>
        <w:t xml:space="preserve"> 50 </w:t>
      </w:r>
      <w:r>
        <w:rPr>
          <w:rFonts w:hint="eastAsia" w:ascii="宋体" w:hAnsi="宋体" w:cs="宋体"/>
          <w:szCs w:val="21"/>
          <w:highlight w:val="none"/>
        </w:rPr>
        <w:t>工作日内将履约保证金扣减考核金额（如涉及考核）后一次性无息退还</w:t>
      </w:r>
      <w:r>
        <w:rPr>
          <w:rFonts w:hint="eastAsia" w:ascii="Times New Roman" w:hAnsi="Times New Roman"/>
          <w:color w:val="000000"/>
          <w:szCs w:val="21"/>
          <w:highlight w:val="none"/>
        </w:rPr>
        <w:t>；</w:t>
      </w:r>
      <w:r>
        <w:rPr>
          <w:rFonts w:ascii="Times New Roman" w:hAnsi="Times New Roman"/>
          <w:color w:val="000000"/>
          <w:szCs w:val="21"/>
          <w:highlight w:val="none"/>
        </w:rPr>
        <w:t>经验收</w:t>
      </w:r>
      <w:r>
        <w:rPr>
          <w:rFonts w:hint="eastAsia" w:ascii="Times New Roman" w:hAnsi="Times New Roman"/>
          <w:color w:val="000000"/>
          <w:szCs w:val="21"/>
          <w:highlight w:val="none"/>
        </w:rPr>
        <w:t>后</w:t>
      </w:r>
      <w:r>
        <w:rPr>
          <w:rFonts w:ascii="Times New Roman" w:hAnsi="Times New Roman"/>
          <w:color w:val="000000"/>
          <w:szCs w:val="21"/>
          <w:highlight w:val="none"/>
        </w:rPr>
        <w:t>乙方履约不合格的，履约保证金不予退还。</w:t>
      </w:r>
    </w:p>
    <w:p w14:paraId="5D7D4260">
      <w:pPr>
        <w:pStyle w:val="8"/>
        <w:spacing w:after="0"/>
        <w:ind w:left="420" w:leftChars="200"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本合同不涉及履约保证金。</w:t>
      </w:r>
    </w:p>
    <w:p w14:paraId="2FE0B5AD">
      <w:pPr>
        <w:pStyle w:val="29"/>
        <w:numPr>
          <w:ilvl w:val="0"/>
          <w:numId w:val="21"/>
        </w:numPr>
        <w:ind w:firstLineChars="0"/>
        <w:rPr>
          <w:rFonts w:ascii="Times New Roman" w:hAnsi="Times New Roman"/>
          <w:szCs w:val="21"/>
          <w:highlight w:val="none"/>
        </w:rPr>
      </w:pPr>
      <w:r>
        <w:rPr>
          <w:rFonts w:hint="eastAsia" w:ascii="Times New Roman" w:hAnsi="Times New Roman"/>
          <w:szCs w:val="21"/>
          <w:highlight w:val="none"/>
        </w:rPr>
        <w:t>本项目价款采用以下方式支付，以人民币结算：</w:t>
      </w:r>
    </w:p>
    <w:p w14:paraId="265BC6FC">
      <w:pPr>
        <w:pStyle w:val="8"/>
        <w:spacing w:after="0"/>
        <w:ind w:firstLine="0" w:firstLineChars="0"/>
        <w:contextualSpacing/>
        <w:rPr>
          <w:rFonts w:hint="eastAsia" w:ascii="Times New Roman" w:hAnsi="Times New Roman"/>
          <w:color w:val="000000"/>
          <w:szCs w:val="21"/>
          <w:highlight w:val="none"/>
        </w:rPr>
      </w:pPr>
      <w:r>
        <w:rPr>
          <w:rFonts w:ascii="Times New Roman" w:hAnsi="Times New Roman"/>
          <w:color w:val="000000"/>
          <w:szCs w:val="21"/>
          <w:highlight w:val="none"/>
        </w:rPr>
        <w:sym w:font="Wingdings 2" w:char="F052"/>
      </w:r>
      <w:r>
        <w:rPr>
          <w:rFonts w:hint="eastAsia" w:ascii="Times New Roman" w:hAnsi="Times New Roman"/>
          <w:color w:val="000000"/>
          <w:szCs w:val="21"/>
          <w:highlight w:val="none"/>
        </w:rPr>
        <w:t>一次性支付：甲方</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w:t>
      </w:r>
      <w:r>
        <w:rPr>
          <w:rFonts w:hint="eastAsia" w:ascii="宋体" w:hAnsi="宋体" w:cs="宋体"/>
          <w:szCs w:val="21"/>
          <w:highlight w:val="none"/>
        </w:rPr>
        <w:t>向乙方支付合同总价100%的金额</w:t>
      </w:r>
      <w:r>
        <w:rPr>
          <w:rFonts w:hint="eastAsia" w:ascii="Times New Roman" w:hAnsi="Times New Roman"/>
          <w:color w:val="000000"/>
          <w:szCs w:val="21"/>
          <w:highlight w:val="none"/>
        </w:rPr>
        <w:t>。</w:t>
      </w:r>
    </w:p>
    <w:p w14:paraId="54C52F72">
      <w:pPr>
        <w:pStyle w:val="8"/>
        <w:spacing w:after="0"/>
        <w:ind w:firstLine="0" w:firstLineChars="0"/>
        <w:contextualSpacing/>
        <w:rPr>
          <w:rFonts w:ascii="Times New Roman" w:hAnsi="Times New Roman"/>
          <w:color w:val="000000"/>
          <w:szCs w:val="21"/>
          <w:highlight w:val="none"/>
        </w:rPr>
      </w:pPr>
      <w:r>
        <w:rPr>
          <w:rFonts w:ascii="Times New Roman" w:hAnsi="Times New Roman"/>
          <w:color w:val="000000"/>
          <w:szCs w:val="21"/>
          <w:highlight w:val="none"/>
        </w:rPr>
        <w:sym w:font="Wingdings" w:char="F0A8"/>
      </w:r>
      <w:r>
        <w:rPr>
          <w:rFonts w:hint="eastAsia" w:ascii="Times New Roman" w:hAnsi="Times New Roman"/>
          <w:color w:val="000000"/>
          <w:szCs w:val="21"/>
          <w:highlight w:val="none"/>
        </w:rPr>
        <w:t>分阶段支付：</w:t>
      </w:r>
    </w:p>
    <w:p w14:paraId="4B9EA76F">
      <w:pPr>
        <w:pStyle w:val="8"/>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（1）</w:t>
      </w:r>
      <w:r>
        <w:rPr>
          <w:rFonts w:hint="eastAsia" w:ascii="宋体" w:hAnsi="宋体" w:cs="宋体"/>
          <w:szCs w:val="21"/>
          <w:highlight w:val="none"/>
        </w:rPr>
        <w:t>第一次付款：合同签订生效且</w:t>
      </w:r>
      <w:r>
        <w:rPr>
          <w:rFonts w:ascii="宋体" w:hAnsi="宋体" w:cs="宋体"/>
          <w:szCs w:val="21"/>
          <w:highlight w:val="none"/>
        </w:rPr>
        <w:t>项目验收通过后，</w:t>
      </w:r>
      <w:r>
        <w:rPr>
          <w:rFonts w:hint="eastAsia" w:ascii="宋体" w:hAnsi="宋体" w:cs="宋体"/>
          <w:szCs w:val="21"/>
          <w:highlight w:val="none"/>
        </w:rPr>
        <w:t>乙方</w:t>
      </w:r>
      <w:r>
        <w:rPr>
          <w:rFonts w:ascii="宋体" w:hAnsi="宋体" w:cs="宋体"/>
          <w:szCs w:val="21"/>
          <w:highlight w:val="none"/>
        </w:rPr>
        <w:t xml:space="preserve">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日内，向</w:t>
      </w:r>
      <w:r>
        <w:rPr>
          <w:rFonts w:hint="eastAsia" w:ascii="宋体" w:hAnsi="宋体" w:cs="宋体"/>
          <w:szCs w:val="21"/>
          <w:highlight w:val="none"/>
        </w:rPr>
        <w:t>乙方</w:t>
      </w:r>
      <w:r>
        <w:rPr>
          <w:rFonts w:ascii="宋体" w:hAnsi="宋体" w:cs="宋体"/>
          <w:szCs w:val="21"/>
          <w:highlight w:val="none"/>
        </w:rPr>
        <w:t xml:space="preserve">支付本次合同金额的 </w:t>
      </w:r>
      <w:r>
        <w:rPr>
          <w:rFonts w:hint="eastAsia" w:ascii="宋体" w:hAnsi="宋体" w:cs="宋体"/>
          <w:szCs w:val="21"/>
          <w:highlight w:val="none"/>
        </w:rPr>
        <w:t>80</w:t>
      </w:r>
      <w:r>
        <w:rPr>
          <w:rFonts w:ascii="宋体" w:hAnsi="宋体" w:cs="宋体"/>
          <w:szCs w:val="21"/>
          <w:highlight w:val="none"/>
        </w:rPr>
        <w:t>%</w:t>
      </w:r>
      <w:r>
        <w:rPr>
          <w:rFonts w:hint="eastAsia" w:ascii="Times New Roman" w:hAnsi="Times New Roman"/>
          <w:color w:val="000000"/>
          <w:szCs w:val="21"/>
          <w:highlight w:val="none"/>
        </w:rPr>
        <w:t>。</w:t>
      </w:r>
    </w:p>
    <w:p w14:paraId="389A3859">
      <w:pPr>
        <w:pStyle w:val="8"/>
        <w:spacing w:after="0"/>
        <w:ind w:left="840" w:leftChars="400" w:firstLine="0" w:firstLineChars="0"/>
        <w:contextualSpacing/>
        <w:jc w:val="left"/>
        <w:rPr>
          <w:rFonts w:ascii="Times New Roman" w:hAnsi="Times New Roman"/>
          <w:color w:val="000000"/>
          <w:szCs w:val="21"/>
          <w:highlight w:val="none"/>
        </w:rPr>
      </w:pPr>
      <w:r>
        <w:rPr>
          <w:rFonts w:hint="eastAsia" w:ascii="Times New Roman" w:hAnsi="Times New Roman"/>
          <w:color w:val="000000"/>
          <w:szCs w:val="21"/>
          <w:highlight w:val="none"/>
        </w:rPr>
        <w:t>（2）</w:t>
      </w:r>
      <w:r>
        <w:rPr>
          <w:rFonts w:hint="eastAsia" w:ascii="宋体" w:hAnsi="宋体" w:cs="宋体"/>
          <w:szCs w:val="21"/>
          <w:highlight w:val="none"/>
        </w:rPr>
        <w:t>第二次付款：服务期满后，乙方 5 日内向甲方提供合法有效票据及其他相关请款资料，甲方接到乙方请款资料以后</w:t>
      </w:r>
      <w:r>
        <w:rPr>
          <w:rFonts w:ascii="宋体" w:hAnsi="宋体" w:cs="宋体"/>
          <w:szCs w:val="21"/>
          <w:highlight w:val="none"/>
        </w:rPr>
        <w:t>的</w:t>
      </w:r>
      <w:r>
        <w:rPr>
          <w:rFonts w:hint="eastAsia" w:ascii="宋体" w:hAnsi="宋体" w:cs="宋体"/>
          <w:szCs w:val="21"/>
          <w:highlight w:val="none"/>
        </w:rPr>
        <w:t>90</w:t>
      </w:r>
      <w:r>
        <w:rPr>
          <w:rFonts w:ascii="宋体" w:hAnsi="宋体" w:cs="宋体"/>
          <w:szCs w:val="21"/>
          <w:highlight w:val="none"/>
        </w:rPr>
        <w:t>日内，</w:t>
      </w:r>
      <w:r>
        <w:rPr>
          <w:rFonts w:hint="eastAsia" w:ascii="宋体" w:hAnsi="宋体" w:cs="宋体"/>
          <w:szCs w:val="21"/>
          <w:highlight w:val="none"/>
        </w:rPr>
        <w:t>向乙方支付合同总价20%减去考核扣除金额（若有考核）</w:t>
      </w:r>
      <w:r>
        <w:rPr>
          <w:rFonts w:hint="eastAsia" w:ascii="Times New Roman" w:hAnsi="Times New Roman"/>
          <w:color w:val="000000"/>
          <w:szCs w:val="21"/>
          <w:highlight w:val="none"/>
        </w:rPr>
        <w:t>。</w:t>
      </w:r>
    </w:p>
    <w:p w14:paraId="13CF5142">
      <w:pPr>
        <w:pStyle w:val="8"/>
        <w:spacing w:after="0"/>
        <w:ind w:firstLine="0" w:firstLineChars="0"/>
        <w:contextualSpacing/>
        <w:jc w:val="left"/>
        <w:rPr>
          <w:rFonts w:ascii="Times New Roman" w:hAnsi="Times New Roman"/>
          <w:color w:val="000000"/>
          <w:szCs w:val="21"/>
          <w:highlight w:val="none"/>
        </w:rPr>
      </w:pPr>
      <w:r>
        <w:rPr>
          <w:rFonts w:ascii="Times New Roman" w:hAnsi="Times New Roman"/>
          <w:color w:val="000000"/>
          <w:szCs w:val="21"/>
          <w:highlight w:val="none"/>
        </w:rPr>
        <w:sym w:font="Wingdings" w:char="00A8"/>
      </w:r>
      <w:r>
        <w:rPr>
          <w:rFonts w:hint="eastAsia" w:ascii="Times New Roman" w:hAnsi="Times New Roman"/>
          <w:color w:val="000000"/>
          <w:szCs w:val="21"/>
          <w:highlight w:val="none"/>
        </w:rPr>
        <w:t>实结算方式：</w:t>
      </w:r>
      <w:r>
        <w:rPr>
          <w:rFonts w:ascii="宋体" w:hAnsi="宋体" w:cs="宋体"/>
          <w:szCs w:val="21"/>
          <w:highlight w:val="none"/>
        </w:rPr>
        <w:t>本项目</w:t>
      </w:r>
      <w:r>
        <w:rPr>
          <w:rFonts w:ascii="宋体" w:hAnsi="宋体" w:cs="宋体"/>
          <w:szCs w:val="21"/>
          <w:highlight w:val="none"/>
          <w:u w:val="single"/>
        </w:rPr>
        <w:t>每月/每季度</w:t>
      </w:r>
      <w:r>
        <w:rPr>
          <w:rFonts w:ascii="宋体" w:hAnsi="宋体" w:cs="宋体"/>
          <w:szCs w:val="21"/>
          <w:highlight w:val="none"/>
        </w:rPr>
        <w:t>结算一次 ，</w:t>
      </w:r>
      <w:r>
        <w:rPr>
          <w:rFonts w:hint="eastAsia"/>
          <w:highlight w:val="none"/>
        </w:rPr>
        <w:t>根据本项目成交单价及实际验收数量</w:t>
      </w:r>
      <w:r>
        <w:rPr>
          <w:rFonts w:ascii="宋体" w:hAnsi="宋体" w:cs="宋体"/>
          <w:szCs w:val="21"/>
          <w:highlight w:val="none"/>
        </w:rPr>
        <w:t>，</w:t>
      </w:r>
      <w:r>
        <w:rPr>
          <w:rFonts w:hint="eastAsia" w:ascii="宋体" w:hAnsi="宋体" w:cs="宋体"/>
          <w:szCs w:val="21"/>
          <w:highlight w:val="none"/>
        </w:rPr>
        <w:t>乙方</w:t>
      </w:r>
      <w:r>
        <w:rPr>
          <w:rFonts w:ascii="宋体" w:hAnsi="宋体" w:cs="宋体"/>
          <w:szCs w:val="21"/>
          <w:highlight w:val="none"/>
        </w:rPr>
        <w:t>需 5 日内向</w:t>
      </w:r>
      <w:r>
        <w:rPr>
          <w:rFonts w:hint="eastAsia" w:ascii="宋体" w:hAnsi="宋体" w:cs="宋体"/>
          <w:szCs w:val="21"/>
          <w:highlight w:val="none"/>
        </w:rPr>
        <w:t>甲方提供合法有效票据及其他相关请款资料</w:t>
      </w:r>
      <w:r>
        <w:rPr>
          <w:rFonts w:ascii="宋体" w:hAnsi="宋体" w:cs="宋体"/>
          <w:szCs w:val="21"/>
          <w:highlight w:val="none"/>
        </w:rPr>
        <w:t>，</w:t>
      </w:r>
      <w:r>
        <w:rPr>
          <w:rFonts w:hint="eastAsia" w:ascii="宋体" w:hAnsi="宋体" w:cs="宋体"/>
          <w:szCs w:val="21"/>
          <w:highlight w:val="none"/>
        </w:rPr>
        <w:t>甲方</w:t>
      </w:r>
      <w:r>
        <w:rPr>
          <w:rFonts w:ascii="宋体" w:hAnsi="宋体" w:cs="宋体"/>
          <w:szCs w:val="21"/>
          <w:highlight w:val="none"/>
        </w:rPr>
        <w:t>接到</w:t>
      </w:r>
      <w:r>
        <w:rPr>
          <w:rFonts w:hint="eastAsia" w:ascii="宋体" w:hAnsi="宋体" w:cs="宋体"/>
          <w:szCs w:val="21"/>
          <w:highlight w:val="none"/>
        </w:rPr>
        <w:t>乙方</w:t>
      </w:r>
      <w:r>
        <w:rPr>
          <w:rFonts w:ascii="宋体" w:hAnsi="宋体" w:cs="宋体"/>
          <w:szCs w:val="21"/>
          <w:highlight w:val="none"/>
        </w:rPr>
        <w:t>请款资料以后的</w:t>
      </w:r>
      <w:r>
        <w:rPr>
          <w:rFonts w:hint="eastAsia" w:ascii="宋体" w:hAnsi="宋体" w:cs="宋体"/>
          <w:szCs w:val="21"/>
          <w:highlight w:val="none"/>
        </w:rPr>
        <w:t>55</w:t>
      </w:r>
      <w:r>
        <w:rPr>
          <w:rFonts w:ascii="宋体" w:hAnsi="宋体" w:cs="宋体"/>
          <w:szCs w:val="21"/>
          <w:highlight w:val="none"/>
        </w:rPr>
        <w:t>日内支付相应价款，最终结算总价不得超过</w:t>
      </w:r>
      <w:r>
        <w:rPr>
          <w:rFonts w:hint="eastAsia" w:ascii="宋体" w:hAnsi="宋体" w:cs="宋体"/>
          <w:szCs w:val="21"/>
          <w:highlight w:val="none"/>
          <w:u w:val="single"/>
        </w:rPr>
        <w:t xml:space="preserve">     </w:t>
      </w:r>
      <w:r>
        <w:rPr>
          <w:rFonts w:ascii="宋体" w:hAnsi="宋体" w:cs="宋体"/>
          <w:szCs w:val="21"/>
          <w:highlight w:val="none"/>
        </w:rPr>
        <w:t>元</w:t>
      </w:r>
      <w:r>
        <w:rPr>
          <w:rFonts w:hint="eastAsia" w:ascii="Times New Roman" w:hAnsi="Times New Roman"/>
          <w:color w:val="000000"/>
          <w:szCs w:val="21"/>
          <w:highlight w:val="none"/>
        </w:rPr>
        <w:t>。</w:t>
      </w:r>
    </w:p>
    <w:p w14:paraId="4EE91459">
      <w:pPr>
        <w:pStyle w:val="29"/>
        <w:numPr>
          <w:ilvl w:val="0"/>
          <w:numId w:val="21"/>
        </w:numPr>
        <w:ind w:left="0" w:firstLine="0" w:firstLineChars="0"/>
        <w:rPr>
          <w:rFonts w:ascii="Times New Roman" w:hAnsi="Times New Roman"/>
          <w:szCs w:val="21"/>
          <w:highlight w:val="none"/>
        </w:rPr>
      </w:pPr>
      <w:r>
        <w:rPr>
          <w:rFonts w:hint="eastAsia" w:ascii="Times New Roman" w:hAnsi="Times New Roman"/>
          <w:szCs w:val="21"/>
          <w:highlight w:val="none"/>
        </w:rPr>
        <w:t>甲方付款前，乙方需</w:t>
      </w:r>
      <w:r>
        <w:rPr>
          <w:rFonts w:hint="eastAsia" w:ascii="宋体" w:hAnsi="宋体" w:cs="宋体"/>
          <w:szCs w:val="21"/>
          <w:highlight w:val="none"/>
        </w:rPr>
        <w:t>提供合法有效票据及其他相关请款资料</w:t>
      </w:r>
      <w:r>
        <w:rPr>
          <w:rFonts w:hint="eastAsia" w:ascii="Times New Roman" w:hAnsi="Times New Roman"/>
          <w:szCs w:val="21"/>
          <w:highlight w:val="none"/>
        </w:rPr>
        <w:t>，否则甲方有权拒绝支付且不承担任何违约责任，且乙方不得因此停止工作。</w:t>
      </w:r>
    </w:p>
    <w:p w14:paraId="7BCB6AA9">
      <w:pPr>
        <w:pStyle w:val="29"/>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w:t>
      </w:r>
      <w:r>
        <w:rPr>
          <w:rFonts w:hint="eastAsia" w:ascii="Times New Roman" w:hAnsi="Times New Roman"/>
          <w:szCs w:val="21"/>
          <w:highlight w:val="none"/>
        </w:rPr>
        <w:t>中的软件</w:t>
      </w:r>
      <w:r>
        <w:rPr>
          <w:rFonts w:ascii="Times New Roman" w:hAnsi="Times New Roman"/>
          <w:szCs w:val="21"/>
          <w:highlight w:val="none"/>
        </w:rPr>
        <w:t>名称与</w:t>
      </w:r>
      <w:r>
        <w:rPr>
          <w:rFonts w:hint="eastAsia" w:ascii="Times New Roman" w:hAnsi="Times New Roman"/>
          <w:szCs w:val="21"/>
          <w:highlight w:val="none"/>
        </w:rPr>
        <w:t>合同</w:t>
      </w:r>
      <w:r>
        <w:rPr>
          <w:rFonts w:ascii="Times New Roman" w:hAnsi="Times New Roman"/>
          <w:szCs w:val="21"/>
          <w:highlight w:val="none"/>
        </w:rPr>
        <w:t>中</w:t>
      </w:r>
      <w:r>
        <w:rPr>
          <w:rFonts w:hint="eastAsia" w:ascii="Times New Roman" w:hAnsi="Times New Roman"/>
          <w:szCs w:val="21"/>
          <w:highlight w:val="none"/>
        </w:rPr>
        <w:t>软件</w:t>
      </w:r>
      <w:r>
        <w:rPr>
          <w:rFonts w:ascii="Times New Roman" w:hAnsi="Times New Roman"/>
          <w:szCs w:val="21"/>
          <w:highlight w:val="none"/>
        </w:rPr>
        <w:t>名称</w:t>
      </w:r>
      <w:r>
        <w:rPr>
          <w:rFonts w:hint="eastAsia" w:ascii="Times New Roman" w:hAnsi="Times New Roman"/>
          <w:szCs w:val="21"/>
          <w:highlight w:val="none"/>
        </w:rPr>
        <w:t>应</w:t>
      </w:r>
      <w:r>
        <w:rPr>
          <w:rFonts w:ascii="Times New Roman" w:hAnsi="Times New Roman"/>
          <w:szCs w:val="21"/>
          <w:highlight w:val="none"/>
        </w:rPr>
        <w:t>一致。</w:t>
      </w:r>
    </w:p>
    <w:p w14:paraId="006FA72A">
      <w:pPr>
        <w:pStyle w:val="29"/>
        <w:numPr>
          <w:ilvl w:val="0"/>
          <w:numId w:val="21"/>
        </w:numPr>
        <w:ind w:left="0" w:firstLine="0" w:firstLineChars="0"/>
        <w:rPr>
          <w:rFonts w:ascii="Times New Roman" w:hAnsi="Times New Roman"/>
          <w:szCs w:val="21"/>
          <w:highlight w:val="none"/>
        </w:rPr>
      </w:pPr>
      <w:r>
        <w:rPr>
          <w:rFonts w:ascii="Times New Roman" w:hAnsi="Times New Roman"/>
          <w:szCs w:val="21"/>
          <w:highlight w:val="none"/>
        </w:rPr>
        <w:t>乙方开票信息应与合同预留账户信息一致</w:t>
      </w:r>
      <w:r>
        <w:rPr>
          <w:rFonts w:hint="eastAsia" w:ascii="Times New Roman" w:hAnsi="Times New Roman"/>
          <w:szCs w:val="21"/>
          <w:highlight w:val="none"/>
        </w:rPr>
        <w:t>，</w:t>
      </w:r>
      <w:r>
        <w:rPr>
          <w:rFonts w:ascii="Times New Roman" w:hAnsi="Times New Roman"/>
          <w:szCs w:val="21"/>
          <w:highlight w:val="none"/>
        </w:rPr>
        <w:t>如有变更，乙方应当在变更后3日内通知甲方</w:t>
      </w:r>
      <w:r>
        <w:rPr>
          <w:rFonts w:hint="eastAsia" w:ascii="Times New Roman" w:hAnsi="Times New Roman"/>
          <w:szCs w:val="21"/>
          <w:highlight w:val="none"/>
        </w:rPr>
        <w:t>，</w:t>
      </w:r>
      <w:r>
        <w:rPr>
          <w:rFonts w:ascii="Times New Roman" w:hAnsi="Times New Roman"/>
          <w:szCs w:val="21"/>
          <w:highlight w:val="none"/>
        </w:rPr>
        <w:t>否则，由此造成的损失由乙方自行承担。</w:t>
      </w:r>
    </w:p>
    <w:p w14:paraId="734CFD97">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售后服务</w:t>
      </w:r>
    </w:p>
    <w:p w14:paraId="5551B44E">
      <w:pPr>
        <w:pStyle w:val="29"/>
        <w:numPr>
          <w:ilvl w:val="0"/>
          <w:numId w:val="22"/>
        </w:numPr>
        <w:ind w:firstLineChars="0"/>
        <w:rPr>
          <w:rFonts w:ascii="Times New Roman" w:hAnsi="Times New Roman"/>
          <w:szCs w:val="21"/>
          <w:highlight w:val="none"/>
        </w:rPr>
      </w:pPr>
      <w:r>
        <w:rPr>
          <w:rFonts w:hint="eastAsia" w:ascii="Times New Roman" w:hAnsi="Times New Roman"/>
          <w:szCs w:val="21"/>
          <w:highlight w:val="none"/>
        </w:rPr>
        <w:t>软件完成安装后，乙</w:t>
      </w:r>
      <w:r>
        <w:rPr>
          <w:rFonts w:ascii="Times New Roman" w:hAnsi="Times New Roman"/>
          <w:szCs w:val="21"/>
          <w:highlight w:val="none"/>
        </w:rPr>
        <w:t>方应对甲方工作人员进行培训：</w:t>
      </w:r>
      <w:r>
        <w:rPr>
          <w:rFonts w:hint="eastAsia" w:ascii="Times New Roman" w:hAnsi="Times New Roman"/>
          <w:szCs w:val="21"/>
          <w:highlight w:val="none"/>
        </w:rPr>
        <w:t>*</w:t>
      </w:r>
      <w:r>
        <w:rPr>
          <w:rFonts w:ascii="Times New Roman" w:hAnsi="Times New Roman"/>
          <w:szCs w:val="21"/>
          <w:highlight w:val="none"/>
        </w:rPr>
        <w:t>**</w:t>
      </w:r>
      <w:r>
        <w:rPr>
          <w:rFonts w:ascii="Times New Roman" w:hAnsi="Times New Roman"/>
          <w:highlight w:val="none"/>
        </w:rPr>
        <w:t>。</w:t>
      </w:r>
      <w:r>
        <w:rPr>
          <w:rFonts w:hint="eastAsia" w:ascii="Times New Roman" w:hAnsi="Times New Roman"/>
          <w:i/>
          <w:iCs/>
          <w:szCs w:val="21"/>
          <w:highlight w:val="none"/>
        </w:rPr>
        <w:t>&lt;具体培训内容</w:t>
      </w:r>
      <w:r>
        <w:rPr>
          <w:rFonts w:ascii="Times New Roman" w:hAnsi="Times New Roman"/>
          <w:i/>
          <w:iCs/>
          <w:szCs w:val="21"/>
          <w:highlight w:val="none"/>
        </w:rPr>
        <w:t>可根据项目具体情况编制</w:t>
      </w:r>
      <w:r>
        <w:rPr>
          <w:rFonts w:hint="eastAsia" w:ascii="Times New Roman" w:hAnsi="Times New Roman"/>
          <w:i/>
          <w:iCs/>
          <w:szCs w:val="21"/>
          <w:highlight w:val="none"/>
        </w:rPr>
        <w:t>&gt;</w:t>
      </w:r>
      <w:r>
        <w:rPr>
          <w:rFonts w:ascii="Times New Roman" w:hAnsi="Times New Roman"/>
          <w:szCs w:val="21"/>
          <w:highlight w:val="none"/>
        </w:rPr>
        <w:t>并保证甲方受训技术人员熟练掌握</w:t>
      </w:r>
      <w:r>
        <w:rPr>
          <w:rFonts w:hint="eastAsia" w:ascii="Times New Roman" w:hAnsi="Times New Roman"/>
          <w:szCs w:val="21"/>
          <w:highlight w:val="none"/>
        </w:rPr>
        <w:t>软件的使用方法</w:t>
      </w:r>
      <w:r>
        <w:rPr>
          <w:rFonts w:ascii="Times New Roman" w:hAnsi="Times New Roman"/>
          <w:szCs w:val="21"/>
          <w:highlight w:val="none"/>
        </w:rPr>
        <w:t>，直至甲方受训技术人员能保证</w:t>
      </w:r>
      <w:r>
        <w:rPr>
          <w:rFonts w:hint="eastAsia" w:ascii="Times New Roman" w:hAnsi="Times New Roman"/>
          <w:szCs w:val="21"/>
          <w:highlight w:val="none"/>
        </w:rPr>
        <w:t>软件日常</w:t>
      </w:r>
      <w:r>
        <w:rPr>
          <w:rFonts w:ascii="Times New Roman" w:hAnsi="Times New Roman"/>
          <w:szCs w:val="21"/>
          <w:highlight w:val="none"/>
        </w:rPr>
        <w:t>运行并能排除一般</w:t>
      </w:r>
      <w:r>
        <w:rPr>
          <w:rFonts w:hint="eastAsia" w:ascii="Times New Roman" w:hAnsi="Times New Roman"/>
          <w:szCs w:val="21"/>
          <w:highlight w:val="none"/>
        </w:rPr>
        <w:t>性</w:t>
      </w:r>
      <w:r>
        <w:rPr>
          <w:rFonts w:ascii="Times New Roman" w:hAnsi="Times New Roman"/>
          <w:szCs w:val="21"/>
          <w:highlight w:val="none"/>
        </w:rPr>
        <w:t>故障。</w:t>
      </w:r>
    </w:p>
    <w:p w14:paraId="73249DB3">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质保期为验收合格后***年（合同签订后甲方验收合格且</w:t>
      </w:r>
      <w:r>
        <w:rPr>
          <w:rFonts w:hint="eastAsia" w:ascii="Times New Roman" w:hAnsi="Times New Roman"/>
          <w:szCs w:val="21"/>
          <w:highlight w:val="none"/>
        </w:rPr>
        <w:t>甲乙双方签署</w:t>
      </w:r>
      <w:r>
        <w:rPr>
          <w:rFonts w:ascii="Times New Roman" w:hAnsi="Times New Roman"/>
          <w:szCs w:val="21"/>
          <w:highlight w:val="none"/>
        </w:rPr>
        <w:t>验收报告之日起）</w:t>
      </w:r>
      <w:r>
        <w:rPr>
          <w:rFonts w:hint="eastAsia" w:ascii="Times New Roman" w:hAnsi="Times New Roman"/>
          <w:szCs w:val="21"/>
          <w:highlight w:val="none"/>
        </w:rPr>
        <w:t>。</w:t>
      </w:r>
    </w:p>
    <w:p w14:paraId="1B709BCE">
      <w:pPr>
        <w:pStyle w:val="29"/>
        <w:numPr>
          <w:ilvl w:val="0"/>
          <w:numId w:val="22"/>
        </w:numPr>
        <w:ind w:firstLineChars="0"/>
        <w:rPr>
          <w:rFonts w:hint="eastAsia" w:ascii="Times New Roman" w:hAnsi="Times New Roman"/>
          <w:highlight w:val="none"/>
        </w:rPr>
      </w:pPr>
      <w:r>
        <w:rPr>
          <w:rFonts w:ascii="Times New Roman" w:hAnsi="Times New Roman"/>
          <w:szCs w:val="21"/>
          <w:highlight w:val="none"/>
        </w:rPr>
        <w:t>质保范围：</w:t>
      </w:r>
      <w:r>
        <w:rPr>
          <w:rFonts w:hint="eastAsia" w:ascii="Times New Roman" w:hAnsi="Times New Roman"/>
          <w:highlight w:val="none"/>
        </w:rPr>
        <w:t>质保期内发现软件不符合本合同约定的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，乙方在接到通知后</w:t>
      </w:r>
      <w:r>
        <w:rPr>
          <w:rFonts w:ascii="Times New Roman" w:hAnsi="Times New Roman"/>
          <w:highlight w:val="none"/>
        </w:rPr>
        <w:t>***</w:t>
      </w:r>
      <w:r>
        <w:rPr>
          <w:rFonts w:hint="eastAsia" w:ascii="Times New Roman" w:hAnsi="Times New Roman"/>
          <w:highlight w:val="none"/>
        </w:rPr>
        <w:t>小时内响应到场，</w:t>
      </w:r>
      <w:r>
        <w:rPr>
          <w:rFonts w:ascii="Times New Roman" w:hAnsi="Times New Roman"/>
          <w:highlight w:val="none"/>
        </w:rPr>
        <w:t>***</w:t>
      </w:r>
      <w:r>
        <w:rPr>
          <w:rFonts w:hint="eastAsia" w:ascii="Times New Roman" w:hAnsi="Times New Roman"/>
          <w:highlight w:val="none"/>
        </w:rPr>
        <w:t>小时内完成调试或维修，并承担相关费用；如经乙方3次调试或维修仍不能达到本合同约定的</w:t>
      </w:r>
      <w:r>
        <w:rPr>
          <w:rFonts w:hint="eastAsia" w:ascii="Times New Roman" w:hAnsi="Times New Roman"/>
          <w:szCs w:val="21"/>
          <w:highlight w:val="none"/>
        </w:rPr>
        <w:t>功能</w:t>
      </w:r>
      <w:r>
        <w:rPr>
          <w:rFonts w:ascii="Times New Roman" w:hAnsi="Times New Roman"/>
          <w:szCs w:val="21"/>
          <w:highlight w:val="none"/>
        </w:rPr>
        <w:t>要求和技术指标</w:t>
      </w:r>
      <w:r>
        <w:rPr>
          <w:rFonts w:hint="eastAsia" w:ascii="Times New Roman" w:hAnsi="Times New Roman"/>
          <w:highlight w:val="none"/>
        </w:rPr>
        <w:t>，甲方有权退货并追究乙方的违约责任。</w:t>
      </w:r>
    </w:p>
    <w:p w14:paraId="50112506">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在</w:t>
      </w:r>
      <w:r>
        <w:rPr>
          <w:rFonts w:hint="eastAsia" w:ascii="Times New Roman" w:hAnsi="Times New Roman"/>
          <w:szCs w:val="21"/>
          <w:highlight w:val="none"/>
        </w:rPr>
        <w:t>质保</w:t>
      </w:r>
      <w:r>
        <w:rPr>
          <w:rFonts w:ascii="Times New Roman" w:hAnsi="Times New Roman"/>
          <w:szCs w:val="21"/>
          <w:highlight w:val="none"/>
        </w:rPr>
        <w:t>期内乙方应保证甲方对</w:t>
      </w:r>
      <w:r>
        <w:rPr>
          <w:rFonts w:hint="eastAsia" w:ascii="Times New Roman" w:hAnsi="Times New Roman"/>
          <w:szCs w:val="21"/>
          <w:highlight w:val="none"/>
        </w:rPr>
        <w:t>软件</w:t>
      </w:r>
      <w:r>
        <w:rPr>
          <w:rFonts w:ascii="Times New Roman" w:hAnsi="Times New Roman"/>
          <w:szCs w:val="21"/>
          <w:highlight w:val="none"/>
        </w:rPr>
        <w:t>的使用因故障停用时间小于***个工作日。</w:t>
      </w:r>
    </w:p>
    <w:p w14:paraId="12BA0292">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售后服务涉及费用均</w:t>
      </w:r>
      <w:r>
        <w:rPr>
          <w:rFonts w:hint="eastAsia" w:ascii="Times New Roman" w:hAnsi="Times New Roman"/>
          <w:szCs w:val="21"/>
          <w:highlight w:val="none"/>
        </w:rPr>
        <w:t>已</w:t>
      </w:r>
      <w:r>
        <w:rPr>
          <w:rFonts w:ascii="Times New Roman" w:hAnsi="Times New Roman"/>
          <w:szCs w:val="21"/>
          <w:highlight w:val="none"/>
        </w:rPr>
        <w:t>包含在</w:t>
      </w:r>
      <w:r>
        <w:rPr>
          <w:rFonts w:hint="eastAsia" w:ascii="Times New Roman" w:hAnsi="Times New Roman"/>
          <w:szCs w:val="21"/>
          <w:highlight w:val="none"/>
        </w:rPr>
        <w:t>本</w:t>
      </w:r>
      <w:r>
        <w:rPr>
          <w:rFonts w:ascii="Times New Roman" w:hAnsi="Times New Roman"/>
          <w:szCs w:val="21"/>
          <w:highlight w:val="none"/>
        </w:rPr>
        <w:t>合同总价中。</w:t>
      </w:r>
    </w:p>
    <w:p w14:paraId="5D220ABE">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无论是质保期内还是在质保期外，若出现故障，乙方应在***小时内提供技术支持</w:t>
      </w:r>
      <w:r>
        <w:rPr>
          <w:rFonts w:hint="eastAsia" w:ascii="Times New Roman" w:hAnsi="Times New Roman"/>
          <w:szCs w:val="21"/>
          <w:highlight w:val="none"/>
        </w:rPr>
        <w:t>并</w:t>
      </w:r>
      <w:r>
        <w:rPr>
          <w:rFonts w:ascii="Times New Roman" w:hAnsi="Times New Roman"/>
          <w:szCs w:val="21"/>
          <w:highlight w:val="none"/>
        </w:rPr>
        <w:t>作出答复</w:t>
      </w:r>
      <w:r>
        <w:rPr>
          <w:rFonts w:hint="eastAsia" w:ascii="Times New Roman" w:hAnsi="Times New Roman"/>
          <w:szCs w:val="21"/>
          <w:highlight w:val="none"/>
        </w:rPr>
        <w:t>。质保期满后甲方委托乙方继续提供维护服务的，因此产生的维护费用由甲乙双方另行商议，每年费用最高不超过</w:t>
      </w:r>
      <w:r>
        <w:rPr>
          <w:rFonts w:hint="eastAsia" w:ascii="Times New Roman" w:hAnsi="Times New Roman"/>
          <w:szCs w:val="21"/>
          <w:highlight w:val="none"/>
          <w:u w:val="single"/>
        </w:rPr>
        <w:t>本合同总价</w:t>
      </w:r>
      <w:r>
        <w:rPr>
          <w:rFonts w:hint="eastAsia" w:ascii="Times New Roman" w:hAnsi="Times New Roman"/>
          <w:szCs w:val="21"/>
          <w:highlight w:val="none"/>
        </w:rPr>
        <w:t>的</w:t>
      </w:r>
      <w:r>
        <w:rPr>
          <w:rFonts w:hint="eastAsia" w:ascii="Times New Roman" w:hAnsi="Times New Roman"/>
          <w:szCs w:val="21"/>
          <w:highlight w:val="none"/>
          <w:u w:val="single"/>
        </w:rPr>
        <w:t>***</w:t>
      </w:r>
      <w:r>
        <w:rPr>
          <w:rFonts w:hint="eastAsia" w:ascii="Times New Roman" w:hAnsi="Times New Roman"/>
          <w:szCs w:val="21"/>
          <w:highlight w:val="none"/>
        </w:rPr>
        <w:t>%。</w:t>
      </w:r>
    </w:p>
    <w:p w14:paraId="5C6C48B4">
      <w:pPr>
        <w:pStyle w:val="29"/>
        <w:numPr>
          <w:ilvl w:val="0"/>
          <w:numId w:val="22"/>
        </w:numPr>
        <w:ind w:firstLineChars="0"/>
        <w:rPr>
          <w:rFonts w:ascii="Times New Roman" w:hAnsi="Times New Roman"/>
          <w:szCs w:val="21"/>
          <w:highlight w:val="none"/>
        </w:rPr>
      </w:pPr>
      <w:r>
        <w:rPr>
          <w:rFonts w:ascii="Times New Roman" w:hAnsi="Times New Roman"/>
          <w:szCs w:val="21"/>
          <w:highlight w:val="none"/>
        </w:rPr>
        <w:tab/>
      </w:r>
      <w:r>
        <w:rPr>
          <w:rFonts w:ascii="Times New Roman" w:hAnsi="Times New Roman"/>
          <w:szCs w:val="21"/>
          <w:highlight w:val="none"/>
        </w:rPr>
        <w:t>因乙方原因</w:t>
      </w:r>
      <w:r>
        <w:rPr>
          <w:rFonts w:hint="eastAsia" w:ascii="Times New Roman" w:hAnsi="Times New Roman"/>
          <w:szCs w:val="21"/>
          <w:highlight w:val="none"/>
        </w:rPr>
        <w:t>致使软件不能达到</w:t>
      </w:r>
      <w:r>
        <w:rPr>
          <w:rFonts w:hint="eastAsia" w:ascii="Times New Roman" w:hAnsi="Times New Roman"/>
          <w:highlight w:val="none"/>
        </w:rPr>
        <w:t>本合同约定的</w:t>
      </w:r>
      <w:r>
        <w:rPr>
          <w:rFonts w:hint="eastAsia" w:ascii="Times New Roman" w:hAnsi="Times New Roman"/>
          <w:szCs w:val="21"/>
          <w:highlight w:val="none"/>
        </w:rPr>
        <w:t>功能</w:t>
      </w:r>
      <w:r>
        <w:rPr>
          <w:rFonts w:ascii="Times New Roman" w:hAnsi="Times New Roman"/>
          <w:szCs w:val="21"/>
          <w:highlight w:val="none"/>
        </w:rPr>
        <w:t>要求和技术指标，按甲方实际</w:t>
      </w:r>
      <w:r>
        <w:rPr>
          <w:rFonts w:hint="eastAsia" w:ascii="Times New Roman" w:hAnsi="Times New Roman"/>
          <w:szCs w:val="21"/>
          <w:highlight w:val="none"/>
        </w:rPr>
        <w:t>停用</w:t>
      </w:r>
      <w:r>
        <w:rPr>
          <w:rFonts w:ascii="Times New Roman" w:hAnsi="Times New Roman"/>
          <w:szCs w:val="21"/>
          <w:highlight w:val="none"/>
        </w:rPr>
        <w:t>天数自动延长其质保期,甲方有权延后</w:t>
      </w:r>
      <w:r>
        <w:rPr>
          <w:rFonts w:hint="eastAsia" w:ascii="Times New Roman" w:hAnsi="Times New Roman"/>
          <w:szCs w:val="21"/>
          <w:highlight w:val="none"/>
        </w:rPr>
        <w:t>履约保证金</w:t>
      </w:r>
      <w:r>
        <w:rPr>
          <w:rFonts w:ascii="Times New Roman" w:hAnsi="Times New Roman"/>
          <w:szCs w:val="21"/>
          <w:highlight w:val="none"/>
        </w:rPr>
        <w:t>和维保费用的支付时间，并追究因此引发的乙方相应法律责任。</w:t>
      </w:r>
    </w:p>
    <w:p w14:paraId="46E89335">
      <w:pPr>
        <w:pStyle w:val="29"/>
        <w:numPr>
          <w:ilvl w:val="0"/>
          <w:numId w:val="22"/>
        </w:numPr>
        <w:ind w:firstLineChars="0"/>
        <w:rPr>
          <w:rFonts w:hint="eastAsia" w:ascii="Times New Roman" w:hAnsi="Times New Roman"/>
          <w:szCs w:val="21"/>
          <w:highlight w:val="none"/>
        </w:rPr>
      </w:pPr>
      <w:r>
        <w:rPr>
          <w:rFonts w:hint="eastAsia" w:ascii="Times New Roman" w:hAnsi="Times New Roman"/>
          <w:szCs w:val="21"/>
          <w:highlight w:val="none"/>
        </w:rPr>
        <w:t>质保期内，如遇系统升级或技术迭代，乙方应保证交付标的及时相应更新，同时并就更新后信息系统进行培训，保证甲方受训技术人员熟练掌握信息系统的使用方法并能独立操作，保证正常运行并能排除一般性故障。相关更新和培训费用已包含在本合同总价内，甲方无需另行支付。</w:t>
      </w:r>
    </w:p>
    <w:p w14:paraId="318BDBC2">
      <w:pPr>
        <w:pStyle w:val="29"/>
        <w:numPr>
          <w:ilvl w:val="0"/>
          <w:numId w:val="12"/>
        </w:numPr>
        <w:snapToGrid w:val="0"/>
        <w:ind w:left="0" w:firstLine="0" w:firstLineChars="0"/>
        <w:rPr>
          <w:rFonts w:ascii="Times New Roman" w:hAnsi="Times New Roman"/>
          <w:b/>
          <w:bCs/>
          <w:szCs w:val="21"/>
          <w:highlight w:val="none"/>
        </w:rPr>
      </w:pPr>
      <w:r>
        <w:rPr>
          <w:rFonts w:hint="eastAsia" w:ascii="Times New Roman" w:hAnsi="Times New Roman"/>
          <w:b/>
          <w:bCs/>
          <w:szCs w:val="21"/>
          <w:highlight w:val="none"/>
        </w:rPr>
        <w:t>双方的权利和义务</w:t>
      </w:r>
    </w:p>
    <w:p w14:paraId="6AA18A0E">
      <w:pPr>
        <w:pStyle w:val="29"/>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甲方的权利和义务：</w:t>
      </w:r>
    </w:p>
    <w:p w14:paraId="1ACB2C84">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甲方有权获得乙方所提交的软件交付成果及相关服务。</w:t>
      </w:r>
    </w:p>
    <w:p w14:paraId="592A927C">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甲方有权及时了解和监督软件开发的进展情况。</w:t>
      </w:r>
    </w:p>
    <w:p w14:paraId="51497BC3">
      <w:pPr>
        <w:pStyle w:val="29"/>
        <w:numPr>
          <w:ilvl w:val="0"/>
          <w:numId w:val="24"/>
        </w:numPr>
        <w:snapToGrid w:val="0"/>
        <w:ind w:firstLineChars="0"/>
        <w:rPr>
          <w:rFonts w:hint="eastAsia" w:ascii="Times New Roman" w:hAnsi="Times New Roman"/>
          <w:szCs w:val="21"/>
          <w:highlight w:val="none"/>
        </w:rPr>
      </w:pPr>
      <w:r>
        <w:rPr>
          <w:rFonts w:hint="eastAsia" w:ascii="Times New Roman" w:hAnsi="Times New Roman"/>
          <w:szCs w:val="21"/>
          <w:highlight w:val="none"/>
        </w:rPr>
        <w:t>甲方应向乙方提供完成软件开发所必需的资料和工作条件。</w:t>
      </w:r>
    </w:p>
    <w:p w14:paraId="0850DB0C">
      <w:pPr>
        <w:pStyle w:val="29"/>
        <w:numPr>
          <w:ilvl w:val="0"/>
          <w:numId w:val="24"/>
        </w:numPr>
        <w:snapToGrid w:val="0"/>
        <w:ind w:firstLineChars="0"/>
        <w:rPr>
          <w:rFonts w:ascii="Times New Roman" w:hAnsi="Times New Roman"/>
          <w:szCs w:val="21"/>
          <w:highlight w:val="none"/>
        </w:rPr>
      </w:pPr>
      <w:r>
        <w:rPr>
          <w:rFonts w:hint="eastAsia" w:ascii="Times New Roman" w:hAnsi="Times New Roman"/>
          <w:szCs w:val="21"/>
          <w:highlight w:val="none"/>
        </w:rPr>
        <w:t>甲方应按照合同约定向乙方支付合同价款。</w:t>
      </w:r>
    </w:p>
    <w:p w14:paraId="29FC55F3">
      <w:pPr>
        <w:pStyle w:val="29"/>
        <w:numPr>
          <w:ilvl w:val="0"/>
          <w:numId w:val="23"/>
        </w:numPr>
        <w:ind w:firstLineChars="0"/>
        <w:rPr>
          <w:rFonts w:hint="eastAsia" w:ascii="Times New Roman" w:hAnsi="Times New Roman"/>
          <w:szCs w:val="21"/>
          <w:highlight w:val="none"/>
        </w:rPr>
      </w:pPr>
      <w:r>
        <w:rPr>
          <w:rFonts w:hint="eastAsia" w:ascii="Times New Roman" w:hAnsi="Times New Roman"/>
          <w:szCs w:val="21"/>
          <w:highlight w:val="none"/>
        </w:rPr>
        <w:t>乙方的权利和义务：</w:t>
      </w:r>
    </w:p>
    <w:p w14:paraId="4BCDC70B">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乙方有权按照本合同约定收取合同价款。</w:t>
      </w:r>
    </w:p>
    <w:p w14:paraId="715AEB9B">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乙方有权要求甲方提供软件开发所必需的资料和支持。</w:t>
      </w:r>
    </w:p>
    <w:p w14:paraId="6A9AD2B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保证所交付的软件产品是完整、全新的，并在性能、质量和设计方面满足安全、可靠和高效运行与方便维护的全部要求，能够满足甲方的个性化需求与接口的相关开发工作需求；若软件产品开发需要与甲方主要业务相关系统对接，原则上对接费用由乙方支付；乙方所提供的技术文件和相关资料应是完整的、清晰易读取和准确无误的，能够满足软件交付成果的检验、安装、调试、测试、验收、运行、维护和培训的需要。</w:t>
      </w:r>
    </w:p>
    <w:p w14:paraId="7CB6F2BC">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乙方应派遣身体健康、有相关工作经验和相应技能的技术人员到甲方现场并提供开发、安装、调试、测试、试运行、维护及培训等技术服务，该技术服务费用包括在本合同总价内。</w:t>
      </w:r>
    </w:p>
    <w:p w14:paraId="15FCA36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如果甲方发现乙方交付的软件产品有缺陷，或性能和质量不符甲方要求时，乙方应负责无偿地修复缺陷、替换或更换所交付的软件产品。因乙方交付的软件产品存在缺陷，或性能和质量不符合本合同约定而给甲方造成损失或者工作障碍的，乙方应承当相应的责任。</w:t>
      </w:r>
    </w:p>
    <w:p w14:paraId="0E4BB1CB">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在售后服务期内，乙方应负责向甲方提供与软件有关新的或改进的运行经验、技术开发和安全方面的所有资料及信息，且负责对本合同以下的软件进行更新、升级，并提供相应的培训、维护服务，相关费用包含在本合同总价中。</w:t>
      </w:r>
    </w:p>
    <w:p w14:paraId="6835C000">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乙方保证其所交付软件产品及服务不存在任何权利瑕疵，如任何第三方就乙方交付的软件产品及服务向甲方提起侵权索赔，乙方应负责与第三方交涉，并承担由此引起的一切法律责任，相关费用由乙方承担。</w:t>
      </w:r>
    </w:p>
    <w:p w14:paraId="4116C38B">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乙方承诺所提供的软件产品不含有任何安全隐患，并在软件使用期内 承担全部责任(包括但不限于消除安全隐患、退款、赔偿损失等)。发生任何由于软件产品安全引起的事故时，乙方应赔偿甲方及相关用户因此所发生的损失。</w:t>
      </w:r>
    </w:p>
    <w:p w14:paraId="28F9B12A">
      <w:pPr>
        <w:pStyle w:val="29"/>
        <w:numPr>
          <w:ilvl w:val="0"/>
          <w:numId w:val="25"/>
        </w:numPr>
        <w:snapToGrid w:val="0"/>
        <w:ind w:firstLineChars="0"/>
        <w:rPr>
          <w:rFonts w:ascii="Times New Roman" w:hAnsi="Times New Roman"/>
          <w:szCs w:val="21"/>
          <w:highlight w:val="none"/>
        </w:rPr>
      </w:pPr>
      <w:r>
        <w:rPr>
          <w:rFonts w:hint="eastAsia" w:ascii="Times New Roman" w:hAnsi="Times New Roman"/>
          <w:szCs w:val="21"/>
          <w:highlight w:val="none"/>
        </w:rPr>
        <w:t>乙方对本合同软件的开发及在开发过程中所获得的所有数据负有保密的义务，本合同履行过程中乙方获知的甲方商业秘密或其它技术及经营信息均负有保密义务，不得向任何第三方透露或泄露。</w:t>
      </w:r>
    </w:p>
    <w:p w14:paraId="6ECD0386">
      <w:pPr>
        <w:pStyle w:val="29"/>
        <w:numPr>
          <w:ilvl w:val="0"/>
          <w:numId w:val="25"/>
        </w:numPr>
        <w:snapToGrid w:val="0"/>
        <w:ind w:firstLineChars="0"/>
        <w:rPr>
          <w:rFonts w:hint="eastAsia" w:ascii="Times New Roman" w:hAnsi="Times New Roman"/>
          <w:szCs w:val="21"/>
          <w:highlight w:val="none"/>
        </w:rPr>
      </w:pPr>
      <w:r>
        <w:rPr>
          <w:rFonts w:hint="eastAsia" w:ascii="Times New Roman" w:hAnsi="Times New Roman"/>
          <w:szCs w:val="21"/>
          <w:highlight w:val="none"/>
        </w:rPr>
        <w:t>乙方基于本合同向甲方提供服务过程中所产出的各项医疗数据（包括但不限于就诊信息、检查检验结果、用药记录、手术记录、病历病案等）及其它技术服务成果均归属于甲方所有，乙方应当严格保密，未经甲方书面许可，乙方不得对外泄露或私自转让予第三方。合作结束，乙方应配合向甲方交付所有上述数据后再行删除，无法删除的数据，乙方承诺妥善保管不得外泄。</w:t>
      </w:r>
    </w:p>
    <w:p w14:paraId="704CD968">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违约责任</w:t>
      </w:r>
      <w:r>
        <w:rPr>
          <w:rFonts w:hint="eastAsia" w:ascii="Times New Roman" w:hAnsi="Times New Roman"/>
          <w:i/>
          <w:iCs/>
          <w:szCs w:val="21"/>
          <w:highlight w:val="none"/>
        </w:rPr>
        <w:t>&lt;本条款中违约金比例可根据项目实际情况确定&gt;</w:t>
      </w:r>
    </w:p>
    <w:p w14:paraId="0FD8124D">
      <w:pPr>
        <w:pStyle w:val="29"/>
        <w:ind w:firstLine="0" w:firstLineChars="0"/>
        <w:rPr>
          <w:rFonts w:ascii="Times New Roman" w:hAnsi="Times New Roman"/>
          <w:szCs w:val="21"/>
          <w:highlight w:val="none"/>
        </w:rPr>
      </w:pPr>
      <w:r>
        <w:rPr>
          <w:rFonts w:ascii="Times New Roman" w:hAnsi="Times New Roman"/>
          <w:szCs w:val="21"/>
          <w:highlight w:val="none"/>
        </w:rPr>
        <w:t>1.甲方违约责任：甲方无正当理由</w:t>
      </w:r>
      <w:r>
        <w:rPr>
          <w:rFonts w:hint="eastAsia" w:ascii="Times New Roman" w:hAnsi="Times New Roman"/>
          <w:szCs w:val="21"/>
          <w:highlight w:val="none"/>
        </w:rPr>
        <w:t>拒绝交付及验收的</w:t>
      </w:r>
      <w:r>
        <w:rPr>
          <w:rFonts w:ascii="Times New Roman" w:hAnsi="Times New Roman"/>
          <w:szCs w:val="21"/>
          <w:highlight w:val="none"/>
        </w:rPr>
        <w:t>，甲方应偿付合同总</w:t>
      </w:r>
      <w:r>
        <w:rPr>
          <w:rFonts w:hint="eastAsia" w:ascii="Times New Roman" w:hAnsi="Times New Roman"/>
          <w:szCs w:val="21"/>
          <w:highlight w:val="none"/>
        </w:rPr>
        <w:t>金额的</w:t>
      </w:r>
      <w:r>
        <w:rPr>
          <w:rFonts w:hint="eastAsia" w:ascii="Times New Roman" w:hAnsi="Times New Roman"/>
          <w:szCs w:val="21"/>
          <w:highlight w:val="none"/>
          <w:u w:val="single"/>
        </w:rPr>
        <w:t>1</w:t>
      </w:r>
      <w:r>
        <w:rPr>
          <w:rFonts w:ascii="Times New Roman" w:hAnsi="Times New Roman"/>
          <w:szCs w:val="21"/>
          <w:highlight w:val="none"/>
          <w:u w:val="single"/>
        </w:rPr>
        <w:t>0%</w:t>
      </w:r>
      <w:r>
        <w:rPr>
          <w:rFonts w:hint="eastAsia" w:ascii="Times New Roman" w:hAnsi="Times New Roman"/>
          <w:szCs w:val="21"/>
          <w:highlight w:val="none"/>
        </w:rPr>
        <w:t>作为</w:t>
      </w:r>
      <w:r>
        <w:rPr>
          <w:rFonts w:ascii="Times New Roman" w:hAnsi="Times New Roman"/>
          <w:szCs w:val="21"/>
          <w:highlight w:val="none"/>
        </w:rPr>
        <w:t>违约金。</w:t>
      </w:r>
    </w:p>
    <w:p w14:paraId="7C0BBD00">
      <w:pPr>
        <w:pStyle w:val="29"/>
        <w:ind w:firstLine="0" w:firstLineChars="0"/>
        <w:rPr>
          <w:rFonts w:ascii="Times New Roman" w:hAnsi="Times New Roman"/>
          <w:szCs w:val="21"/>
          <w:highlight w:val="none"/>
        </w:rPr>
      </w:pPr>
      <w:r>
        <w:rPr>
          <w:rFonts w:ascii="Times New Roman" w:hAnsi="Times New Roman"/>
          <w:szCs w:val="21"/>
          <w:highlight w:val="none"/>
        </w:rPr>
        <w:t>2.乙方违约责任：</w:t>
      </w:r>
    </w:p>
    <w:p w14:paraId="11B9D72D">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乙方拒绝交付软件，或交付的软件经两次验收仍不符合本合同约定的验收标准，甲方有权解除合同，乙方须向甲方支付合同总金额的</w:t>
      </w:r>
      <w:r>
        <w:rPr>
          <w:rFonts w:hint="eastAsia" w:ascii="Times New Roman" w:hAnsi="Times New Roman"/>
          <w:szCs w:val="21"/>
          <w:highlight w:val="none"/>
          <w:u w:val="single"/>
        </w:rPr>
        <w:t>10</w:t>
      </w:r>
      <w:r>
        <w:rPr>
          <w:rFonts w:hint="eastAsia" w:ascii="Times New Roman" w:hAnsi="Times New Roman"/>
          <w:szCs w:val="21"/>
          <w:highlight w:val="none"/>
        </w:rPr>
        <w:t>%作为违约金，并承担其它相应的经济损失。</w:t>
      </w:r>
    </w:p>
    <w:p w14:paraId="4648C14F">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质保期内出现质量问题，</w:t>
      </w:r>
      <w:r>
        <w:rPr>
          <w:rFonts w:ascii="Times New Roman" w:hAnsi="Times New Roman"/>
          <w:highlight w:val="none"/>
        </w:rPr>
        <w:t>因同一故障经乙方</w:t>
      </w:r>
      <w:r>
        <w:rPr>
          <w:rFonts w:ascii="Times New Roman" w:hAnsi="Times New Roman"/>
          <w:szCs w:val="21"/>
          <w:highlight w:val="none"/>
        </w:rPr>
        <w:t>经</w:t>
      </w:r>
      <w:r>
        <w:rPr>
          <w:rFonts w:hint="eastAsia" w:ascii="Times New Roman" w:hAnsi="Times New Roman"/>
          <w:szCs w:val="21"/>
          <w:highlight w:val="none"/>
          <w:u w:val="single"/>
        </w:rPr>
        <w:t>2</w:t>
      </w:r>
      <w:r>
        <w:rPr>
          <w:rFonts w:hint="eastAsia" w:ascii="Times New Roman" w:hAnsi="Times New Roman"/>
          <w:szCs w:val="21"/>
          <w:highlight w:val="none"/>
        </w:rPr>
        <w:t>次</w:t>
      </w:r>
      <w:r>
        <w:rPr>
          <w:rFonts w:hint="eastAsia" w:ascii="Times New Roman" w:hAnsi="Times New Roman"/>
          <w:highlight w:val="none"/>
        </w:rPr>
        <w:t>调试或维修</w:t>
      </w:r>
      <w:r>
        <w:rPr>
          <w:rFonts w:ascii="Times New Roman" w:hAnsi="Times New Roman"/>
          <w:szCs w:val="21"/>
          <w:highlight w:val="none"/>
        </w:rPr>
        <w:t>仍不能达到合同约定的</w:t>
      </w:r>
      <w:r>
        <w:rPr>
          <w:rFonts w:hint="eastAsia" w:ascii="Times New Roman" w:hAnsi="Times New Roman"/>
          <w:szCs w:val="21"/>
          <w:highlight w:val="none"/>
        </w:rPr>
        <w:t>功能</w:t>
      </w:r>
      <w:r>
        <w:rPr>
          <w:rFonts w:ascii="Times New Roman" w:hAnsi="Times New Roman"/>
          <w:szCs w:val="21"/>
          <w:highlight w:val="none"/>
        </w:rPr>
        <w:t>要求和技术指标，甲方有权解除合同并要求退货，乙方按照合同总额的</w:t>
      </w:r>
      <w:r>
        <w:rPr>
          <w:rFonts w:hint="eastAsia" w:ascii="Times New Roman" w:hAnsi="Times New Roman"/>
          <w:szCs w:val="21"/>
          <w:highlight w:val="none"/>
          <w:u w:val="single"/>
        </w:rPr>
        <w:t>10</w:t>
      </w:r>
      <w:r>
        <w:rPr>
          <w:rFonts w:ascii="Times New Roman" w:hAnsi="Times New Roman"/>
          <w:szCs w:val="21"/>
          <w:highlight w:val="none"/>
        </w:rPr>
        <w:t>%向甲方支付违约金</w:t>
      </w:r>
      <w:r>
        <w:rPr>
          <w:rFonts w:hint="eastAsia" w:ascii="Times New Roman" w:hAnsi="Times New Roman"/>
          <w:szCs w:val="21"/>
          <w:highlight w:val="none"/>
        </w:rPr>
        <w:t>。</w:t>
      </w:r>
    </w:p>
    <w:p w14:paraId="1D72A06A">
      <w:pPr>
        <w:pStyle w:val="29"/>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因乙方原因逾期</w:t>
      </w:r>
      <w:r>
        <w:rPr>
          <w:rFonts w:hint="eastAsia" w:ascii="Times New Roman" w:hAnsi="Times New Roman"/>
          <w:szCs w:val="21"/>
          <w:highlight w:val="none"/>
        </w:rPr>
        <w:t>交付</w:t>
      </w:r>
      <w:r>
        <w:rPr>
          <w:rFonts w:ascii="Times New Roman" w:hAnsi="Times New Roman"/>
          <w:szCs w:val="21"/>
          <w:highlight w:val="none"/>
        </w:rPr>
        <w:t>，每</w:t>
      </w:r>
      <w:r>
        <w:rPr>
          <w:rFonts w:hint="eastAsia" w:ascii="Times New Roman" w:hAnsi="Times New Roman"/>
          <w:szCs w:val="21"/>
          <w:highlight w:val="none"/>
        </w:rPr>
        <w:t>逾期</w:t>
      </w:r>
      <w:r>
        <w:rPr>
          <w:rFonts w:ascii="Times New Roman" w:hAnsi="Times New Roman"/>
          <w:szCs w:val="21"/>
          <w:highlight w:val="none"/>
        </w:rPr>
        <w:t>一天，须向甲方支付合同</w:t>
      </w:r>
      <w:r>
        <w:rPr>
          <w:rFonts w:hint="eastAsia" w:ascii="Times New Roman" w:hAnsi="Times New Roman"/>
          <w:szCs w:val="21"/>
          <w:highlight w:val="none"/>
        </w:rPr>
        <w:t>总金额的</w:t>
      </w:r>
      <w:r>
        <w:rPr>
          <w:rFonts w:ascii="Times New Roman" w:hAnsi="Times New Roman"/>
          <w:szCs w:val="21"/>
          <w:highlight w:val="none"/>
          <w:u w:val="single"/>
        </w:rPr>
        <w:t>***</w:t>
      </w:r>
      <w:r>
        <w:rPr>
          <w:rFonts w:hint="eastAsia" w:ascii="Times New Roman" w:hAnsi="Times New Roman"/>
          <w:szCs w:val="21"/>
          <w:highlight w:val="none"/>
        </w:rPr>
        <w:t>‰作为</w:t>
      </w:r>
      <w:r>
        <w:rPr>
          <w:rFonts w:ascii="Times New Roman" w:hAnsi="Times New Roman"/>
          <w:szCs w:val="21"/>
          <w:highlight w:val="none"/>
        </w:rPr>
        <w:t>违约金。因乙方原因逾期交货超过</w:t>
      </w:r>
      <w:r>
        <w:rPr>
          <w:rFonts w:ascii="Times New Roman" w:hAnsi="Times New Roman"/>
          <w:szCs w:val="21"/>
          <w:highlight w:val="none"/>
          <w:u w:val="single"/>
        </w:rPr>
        <w:t>***</w:t>
      </w:r>
      <w:r>
        <w:rPr>
          <w:rFonts w:ascii="Times New Roman" w:hAnsi="Times New Roman"/>
          <w:szCs w:val="21"/>
          <w:highlight w:val="none"/>
        </w:rPr>
        <w:t>天，甲方有权</w:t>
      </w:r>
      <w:r>
        <w:rPr>
          <w:rFonts w:hint="eastAsia" w:ascii="Times New Roman" w:hAnsi="Times New Roman"/>
          <w:szCs w:val="21"/>
          <w:highlight w:val="none"/>
        </w:rPr>
        <w:t>终止</w:t>
      </w:r>
      <w:r>
        <w:rPr>
          <w:rFonts w:ascii="Times New Roman" w:hAnsi="Times New Roman"/>
          <w:szCs w:val="21"/>
          <w:highlight w:val="none"/>
        </w:rPr>
        <w:t>合同</w:t>
      </w:r>
      <w:r>
        <w:rPr>
          <w:rFonts w:hint="eastAsia" w:ascii="Times New Roman" w:hAnsi="Times New Roman"/>
          <w:szCs w:val="21"/>
          <w:highlight w:val="none"/>
        </w:rPr>
        <w:t>，乙方须按合同总金额的</w:t>
      </w:r>
      <w:r>
        <w:rPr>
          <w:rFonts w:hint="eastAsia" w:ascii="Times New Roman" w:hAnsi="Times New Roman"/>
          <w:szCs w:val="21"/>
          <w:highlight w:val="none"/>
          <w:u w:val="single"/>
        </w:rPr>
        <w:t>10</w:t>
      </w:r>
      <w:r>
        <w:rPr>
          <w:rFonts w:hint="eastAsia" w:ascii="Times New Roman" w:hAnsi="Times New Roman"/>
          <w:szCs w:val="21"/>
          <w:highlight w:val="none"/>
        </w:rPr>
        <w:t>%向甲方支付违约金，如本项目要求乙方缴纳履约保证金，则乙方除向甲方支付相应违约金外，已缴纳的履约保证金不予退还；履约保证金未缴纳或已退还的，乙方应按照履约保证金的相同金额向甲方另行支付。</w:t>
      </w:r>
    </w:p>
    <w:p w14:paraId="4F1B128A">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乙方未按合同约定及时履行培训及维护义务时，每发生一次，乙方应按合同总金额的</w:t>
      </w:r>
      <w:r>
        <w:rPr>
          <w:rFonts w:ascii="Times New Roman" w:hAnsi="Times New Roman"/>
          <w:szCs w:val="21"/>
          <w:highlight w:val="none"/>
          <w:u w:val="single"/>
        </w:rPr>
        <w:t>***</w:t>
      </w:r>
      <w:r>
        <w:rPr>
          <w:rFonts w:hint="eastAsia" w:ascii="Times New Roman" w:hAnsi="Times New Roman"/>
          <w:szCs w:val="21"/>
          <w:highlight w:val="none"/>
        </w:rPr>
        <w:t>‰向甲方支付违约金，乙方支付违约金的同时，仍有义务对甲方进行培训及对软件维护。</w:t>
      </w:r>
    </w:p>
    <w:p w14:paraId="703D5485">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乙方在开发软件过程侵犯他人知识产权，甲方有权单方解除合同，并要求乙方赔偿所造成的损失，同时甲方有权要求对方按照合同总金额的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支付违约金。</w:t>
      </w:r>
    </w:p>
    <w:p w14:paraId="6EEE1A66">
      <w:pPr>
        <w:pStyle w:val="29"/>
        <w:numPr>
          <w:ilvl w:val="0"/>
          <w:numId w:val="26"/>
        </w:numPr>
        <w:snapToGrid w:val="0"/>
        <w:ind w:firstLineChars="0"/>
        <w:rPr>
          <w:rFonts w:hint="eastAsia" w:ascii="Times New Roman" w:hAnsi="Times New Roman"/>
          <w:szCs w:val="21"/>
          <w:highlight w:val="none"/>
        </w:rPr>
      </w:pPr>
      <w:r>
        <w:rPr>
          <w:rFonts w:ascii="Times New Roman" w:hAnsi="Times New Roman"/>
          <w:szCs w:val="21"/>
          <w:highlight w:val="none"/>
        </w:rPr>
        <w:t>乙方违反保密义务，甲方有权单方解除合同，乙方应按甲方实际损失向甲方进行赔偿并向甲方支付</w:t>
      </w:r>
      <w:r>
        <w:rPr>
          <w:rFonts w:hint="eastAsia" w:ascii="Times New Roman" w:hAnsi="Times New Roman"/>
          <w:szCs w:val="21"/>
          <w:highlight w:val="none"/>
        </w:rPr>
        <w:t>合同总金额的</w:t>
      </w:r>
      <w:r>
        <w:rPr>
          <w:rFonts w:hint="eastAsia" w:ascii="Times New Roman" w:hAnsi="Times New Roman"/>
          <w:szCs w:val="21"/>
          <w:highlight w:val="none"/>
          <w:u w:val="single"/>
        </w:rPr>
        <w:t>10</w:t>
      </w:r>
      <w:r>
        <w:rPr>
          <w:rFonts w:ascii="Times New Roman" w:hAnsi="Times New Roman"/>
          <w:szCs w:val="21"/>
          <w:highlight w:val="none"/>
        </w:rPr>
        <w:t>%</w:t>
      </w:r>
      <w:r>
        <w:rPr>
          <w:rFonts w:hint="eastAsia" w:ascii="Times New Roman" w:hAnsi="Times New Roman"/>
          <w:szCs w:val="21"/>
          <w:highlight w:val="none"/>
        </w:rPr>
        <w:t>作为</w:t>
      </w:r>
      <w:r>
        <w:rPr>
          <w:rFonts w:ascii="Times New Roman" w:hAnsi="Times New Roman"/>
          <w:szCs w:val="21"/>
          <w:highlight w:val="none"/>
        </w:rPr>
        <w:t>违约金。</w:t>
      </w:r>
    </w:p>
    <w:p w14:paraId="233512B9">
      <w:pPr>
        <w:pStyle w:val="29"/>
        <w:numPr>
          <w:ilvl w:val="0"/>
          <w:numId w:val="26"/>
        </w:numPr>
        <w:snapToGrid w:val="0"/>
        <w:ind w:firstLineChars="0"/>
        <w:rPr>
          <w:rFonts w:ascii="Times New Roman" w:hAnsi="Times New Roman"/>
          <w:szCs w:val="21"/>
          <w:highlight w:val="none"/>
        </w:rPr>
      </w:pPr>
      <w:r>
        <w:rPr>
          <w:rFonts w:hint="eastAsia" w:ascii="Times New Roman" w:hAnsi="Times New Roman"/>
          <w:szCs w:val="21"/>
          <w:highlight w:val="none"/>
        </w:rPr>
        <w:t>乙方偿付的违约金不足以弥补甲方损失的，还应按甲方损失尚未弥补的部分，支付赔偿金给甲方。</w:t>
      </w:r>
    </w:p>
    <w:p w14:paraId="1E9F2EAE">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w:t>
      </w:r>
      <w:r>
        <w:rPr>
          <w:rFonts w:hint="eastAsia" w:ascii="Times New Roman" w:hAnsi="Times New Roman"/>
          <w:szCs w:val="21"/>
          <w:highlight w:val="none"/>
        </w:rPr>
        <w:t>交付软件因</w:t>
      </w:r>
      <w:r>
        <w:rPr>
          <w:rFonts w:ascii="Times New Roman" w:hAnsi="Times New Roman"/>
          <w:szCs w:val="21"/>
          <w:highlight w:val="none"/>
        </w:rPr>
        <w:t>质量问题导致甲方及第三方人身、财产损失的，乙方承担由此造成的全部法律责任。</w:t>
      </w:r>
    </w:p>
    <w:p w14:paraId="025D7D02">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乙方未按照本合同约定的时限提供合法发票或提供发票瑕疵（包括但不限于发票种类有误、发票金额有误等），甲方付款时限相应顺延并不承担任何延期支付的违约责任。</w:t>
      </w:r>
    </w:p>
    <w:p w14:paraId="36C44F88">
      <w:pPr>
        <w:pStyle w:val="29"/>
        <w:numPr>
          <w:ilvl w:val="0"/>
          <w:numId w:val="26"/>
        </w:numPr>
        <w:snapToGrid w:val="0"/>
        <w:ind w:firstLineChars="0"/>
        <w:rPr>
          <w:rFonts w:ascii="Times New Roman" w:hAnsi="Times New Roman"/>
          <w:szCs w:val="21"/>
          <w:highlight w:val="none"/>
        </w:rPr>
      </w:pPr>
      <w:r>
        <w:rPr>
          <w:rFonts w:ascii="Times New Roman" w:hAnsi="Times New Roman"/>
          <w:szCs w:val="21"/>
          <w:highlight w:val="none"/>
        </w:rPr>
        <w:t>乙方在</w:t>
      </w:r>
      <w:r>
        <w:rPr>
          <w:rFonts w:hint="eastAsia" w:ascii="Times New Roman" w:hAnsi="Times New Roman"/>
          <w:szCs w:val="21"/>
          <w:highlight w:val="none"/>
        </w:rPr>
        <w:t>安装、</w:t>
      </w:r>
      <w:r>
        <w:rPr>
          <w:rFonts w:ascii="Times New Roman" w:hAnsi="Times New Roman"/>
          <w:szCs w:val="21"/>
          <w:highlight w:val="none"/>
        </w:rPr>
        <w:t>调试及售后服务过程中，因未按规程</w:t>
      </w:r>
      <w:r>
        <w:rPr>
          <w:rFonts w:hint="eastAsia" w:ascii="Times New Roman" w:hAnsi="Times New Roman"/>
          <w:szCs w:val="21"/>
          <w:highlight w:val="none"/>
        </w:rPr>
        <w:t>操作、</w:t>
      </w:r>
      <w:r>
        <w:rPr>
          <w:rFonts w:ascii="Times New Roman" w:hAnsi="Times New Roman"/>
          <w:szCs w:val="21"/>
          <w:highlight w:val="none"/>
        </w:rPr>
        <w:t>未采取必要的安全防范措施等原因直接或间接造成甲方及第三方人身、财产损失的，由乙方承担由此造成的全部法律责任。</w:t>
      </w:r>
    </w:p>
    <w:p w14:paraId="19A359CE">
      <w:pPr>
        <w:pStyle w:val="29"/>
        <w:numPr>
          <w:ilvl w:val="0"/>
          <w:numId w:val="26"/>
        </w:numPr>
        <w:snapToGrid w:val="0"/>
        <w:ind w:left="525" w:hanging="525" w:hangingChars="250"/>
        <w:rPr>
          <w:rFonts w:hint="eastAsia" w:ascii="Times New Roman" w:hAnsi="Times New Roman"/>
          <w:szCs w:val="21"/>
          <w:highlight w:val="none"/>
        </w:rPr>
      </w:pPr>
      <w:r>
        <w:rPr>
          <w:rFonts w:hint="eastAsia" w:ascii="Times New Roman" w:hAnsi="Times New Roman"/>
          <w:szCs w:val="21"/>
          <w:highlight w:val="none"/>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16B75D8E">
      <w:pPr>
        <w:pStyle w:val="29"/>
        <w:snapToGrid w:val="0"/>
        <w:ind w:firstLine="0" w:firstLineChars="0"/>
        <w:rPr>
          <w:rFonts w:ascii="Times New Roman" w:hAnsi="Times New Roman"/>
          <w:szCs w:val="21"/>
          <w:highlight w:val="none"/>
        </w:rPr>
      </w:pPr>
      <w:r>
        <w:rPr>
          <w:rFonts w:hint="eastAsia" w:ascii="Times New Roman" w:hAnsi="Times New Roman"/>
          <w:szCs w:val="21"/>
          <w:highlight w:val="none"/>
        </w:rPr>
        <w:t>3</w:t>
      </w:r>
      <w:r>
        <w:rPr>
          <w:rFonts w:ascii="Times New Roman" w:hAnsi="Times New Roman"/>
          <w:szCs w:val="21"/>
          <w:highlight w:val="none"/>
        </w:rPr>
        <w:t>.本合同履行中如有任何一方违约，那么守约方为保障自己合法权益而产生的律师费、诉讼费、差旅费、公告费等，均由违约方承担。</w:t>
      </w:r>
    </w:p>
    <w:p w14:paraId="4543A6D0">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不可抗力</w:t>
      </w:r>
    </w:p>
    <w:p w14:paraId="2B720162">
      <w:pPr>
        <w:pStyle w:val="29"/>
        <w:snapToGrid w:val="0"/>
        <w:rPr>
          <w:rFonts w:ascii="Times New Roman" w:hAnsi="Times New Roman"/>
          <w:bCs/>
          <w:szCs w:val="21"/>
          <w:highlight w:val="none"/>
        </w:rPr>
      </w:pPr>
      <w:r>
        <w:rPr>
          <w:rFonts w:ascii="Times New Roman" w:hAnsi="Times New Roman"/>
          <w:bCs/>
          <w:szCs w:val="21"/>
          <w:highlight w:val="none"/>
        </w:rPr>
        <w:t>如果遇到自然灾害和灾难及其他不可抗力事件而影响合同履行时，乙方应在三个工作日内以书面形式通知甲方。若不可抗力原因影响本合同执行时间超过</w:t>
      </w:r>
      <w:r>
        <w:rPr>
          <w:rFonts w:ascii="Times New Roman" w:hAnsi="Times New Roman"/>
          <w:bCs/>
          <w:szCs w:val="21"/>
          <w:highlight w:val="none"/>
          <w:u w:val="single"/>
        </w:rPr>
        <w:t>***</w:t>
      </w:r>
      <w:r>
        <w:rPr>
          <w:rFonts w:hint="eastAsia" w:ascii="Times New Roman" w:hAnsi="Times New Roman"/>
          <w:bCs/>
          <w:szCs w:val="21"/>
          <w:highlight w:val="none"/>
          <w:u w:val="single"/>
        </w:rPr>
        <w:t>日</w:t>
      </w:r>
      <w:r>
        <w:rPr>
          <w:rFonts w:ascii="Times New Roman" w:hAnsi="Times New Roman"/>
          <w:bCs/>
          <w:szCs w:val="21"/>
          <w:highlight w:val="none"/>
        </w:rPr>
        <w:t>，甲方有权解除合同，双方互不承担违约责任。</w:t>
      </w:r>
    </w:p>
    <w:p w14:paraId="0C9A50AA">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争议解决办法</w:t>
      </w:r>
    </w:p>
    <w:p w14:paraId="6D34D5BD">
      <w:pPr>
        <w:pStyle w:val="29"/>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因</w:t>
      </w:r>
      <w:r>
        <w:rPr>
          <w:rFonts w:hint="eastAsia" w:ascii="Times New Roman" w:hAnsi="Times New Roman"/>
          <w:szCs w:val="21"/>
          <w:highlight w:val="none"/>
        </w:rPr>
        <w:t>软件</w:t>
      </w:r>
      <w:r>
        <w:rPr>
          <w:rFonts w:ascii="Times New Roman" w:hAnsi="Times New Roman"/>
          <w:szCs w:val="21"/>
          <w:highlight w:val="none"/>
        </w:rPr>
        <w:t>的质量问题发生争议，由质量技术监督部门或其指定的质量鉴定机构进行质量鉴定。货物符合标准的，鉴定费由甲方承担；货物不符合质量标准的，鉴定费由乙方承担。</w:t>
      </w:r>
    </w:p>
    <w:p w14:paraId="70BBC008">
      <w:pPr>
        <w:pStyle w:val="29"/>
        <w:numPr>
          <w:ilvl w:val="0"/>
          <w:numId w:val="27"/>
        </w:numPr>
        <w:ind w:left="0" w:firstLine="0" w:firstLineChars="0"/>
        <w:rPr>
          <w:rFonts w:ascii="Times New Roman" w:hAnsi="Times New Roman"/>
          <w:szCs w:val="21"/>
          <w:highlight w:val="none"/>
        </w:rPr>
      </w:pPr>
      <w:r>
        <w:rPr>
          <w:rFonts w:ascii="Times New Roman" w:hAnsi="Times New Roman"/>
          <w:szCs w:val="21"/>
          <w:highlight w:val="none"/>
        </w:rPr>
        <w:t>合同履行期间,若双方发生争议，可协商或由有关部门调解解决，协商或调解不成的，任何一方均有权向甲方</w:t>
      </w:r>
      <w:r>
        <w:rPr>
          <w:rFonts w:hint="eastAsia" w:ascii="Times New Roman" w:hAnsi="Times New Roman"/>
          <w:szCs w:val="21"/>
          <w:highlight w:val="none"/>
        </w:rPr>
        <w:t>所在地</w:t>
      </w:r>
      <w:r>
        <w:rPr>
          <w:rFonts w:ascii="Times New Roman" w:hAnsi="Times New Roman"/>
          <w:szCs w:val="21"/>
          <w:highlight w:val="none"/>
        </w:rPr>
        <w:t>具有管辖权的人民法院起诉。</w:t>
      </w:r>
    </w:p>
    <w:p w14:paraId="027AD60C">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送达</w:t>
      </w:r>
      <w:r>
        <w:rPr>
          <w:rFonts w:hint="eastAsia" w:ascii="Times New Roman" w:hAnsi="Times New Roman"/>
          <w:b/>
          <w:bCs/>
          <w:szCs w:val="21"/>
          <w:highlight w:val="none"/>
        </w:rPr>
        <w:t>（送达地址是司法机关、执法机关和仲裁机关将法律文书送达给当事人的收件地址）</w:t>
      </w:r>
    </w:p>
    <w:p w14:paraId="3CA15EA9">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56CC98D9">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r>
        <w:rPr>
          <w:rFonts w:hint="eastAsia" w:hAnsi="Times New Roman" w:eastAsia="宋体" w:cs="Times New Roman"/>
          <w:color w:val="auto"/>
          <w:highlight w:val="none"/>
        </w:rPr>
        <w:t>*</w:t>
      </w:r>
      <w:r>
        <w:rPr>
          <w:rFonts w:hAnsi="Times New Roman" w:eastAsia="宋体" w:cs="Times New Roman"/>
          <w:color w:val="auto"/>
          <w:highlight w:val="none"/>
        </w:rPr>
        <w:t>**</w:t>
      </w:r>
    </w:p>
    <w:p w14:paraId="7DDCAD8B">
      <w:pPr>
        <w:pStyle w:val="34"/>
        <w:numPr>
          <w:ilvl w:val="0"/>
          <w:numId w:val="28"/>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32E8AE43">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其他</w:t>
      </w:r>
    </w:p>
    <w:p w14:paraId="10B1552B">
      <w:pPr>
        <w:pStyle w:val="29"/>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如有未尽事宜，由双方依法订立补充合同。补充合同</w:t>
      </w:r>
      <w:r>
        <w:rPr>
          <w:rFonts w:hint="eastAsia" w:ascii="Times New Roman" w:hAnsi="Times New Roman"/>
          <w:szCs w:val="21"/>
          <w:highlight w:val="none"/>
        </w:rPr>
        <w:t>及本合同</w:t>
      </w:r>
      <w:r>
        <w:rPr>
          <w:rFonts w:ascii="Times New Roman" w:hAnsi="Times New Roman"/>
          <w:szCs w:val="21"/>
          <w:highlight w:val="none"/>
        </w:rPr>
        <w:t>附件</w:t>
      </w:r>
      <w:r>
        <w:rPr>
          <w:rFonts w:hint="eastAsia" w:ascii="Times New Roman" w:hAnsi="Times New Roman"/>
          <w:szCs w:val="21"/>
          <w:highlight w:val="none"/>
        </w:rPr>
        <w:t>均</w:t>
      </w:r>
      <w:r>
        <w:rPr>
          <w:rFonts w:ascii="Times New Roman" w:hAnsi="Times New Roman"/>
          <w:szCs w:val="21"/>
          <w:highlight w:val="none"/>
        </w:rPr>
        <w:t>为本合同的组成部分，与本合同具有同等法律效力。</w:t>
      </w:r>
    </w:p>
    <w:p w14:paraId="2AF92006">
      <w:pPr>
        <w:pStyle w:val="29"/>
        <w:numPr>
          <w:ilvl w:val="0"/>
          <w:numId w:val="29"/>
        </w:numPr>
        <w:ind w:left="0" w:firstLine="0" w:firstLineChars="0"/>
        <w:rPr>
          <w:rFonts w:ascii="Times New Roman" w:hAnsi="Times New Roman"/>
          <w:szCs w:val="21"/>
          <w:highlight w:val="none"/>
        </w:rPr>
      </w:pPr>
      <w:r>
        <w:rPr>
          <w:rFonts w:ascii="Times New Roman" w:hAnsi="Times New Roman"/>
          <w:szCs w:val="21"/>
          <w:highlight w:val="none"/>
        </w:rPr>
        <w:t>本合同一式</w:t>
      </w:r>
      <w:r>
        <w:rPr>
          <w:rFonts w:hint="eastAsia" w:ascii="Times New Roman" w:hAnsi="Times New Roman"/>
          <w:szCs w:val="21"/>
          <w:highlight w:val="none"/>
        </w:rPr>
        <w:t>四</w:t>
      </w:r>
      <w:r>
        <w:rPr>
          <w:rFonts w:ascii="Times New Roman" w:hAnsi="Times New Roman"/>
          <w:szCs w:val="21"/>
          <w:highlight w:val="none"/>
        </w:rPr>
        <w:t>份，自双方</w:t>
      </w:r>
      <w:r>
        <w:rPr>
          <w:rFonts w:hint="eastAsia" w:ascii="Times New Roman" w:hAnsi="Times New Roman"/>
          <w:szCs w:val="21"/>
          <w:highlight w:val="none"/>
        </w:rPr>
        <w:t>签字且盖章</w:t>
      </w:r>
      <w:r>
        <w:rPr>
          <w:rFonts w:ascii="Times New Roman" w:hAnsi="Times New Roman"/>
          <w:szCs w:val="21"/>
          <w:highlight w:val="none"/>
        </w:rPr>
        <w:t>之日起生效。甲方三份，乙方一份。</w:t>
      </w:r>
    </w:p>
    <w:p w14:paraId="009D96C1">
      <w:pPr>
        <w:pStyle w:val="29"/>
        <w:numPr>
          <w:ilvl w:val="0"/>
          <w:numId w:val="12"/>
        </w:numPr>
        <w:snapToGrid w:val="0"/>
        <w:ind w:left="0" w:firstLine="0" w:firstLineChars="0"/>
        <w:rPr>
          <w:rFonts w:ascii="Times New Roman" w:hAnsi="Times New Roman"/>
          <w:b/>
          <w:bCs/>
          <w:szCs w:val="21"/>
          <w:highlight w:val="none"/>
        </w:rPr>
      </w:pPr>
      <w:r>
        <w:rPr>
          <w:rFonts w:ascii="Times New Roman" w:hAnsi="Times New Roman"/>
          <w:b/>
          <w:bCs/>
          <w:szCs w:val="21"/>
          <w:highlight w:val="none"/>
        </w:rPr>
        <w:t>合同附件</w:t>
      </w:r>
    </w:p>
    <w:p w14:paraId="520E11DA">
      <w:pPr>
        <w:rPr>
          <w:rFonts w:ascii="Times New Roman" w:hAnsi="Times New Roman"/>
          <w:i/>
          <w:iCs/>
          <w:szCs w:val="21"/>
          <w:highlight w:val="none"/>
        </w:rPr>
      </w:pPr>
      <w:r>
        <w:rPr>
          <w:rFonts w:hint="eastAsia" w:ascii="Times New Roman" w:hAnsi="Times New Roman"/>
          <w:szCs w:val="21"/>
          <w:highlight w:val="none"/>
        </w:rPr>
        <w:t>本合同为</w:t>
      </w:r>
      <w:r>
        <w:rPr>
          <w:rFonts w:hint="eastAsia" w:ascii="Times New Roman" w:hAnsi="Times New Roman"/>
          <w:szCs w:val="21"/>
          <w:highlight w:val="none"/>
          <w:u w:val="single"/>
        </w:rPr>
        <w:t>有</w:t>
      </w:r>
      <w:r>
        <w:rPr>
          <w:rFonts w:hint="eastAsia" w:ascii="Times New Roman" w:hAnsi="Times New Roman"/>
          <w:szCs w:val="21"/>
          <w:highlight w:val="none"/>
        </w:rPr>
        <w:t>附件合同。</w:t>
      </w:r>
      <w:r>
        <w:rPr>
          <w:rFonts w:hint="eastAsia" w:ascii="Times New Roman" w:hAnsi="Times New Roman"/>
          <w:i/>
          <w:iCs/>
          <w:szCs w:val="21"/>
          <w:highlight w:val="none"/>
        </w:rPr>
        <w:t>&lt;根据项目实际情况编制&gt;</w:t>
      </w:r>
    </w:p>
    <w:p w14:paraId="330054BD">
      <w:pPr>
        <w:pStyle w:val="7"/>
        <w:rPr>
          <w:rFonts w:hint="eastAsia"/>
        </w:rPr>
      </w:pPr>
      <w:r>
        <w:rPr>
          <w:rFonts w:hint="eastAsia" w:ascii="Times New Roman" w:hAnsi="Times New Roman"/>
          <w:szCs w:val="21"/>
          <w:u w:val="single"/>
        </w:rPr>
        <w:t>附件：《开发进度表》</w:t>
      </w:r>
    </w:p>
    <w:p w14:paraId="1BD63CDA">
      <w:pPr>
        <w:jc w:val="center"/>
        <w:rPr>
          <w:rFonts w:hint="eastAsia"/>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201BBA2C">
        <w:tblPrEx>
          <w:tblCellMar>
            <w:top w:w="0" w:type="dxa"/>
            <w:left w:w="0" w:type="dxa"/>
            <w:bottom w:w="0" w:type="dxa"/>
            <w:right w:w="0" w:type="dxa"/>
          </w:tblCellMar>
        </w:tblPrEx>
        <w:trPr>
          <w:trHeight w:val="519" w:hRule="atLeast"/>
          <w:jc w:val="center"/>
        </w:trPr>
        <w:tc>
          <w:tcPr>
            <w:tcW w:w="10214" w:type="dxa"/>
            <w:gridSpan w:val="2"/>
            <w:noWrap w:val="0"/>
            <w:vAlign w:val="top"/>
          </w:tcPr>
          <w:p w14:paraId="4BB0622E">
            <w:pPr>
              <w:rPr>
                <w:rFonts w:hint="eastAsia"/>
              </w:rPr>
            </w:pPr>
            <w:r>
              <w:rPr>
                <w:rFonts w:hint="eastAsia"/>
              </w:rPr>
              <w:t>签订时间：</w:t>
            </w:r>
            <w:r>
              <w:t>202</w:t>
            </w:r>
            <w:r>
              <w:rPr>
                <w:rFonts w:hint="eastAsia"/>
              </w:rPr>
              <w:t>*</w:t>
            </w:r>
            <w:r>
              <w:t>年</w:t>
            </w:r>
            <w:r>
              <w:rPr>
                <w:rFonts w:hint="eastAsia"/>
              </w:rPr>
              <w:t>*</w:t>
            </w:r>
            <w:r>
              <w:t>**月</w:t>
            </w:r>
            <w:r>
              <w:rPr>
                <w:rFonts w:hint="eastAsia"/>
              </w:rPr>
              <w:t>*</w:t>
            </w:r>
            <w:r>
              <w:t>**</w:t>
            </w:r>
            <w:r>
              <w:rPr>
                <w:rFonts w:hint="eastAsia"/>
              </w:rPr>
              <w:t>日</w:t>
            </w:r>
          </w:p>
        </w:tc>
      </w:tr>
      <w:tr w14:paraId="142C65EB">
        <w:tblPrEx>
          <w:tblCellMar>
            <w:top w:w="0" w:type="dxa"/>
            <w:left w:w="0" w:type="dxa"/>
            <w:bottom w:w="0" w:type="dxa"/>
            <w:right w:w="0" w:type="dxa"/>
          </w:tblCellMar>
        </w:tblPrEx>
        <w:trPr>
          <w:jc w:val="center"/>
        </w:trPr>
        <w:tc>
          <w:tcPr>
            <w:tcW w:w="4967" w:type="dxa"/>
            <w:noWrap w:val="0"/>
            <w:vAlign w:val="top"/>
          </w:tcPr>
          <w:p w14:paraId="42CFB3DD">
            <w:r>
              <w:t>甲方：四川省人民医院（盖章）</w:t>
            </w:r>
          </w:p>
          <w:p w14:paraId="10F061BF">
            <w:r>
              <w:t>法定代表人（授权代表签字）：</w:t>
            </w:r>
          </w:p>
          <w:p w14:paraId="2356B37A">
            <w:r>
              <w:t>地    址：四川省成都市一环路西二段32号</w:t>
            </w:r>
          </w:p>
          <w:p w14:paraId="04A1885E">
            <w:r>
              <w:t>开户银行：建设银行成都青羊支行</w:t>
            </w:r>
          </w:p>
          <w:p w14:paraId="46D80296">
            <w:pPr>
              <w:rPr>
                <w:rFonts w:hint="eastAsia"/>
              </w:rPr>
            </w:pPr>
            <w:r>
              <w:t>账号：5100 1446 4360 5037 4282</w:t>
            </w:r>
          </w:p>
        </w:tc>
        <w:tc>
          <w:tcPr>
            <w:tcW w:w="5247" w:type="dxa"/>
            <w:noWrap w:val="0"/>
            <w:vAlign w:val="top"/>
          </w:tcPr>
          <w:p w14:paraId="5261C723">
            <w:r>
              <w:t>乙方：***（盖章）</w:t>
            </w:r>
          </w:p>
          <w:p w14:paraId="1882164D">
            <w:r>
              <w:t>法定代表人（授权代表签字）：</w:t>
            </w:r>
          </w:p>
          <w:p w14:paraId="61ABA052">
            <w:r>
              <w:t>地址：***</w:t>
            </w:r>
          </w:p>
          <w:p w14:paraId="5D64ACD6">
            <w:r>
              <w:t>开户银行：***</w:t>
            </w:r>
          </w:p>
          <w:p w14:paraId="273198A9">
            <w:pPr>
              <w:rPr>
                <w:rFonts w:hint="eastAsia"/>
              </w:rPr>
            </w:pPr>
            <w:r>
              <w:t>账号：***</w:t>
            </w:r>
          </w:p>
        </w:tc>
      </w:tr>
    </w:tbl>
    <w:p w14:paraId="16E35848">
      <w:pPr>
        <w:rPr>
          <w:rFonts w:hint="eastAsia" w:ascii="Times New Roman" w:hAnsi="Times New Roman"/>
          <w:b/>
          <w:bCs/>
          <w:szCs w:val="21"/>
        </w:rPr>
      </w:pPr>
      <w:r>
        <w:rPr>
          <w:rFonts w:hint="eastAsia" w:ascii="Times New Roman" w:hAnsi="Times New Roman"/>
          <w:b/>
          <w:bCs/>
          <w:szCs w:val="21"/>
        </w:rPr>
        <w:br w:type="page"/>
      </w:r>
    </w:p>
    <w:p w14:paraId="199C5AF7">
      <w:pPr>
        <w:rPr>
          <w:rFonts w:ascii="Times New Roman" w:hAnsi="Times New Roman"/>
          <w:b/>
          <w:bCs/>
          <w:szCs w:val="21"/>
        </w:rPr>
      </w:pPr>
      <w:r>
        <w:rPr>
          <w:rFonts w:hint="eastAsia" w:ascii="Times New Roman" w:hAnsi="Times New Roman"/>
          <w:b/>
          <w:bCs/>
          <w:szCs w:val="21"/>
        </w:rPr>
        <w:t>附件：开发进度表</w:t>
      </w:r>
    </w:p>
    <w:p w14:paraId="5E869B76">
      <w:pPr>
        <w:pStyle w:val="8"/>
        <w:ind w:firstLine="0" w:firstLineChars="0"/>
        <w:contextualSpacing/>
        <w:rPr>
          <w:rFonts w:ascii="Times New Roman" w:hAnsi="Times New Roman"/>
        </w:rPr>
      </w:pPr>
    </w:p>
    <w:p w14:paraId="551F41CB">
      <w:pPr>
        <w:pStyle w:val="8"/>
        <w:ind w:firstLine="0" w:firstLineChars="0"/>
        <w:rPr>
          <w:rFonts w:hint="eastAsia"/>
        </w:rPr>
      </w:pPr>
      <w:r>
        <w:rPr>
          <w:rFonts w:hint="eastAsia"/>
        </w:rPr>
        <w:t>*</w:t>
      </w:r>
      <w:r>
        <w:t>**</w:t>
      </w:r>
    </w:p>
    <w:p w14:paraId="2C51A505">
      <w:pPr>
        <w:rPr>
          <w:rFonts w:ascii="Times New Roman" w:hAnsi="Times New Roman" w:cs="Times New Roman"/>
          <w:b/>
          <w:bCs/>
          <w:sz w:val="44"/>
          <w:szCs w:val="52"/>
        </w:rPr>
      </w:pPr>
    </w:p>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57B74785">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7A09D95-7C76-4E87-953E-AF9DA5C4413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F5E38F8-8E4A-44BC-972D-BEE9A8D11A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8FAD27F-A295-45F5-AD79-9D98639A392C}"/>
  </w:font>
  <w:font w:name="FangSong_GB2312">
    <w:altName w:val="仿宋"/>
    <w:panose1 w:val="020B0604020202020204"/>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Wingdings 2">
    <w:altName w:val="Wingdings"/>
    <w:panose1 w:val="05020102010507070707"/>
    <w:charset w:val="4D"/>
    <w:family w:val="decorative"/>
    <w:pitch w:val="default"/>
    <w:sig w:usb0="00000000" w:usb1="00000000" w:usb2="00000000" w:usb3="00000000" w:csb0="80000001" w:csb1="00000000"/>
    <w:embedRegular r:id="rId4" w:fontKey="{7513B0F9-BA3C-4896-84AF-317A9DA0A6BC}"/>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18856">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DC18856">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3"/>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48B33EC"/>
    <w:multiLevelType w:val="singleLevel"/>
    <w:tmpl w:val="F48B33EC"/>
    <w:lvl w:ilvl="0" w:tentative="0">
      <w:start w:val="1"/>
      <w:numFmt w:val="decimal"/>
      <w:suff w:val="nothing"/>
      <w:lvlText w:val="（%1）"/>
      <w:lvlJc w:val="left"/>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8">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F712D09"/>
    <w:multiLevelType w:val="singleLevel"/>
    <w:tmpl w:val="1F712D09"/>
    <w:lvl w:ilvl="0" w:tentative="0">
      <w:start w:val="1"/>
      <w:numFmt w:val="decimal"/>
      <w:lvlText w:val="(%1)"/>
      <w:lvlJc w:val="left"/>
      <w:pPr>
        <w:ind w:left="218" w:hanging="425"/>
      </w:pPr>
      <w:rPr>
        <w:rFonts w:hint="default"/>
      </w:rPr>
    </w:lvl>
  </w:abstractNum>
  <w:abstractNum w:abstractNumId="11">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4">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33AF7D37"/>
    <w:multiLevelType w:val="multilevel"/>
    <w:tmpl w:val="33AF7D3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3497435B"/>
    <w:multiLevelType w:val="multilevel"/>
    <w:tmpl w:val="3497435B"/>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70125C6"/>
    <w:multiLevelType w:val="multilevel"/>
    <w:tmpl w:val="470125C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2"/>
  </w:num>
  <w:num w:numId="3">
    <w:abstractNumId w:val="18"/>
  </w:num>
  <w:num w:numId="4">
    <w:abstractNumId w:val="28"/>
  </w:num>
  <w:num w:numId="5">
    <w:abstractNumId w:val="10"/>
  </w:num>
  <w:num w:numId="6">
    <w:abstractNumId w:val="23"/>
  </w:num>
  <w:num w:numId="7">
    <w:abstractNumId w:val="17"/>
  </w:num>
  <w:num w:numId="8">
    <w:abstractNumId w:val="3"/>
  </w:num>
  <w:num w:numId="9">
    <w:abstractNumId w:val="1"/>
  </w:num>
  <w:num w:numId="10">
    <w:abstractNumId w:val="0"/>
  </w:num>
  <w:num w:numId="11">
    <w:abstractNumId w:val="4"/>
  </w:num>
  <w:num w:numId="12">
    <w:abstractNumId w:val="6"/>
  </w:num>
  <w:num w:numId="13">
    <w:abstractNumId w:val="25"/>
  </w:num>
  <w:num w:numId="14">
    <w:abstractNumId w:val="5"/>
  </w:num>
  <w:num w:numId="15">
    <w:abstractNumId w:val="16"/>
  </w:num>
  <w:num w:numId="16">
    <w:abstractNumId w:val="15"/>
  </w:num>
  <w:num w:numId="17">
    <w:abstractNumId w:val="27"/>
  </w:num>
  <w:num w:numId="18">
    <w:abstractNumId w:val="21"/>
  </w:num>
  <w:num w:numId="19">
    <w:abstractNumId w:val="7"/>
  </w:num>
  <w:num w:numId="20">
    <w:abstractNumId w:val="11"/>
  </w:num>
  <w:num w:numId="21">
    <w:abstractNumId w:val="14"/>
  </w:num>
  <w:num w:numId="22">
    <w:abstractNumId w:val="26"/>
  </w:num>
  <w:num w:numId="23">
    <w:abstractNumId w:val="24"/>
  </w:num>
  <w:num w:numId="24">
    <w:abstractNumId w:val="19"/>
  </w:num>
  <w:num w:numId="25">
    <w:abstractNumId w:val="13"/>
  </w:num>
  <w:num w:numId="26">
    <w:abstractNumId w:val="8"/>
  </w:num>
  <w:num w:numId="27">
    <w:abstractNumId w:val="20"/>
  </w:num>
  <w:num w:numId="28">
    <w:abstractNumId w:val="9"/>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C4927"/>
    <w:rsid w:val="003E4BF1"/>
    <w:rsid w:val="00426031"/>
    <w:rsid w:val="00427BF2"/>
    <w:rsid w:val="00461368"/>
    <w:rsid w:val="004F4DC4"/>
    <w:rsid w:val="00500885"/>
    <w:rsid w:val="00540FCE"/>
    <w:rsid w:val="005A705A"/>
    <w:rsid w:val="005D169E"/>
    <w:rsid w:val="00607092"/>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4174CC4"/>
    <w:rsid w:val="058C78B0"/>
    <w:rsid w:val="05E13064"/>
    <w:rsid w:val="078A573C"/>
    <w:rsid w:val="093A3733"/>
    <w:rsid w:val="09A03EDE"/>
    <w:rsid w:val="0B4508AE"/>
    <w:rsid w:val="0C8B7F7D"/>
    <w:rsid w:val="0C917B0E"/>
    <w:rsid w:val="0CF161C9"/>
    <w:rsid w:val="0E0B7FF0"/>
    <w:rsid w:val="0E65470A"/>
    <w:rsid w:val="0F8B4CE8"/>
    <w:rsid w:val="0FB82141"/>
    <w:rsid w:val="117A5014"/>
    <w:rsid w:val="127F05A0"/>
    <w:rsid w:val="136D78F8"/>
    <w:rsid w:val="140908D1"/>
    <w:rsid w:val="14C173FE"/>
    <w:rsid w:val="15CC4977"/>
    <w:rsid w:val="15D66ED9"/>
    <w:rsid w:val="162A4F7D"/>
    <w:rsid w:val="16A82A66"/>
    <w:rsid w:val="17E72CD8"/>
    <w:rsid w:val="192F5006"/>
    <w:rsid w:val="1994787E"/>
    <w:rsid w:val="1AF35E37"/>
    <w:rsid w:val="1D532BBD"/>
    <w:rsid w:val="1DD000AF"/>
    <w:rsid w:val="1DD45AAC"/>
    <w:rsid w:val="1E09745A"/>
    <w:rsid w:val="201B291E"/>
    <w:rsid w:val="21521B0A"/>
    <w:rsid w:val="22B025C2"/>
    <w:rsid w:val="238B1303"/>
    <w:rsid w:val="23D4489F"/>
    <w:rsid w:val="24FE78B3"/>
    <w:rsid w:val="262001B9"/>
    <w:rsid w:val="272A6FE5"/>
    <w:rsid w:val="27930786"/>
    <w:rsid w:val="27B87AF9"/>
    <w:rsid w:val="27E80EA9"/>
    <w:rsid w:val="280414A1"/>
    <w:rsid w:val="28570368"/>
    <w:rsid w:val="28F00E11"/>
    <w:rsid w:val="29C5318E"/>
    <w:rsid w:val="2B502F98"/>
    <w:rsid w:val="2B764647"/>
    <w:rsid w:val="2C9A0A9E"/>
    <w:rsid w:val="2D7626DC"/>
    <w:rsid w:val="2DA70D65"/>
    <w:rsid w:val="2EBF2F4F"/>
    <w:rsid w:val="2EFD0262"/>
    <w:rsid w:val="3427766B"/>
    <w:rsid w:val="343706EB"/>
    <w:rsid w:val="351A08D0"/>
    <w:rsid w:val="35B1007D"/>
    <w:rsid w:val="36124C6D"/>
    <w:rsid w:val="36334CE5"/>
    <w:rsid w:val="37C64260"/>
    <w:rsid w:val="39B3630B"/>
    <w:rsid w:val="39F74BA5"/>
    <w:rsid w:val="3A551407"/>
    <w:rsid w:val="3B033C36"/>
    <w:rsid w:val="3E5D4E8E"/>
    <w:rsid w:val="3EBD5B21"/>
    <w:rsid w:val="3FE25336"/>
    <w:rsid w:val="410F0A26"/>
    <w:rsid w:val="42075FF8"/>
    <w:rsid w:val="42842020"/>
    <w:rsid w:val="439A5D2A"/>
    <w:rsid w:val="440525B4"/>
    <w:rsid w:val="468567BB"/>
    <w:rsid w:val="47150D60"/>
    <w:rsid w:val="4782487D"/>
    <w:rsid w:val="487307B7"/>
    <w:rsid w:val="498779AB"/>
    <w:rsid w:val="4AEF78B9"/>
    <w:rsid w:val="4B31068E"/>
    <w:rsid w:val="4BA55220"/>
    <w:rsid w:val="4BAD0151"/>
    <w:rsid w:val="4C8F75A2"/>
    <w:rsid w:val="4D066C0A"/>
    <w:rsid w:val="4DAD4403"/>
    <w:rsid w:val="4DB85903"/>
    <w:rsid w:val="4DF94F37"/>
    <w:rsid w:val="4E5E7A74"/>
    <w:rsid w:val="4E8C008E"/>
    <w:rsid w:val="4ECA2430"/>
    <w:rsid w:val="4F695058"/>
    <w:rsid w:val="4FEF758C"/>
    <w:rsid w:val="50771A9C"/>
    <w:rsid w:val="51C47F6D"/>
    <w:rsid w:val="53191BD8"/>
    <w:rsid w:val="53574AE5"/>
    <w:rsid w:val="5455382C"/>
    <w:rsid w:val="55EA33B8"/>
    <w:rsid w:val="58DB1253"/>
    <w:rsid w:val="5A113973"/>
    <w:rsid w:val="5A8C2C8F"/>
    <w:rsid w:val="5B2130BD"/>
    <w:rsid w:val="5BE523F7"/>
    <w:rsid w:val="5D0A3490"/>
    <w:rsid w:val="5D7E0D39"/>
    <w:rsid w:val="5DF536DD"/>
    <w:rsid w:val="5E9B5B97"/>
    <w:rsid w:val="5E9D3F29"/>
    <w:rsid w:val="5EDC2437"/>
    <w:rsid w:val="5FE63BE9"/>
    <w:rsid w:val="60384CD1"/>
    <w:rsid w:val="60655808"/>
    <w:rsid w:val="60C457EE"/>
    <w:rsid w:val="62487DE4"/>
    <w:rsid w:val="63A9427A"/>
    <w:rsid w:val="63D462B1"/>
    <w:rsid w:val="641A3596"/>
    <w:rsid w:val="643B5D39"/>
    <w:rsid w:val="64D96647"/>
    <w:rsid w:val="655B51E5"/>
    <w:rsid w:val="65C47781"/>
    <w:rsid w:val="65E40ADA"/>
    <w:rsid w:val="65EE0CA2"/>
    <w:rsid w:val="66330B86"/>
    <w:rsid w:val="66E22203"/>
    <w:rsid w:val="68701E42"/>
    <w:rsid w:val="68B812C9"/>
    <w:rsid w:val="69D50CF4"/>
    <w:rsid w:val="6AF44E44"/>
    <w:rsid w:val="6B185026"/>
    <w:rsid w:val="6C487AFD"/>
    <w:rsid w:val="6CB24363"/>
    <w:rsid w:val="6EA93466"/>
    <w:rsid w:val="6EC76ECB"/>
    <w:rsid w:val="6FCF0795"/>
    <w:rsid w:val="70256A67"/>
    <w:rsid w:val="709F1517"/>
    <w:rsid w:val="71381023"/>
    <w:rsid w:val="713F6856"/>
    <w:rsid w:val="719153B4"/>
    <w:rsid w:val="73714961"/>
    <w:rsid w:val="74E53276"/>
    <w:rsid w:val="754D1D92"/>
    <w:rsid w:val="758350A9"/>
    <w:rsid w:val="77071BC4"/>
    <w:rsid w:val="77541AA4"/>
    <w:rsid w:val="79EB6EA3"/>
    <w:rsid w:val="7A530E81"/>
    <w:rsid w:val="7B560FD7"/>
    <w:rsid w:val="7B5F74F8"/>
    <w:rsid w:val="7B690630"/>
    <w:rsid w:val="7C5123F4"/>
    <w:rsid w:val="7D040AB6"/>
    <w:rsid w:val="7D4119E6"/>
    <w:rsid w:val="7DAF162B"/>
    <w:rsid w:val="7DC42B41"/>
    <w:rsid w:val="7F8B02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8"/>
    <w:qFormat/>
    <w:uiPriority w:val="0"/>
    <w:pPr>
      <w:spacing w:after="120"/>
    </w:pPr>
  </w:style>
  <w:style w:type="paragraph" w:styleId="8">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6"/>
    <w:next w:val="6"/>
    <w:link w:val="38"/>
    <w:qFormat/>
    <w:uiPriority w:val="0"/>
    <w:rPr>
      <w:b/>
      <w:bCs/>
    </w:rPr>
  </w:style>
  <w:style w:type="paragraph" w:styleId="17">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unhideWhenUsed/>
    <w:qFormat/>
    <w:uiPriority w:val="99"/>
    <w:rPr>
      <w:color w:val="0563C1" w:themeColor="hyperlink"/>
      <w:u w:val="single"/>
      <w14:textFill>
        <w14:solidFill>
          <w14:schemeClr w14:val="hlink"/>
        </w14:solidFill>
      </w14:textFill>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8"/>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6"/>
    <w:qFormat/>
    <w:uiPriority w:val="0"/>
    <w:rPr>
      <w:b/>
      <w:bCs/>
      <w:kern w:val="2"/>
      <w:sz w:val="21"/>
      <w:szCs w:val="22"/>
    </w:rPr>
  </w:style>
  <w:style w:type="character" w:customStyle="1" w:styleId="39">
    <w:name w:val="Balloon Text Char"/>
    <w:basedOn w:val="20"/>
    <w:link w:val="11"/>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1048</Words>
  <Characters>1131</Characters>
  <Lines>68</Lines>
  <Paragraphs>19</Paragraphs>
  <TotalTime>0</TotalTime>
  <ScaleCrop>false</ScaleCrop>
  <LinksUpToDate>false</LinksUpToDate>
  <CharactersWithSpaces>1204</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2026-08-03T02:42:11Z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934EF6A1E4AC4AC2BFFF9401D1C51CED_13</vt:lpwstr>
  </property>
  <property fmtid="{D5CDD505-2E9C-101B-9397-08002B2CF9AE}" pid="4" name="KSOTemplateDocerSaveRecord">
    <vt:lpwstr>eyJoZGlkIjoiNDc0MTk5M2JkMmE1NDI4NDczMTFjZTZjODJmMzdhNjkiLCJ1c2VySWQiOiIyMTIzMTcyNzYifQ==</vt:lpwstr>
  </property>
</Properties>
</file>