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88BC2">
      <w:pPr>
        <w:spacing w:before="634" w:beforeLines="200" w:after="317" w:afterLines="100" w:line="360" w:lineRule="auto"/>
        <w:jc w:val="center"/>
        <w:rPr>
          <w:rFonts w:ascii="Times New Roman" w:hAnsi="Times New Roman" w:eastAsia="黑体" w:cs="Times New Roman"/>
          <w:b/>
          <w:spacing w:val="24"/>
          <w:sz w:val="56"/>
          <w:szCs w:val="56"/>
        </w:rPr>
      </w:pPr>
      <w:r>
        <w:rPr>
          <w:rFonts w:hint="eastAsia" w:ascii="Times New Roman" w:hAnsi="Times New Roman" w:eastAsia="黑体" w:cs="Times New Roman"/>
          <w:b/>
          <w:spacing w:val="24"/>
          <w:sz w:val="56"/>
          <w:szCs w:val="56"/>
          <w:lang w:eastAsia="zh-CN"/>
        </w:rPr>
        <w:t>四川省人民医院追溯管理系统升级采购项目</w:t>
      </w:r>
    </w:p>
    <w:p w14:paraId="248C5A66">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采</w:t>
      </w:r>
    </w:p>
    <w:p w14:paraId="3E664494">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购</w:t>
      </w:r>
    </w:p>
    <w:p w14:paraId="63B4C2F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28A9A35B">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0EEC910F">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485AC5D">
      <w:pPr>
        <w:spacing w:line="440" w:lineRule="exact"/>
        <w:jc w:val="center"/>
        <w:rPr>
          <w:rFonts w:ascii="Times New Roman" w:hAnsi="Times New Roman" w:eastAsia="黑体" w:cs="Times New Roman"/>
          <w:b/>
          <w:sz w:val="36"/>
          <w:szCs w:val="36"/>
        </w:rPr>
      </w:pPr>
    </w:p>
    <w:p w14:paraId="3732434D">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月</w:t>
      </w:r>
    </w:p>
    <w:p w14:paraId="1E4CC0CF">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bookmarkStart w:id="98" w:name="_GoBack"/>
      <w:bookmarkEnd w:id="98"/>
    </w:p>
    <w:p w14:paraId="018D84E4">
      <w:pPr>
        <w:pStyle w:val="13"/>
        <w:tabs>
          <w:tab w:val="left" w:pos="6160"/>
        </w:tabs>
        <w:rPr>
          <w:rFonts w:ascii="Times New Roman" w:hAnsi="Times New Roman" w:eastAsia="仿宋" w:cs="Times New Roman"/>
          <w:sz w:val="28"/>
          <w:szCs w:val="32"/>
        </w:rPr>
      </w:pPr>
    </w:p>
    <w:p w14:paraId="267EBE78">
      <w:pPr>
        <w:pStyle w:val="13"/>
        <w:tabs>
          <w:tab w:val="right" w:leader="dot" w:pos="9627"/>
        </w:tabs>
        <w:rPr>
          <w:rFonts w:ascii="Times New Roman" w:hAnsi="Times New Roman" w:eastAsia="仿宋" w:cs="Times New Roman"/>
          <w:sz w:val="28"/>
          <w:szCs w:val="28"/>
          <w:lang w:val="zh-CN"/>
          <w14:ligatures w14:val="standardContextual"/>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"_Toc192583766" </w:instrText>
      </w:r>
      <w:r>
        <w:fldChar w:fldCharType="separate"/>
      </w:r>
      <w:r>
        <w:rPr>
          <w:rStyle w:val="23"/>
          <w:rFonts w:ascii="Times New Roman" w:hAnsi="Times New Roman" w:eastAsia="仿宋" w:cs="Times New Roman"/>
          <w:sz w:val="28"/>
          <w:szCs w:val="28"/>
        </w:rPr>
        <w:t>第一章 谈判邀请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_Toc192583766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75DC840">
      <w:pPr>
        <w:pStyle w:val="13"/>
        <w:tabs>
          <w:tab w:val="right" w:leader="dot" w:pos="9627"/>
        </w:tabs>
        <w:rPr>
          <w:rFonts w:ascii="Times New Roman" w:hAnsi="Times New Roman" w:eastAsia="仿宋" w:cs="Times New Roman"/>
          <w:sz w:val="28"/>
          <w:szCs w:val="28"/>
          <w:lang w:val="zh-CN"/>
          <w14:ligatures w14:val="standardContextual"/>
        </w:rPr>
      </w:pPr>
      <w:r>
        <w:fldChar w:fldCharType="begin"/>
      </w:r>
      <w:r>
        <w:instrText xml:space="preserve"> HYPERLINK \l "_Toc192583767" </w:instrText>
      </w:r>
      <w:r>
        <w:fldChar w:fldCharType="separate"/>
      </w:r>
      <w:r>
        <w:rPr>
          <w:rStyle w:val="23"/>
          <w:rFonts w:ascii="Times New Roman" w:hAnsi="Times New Roman" w:eastAsia="仿宋" w:cs="Times New Roman"/>
          <w:sz w:val="28"/>
          <w:szCs w:val="28"/>
        </w:rPr>
        <w:t>第二章 供应商须知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_Toc192583767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3D8241B">
      <w:pPr>
        <w:pStyle w:val="13"/>
        <w:tabs>
          <w:tab w:val="right" w:leader="dot" w:pos="9627"/>
        </w:tabs>
        <w:rPr>
          <w:rFonts w:ascii="Times New Roman" w:hAnsi="Times New Roman" w:eastAsia="仿宋" w:cs="Times New Roman"/>
          <w:sz w:val="28"/>
          <w:szCs w:val="28"/>
          <w:lang w:val="zh-CN"/>
          <w14:ligatures w14:val="standardContextual"/>
        </w:rPr>
      </w:pPr>
      <w:r>
        <w:fldChar w:fldCharType="begin"/>
      </w:r>
      <w:r>
        <w:instrText xml:space="preserve"> HYPERLINK \l "_Toc192583768" </w:instrText>
      </w:r>
      <w:r>
        <w:fldChar w:fldCharType="separate"/>
      </w:r>
      <w:r>
        <w:rPr>
          <w:rStyle w:val="23"/>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_Toc192583768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7</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5EDE604">
      <w:pPr>
        <w:pStyle w:val="13"/>
        <w:tabs>
          <w:tab w:val="right" w:leader="dot" w:pos="9627"/>
        </w:tabs>
        <w:rPr>
          <w:rFonts w:ascii="Times New Roman" w:hAnsi="Times New Roman" w:eastAsia="仿宋" w:cs="Times New Roman"/>
          <w:sz w:val="28"/>
          <w:szCs w:val="28"/>
          <w:lang w:val="zh-CN"/>
          <w14:ligatures w14:val="standardContextual"/>
        </w:rPr>
      </w:pPr>
      <w:r>
        <w:fldChar w:fldCharType="begin"/>
      </w:r>
      <w:r>
        <w:instrText xml:space="preserve"> HYPERLINK \l "_Toc192583769" </w:instrText>
      </w:r>
      <w:r>
        <w:fldChar w:fldCharType="separate"/>
      </w:r>
      <w:r>
        <w:rPr>
          <w:rStyle w:val="23"/>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_Toc192583769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10</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29E08DB">
      <w:pPr>
        <w:pStyle w:val="13"/>
        <w:tabs>
          <w:tab w:val="right" w:leader="dot" w:pos="9627"/>
        </w:tabs>
        <w:rPr>
          <w:rFonts w:ascii="Times New Roman" w:hAnsi="Times New Roman" w:eastAsia="仿宋" w:cs="Times New Roman"/>
          <w:sz w:val="28"/>
          <w:szCs w:val="28"/>
          <w:lang w:val="zh-CN"/>
          <w14:ligatures w14:val="standardContextual"/>
        </w:rPr>
      </w:pPr>
      <w:r>
        <w:fldChar w:fldCharType="begin"/>
      </w:r>
      <w:r>
        <w:instrText xml:space="preserve"> HYPERLINK \l "_Toc192583770" </w:instrText>
      </w:r>
      <w:r>
        <w:fldChar w:fldCharType="separate"/>
      </w:r>
      <w:r>
        <w:rPr>
          <w:rStyle w:val="23"/>
          <w:rFonts w:ascii="Times New Roman" w:hAnsi="Times New Roman" w:eastAsia="仿宋" w:cs="Times New Roman"/>
          <w:sz w:val="28"/>
          <w:szCs w:val="28"/>
        </w:rPr>
        <w:t>第五章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_Toc192583770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17</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33C6BEDB">
      <w:pPr>
        <w:pStyle w:val="13"/>
        <w:tabs>
          <w:tab w:val="right" w:leader="dot" w:pos="9627"/>
        </w:tabs>
        <w:rPr>
          <w:rFonts w:ascii="Times New Roman" w:hAnsi="Times New Roman" w:eastAsia="仿宋" w:cs="Times New Roman"/>
          <w:sz w:val="28"/>
          <w:szCs w:val="28"/>
          <w:lang w:val="zh-CN"/>
          <w14:ligatures w14:val="standardContextual"/>
        </w:rPr>
      </w:pPr>
      <w:r>
        <w:fldChar w:fldCharType="begin"/>
      </w:r>
      <w:r>
        <w:instrText xml:space="preserve"> HYPERLINK \l "_Toc192583771" </w:instrText>
      </w:r>
      <w:r>
        <w:fldChar w:fldCharType="separate"/>
      </w:r>
      <w:r>
        <w:rPr>
          <w:rStyle w:val="23"/>
          <w:rFonts w:ascii="Times New Roman" w:hAnsi="Times New Roman" w:eastAsia="仿宋" w:cs="Times New Roman"/>
          <w:sz w:val="28"/>
          <w:szCs w:val="28"/>
        </w:rPr>
        <w:t>第六章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_Toc192583771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29</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973806C">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7F12773D">
      <w:pPr>
        <w:pStyle w:val="3"/>
        <w:numPr>
          <w:ilvl w:val="0"/>
          <w:numId w:val="0"/>
        </w:numPr>
        <w:ind w:left="0" w:leftChars="0" w:firstLine="0" w:firstLineChars="0"/>
        <w:rPr>
          <w:rFonts w:ascii="Times New Roman" w:hAnsi="Times New Roman" w:cs="Times New Roman"/>
        </w:rPr>
      </w:pPr>
      <w:bookmarkStart w:id="0" w:name="_Toc192583766"/>
      <w:bookmarkStart w:id="1" w:name="_Toc1907"/>
      <w:bookmarkStart w:id="2" w:name="_Toc3240"/>
      <w:bookmarkStart w:id="3" w:name="_Toc471310326"/>
      <w:bookmarkStart w:id="4" w:name="_Toc62832406"/>
      <w:bookmarkStart w:id="5" w:name="_Toc20358"/>
      <w:r>
        <w:rPr>
          <w:rFonts w:hint="eastAsia" w:ascii="Times New Roman" w:hAnsi="Times New Roman" w:eastAsia="黑体" w:cs="Times New Roman"/>
          <w:b/>
          <w:kern w:val="44"/>
          <w:sz w:val="36"/>
          <w:szCs w:val="22"/>
          <w:lang w:val="zh-CN" w:eastAsia="zh-CN" w:bidi="ar-SA"/>
        </w:rPr>
        <w:t xml:space="preserve">第一章 </w:t>
      </w:r>
      <w:r>
        <w:rPr>
          <w:rFonts w:hint="eastAsia" w:ascii="Times New Roman" w:hAnsi="Times New Roman" w:cs="Times New Roman"/>
        </w:rPr>
        <w:t>谈判</w:t>
      </w:r>
      <w:r>
        <w:rPr>
          <w:rFonts w:ascii="Times New Roman" w:hAnsi="Times New Roman" w:cs="Times New Roman"/>
        </w:rPr>
        <w:t>邀请</w:t>
      </w:r>
      <w:bookmarkEnd w:id="0"/>
      <w:bookmarkEnd w:id="1"/>
      <w:bookmarkEnd w:id="2"/>
      <w:bookmarkEnd w:id="3"/>
      <w:bookmarkEnd w:id="4"/>
      <w:bookmarkEnd w:id="5"/>
    </w:p>
    <w:tbl>
      <w:tblPr>
        <w:tblStyle w:val="18"/>
        <w:tblpPr w:leftFromText="180" w:rightFromText="180" w:vertAnchor="text" w:horzAnchor="page" w:tblpXSpec="center" w:tblpY="300"/>
        <w:tblOverlap w:val="never"/>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68"/>
        <w:gridCol w:w="1879"/>
        <w:gridCol w:w="7236"/>
      </w:tblGrid>
      <w:tr w14:paraId="1DF4B9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68" w:type="dxa"/>
            <w:tcBorders>
              <w:top w:val="single" w:color="auto" w:sz="18" w:space="0"/>
            </w:tcBorders>
            <w:vAlign w:val="center"/>
          </w:tcPr>
          <w:p w14:paraId="02754E5C">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879" w:type="dxa"/>
            <w:tcBorders>
              <w:top w:val="single" w:color="auto" w:sz="18" w:space="0"/>
            </w:tcBorders>
            <w:vAlign w:val="center"/>
          </w:tcPr>
          <w:p w14:paraId="694BC1D0">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236" w:type="dxa"/>
            <w:tcBorders>
              <w:top w:val="single" w:color="auto" w:sz="18" w:space="0"/>
            </w:tcBorders>
            <w:vAlign w:val="center"/>
          </w:tcPr>
          <w:p w14:paraId="1A5730B8">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3D7AA3C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50791428">
            <w:pPr>
              <w:pStyle w:val="28"/>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500732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7236" w:type="dxa"/>
            <w:tcBorders>
              <w:bottom w:val="single" w:color="auto" w:sz="4" w:space="0"/>
            </w:tcBorders>
            <w:vAlign w:val="center"/>
          </w:tcPr>
          <w:p w14:paraId="3F33B384">
            <w:pPr>
              <w:spacing w:line="360" w:lineRule="auto"/>
              <w:ind w:left="210" w:leftChars="100"/>
              <w:rPr>
                <w:rFonts w:ascii="Times New Roman" w:hAnsi="Times New Roman" w:eastAsia="仿宋" w:cs="Times New Roman"/>
                <w:sz w:val="22"/>
              </w:rPr>
            </w:pPr>
            <w:r>
              <w:rPr>
                <w:rFonts w:hint="eastAsia" w:ascii="仿宋" w:hAnsi="仿宋" w:eastAsia="仿宋" w:cs="仿宋"/>
                <w:sz w:val="22"/>
                <w:szCs w:val="22"/>
              </w:rPr>
              <w:t>四川省人民医院</w:t>
            </w:r>
          </w:p>
        </w:tc>
      </w:tr>
      <w:tr w14:paraId="76296B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24E9AE16">
            <w:pPr>
              <w:pStyle w:val="28"/>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33C83C96">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7236" w:type="dxa"/>
            <w:tcBorders>
              <w:bottom w:val="single" w:color="auto" w:sz="4" w:space="0"/>
            </w:tcBorders>
            <w:vAlign w:val="center"/>
          </w:tcPr>
          <w:p w14:paraId="23C921FB">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lang w:eastAsia="zh-CN"/>
              </w:rPr>
              <w:t>四川省人民医院追溯管理系统升级采购项目</w:t>
            </w:r>
          </w:p>
        </w:tc>
      </w:tr>
      <w:tr w14:paraId="6823798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68" w:type="dxa"/>
            <w:vAlign w:val="center"/>
          </w:tcPr>
          <w:p w14:paraId="2E15CA35">
            <w:pPr>
              <w:pStyle w:val="28"/>
              <w:numPr>
                <w:ilvl w:val="0"/>
                <w:numId w:val="4"/>
              </w:numPr>
              <w:tabs>
                <w:tab w:val="left" w:pos="220"/>
                <w:tab w:val="clear" w:pos="0"/>
              </w:tabs>
              <w:adjustRightInd w:val="0"/>
              <w:snapToGrid w:val="0"/>
              <w:jc w:val="both"/>
              <w:rPr>
                <w:rFonts w:hint="eastAsia" w:ascii="仿宋" w:hAnsi="仿宋" w:eastAsia="仿宋" w:cs="仿宋"/>
                <w:szCs w:val="21"/>
              </w:rPr>
            </w:pPr>
          </w:p>
        </w:tc>
        <w:tc>
          <w:tcPr>
            <w:tcW w:w="1879" w:type="dxa"/>
            <w:vAlign w:val="center"/>
          </w:tcPr>
          <w:p w14:paraId="14FB29CD">
            <w:pPr>
              <w:spacing w:line="360" w:lineRule="auto"/>
              <w:jc w:val="center"/>
              <w:rPr>
                <w:rFonts w:hint="eastAsia" w:ascii="仿宋" w:hAnsi="仿宋" w:eastAsia="仿宋" w:cs="仿宋"/>
                <w:kern w:val="0"/>
                <w:sz w:val="22"/>
              </w:rPr>
            </w:pPr>
            <w:r>
              <w:rPr>
                <w:rFonts w:hint="eastAsia" w:ascii="仿宋" w:hAnsi="仿宋" w:eastAsia="仿宋" w:cs="仿宋"/>
                <w:kern w:val="0"/>
                <w:sz w:val="22"/>
              </w:rPr>
              <w:t>项目编号</w:t>
            </w:r>
          </w:p>
        </w:tc>
        <w:tc>
          <w:tcPr>
            <w:tcW w:w="7236" w:type="dxa"/>
            <w:vAlign w:val="center"/>
          </w:tcPr>
          <w:p w14:paraId="027F4916">
            <w:pPr>
              <w:spacing w:line="360" w:lineRule="auto"/>
              <w:ind w:left="210" w:leftChars="100"/>
              <w:rPr>
                <w:rFonts w:hint="eastAsia" w:ascii="仿宋" w:hAnsi="仿宋" w:eastAsia="仿宋" w:cs="仿宋"/>
                <w:sz w:val="22"/>
                <w:lang w:eastAsia="zh-CN"/>
              </w:rPr>
            </w:pPr>
            <w:r>
              <w:rPr>
                <w:rFonts w:hint="eastAsia" w:ascii="仿宋" w:hAnsi="仿宋" w:eastAsia="仿宋" w:cs="仿宋"/>
                <w:sz w:val="22"/>
                <w:lang w:eastAsia="zh-CN"/>
              </w:rPr>
              <w:t>CGZX-YXX20260757</w:t>
            </w:r>
          </w:p>
        </w:tc>
      </w:tr>
      <w:tr w14:paraId="7155E53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68" w:type="dxa"/>
            <w:vAlign w:val="center"/>
          </w:tcPr>
          <w:p w14:paraId="33FA1427">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BE3DA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7236" w:type="dxa"/>
            <w:vAlign w:val="center"/>
          </w:tcPr>
          <w:p w14:paraId="0F314CA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详见采购文件第四章</w:t>
            </w:r>
          </w:p>
        </w:tc>
      </w:tr>
      <w:tr w14:paraId="7503557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68" w:type="dxa"/>
            <w:vAlign w:val="center"/>
          </w:tcPr>
          <w:p w14:paraId="0747BE03">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665127C5">
            <w:pPr>
              <w:spacing w:line="360" w:lineRule="auto"/>
              <w:jc w:val="center"/>
              <w:rPr>
                <w:rFonts w:ascii="Times New Roman" w:hAnsi="Times New Roman" w:eastAsia="仿宋" w:cs="Times New Roman"/>
                <w:color w:val="auto"/>
                <w:kern w:val="0"/>
                <w:sz w:val="22"/>
                <w:highlight w:val="none"/>
                <w:lang w:val="zh-CN"/>
              </w:rPr>
            </w:pPr>
            <w:r>
              <w:rPr>
                <w:rFonts w:ascii="Times New Roman" w:hAnsi="Times New Roman" w:eastAsia="仿宋" w:cs="Times New Roman"/>
                <w:color w:val="auto"/>
                <w:kern w:val="0"/>
                <w:sz w:val="22"/>
                <w:highlight w:val="none"/>
                <w:lang w:val="zh-CN"/>
              </w:rPr>
              <w:t>最高限价</w:t>
            </w:r>
          </w:p>
        </w:tc>
        <w:tc>
          <w:tcPr>
            <w:tcW w:w="7236" w:type="dxa"/>
            <w:vAlign w:val="center"/>
          </w:tcPr>
          <w:p w14:paraId="700B880E">
            <w:pPr>
              <w:spacing w:line="360" w:lineRule="auto"/>
              <w:ind w:left="210" w:leftChars="100"/>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rPr>
              <w:t>人民币</w:t>
            </w:r>
            <w:r>
              <w:rPr>
                <w:rFonts w:hint="eastAsia" w:ascii="仿宋" w:hAnsi="仿宋" w:eastAsia="仿宋" w:cs="仿宋"/>
                <w:color w:val="auto"/>
                <w:sz w:val="22"/>
                <w:szCs w:val="22"/>
                <w:highlight w:val="none"/>
                <w:lang w:val="en-US" w:eastAsia="zh-CN"/>
              </w:rPr>
              <w:t>148000</w:t>
            </w:r>
            <w:r>
              <w:rPr>
                <w:rFonts w:hint="eastAsia" w:ascii="仿宋" w:hAnsi="仿宋" w:eastAsia="仿宋" w:cs="仿宋"/>
                <w:color w:val="auto"/>
                <w:sz w:val="22"/>
                <w:szCs w:val="22"/>
                <w:highlight w:val="none"/>
                <w:u w:val="none"/>
              </w:rPr>
              <w:t>元</w:t>
            </w:r>
            <w:r>
              <w:rPr>
                <w:rFonts w:hint="eastAsia" w:ascii="仿宋" w:hAnsi="仿宋" w:eastAsia="仿宋" w:cs="仿宋"/>
                <w:color w:val="auto"/>
                <w:sz w:val="22"/>
                <w:szCs w:val="22"/>
                <w:highlight w:val="none"/>
                <w:u w:val="none"/>
                <w:lang w:val="en-US" w:eastAsia="zh-CN"/>
              </w:rPr>
              <w:t>。限高单价详见第四章。</w:t>
            </w:r>
          </w:p>
          <w:p w14:paraId="03707CAA">
            <w:pPr>
              <w:spacing w:line="360" w:lineRule="auto"/>
              <w:ind w:left="210" w:leftChars="100"/>
              <w:rPr>
                <w:rFonts w:ascii="Times New Roman" w:hAnsi="Times New Roman" w:eastAsia="仿宋" w:cs="Times New Roman"/>
                <w:color w:val="auto"/>
                <w:sz w:val="22"/>
                <w:highlight w:val="none"/>
              </w:rPr>
            </w:pPr>
            <w:r>
              <w:rPr>
                <w:rFonts w:hint="eastAsia" w:ascii="仿宋" w:hAnsi="仿宋" w:eastAsia="仿宋" w:cs="仿宋"/>
                <w:color w:val="auto"/>
                <w:sz w:val="22"/>
                <w:szCs w:val="22"/>
                <w:highlight w:val="none"/>
              </w:rPr>
              <w:t>超过最高限价的报价，其响应文件作无效处理。</w:t>
            </w:r>
          </w:p>
        </w:tc>
      </w:tr>
      <w:tr w14:paraId="7734C3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68" w:type="dxa"/>
            <w:vAlign w:val="center"/>
          </w:tcPr>
          <w:p w14:paraId="1BF23077">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3539F94E">
            <w:pPr>
              <w:spacing w:line="360" w:lineRule="auto"/>
              <w:jc w:val="center"/>
              <w:rPr>
                <w:rFonts w:ascii="Times New Roman" w:hAnsi="Times New Roman" w:eastAsia="仿宋" w:cs="Times New Roman"/>
                <w:color w:val="auto"/>
                <w:kern w:val="0"/>
                <w:sz w:val="22"/>
                <w:lang w:val="zh-CN"/>
              </w:rPr>
            </w:pPr>
            <w:r>
              <w:rPr>
                <w:rFonts w:ascii="Times New Roman" w:hAnsi="Times New Roman" w:eastAsia="仿宋" w:cs="Times New Roman"/>
                <w:color w:val="auto"/>
                <w:kern w:val="0"/>
                <w:sz w:val="22"/>
              </w:rPr>
              <w:t>邀请</w:t>
            </w:r>
            <w:r>
              <w:rPr>
                <w:rFonts w:ascii="Times New Roman" w:hAnsi="Times New Roman" w:eastAsia="仿宋" w:cs="Times New Roman"/>
                <w:color w:val="auto"/>
                <w:kern w:val="0"/>
                <w:sz w:val="22"/>
                <w:lang w:val="zh-CN"/>
              </w:rPr>
              <w:t>方式</w:t>
            </w:r>
          </w:p>
        </w:tc>
        <w:tc>
          <w:tcPr>
            <w:tcW w:w="7236" w:type="dxa"/>
            <w:vAlign w:val="center"/>
          </w:tcPr>
          <w:p w14:paraId="0C1E0865">
            <w:pPr>
              <w:spacing w:line="360" w:lineRule="auto"/>
              <w:ind w:left="210" w:leftChars="100"/>
              <w:rPr>
                <w:rFonts w:ascii="Times New Roman" w:hAnsi="Times New Roman" w:eastAsia="仿宋" w:cs="Times New Roman"/>
                <w:color w:val="auto"/>
                <w:sz w:val="22"/>
              </w:rPr>
            </w:pPr>
            <w:r>
              <w:rPr>
                <w:rFonts w:ascii="Times New Roman" w:hAnsi="Times New Roman" w:eastAsia="仿宋" w:cs="Times New Roman"/>
                <w:color w:val="auto"/>
                <w:sz w:val="22"/>
              </w:rPr>
              <w:t>四川省人民医院官方网站上以公告形式</w:t>
            </w:r>
            <w:r>
              <w:rPr>
                <w:rFonts w:hint="eastAsia" w:ascii="Times New Roman" w:hAnsi="Times New Roman" w:eastAsia="仿宋" w:cs="Times New Roman"/>
                <w:color w:val="auto"/>
                <w:sz w:val="22"/>
              </w:rPr>
              <w:t>邀请唯一供应商参与本次谈判</w:t>
            </w:r>
          </w:p>
        </w:tc>
      </w:tr>
      <w:tr w14:paraId="7C5BAA0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0" w:hRule="atLeast"/>
          <w:jc w:val="center"/>
        </w:trPr>
        <w:tc>
          <w:tcPr>
            <w:tcW w:w="568" w:type="dxa"/>
            <w:vAlign w:val="center"/>
          </w:tcPr>
          <w:p w14:paraId="023F7F22">
            <w:pPr>
              <w:pStyle w:val="28"/>
              <w:numPr>
                <w:ilvl w:val="0"/>
                <w:numId w:val="4"/>
              </w:numPr>
              <w:tabs>
                <w:tab w:val="left" w:pos="220"/>
                <w:tab w:val="clear" w:pos="0"/>
              </w:tabs>
              <w:adjustRightInd w:val="0"/>
              <w:snapToGrid w:val="0"/>
              <w:jc w:val="both"/>
              <w:rPr>
                <w:rFonts w:ascii="Times New Roman" w:hAnsi="Times New Roman" w:eastAsia="仿宋" w:cs="Times New Roman"/>
                <w:szCs w:val="21"/>
                <w:highlight w:val="none"/>
              </w:rPr>
            </w:pPr>
          </w:p>
        </w:tc>
        <w:tc>
          <w:tcPr>
            <w:tcW w:w="1879" w:type="dxa"/>
            <w:vAlign w:val="center"/>
          </w:tcPr>
          <w:p w14:paraId="58FCE2B0">
            <w:pPr>
              <w:spacing w:line="360" w:lineRule="auto"/>
              <w:jc w:val="center"/>
              <w:rPr>
                <w:rFonts w:ascii="Times New Roman" w:hAnsi="Times New Roman" w:eastAsia="仿宋" w:cs="Times New Roman"/>
                <w:color w:val="auto"/>
                <w:kern w:val="0"/>
                <w:sz w:val="22"/>
                <w:highlight w:val="none"/>
              </w:rPr>
            </w:pPr>
            <w:r>
              <w:rPr>
                <w:rFonts w:hint="eastAsia" w:ascii="Times New Roman" w:hAnsi="Times New Roman" w:eastAsia="仿宋" w:cs="Times New Roman"/>
                <w:color w:val="auto"/>
                <w:kern w:val="0"/>
                <w:sz w:val="22"/>
                <w:highlight w:val="none"/>
              </w:rPr>
              <w:t>拟定供应商信息</w:t>
            </w:r>
          </w:p>
        </w:tc>
        <w:tc>
          <w:tcPr>
            <w:tcW w:w="7236" w:type="dxa"/>
            <w:vAlign w:val="center"/>
          </w:tcPr>
          <w:p w14:paraId="30A029FA">
            <w:pPr>
              <w:spacing w:line="360" w:lineRule="auto"/>
              <w:ind w:left="210" w:leftChars="100"/>
              <w:rPr>
                <w:rFonts w:ascii="Times New Roman" w:hAnsi="Times New Roman" w:eastAsia="仿宋" w:cs="Times New Roman"/>
                <w:color w:val="auto"/>
                <w:sz w:val="22"/>
                <w:highlight w:val="none"/>
              </w:rPr>
            </w:pPr>
            <w:r>
              <w:rPr>
                <w:rFonts w:hint="eastAsia" w:ascii="Times New Roman" w:hAnsi="Times New Roman" w:eastAsia="仿宋" w:cs="Times New Roman"/>
                <w:color w:val="auto"/>
                <w:sz w:val="22"/>
                <w:highlight w:val="none"/>
              </w:rPr>
              <w:t>供应商名称：</w:t>
            </w:r>
            <w:r>
              <w:rPr>
                <w:rFonts w:hint="eastAsia" w:ascii="Times New Roman" w:hAnsi="Times New Roman" w:eastAsia="仿宋" w:cs="Times New Roman"/>
                <w:color w:val="auto"/>
                <w:sz w:val="22"/>
                <w:highlight w:val="none"/>
                <w:lang w:val="en-US" w:eastAsia="zh-CN"/>
              </w:rPr>
              <w:t>四川劳吉克信息技术有限公司</w:t>
            </w:r>
          </w:p>
          <w:p w14:paraId="789161A3">
            <w:pPr>
              <w:spacing w:line="360" w:lineRule="auto"/>
              <w:ind w:left="210" w:leftChars="100"/>
              <w:rPr>
                <w:rFonts w:ascii="Times New Roman" w:hAnsi="Times New Roman" w:eastAsia="仿宋" w:cs="Times New Roman"/>
                <w:color w:val="auto"/>
                <w:sz w:val="22"/>
                <w:highlight w:val="none"/>
              </w:rPr>
            </w:pPr>
            <w:r>
              <w:rPr>
                <w:rFonts w:hint="eastAsia" w:ascii="Times New Roman" w:hAnsi="Times New Roman" w:eastAsia="仿宋" w:cs="Times New Roman"/>
                <w:color w:val="auto"/>
                <w:sz w:val="22"/>
                <w:highlight w:val="none"/>
              </w:rPr>
              <w:t>供应商地址：</w:t>
            </w:r>
            <w:r>
              <w:rPr>
                <w:rFonts w:hint="eastAsia" w:ascii="仿宋" w:hAnsi="仿宋" w:eastAsia="仿宋" w:cs="仿宋"/>
                <w:bCs/>
                <w:color w:val="auto"/>
                <w:kern w:val="2"/>
                <w:sz w:val="24"/>
                <w:szCs w:val="24"/>
                <w:highlight w:val="none"/>
                <w:lang w:val="en-US" w:eastAsia="zh-CN" w:bidi="ar-SA"/>
              </w:rPr>
              <w:t>成都市青羊区青羊大道8号62栋1层2-3号</w:t>
            </w:r>
          </w:p>
        </w:tc>
      </w:tr>
      <w:tr w14:paraId="433E63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3E2E00C2">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05DFE86C">
            <w:pPr>
              <w:spacing w:line="360" w:lineRule="auto"/>
              <w:jc w:val="center"/>
              <w:rPr>
                <w:rFonts w:ascii="Times New Roman" w:hAnsi="Times New Roman" w:eastAsia="仿宋" w:cs="Times New Roman"/>
                <w:color w:val="auto"/>
                <w:kern w:val="0"/>
                <w:sz w:val="22"/>
              </w:rPr>
            </w:pPr>
            <w:r>
              <w:rPr>
                <w:rFonts w:ascii="Times New Roman" w:hAnsi="Times New Roman" w:eastAsia="仿宋" w:cs="Times New Roman"/>
                <w:color w:val="auto"/>
                <w:kern w:val="0"/>
                <w:sz w:val="22"/>
              </w:rPr>
              <w:t>联合体</w:t>
            </w:r>
          </w:p>
        </w:tc>
        <w:tc>
          <w:tcPr>
            <w:tcW w:w="7236" w:type="dxa"/>
            <w:vAlign w:val="center"/>
          </w:tcPr>
          <w:p w14:paraId="79E437D2">
            <w:pPr>
              <w:spacing w:line="360" w:lineRule="auto"/>
              <w:ind w:left="210" w:leftChars="100"/>
              <w:rPr>
                <w:rFonts w:ascii="Times New Roman" w:hAnsi="Times New Roman" w:eastAsia="仿宋" w:cs="Times New Roman"/>
                <w:color w:val="auto"/>
                <w:sz w:val="24"/>
                <w:szCs w:val="24"/>
              </w:rPr>
            </w:pPr>
            <w:r>
              <w:rPr>
                <w:rFonts w:ascii="Times New Roman" w:hAnsi="Times New Roman" w:eastAsia="仿宋" w:cs="Times New Roman"/>
                <w:color w:val="auto"/>
                <w:sz w:val="24"/>
                <w:szCs w:val="24"/>
              </w:rPr>
              <w:sym w:font="Wingdings" w:char="00A8"/>
            </w:r>
            <w:r>
              <w:rPr>
                <w:rFonts w:ascii="Times New Roman" w:hAnsi="Times New Roman" w:eastAsia="仿宋" w:cs="Times New Roman"/>
                <w:color w:val="auto"/>
                <w:sz w:val="22"/>
              </w:rPr>
              <w:t xml:space="preserve">接受       </w:t>
            </w:r>
            <w:r>
              <w:rPr>
                <w:rFonts w:ascii="Times New Roman" w:hAnsi="Times New Roman" w:eastAsia="仿宋" w:cs="Times New Roman"/>
                <w:color w:val="auto"/>
                <w:sz w:val="24"/>
                <w:szCs w:val="24"/>
              </w:rPr>
              <w:sym w:font="Wingdings" w:char="00FE"/>
            </w:r>
            <w:r>
              <w:rPr>
                <w:rFonts w:ascii="Times New Roman" w:hAnsi="Times New Roman" w:eastAsia="仿宋" w:cs="Times New Roman"/>
                <w:color w:val="auto"/>
                <w:sz w:val="22"/>
              </w:rPr>
              <w:t xml:space="preserve">不接受 </w:t>
            </w:r>
          </w:p>
        </w:tc>
      </w:tr>
      <w:tr w14:paraId="03DD346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4B6ED6B6">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62FF482">
            <w:pPr>
              <w:pStyle w:val="30"/>
              <w:widowControl/>
              <w:spacing w:line="360" w:lineRule="auto"/>
              <w:ind w:firstLine="0" w:firstLineChars="0"/>
              <w:jc w:val="center"/>
              <w:rPr>
                <w:rFonts w:ascii="Times New Roman" w:hAnsi="Times New Roman" w:eastAsia="仿宋" w:cs="Times New Roman"/>
                <w:color w:val="auto"/>
                <w:sz w:val="22"/>
                <w:szCs w:val="22"/>
                <w:u w:color="000000"/>
              </w:rPr>
            </w:pPr>
            <w:r>
              <w:rPr>
                <w:rFonts w:ascii="Times New Roman" w:hAnsi="Times New Roman" w:eastAsia="仿宋" w:cs="Times New Roman"/>
                <w:color w:val="auto"/>
                <w:sz w:val="22"/>
                <w:szCs w:val="22"/>
                <w:u w:color="000000"/>
                <w:lang w:val="zh-TW"/>
              </w:rPr>
              <w:t>合同分包、转包</w:t>
            </w:r>
          </w:p>
        </w:tc>
        <w:tc>
          <w:tcPr>
            <w:tcW w:w="7236" w:type="dxa"/>
            <w:vAlign w:val="center"/>
          </w:tcPr>
          <w:p w14:paraId="28C40AC0">
            <w:pPr>
              <w:spacing w:line="360" w:lineRule="auto"/>
              <w:ind w:left="210" w:leftChars="100"/>
              <w:rPr>
                <w:rFonts w:ascii="Times New Roman" w:hAnsi="Times New Roman" w:eastAsia="仿宋" w:cs="Times New Roman"/>
                <w:color w:val="auto"/>
                <w:sz w:val="22"/>
                <w:u w:color="000000"/>
              </w:rPr>
            </w:pPr>
            <w:r>
              <w:rPr>
                <w:rFonts w:ascii="Times New Roman" w:hAnsi="Times New Roman" w:eastAsia="仿宋" w:cs="Times New Roman"/>
                <w:color w:val="auto"/>
                <w:sz w:val="22"/>
              </w:rPr>
              <w:sym w:font="Wingdings" w:char="00A8"/>
            </w:r>
            <w:r>
              <w:rPr>
                <w:rFonts w:ascii="Times New Roman" w:hAnsi="Times New Roman" w:eastAsia="仿宋" w:cs="Times New Roman"/>
                <w:color w:val="auto"/>
                <w:sz w:val="22"/>
              </w:rPr>
              <w:t xml:space="preserve">接受       </w:t>
            </w:r>
            <w:r>
              <w:rPr>
                <w:rFonts w:ascii="Times New Roman" w:hAnsi="Times New Roman" w:eastAsia="仿宋" w:cs="Times New Roman"/>
                <w:color w:val="auto"/>
                <w:sz w:val="22"/>
              </w:rPr>
              <w:sym w:font="Wingdings" w:char="00FE"/>
            </w:r>
            <w:r>
              <w:rPr>
                <w:rFonts w:ascii="Times New Roman" w:hAnsi="Times New Roman" w:eastAsia="仿宋" w:cs="Times New Roman"/>
                <w:color w:val="auto"/>
                <w:sz w:val="22"/>
                <w:lang w:val="zh-TW"/>
              </w:rPr>
              <w:t>不接受</w:t>
            </w:r>
            <w:r>
              <w:rPr>
                <w:rFonts w:ascii="Times New Roman" w:hAnsi="Times New Roman" w:eastAsia="仿宋" w:cs="Times New Roman"/>
                <w:color w:val="auto"/>
                <w:sz w:val="22"/>
              </w:rPr>
              <w:t xml:space="preserve"> </w:t>
            </w:r>
          </w:p>
        </w:tc>
      </w:tr>
      <w:tr w14:paraId="65268B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68" w:type="dxa"/>
            <w:vMerge w:val="restart"/>
            <w:vAlign w:val="center"/>
          </w:tcPr>
          <w:p w14:paraId="5830264A">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4A39BAAD">
            <w:pPr>
              <w:spacing w:line="360" w:lineRule="auto"/>
              <w:jc w:val="center"/>
              <w:rPr>
                <w:rFonts w:ascii="Times New Roman" w:hAnsi="Times New Roman" w:eastAsia="仿宋" w:cs="Times New Roman"/>
                <w:color w:val="auto"/>
                <w:kern w:val="0"/>
                <w:sz w:val="22"/>
              </w:rPr>
            </w:pPr>
            <w:r>
              <w:rPr>
                <w:rFonts w:ascii="Times New Roman" w:hAnsi="Times New Roman" w:eastAsia="仿宋" w:cs="Times New Roman"/>
                <w:color w:val="auto"/>
                <w:kern w:val="0"/>
                <w:sz w:val="22"/>
              </w:rPr>
              <w:t>现场踏勘</w:t>
            </w:r>
          </w:p>
        </w:tc>
        <w:tc>
          <w:tcPr>
            <w:tcW w:w="7236" w:type="dxa"/>
            <w:tcBorders>
              <w:bottom w:val="single" w:color="auto" w:sz="4" w:space="0"/>
            </w:tcBorders>
            <w:vAlign w:val="center"/>
          </w:tcPr>
          <w:p w14:paraId="23BB57DD">
            <w:pPr>
              <w:spacing w:line="360" w:lineRule="auto"/>
              <w:ind w:left="210" w:leftChars="100"/>
              <w:rPr>
                <w:rFonts w:ascii="Times New Roman" w:hAnsi="Times New Roman" w:eastAsia="仿宋" w:cs="Times New Roman"/>
                <w:color w:val="auto"/>
                <w:sz w:val="22"/>
              </w:rPr>
            </w:pPr>
            <w:r>
              <w:rPr>
                <w:rFonts w:ascii="Times New Roman" w:hAnsi="Times New Roman" w:eastAsia="仿宋" w:cs="Times New Roman"/>
                <w:color w:val="auto"/>
                <w:sz w:val="22"/>
              </w:rPr>
              <w:sym w:font="Wingdings" w:char="00FE"/>
            </w:r>
            <w:r>
              <w:rPr>
                <w:rFonts w:ascii="Times New Roman" w:hAnsi="Times New Roman" w:eastAsia="仿宋" w:cs="Times New Roman"/>
                <w:color w:val="auto"/>
                <w:sz w:val="22"/>
              </w:rPr>
              <w:t>不举行</w:t>
            </w:r>
          </w:p>
        </w:tc>
      </w:tr>
      <w:tr w14:paraId="287376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68" w:type="dxa"/>
            <w:vMerge w:val="continue"/>
            <w:vAlign w:val="center"/>
          </w:tcPr>
          <w:p w14:paraId="12B09244">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1AE804CF">
            <w:pPr>
              <w:spacing w:line="360" w:lineRule="auto"/>
              <w:jc w:val="center"/>
              <w:rPr>
                <w:rFonts w:ascii="Times New Roman" w:hAnsi="Times New Roman" w:eastAsia="仿宋" w:cs="Times New Roman"/>
                <w:color w:val="auto"/>
                <w:kern w:val="0"/>
                <w:sz w:val="22"/>
              </w:rPr>
            </w:pPr>
          </w:p>
        </w:tc>
        <w:tc>
          <w:tcPr>
            <w:tcW w:w="7236" w:type="dxa"/>
            <w:tcBorders>
              <w:top w:val="single" w:color="auto" w:sz="4" w:space="0"/>
            </w:tcBorders>
            <w:vAlign w:val="center"/>
          </w:tcPr>
          <w:p w14:paraId="2C331044">
            <w:pPr>
              <w:pStyle w:val="2"/>
              <w:ind w:firstLine="220" w:firstLineChars="100"/>
              <w:rPr>
                <w:rFonts w:ascii="Times New Roman" w:hAnsi="Times New Roman" w:eastAsia="仿宋" w:cs="Times New Roman"/>
                <w:color w:val="auto"/>
                <w:sz w:val="22"/>
              </w:rPr>
            </w:pPr>
            <w:r>
              <w:rPr>
                <w:rFonts w:ascii="Times New Roman" w:hAnsi="Times New Roman" w:eastAsia="仿宋" w:cs="Times New Roman"/>
                <w:color w:val="auto"/>
                <w:sz w:val="22"/>
              </w:rPr>
              <w:sym w:font="Wingdings" w:char="00A8"/>
            </w:r>
            <w:r>
              <w:rPr>
                <w:rFonts w:ascii="Times New Roman" w:hAnsi="Times New Roman" w:eastAsia="仿宋" w:cs="Times New Roman"/>
                <w:color w:val="auto"/>
                <w:sz w:val="22"/>
              </w:rPr>
              <w:t>举行</w:t>
            </w:r>
          </w:p>
          <w:p w14:paraId="3E03D0F4">
            <w:pPr>
              <w:pStyle w:val="2"/>
              <w:numPr>
                <w:ilvl w:val="0"/>
                <w:numId w:val="5"/>
              </w:numPr>
              <w:spacing w:after="0" w:line="360" w:lineRule="auto"/>
              <w:ind w:left="216" w:leftChars="103" w:firstLine="202" w:firstLineChars="92"/>
              <w:rPr>
                <w:rFonts w:ascii="Times New Roman" w:hAnsi="Times New Roman" w:eastAsia="仿宋" w:cs="Times New Roman"/>
                <w:color w:val="auto"/>
                <w:sz w:val="22"/>
                <w:u w:color="000000"/>
              </w:rPr>
            </w:pPr>
            <w:r>
              <w:rPr>
                <w:rFonts w:ascii="Times New Roman" w:hAnsi="Times New Roman" w:eastAsia="仿宋" w:cs="Times New Roman"/>
                <w:color w:val="auto"/>
                <w:sz w:val="22"/>
                <w:u w:color="000000"/>
              </w:rPr>
              <w:t>踏勘签到时间：</w:t>
            </w:r>
          </w:p>
          <w:p w14:paraId="3373E8B9">
            <w:pPr>
              <w:pStyle w:val="2"/>
              <w:numPr>
                <w:ilvl w:val="0"/>
                <w:numId w:val="5"/>
              </w:numPr>
              <w:spacing w:after="0" w:line="360" w:lineRule="auto"/>
              <w:ind w:left="216" w:leftChars="103" w:firstLine="202" w:firstLineChars="92"/>
              <w:rPr>
                <w:rFonts w:ascii="Times New Roman" w:hAnsi="Times New Roman" w:eastAsia="仿宋" w:cs="Times New Roman"/>
                <w:color w:val="auto"/>
                <w:sz w:val="22"/>
                <w:u w:color="000000"/>
              </w:rPr>
            </w:pPr>
            <w:r>
              <w:rPr>
                <w:rFonts w:ascii="Times New Roman" w:hAnsi="Times New Roman" w:eastAsia="仿宋" w:cs="Times New Roman"/>
                <w:color w:val="auto"/>
                <w:sz w:val="22"/>
                <w:u w:color="000000"/>
              </w:rPr>
              <w:t>踏勘签到地</w:t>
            </w:r>
            <w:r>
              <w:rPr>
                <w:rFonts w:hint="eastAsia" w:ascii="Times New Roman" w:hAnsi="Times New Roman" w:eastAsia="仿宋" w:cs="Times New Roman"/>
                <w:color w:val="auto"/>
                <w:sz w:val="22"/>
                <w:u w:color="000000"/>
              </w:rPr>
              <w:t>点</w:t>
            </w:r>
            <w:r>
              <w:rPr>
                <w:rFonts w:ascii="Times New Roman" w:hAnsi="Times New Roman" w:eastAsia="仿宋" w:cs="Times New Roman"/>
                <w:color w:val="auto"/>
                <w:sz w:val="22"/>
                <w:u w:color="000000"/>
              </w:rPr>
              <w:t>：</w:t>
            </w:r>
          </w:p>
          <w:p w14:paraId="00B3D103">
            <w:pPr>
              <w:pStyle w:val="2"/>
              <w:numPr>
                <w:ilvl w:val="0"/>
                <w:numId w:val="5"/>
              </w:numPr>
              <w:spacing w:after="0" w:line="360" w:lineRule="auto"/>
              <w:ind w:left="216" w:leftChars="103" w:firstLine="202" w:firstLineChars="92"/>
              <w:rPr>
                <w:rFonts w:ascii="Times New Roman" w:hAnsi="Times New Roman" w:eastAsia="仿宋" w:cs="Times New Roman"/>
                <w:color w:val="auto"/>
                <w:sz w:val="22"/>
                <w:u w:color="000000"/>
              </w:rPr>
            </w:pPr>
            <w:r>
              <w:rPr>
                <w:rFonts w:ascii="Times New Roman" w:hAnsi="Times New Roman" w:eastAsia="仿宋" w:cs="Times New Roman"/>
                <w:color w:val="auto"/>
                <w:sz w:val="22"/>
                <w:u w:color="000000"/>
              </w:rPr>
              <w:t>踏勘</w:t>
            </w:r>
            <w:r>
              <w:rPr>
                <w:rFonts w:hint="eastAsia" w:ascii="Times New Roman" w:hAnsi="Times New Roman" w:eastAsia="仿宋" w:cs="Times New Roman"/>
                <w:color w:val="auto"/>
                <w:sz w:val="22"/>
                <w:u w:color="000000"/>
              </w:rPr>
              <w:t>开始</w:t>
            </w:r>
            <w:r>
              <w:rPr>
                <w:rFonts w:ascii="Times New Roman" w:hAnsi="Times New Roman" w:eastAsia="仿宋" w:cs="Times New Roman"/>
                <w:color w:val="auto"/>
                <w:sz w:val="22"/>
                <w:u w:color="000000"/>
              </w:rPr>
              <w:t>时间：</w:t>
            </w:r>
          </w:p>
          <w:p w14:paraId="0D65FE5D">
            <w:pPr>
              <w:pStyle w:val="2"/>
              <w:numPr>
                <w:ilvl w:val="0"/>
                <w:numId w:val="5"/>
              </w:numPr>
              <w:spacing w:after="0" w:line="360" w:lineRule="auto"/>
              <w:ind w:left="216" w:leftChars="103" w:firstLine="202" w:firstLineChars="92"/>
              <w:rPr>
                <w:rFonts w:ascii="Times New Roman" w:hAnsi="Times New Roman" w:eastAsia="仿宋" w:cs="Times New Roman"/>
                <w:color w:val="auto"/>
                <w:sz w:val="22"/>
                <w:u w:color="000000"/>
              </w:rPr>
            </w:pPr>
            <w:r>
              <w:rPr>
                <w:rFonts w:hint="eastAsia" w:ascii="Times New Roman" w:hAnsi="Times New Roman" w:eastAsia="仿宋" w:cs="Times New Roman"/>
                <w:color w:val="auto"/>
                <w:sz w:val="22"/>
                <w:u w:color="000000"/>
              </w:rPr>
              <w:t>踏勘地点：</w:t>
            </w:r>
          </w:p>
          <w:p w14:paraId="1CDBF7F3">
            <w:pPr>
              <w:pStyle w:val="2"/>
              <w:numPr>
                <w:ilvl w:val="0"/>
                <w:numId w:val="5"/>
              </w:numPr>
              <w:spacing w:after="0" w:line="360" w:lineRule="auto"/>
              <w:ind w:left="216" w:leftChars="103" w:firstLine="202" w:firstLineChars="92"/>
              <w:rPr>
                <w:rFonts w:ascii="Times New Roman" w:hAnsi="Times New Roman" w:eastAsia="仿宋" w:cs="Times New Roman"/>
                <w:color w:val="auto"/>
                <w:sz w:val="22"/>
                <w:u w:color="000000"/>
              </w:rPr>
            </w:pPr>
            <w:r>
              <w:rPr>
                <w:rFonts w:ascii="Times New Roman" w:hAnsi="Times New Roman" w:eastAsia="仿宋" w:cs="Times New Roman"/>
                <w:color w:val="auto"/>
                <w:sz w:val="22"/>
                <w:u w:color="000000"/>
              </w:rPr>
              <w:t>联系人：</w:t>
            </w:r>
          </w:p>
          <w:p w14:paraId="3DC3F32A">
            <w:pPr>
              <w:pStyle w:val="2"/>
              <w:numPr>
                <w:ilvl w:val="0"/>
                <w:numId w:val="5"/>
              </w:numPr>
              <w:spacing w:after="0" w:line="360" w:lineRule="auto"/>
              <w:ind w:left="216" w:leftChars="103" w:firstLine="202" w:firstLineChars="92"/>
              <w:rPr>
                <w:rFonts w:ascii="Times New Roman" w:hAnsi="Times New Roman" w:eastAsia="仿宋" w:cs="Times New Roman"/>
                <w:color w:val="auto"/>
                <w:sz w:val="22"/>
                <w:u w:color="000000"/>
              </w:rPr>
            </w:pPr>
            <w:r>
              <w:rPr>
                <w:rFonts w:ascii="Times New Roman" w:hAnsi="Times New Roman" w:eastAsia="仿宋" w:cs="Times New Roman"/>
                <w:color w:val="auto"/>
                <w:sz w:val="22"/>
                <w:u w:color="000000"/>
              </w:rPr>
              <w:t>联系电话：</w:t>
            </w:r>
          </w:p>
          <w:p w14:paraId="22F4E7F5">
            <w:pPr>
              <w:pStyle w:val="2"/>
              <w:ind w:firstLine="440" w:firstLineChars="200"/>
              <w:rPr>
                <w:rFonts w:ascii="Times New Roman" w:hAnsi="Times New Roman" w:eastAsia="仿宋" w:cs="Times New Roman"/>
                <w:color w:val="auto"/>
                <w:sz w:val="22"/>
              </w:rPr>
            </w:pPr>
            <w:r>
              <w:rPr>
                <w:rFonts w:ascii="Times New Roman" w:hAnsi="Times New Roman" w:eastAsia="仿宋" w:cs="Times New Roman"/>
                <w:color w:val="auto"/>
                <w:sz w:val="22"/>
              </w:rPr>
              <w:t>注：供应商自行前往踏勘</w:t>
            </w:r>
            <w:r>
              <w:rPr>
                <w:rFonts w:hint="eastAsia" w:ascii="Times New Roman" w:hAnsi="Times New Roman" w:eastAsia="仿宋" w:cs="Times New Roman"/>
                <w:color w:val="auto"/>
                <w:sz w:val="22"/>
              </w:rPr>
              <w:t>签到</w:t>
            </w:r>
            <w:r>
              <w:rPr>
                <w:rFonts w:ascii="Times New Roman" w:hAnsi="Times New Roman" w:eastAsia="仿宋" w:cs="Times New Roman"/>
                <w:color w:val="auto"/>
                <w:sz w:val="22"/>
              </w:rPr>
              <w:t>地点，所产生的费用由供应商自行承担。未在</w:t>
            </w:r>
            <w:r>
              <w:rPr>
                <w:rFonts w:hint="eastAsia" w:ascii="Times New Roman" w:hAnsi="Times New Roman" w:eastAsia="仿宋" w:cs="Times New Roman"/>
                <w:color w:val="auto"/>
                <w:sz w:val="22"/>
              </w:rPr>
              <w:t>要求</w:t>
            </w:r>
            <w:r>
              <w:rPr>
                <w:rFonts w:ascii="Times New Roman" w:hAnsi="Times New Roman" w:eastAsia="仿宋" w:cs="Times New Roman"/>
                <w:color w:val="auto"/>
                <w:sz w:val="22"/>
              </w:rPr>
              <w:t>时间内签到的供应商，视为自行放弃参与本项目踏勘。未在规定时间内签到或未参加</w:t>
            </w:r>
            <w:r>
              <w:rPr>
                <w:rFonts w:ascii="Times New Roman" w:hAnsi="Times New Roman" w:eastAsia="仿宋" w:cs="Times New Roman"/>
                <w:color w:val="auto"/>
                <w:sz w:val="22"/>
                <w:u w:color="000000"/>
              </w:rPr>
              <w:t>踏勘</w:t>
            </w:r>
            <w:r>
              <w:rPr>
                <w:rFonts w:ascii="Times New Roman" w:hAnsi="Times New Roman" w:eastAsia="仿宋" w:cs="Times New Roman"/>
                <w:color w:val="auto"/>
                <w:sz w:val="22"/>
              </w:rPr>
              <w:t>的供应商，均视为无效供应商，其响应文件作无效处理，所引起的不利因素以及相关安全责任等问题均由供应商自行承担。</w:t>
            </w:r>
          </w:p>
        </w:tc>
      </w:tr>
      <w:tr w14:paraId="59F4F0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68" w:type="dxa"/>
            <w:vAlign w:val="center"/>
          </w:tcPr>
          <w:p w14:paraId="708E28B5">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8BCA59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7236" w:type="dxa"/>
            <w:vAlign w:val="center"/>
          </w:tcPr>
          <w:p w14:paraId="182837E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42CDBD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68" w:type="dxa"/>
            <w:vMerge w:val="restart"/>
            <w:vAlign w:val="center"/>
          </w:tcPr>
          <w:p w14:paraId="24BF4ECA">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5A3E651C">
            <w:pPr>
              <w:pStyle w:val="29"/>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7236" w:type="dxa"/>
            <w:tcBorders>
              <w:bottom w:val="single" w:color="auto" w:sz="4" w:space="0"/>
            </w:tcBorders>
            <w:vAlign w:val="center"/>
          </w:tcPr>
          <w:p w14:paraId="26B9D930">
            <w:pPr>
              <w:pStyle w:val="29"/>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不收取 </w:t>
            </w:r>
          </w:p>
        </w:tc>
      </w:tr>
      <w:tr w14:paraId="4AAB44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68" w:type="dxa"/>
            <w:vMerge w:val="continue"/>
            <w:vAlign w:val="center"/>
          </w:tcPr>
          <w:p w14:paraId="69DDB21E">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790710E5">
            <w:pPr>
              <w:pStyle w:val="29"/>
              <w:spacing w:line="360" w:lineRule="auto"/>
              <w:jc w:val="center"/>
              <w:rPr>
                <w:rFonts w:ascii="Times New Roman" w:hAnsi="Times New Roman" w:eastAsia="仿宋" w:cs="Times New Roman"/>
                <w:sz w:val="22"/>
                <w:szCs w:val="22"/>
              </w:rPr>
            </w:pPr>
          </w:p>
        </w:tc>
        <w:tc>
          <w:tcPr>
            <w:tcW w:w="7236" w:type="dxa"/>
            <w:tcBorders>
              <w:top w:val="single" w:color="auto" w:sz="4" w:space="0"/>
            </w:tcBorders>
            <w:vAlign w:val="center"/>
          </w:tcPr>
          <w:p w14:paraId="1F2025E4">
            <w:pPr>
              <w:pStyle w:val="29"/>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FE"/>
            </w:r>
            <w:r>
              <w:rPr>
                <w:rFonts w:ascii="Times New Roman" w:hAnsi="Times New Roman" w:eastAsia="仿宋" w:cs="Times New Roman"/>
                <w:sz w:val="22"/>
                <w:szCs w:val="22"/>
              </w:rPr>
              <w:t>收取</w:t>
            </w:r>
          </w:p>
          <w:p w14:paraId="2F5A69AE">
            <w:pPr>
              <w:pStyle w:val="29"/>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hint="eastAsia" w:ascii="Times New Roman" w:hAnsi="Times New Roman" w:eastAsia="仿宋" w:cs="Times New Roman"/>
                <w:sz w:val="22"/>
                <w:szCs w:val="22"/>
                <w:lang w:val="zh-CN" w:eastAsia="zh-CN"/>
              </w:rPr>
              <w:t>支付合同总价10%（逾期未缴纳履约保证金，视为自动放弃成交资格）；</w:t>
            </w:r>
          </w:p>
          <w:p w14:paraId="3A95077C">
            <w:pPr>
              <w:pStyle w:val="29"/>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w:t>
            </w:r>
            <w:r>
              <w:rPr>
                <w:rFonts w:hint="eastAsia" w:ascii="Times New Roman" w:hAnsi="Times New Roman" w:eastAsia="仿宋" w:cs="Times New Roman"/>
                <w:sz w:val="22"/>
                <w:szCs w:val="22"/>
                <w:lang w:val="zh-CN" w:eastAsia="zh-CN"/>
              </w:rPr>
              <w:t>履约保证金可以以支票、汇票、本票或者金融机构出具的保函等非现金形式提交（包括网银转账，电汇等方式）</w:t>
            </w:r>
            <w:r>
              <w:rPr>
                <w:rFonts w:ascii="Times New Roman" w:hAnsi="Times New Roman" w:eastAsia="仿宋" w:cs="Times New Roman"/>
                <w:sz w:val="22"/>
                <w:szCs w:val="22"/>
                <w:lang w:val="zh-CN"/>
              </w:rPr>
              <w:t>；</w:t>
            </w:r>
          </w:p>
          <w:p w14:paraId="024D00A2">
            <w:pPr>
              <w:pStyle w:val="29"/>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5F1DFF7F">
            <w:pPr>
              <w:pStyle w:val="29"/>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1CDF9145">
            <w:pPr>
              <w:pStyle w:val="29"/>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w:t>
            </w:r>
            <w:r>
              <w:rPr>
                <w:rFonts w:hint="eastAsia" w:ascii="Times New Roman" w:hAnsi="Times New Roman" w:eastAsia="仿宋" w:cs="Times New Roman"/>
                <w:sz w:val="22"/>
                <w:szCs w:val="22"/>
                <w:lang w:val="zh-CN"/>
              </w:rPr>
              <w:t>：</w:t>
            </w:r>
            <w:r>
              <w:rPr>
                <w:rFonts w:ascii="Times New Roman" w:hAnsi="Times New Roman" w:eastAsia="仿宋" w:cs="Times New Roman"/>
                <w:sz w:val="22"/>
                <w:szCs w:val="22"/>
                <w:lang w:val="zh-CN"/>
              </w:rPr>
              <w:t>5100 1446 4360 5037 4282</w:t>
            </w:r>
          </w:p>
          <w:p w14:paraId="47D4BE49">
            <w:pPr>
              <w:pStyle w:val="29"/>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4794D587">
            <w:pPr>
              <w:pStyle w:val="29"/>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FE"/>
            </w:r>
            <w:r>
              <w:rPr>
                <w:rFonts w:ascii="Times New Roman" w:hAnsi="Times New Roman" w:eastAsia="仿宋" w:cs="Times New Roman"/>
                <w:sz w:val="22"/>
                <w:szCs w:val="22"/>
                <w:lang w:val="zh-CN"/>
              </w:rPr>
              <w:t>采购</w:t>
            </w:r>
            <w:r>
              <w:rPr>
                <w:rFonts w:hint="eastAsia" w:ascii="Times New Roman" w:hAnsi="Times New Roman" w:eastAsia="仿宋" w:cs="Times New Roman"/>
                <w:sz w:val="22"/>
                <w:szCs w:val="22"/>
                <w:lang w:val="zh-CN" w:eastAsia="zh-CN"/>
              </w:rPr>
              <w:t>合同生效后7个工作日内</w:t>
            </w:r>
            <w:r>
              <w:rPr>
                <w:rFonts w:ascii="Times New Roman" w:hAnsi="Times New Roman" w:eastAsia="仿宋" w:cs="Times New Roman"/>
                <w:sz w:val="22"/>
                <w:szCs w:val="22"/>
                <w:lang w:val="zh-CN"/>
              </w:rPr>
              <w:t>；</w:t>
            </w:r>
          </w:p>
          <w:p w14:paraId="33D0822C">
            <w:pPr>
              <w:pStyle w:val="29"/>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611E9B90">
            <w:pPr>
              <w:pStyle w:val="29"/>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hint="eastAsia" w:ascii="Times New Roman" w:hAnsi="Times New Roman" w:eastAsia="仿宋" w:cs="Times New Roman"/>
                <w:sz w:val="22"/>
                <w:szCs w:val="22"/>
                <w:lang w:val="zh-CN" w:eastAsia="zh-CN"/>
              </w:rPr>
              <w:t>项目验收合格且服务期结束后，供应商向采购人提交退款申请及相应票据，采购人在 55 工作日内将履约保证金扣减考核金额（如涉及考核）后一次性无息退还</w:t>
            </w:r>
            <w:r>
              <w:rPr>
                <w:rFonts w:ascii="Times New Roman" w:hAnsi="Times New Roman" w:eastAsia="仿宋" w:cs="Times New Roman"/>
                <w:sz w:val="22"/>
                <w:szCs w:val="22"/>
                <w:lang w:val="zh-CN"/>
              </w:rPr>
              <w:t>；</w:t>
            </w:r>
          </w:p>
          <w:p w14:paraId="6E42CB63">
            <w:pPr>
              <w:pStyle w:val="29"/>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13817A45">
            <w:pPr>
              <w:pStyle w:val="29"/>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eastAsia="zh-CN"/>
              </w:rPr>
              <w:t>供应商拒绝履行与采购人订立的合同；</w:t>
            </w:r>
            <w:r>
              <w:rPr>
                <w:rFonts w:ascii="Times New Roman" w:hAnsi="Times New Roman" w:eastAsia="仿宋" w:cs="Times New Roman"/>
                <w:sz w:val="22"/>
                <w:szCs w:val="22"/>
                <w:lang w:val="zh-CN"/>
              </w:rPr>
              <w:t>；</w:t>
            </w:r>
          </w:p>
          <w:p w14:paraId="4F09EBE3">
            <w:pPr>
              <w:pStyle w:val="29"/>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eastAsia="zh-CN"/>
              </w:rPr>
              <w:t>因供应商严重违约或其它违法违规行为等情形，导致双方无法继续履约。</w:t>
            </w:r>
          </w:p>
        </w:tc>
      </w:tr>
      <w:tr w14:paraId="32E779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68" w:type="dxa"/>
            <w:vAlign w:val="center"/>
          </w:tcPr>
          <w:p w14:paraId="27755E56">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5CB0CE6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7236" w:type="dxa"/>
            <w:vAlign w:val="center"/>
          </w:tcPr>
          <w:p w14:paraId="37D2F400">
            <w:pPr>
              <w:spacing w:line="360" w:lineRule="auto"/>
              <w:ind w:left="210" w:leftChars="100" w:firstLine="440" w:firstLineChars="200"/>
              <w:rPr>
                <w:rFonts w:ascii="Times New Roman" w:hAnsi="Times New Roman" w:eastAsia="仿宋" w:cs="Times New Roman"/>
                <w:sz w:val="24"/>
                <w:szCs w:val="24"/>
              </w:rPr>
            </w:pPr>
            <w:r>
              <w:rPr>
                <w:rFonts w:hint="eastAsia" w:ascii="Times New Roman" w:hAnsi="Times New Roman" w:eastAsia="仿宋" w:cs="Times New Roman"/>
                <w:sz w:val="22"/>
              </w:rPr>
              <w:t>供应商通过</w:t>
            </w:r>
            <w:r>
              <w:rPr>
                <w:rFonts w:ascii="Times New Roman" w:hAnsi="Times New Roman" w:eastAsia="仿宋" w:cs="Times New Roman"/>
                <w:sz w:val="22"/>
              </w:rPr>
              <w:t>资格、符合性审查且所有技术</w:t>
            </w:r>
            <w:r>
              <w:rPr>
                <w:rFonts w:hint="eastAsia" w:ascii="Times New Roman" w:hAnsi="Times New Roman" w:eastAsia="仿宋" w:cs="Times New Roman"/>
                <w:sz w:val="22"/>
              </w:rPr>
              <w:t>、服务</w:t>
            </w:r>
            <w:r>
              <w:rPr>
                <w:rFonts w:ascii="Times New Roman" w:hAnsi="Times New Roman" w:eastAsia="仿宋" w:cs="Times New Roman"/>
                <w:sz w:val="22"/>
              </w:rPr>
              <w:t>和商务</w:t>
            </w:r>
            <w:r>
              <w:rPr>
                <w:rFonts w:hint="eastAsia" w:ascii="Times New Roman" w:hAnsi="Times New Roman" w:eastAsia="仿宋" w:cs="Times New Roman"/>
                <w:sz w:val="22"/>
              </w:rPr>
              <w:t>条件</w:t>
            </w:r>
            <w:r>
              <w:rPr>
                <w:rFonts w:ascii="Times New Roman" w:hAnsi="Times New Roman" w:eastAsia="仿宋" w:cs="Times New Roman"/>
                <w:sz w:val="22"/>
              </w:rPr>
              <w:t>均符合</w:t>
            </w:r>
            <w:r>
              <w:rPr>
                <w:rFonts w:hint="eastAsia" w:ascii="Times New Roman" w:hAnsi="Times New Roman" w:eastAsia="仿宋" w:cs="Times New Roman"/>
                <w:sz w:val="22"/>
              </w:rPr>
              <w:t>采购文件</w:t>
            </w:r>
            <w:r>
              <w:rPr>
                <w:rFonts w:ascii="Times New Roman" w:hAnsi="Times New Roman" w:eastAsia="仿宋" w:cs="Times New Roman"/>
                <w:sz w:val="22"/>
              </w:rPr>
              <w:t>要求</w:t>
            </w:r>
            <w:r>
              <w:rPr>
                <w:rFonts w:hint="eastAsia" w:ascii="Times New Roman" w:hAnsi="Times New Roman" w:eastAsia="仿宋" w:cs="Times New Roman"/>
                <w:sz w:val="22"/>
              </w:rPr>
              <w:t>，</w:t>
            </w:r>
            <w:r>
              <w:rPr>
                <w:rFonts w:ascii="Times New Roman" w:hAnsi="Times New Roman" w:eastAsia="仿宋" w:cs="Times New Roman"/>
                <w:sz w:val="22"/>
              </w:rPr>
              <w:t>评审小组与供应商谈判确定成交</w:t>
            </w:r>
            <w:r>
              <w:rPr>
                <w:rFonts w:hint="eastAsia" w:ascii="Times New Roman" w:hAnsi="Times New Roman" w:eastAsia="仿宋" w:cs="Times New Roman"/>
                <w:sz w:val="22"/>
              </w:rPr>
              <w:t>条件。</w:t>
            </w:r>
          </w:p>
        </w:tc>
      </w:tr>
      <w:tr w14:paraId="1388F4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68" w:type="dxa"/>
            <w:vAlign w:val="center"/>
          </w:tcPr>
          <w:p w14:paraId="7526FA89">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366443D">
            <w:pPr>
              <w:pStyle w:val="29"/>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w:t>
            </w:r>
          </w:p>
          <w:p w14:paraId="3554DCB6">
            <w:pPr>
              <w:pStyle w:val="29"/>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7236" w:type="dxa"/>
            <w:vAlign w:val="center"/>
          </w:tcPr>
          <w:p w14:paraId="13A3F209">
            <w:pPr>
              <w:pStyle w:val="29"/>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下载采购文件。</w:t>
            </w:r>
          </w:p>
        </w:tc>
      </w:tr>
      <w:tr w14:paraId="26742B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68" w:type="dxa"/>
            <w:vAlign w:val="center"/>
          </w:tcPr>
          <w:p w14:paraId="0815B312">
            <w:pPr>
              <w:pStyle w:val="28"/>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4383793A">
            <w:pPr>
              <w:pStyle w:val="29"/>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7236" w:type="dxa"/>
            <w:vAlign w:val="center"/>
          </w:tcPr>
          <w:p w14:paraId="25CE8F0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05285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78CC8DBA">
            <w:pPr>
              <w:pStyle w:val="29"/>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5A660C1C">
            <w:pPr>
              <w:pStyle w:val="29"/>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17EB79D9">
            <w:pPr>
              <w:pStyle w:val="29"/>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hint="eastAsia" w:ascii="Times New Roman" w:hAnsi="Times New Roman" w:eastAsia="仿宋" w:cs="Times New Roman"/>
                <w:sz w:val="22"/>
                <w:szCs w:val="22"/>
                <w:u w:val="single"/>
                <w:lang w:val="en-US" w:eastAsia="zh-CN"/>
              </w:rPr>
              <w:t xml:space="preserve"> </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3FAE2DFC">
            <w:pPr>
              <w:pStyle w:val="29"/>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1826E036">
            <w:pPr>
              <w:pStyle w:val="29"/>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54A592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68" w:type="dxa"/>
            <w:vAlign w:val="center"/>
          </w:tcPr>
          <w:p w14:paraId="51C5A7F8">
            <w:pPr>
              <w:pStyle w:val="28"/>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26C9A784">
            <w:pPr>
              <w:pStyle w:val="29"/>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7236" w:type="dxa"/>
            <w:vAlign w:val="center"/>
          </w:tcPr>
          <w:p w14:paraId="1B7BA4B8">
            <w:pPr>
              <w:spacing w:line="360" w:lineRule="auto"/>
              <w:ind w:left="210" w:leftChars="100"/>
              <w:rPr>
                <w:rFonts w:hint="eastAsia" w:ascii="仿宋" w:hAnsi="仿宋" w:eastAsia="仿宋" w:cs="仿宋"/>
                <w:sz w:val="22"/>
                <w:szCs w:val="22"/>
              </w:rPr>
            </w:pPr>
            <w:r>
              <w:rPr>
                <w:rFonts w:hint="eastAsia" w:ascii="仿宋" w:hAnsi="仿宋" w:eastAsia="仿宋" w:cs="仿宋"/>
                <w:sz w:val="22"/>
                <w:szCs w:val="22"/>
              </w:rPr>
              <w:t>（1）采购部门：招标采购中心</w:t>
            </w:r>
          </w:p>
          <w:p w14:paraId="716ADCDD">
            <w:pPr>
              <w:spacing w:line="360" w:lineRule="auto"/>
              <w:ind w:left="210" w:leftChars="100"/>
              <w:rPr>
                <w:rFonts w:hint="eastAsia" w:ascii="仿宋" w:hAnsi="仿宋" w:eastAsia="仿宋" w:cs="仿宋"/>
                <w:sz w:val="22"/>
                <w:szCs w:val="22"/>
                <w:u w:val="none"/>
                <w:lang w:val="en-US" w:eastAsia="zh-CN"/>
              </w:rPr>
            </w:pPr>
            <w:r>
              <w:rPr>
                <w:rFonts w:hint="eastAsia" w:ascii="仿宋" w:hAnsi="仿宋" w:eastAsia="仿宋" w:cs="仿宋"/>
                <w:sz w:val="22"/>
                <w:szCs w:val="22"/>
                <w:u w:val="none"/>
              </w:rPr>
              <w:t>联系方式：</w:t>
            </w:r>
            <w:r>
              <w:rPr>
                <w:rFonts w:hint="eastAsia" w:ascii="仿宋" w:hAnsi="仿宋" w:eastAsia="仿宋" w:cs="仿宋"/>
                <w:sz w:val="22"/>
                <w:szCs w:val="22"/>
                <w:u w:val="none"/>
                <w:lang w:val="en-US" w:eastAsia="zh-CN"/>
              </w:rPr>
              <w:t>丁</w:t>
            </w:r>
            <w:r>
              <w:rPr>
                <w:rFonts w:hint="eastAsia" w:ascii="仿宋" w:hAnsi="仿宋" w:eastAsia="仿宋" w:cs="仿宋"/>
                <w:sz w:val="22"/>
                <w:szCs w:val="22"/>
                <w:u w:val="none"/>
              </w:rPr>
              <w:t>老师028-</w:t>
            </w:r>
            <w:r>
              <w:rPr>
                <w:rFonts w:hint="eastAsia" w:ascii="仿宋" w:hAnsi="仿宋" w:eastAsia="仿宋" w:cs="仿宋"/>
                <w:sz w:val="22"/>
                <w:szCs w:val="22"/>
                <w:u w:val="none"/>
                <w:lang w:val="en-US" w:eastAsia="zh-CN"/>
              </w:rPr>
              <w:t>87393463</w:t>
            </w:r>
          </w:p>
          <w:p w14:paraId="2BA80911">
            <w:pPr>
              <w:shd w:val="clear"/>
              <w:spacing w:line="360" w:lineRule="auto"/>
              <w:ind w:left="210" w:leftChars="100"/>
              <w:rPr>
                <w:rFonts w:hint="eastAsia" w:ascii="仿宋" w:hAnsi="仿宋" w:eastAsia="仿宋" w:cs="仿宋"/>
                <w:sz w:val="22"/>
                <w:szCs w:val="22"/>
                <w:highlight w:val="none"/>
                <w:u w:val="none"/>
              </w:rPr>
            </w:pPr>
            <w:r>
              <w:rPr>
                <w:rFonts w:hint="eastAsia" w:ascii="仿宋" w:hAnsi="仿宋" w:eastAsia="仿宋" w:cs="仿宋"/>
                <w:sz w:val="22"/>
                <w:szCs w:val="22"/>
                <w:u w:val="none"/>
              </w:rPr>
              <w:t>（2</w:t>
            </w:r>
            <w:r>
              <w:rPr>
                <w:rFonts w:hint="eastAsia" w:ascii="仿宋" w:hAnsi="仿宋" w:eastAsia="仿宋" w:cs="仿宋"/>
                <w:sz w:val="22"/>
                <w:szCs w:val="22"/>
                <w:highlight w:val="none"/>
                <w:u w:val="none"/>
              </w:rPr>
              <w:t>）归口部门：</w:t>
            </w:r>
            <w:r>
              <w:rPr>
                <w:rFonts w:hint="eastAsia" w:ascii="仿宋" w:hAnsi="仿宋" w:eastAsia="仿宋" w:cs="仿宋"/>
                <w:sz w:val="22"/>
                <w:szCs w:val="22"/>
                <w:highlight w:val="none"/>
                <w:u w:val="none"/>
                <w:lang w:val="en-US" w:eastAsia="zh-CN"/>
              </w:rPr>
              <w:t>医学信息中心</w:t>
            </w:r>
          </w:p>
          <w:p w14:paraId="68709189">
            <w:pPr>
              <w:shd w:val="clear"/>
              <w:spacing w:line="360" w:lineRule="auto"/>
              <w:ind w:left="210" w:leftChars="100"/>
              <w:rPr>
                <w:rFonts w:hint="eastAsia" w:ascii="仿宋" w:hAnsi="仿宋" w:eastAsia="仿宋" w:cs="仿宋"/>
                <w:sz w:val="22"/>
                <w:szCs w:val="22"/>
                <w:highlight w:val="none"/>
                <w:u w:val="none"/>
                <w:lang w:val="en-US" w:eastAsia="zh-CN"/>
              </w:rPr>
            </w:pPr>
            <w:r>
              <w:rPr>
                <w:rFonts w:hint="eastAsia" w:ascii="仿宋" w:hAnsi="仿宋" w:eastAsia="仿宋" w:cs="仿宋"/>
                <w:sz w:val="22"/>
                <w:szCs w:val="22"/>
                <w:highlight w:val="none"/>
                <w:u w:val="none"/>
              </w:rPr>
              <w:t>联系方式：</w:t>
            </w:r>
            <w:r>
              <w:rPr>
                <w:rFonts w:hint="eastAsia" w:ascii="仿宋" w:hAnsi="仿宋" w:eastAsia="仿宋" w:cs="仿宋"/>
                <w:sz w:val="22"/>
                <w:szCs w:val="22"/>
                <w:highlight w:val="none"/>
                <w:u w:val="none"/>
                <w:lang w:val="en-US" w:eastAsia="zh-CN"/>
              </w:rPr>
              <w:t>刘</w:t>
            </w:r>
            <w:r>
              <w:rPr>
                <w:rFonts w:hint="eastAsia" w:ascii="仿宋" w:hAnsi="仿宋" w:eastAsia="仿宋" w:cs="仿宋"/>
                <w:sz w:val="22"/>
                <w:szCs w:val="22"/>
                <w:highlight w:val="none"/>
                <w:u w:val="none"/>
              </w:rPr>
              <w:t>老师028-</w:t>
            </w:r>
            <w:r>
              <w:rPr>
                <w:rFonts w:hint="eastAsia" w:ascii="仿宋" w:hAnsi="仿宋" w:eastAsia="仿宋" w:cs="仿宋"/>
                <w:sz w:val="22"/>
                <w:szCs w:val="22"/>
                <w:highlight w:val="none"/>
                <w:u w:val="none"/>
                <w:lang w:val="en-US" w:eastAsia="zh-CN"/>
              </w:rPr>
              <w:t>87393250</w:t>
            </w:r>
          </w:p>
          <w:p w14:paraId="418C3619">
            <w:pPr>
              <w:shd w:val="clear"/>
              <w:spacing w:line="360" w:lineRule="auto"/>
              <w:ind w:left="210" w:leftChars="100"/>
              <w:rPr>
                <w:rFonts w:hint="eastAsia" w:ascii="仿宋" w:hAnsi="仿宋" w:eastAsia="仿宋" w:cs="仿宋"/>
                <w:sz w:val="22"/>
                <w:szCs w:val="22"/>
                <w:highlight w:val="none"/>
              </w:rPr>
            </w:pPr>
            <w:r>
              <w:rPr>
                <w:rFonts w:hint="eastAsia" w:ascii="仿宋" w:hAnsi="仿宋" w:eastAsia="仿宋" w:cs="仿宋"/>
                <w:sz w:val="22"/>
                <w:szCs w:val="22"/>
                <w:highlight w:val="none"/>
              </w:rPr>
              <w:t>（3）监督部门：审计部</w:t>
            </w:r>
          </w:p>
          <w:p w14:paraId="3B042431">
            <w:pPr>
              <w:spacing w:line="360" w:lineRule="auto"/>
              <w:ind w:left="210" w:leftChars="100"/>
              <w:rPr>
                <w:rFonts w:hint="eastAsia" w:ascii="仿宋" w:hAnsi="仿宋" w:eastAsia="仿宋" w:cs="仿宋"/>
                <w:sz w:val="22"/>
                <w:szCs w:val="22"/>
              </w:rPr>
            </w:pPr>
            <w:r>
              <w:rPr>
                <w:rFonts w:hint="eastAsia" w:ascii="仿宋" w:hAnsi="仿宋" w:eastAsia="仿宋" w:cs="仿宋"/>
                <w:sz w:val="22"/>
                <w:szCs w:val="22"/>
              </w:rPr>
              <w:t>联系方式：028-87394709</w:t>
            </w:r>
          </w:p>
          <w:p w14:paraId="5AF46595">
            <w:pPr>
              <w:spacing w:line="360" w:lineRule="auto"/>
              <w:ind w:left="210" w:leftChars="100"/>
              <w:rPr>
                <w:rFonts w:ascii="Times New Roman" w:hAnsi="Times New Roman" w:eastAsia="仿宋" w:cs="Times New Roman"/>
                <w:sz w:val="22"/>
              </w:rPr>
            </w:pPr>
            <w:r>
              <w:rPr>
                <w:rFonts w:hint="eastAsia" w:ascii="仿宋" w:hAnsi="仿宋" w:eastAsia="仿宋" w:cs="仿宋"/>
                <w:sz w:val="22"/>
                <w:szCs w:val="22"/>
              </w:rPr>
              <w:t>（4）采购平台：隆道云400 0118 000，接通以后按1</w:t>
            </w:r>
          </w:p>
        </w:tc>
      </w:tr>
    </w:tbl>
    <w:p w14:paraId="44757C42">
      <w:pPr>
        <w:rPr>
          <w:rFonts w:ascii="Times New Roman" w:hAnsi="Times New Roman" w:cs="Times New Roman"/>
        </w:rPr>
      </w:pPr>
      <w:r>
        <w:rPr>
          <w:rFonts w:ascii="Times New Roman" w:hAnsi="Times New Roman" w:cs="Times New Roman"/>
        </w:rPr>
        <w:br w:type="page"/>
      </w:r>
    </w:p>
    <w:p w14:paraId="6A2CB67B">
      <w:pPr>
        <w:pStyle w:val="3"/>
        <w:numPr>
          <w:ilvl w:val="0"/>
          <w:numId w:val="0"/>
        </w:numPr>
        <w:ind w:left="0" w:leftChars="0" w:firstLine="0" w:firstLineChars="0"/>
        <w:rPr>
          <w:rFonts w:ascii="Times New Roman" w:hAnsi="Times New Roman" w:cs="Times New Roman"/>
        </w:rPr>
      </w:pPr>
      <w:bookmarkStart w:id="6" w:name="_Toc192583767"/>
      <w:bookmarkStart w:id="7" w:name="_Toc14460"/>
      <w:bookmarkStart w:id="8" w:name="_Toc24154"/>
      <w:r>
        <w:rPr>
          <w:rFonts w:hint="eastAsia" w:ascii="Times New Roman" w:hAnsi="Times New Roman" w:eastAsia="黑体" w:cs="Times New Roman"/>
          <w:b/>
          <w:kern w:val="44"/>
          <w:sz w:val="36"/>
          <w:szCs w:val="22"/>
          <w:lang w:val="zh-CN" w:eastAsia="zh-CN" w:bidi="ar-SA"/>
        </w:rPr>
        <w:t xml:space="preserve">第二章 </w:t>
      </w:r>
      <w:r>
        <w:rPr>
          <w:rFonts w:hint="eastAsia" w:ascii="Times New Roman" w:hAnsi="Times New Roman" w:cs="Times New Roman"/>
          <w:lang w:val="en-US"/>
        </w:rPr>
        <w:t>供应商</w:t>
      </w:r>
      <w:r>
        <w:rPr>
          <w:rFonts w:ascii="Times New Roman" w:hAnsi="Times New Roman" w:cs="Times New Roman"/>
        </w:rPr>
        <w:t>须知</w:t>
      </w:r>
      <w:bookmarkEnd w:id="6"/>
      <w:bookmarkEnd w:id="7"/>
      <w:bookmarkEnd w:id="8"/>
    </w:p>
    <w:tbl>
      <w:tblPr>
        <w:tblStyle w:val="18"/>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97"/>
        <w:gridCol w:w="2013"/>
        <w:gridCol w:w="7073"/>
      </w:tblGrid>
      <w:tr w14:paraId="609F1C2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66" w:type="dxa"/>
            <w:tcBorders>
              <w:top w:val="single" w:color="auto" w:sz="18" w:space="0"/>
            </w:tcBorders>
            <w:vAlign w:val="center"/>
          </w:tcPr>
          <w:p w14:paraId="506189F7">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909" w:type="dxa"/>
            <w:tcBorders>
              <w:top w:val="single" w:color="auto" w:sz="18" w:space="0"/>
            </w:tcBorders>
            <w:vAlign w:val="center"/>
          </w:tcPr>
          <w:p w14:paraId="48F6972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706" w:type="dxa"/>
            <w:tcBorders>
              <w:top w:val="single" w:color="auto" w:sz="18" w:space="0"/>
            </w:tcBorders>
            <w:vAlign w:val="center"/>
          </w:tcPr>
          <w:p w14:paraId="3712A05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0C07E51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66" w:type="dxa"/>
            <w:vAlign w:val="center"/>
          </w:tcPr>
          <w:p w14:paraId="5306D9A1">
            <w:pPr>
              <w:pStyle w:val="28"/>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8D7E5C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6706" w:type="dxa"/>
            <w:vAlign w:val="center"/>
          </w:tcPr>
          <w:p w14:paraId="1D97F46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6987710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630ED2F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66" w:type="dxa"/>
            <w:vAlign w:val="center"/>
          </w:tcPr>
          <w:p w14:paraId="25EBC0FA">
            <w:pPr>
              <w:pStyle w:val="28"/>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056FDB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6706" w:type="dxa"/>
            <w:vAlign w:val="center"/>
          </w:tcPr>
          <w:p w14:paraId="044FB5C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00FDC03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供应商应仔细阅读本采购文件，按采购文件</w:t>
            </w:r>
            <w:r>
              <w:rPr>
                <w:rFonts w:hint="eastAsia" w:ascii="Times New Roman" w:hAnsi="Times New Roman" w:eastAsia="仿宋" w:cs="Times New Roman"/>
                <w:sz w:val="22"/>
                <w:lang w:eastAsia="zh-CN"/>
              </w:rPr>
              <w:t>第五章</w:t>
            </w:r>
            <w:r>
              <w:rPr>
                <w:rFonts w:ascii="Times New Roman" w:hAnsi="Times New Roman" w:eastAsia="仿宋" w:cs="Times New Roman"/>
                <w:sz w:val="22"/>
              </w:rPr>
              <w:t>“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21C4539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03C80F5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2D0069A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03E14DD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75734AF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响应文件应根据采购文件的要求签署、盖章。</w:t>
            </w:r>
          </w:p>
        </w:tc>
      </w:tr>
      <w:tr w14:paraId="12A0774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62" w:hRule="atLeast"/>
          <w:jc w:val="center"/>
        </w:trPr>
        <w:tc>
          <w:tcPr>
            <w:tcW w:w="566" w:type="dxa"/>
            <w:vAlign w:val="center"/>
          </w:tcPr>
          <w:p w14:paraId="4AC0DE18">
            <w:pPr>
              <w:pStyle w:val="28"/>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41522A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评审要求</w:t>
            </w:r>
          </w:p>
        </w:tc>
        <w:tc>
          <w:tcPr>
            <w:tcW w:w="6706" w:type="dxa"/>
            <w:vAlign w:val="center"/>
          </w:tcPr>
          <w:p w14:paraId="1608060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1</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当天</w:t>
            </w:r>
            <w:r>
              <w:rPr>
                <w:rFonts w:hint="eastAsia" w:ascii="Times New Roman" w:hAnsi="Times New Roman" w:eastAsia="仿宋" w:cs="Times New Roman"/>
                <w:sz w:val="22"/>
              </w:rPr>
              <w:t>，</w:t>
            </w:r>
            <w:r>
              <w:rPr>
                <w:rFonts w:ascii="Times New Roman" w:hAnsi="Times New Roman" w:eastAsia="仿宋" w:cs="Times New Roman"/>
                <w:sz w:val="22"/>
              </w:rPr>
              <w:t>供应商应保证采购文件中所写明的法定代表人或委托代理人的联系方式（手机或邮箱）的畅通，并确保其具备澄清、说明或者更正及在我单位使用的电子化招采平台上进行操作等条件（在接到通知后的在</w:t>
            </w:r>
            <w:r>
              <w:rPr>
                <w:rFonts w:hint="eastAsia" w:ascii="Times New Roman" w:hAnsi="Times New Roman" w:eastAsia="仿宋" w:cs="Times New Roman"/>
                <w:sz w:val="22"/>
                <w:lang w:val="en-US" w:eastAsia="zh-CN"/>
              </w:rPr>
              <w:t>谈判小组</w:t>
            </w:r>
            <w:r>
              <w:rPr>
                <w:rFonts w:ascii="Times New Roman" w:hAnsi="Times New Roman" w:eastAsia="仿宋" w:cs="Times New Roman"/>
                <w:sz w:val="22"/>
              </w:rPr>
              <w:t>规定时间内未回复做无效处理）。</w:t>
            </w:r>
          </w:p>
          <w:p w14:paraId="031BFB27">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（2）谈判过程中，供应商进行二轮报价或多轮报价且次轮报价不得高于上轮报价，以供应商的最终报价作为有效报价参与谈判。</w:t>
            </w:r>
          </w:p>
          <w:p w14:paraId="3E57DDD1">
            <w:pPr>
              <w:snapToGrid w:val="0"/>
              <w:spacing w:line="360" w:lineRule="auto"/>
              <w:ind w:left="210" w:leftChars="100"/>
              <w:contextualSpacing/>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3</w:t>
            </w:r>
            <w:r>
              <w:rPr>
                <w:rFonts w:ascii="Times New Roman" w:hAnsi="Times New Roman" w:eastAsia="仿宋" w:cs="Times New Roman"/>
                <w:sz w:val="22"/>
              </w:rPr>
              <w:t>）</w:t>
            </w:r>
            <w:r>
              <w:rPr>
                <w:rFonts w:hint="eastAsia" w:ascii="Times New Roman" w:hAnsi="Times New Roman" w:eastAsia="仿宋" w:cs="Times New Roman"/>
                <w:sz w:val="22"/>
              </w:rPr>
              <w:t>评审小组</w:t>
            </w:r>
            <w:r>
              <w:rPr>
                <w:rFonts w:ascii="Times New Roman" w:hAnsi="Times New Roman" w:eastAsia="仿宋" w:cs="Times New Roman"/>
                <w:sz w:val="22"/>
              </w:rPr>
              <w:t>要求供应商的澄清、说明或者更正，不得超出采购文件的范围，不得影响供应商公平竞争。</w:t>
            </w:r>
          </w:p>
        </w:tc>
      </w:tr>
      <w:tr w14:paraId="69960A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66" w:type="dxa"/>
            <w:vAlign w:val="center"/>
          </w:tcPr>
          <w:p w14:paraId="310BFDC3">
            <w:pPr>
              <w:pStyle w:val="28"/>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3412F3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6706" w:type="dxa"/>
            <w:vAlign w:val="center"/>
          </w:tcPr>
          <w:p w14:paraId="560382C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5FBC0D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C4E0EA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160FADF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66" w:type="dxa"/>
            <w:vAlign w:val="center"/>
          </w:tcPr>
          <w:p w14:paraId="3C16AEDA">
            <w:pPr>
              <w:pStyle w:val="28"/>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D3EAA7A">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6706" w:type="dxa"/>
            <w:vAlign w:val="center"/>
          </w:tcPr>
          <w:p w14:paraId="781ED68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采购文件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5218A21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047CCB3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66" w:type="dxa"/>
            <w:vAlign w:val="center"/>
          </w:tcPr>
          <w:p w14:paraId="7291B37F">
            <w:pPr>
              <w:pStyle w:val="28"/>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5A9FF60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6706" w:type="dxa"/>
            <w:vAlign w:val="center"/>
          </w:tcPr>
          <w:p w14:paraId="45ADBA10">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4C7E40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738305A7">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259172F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66" w:type="dxa"/>
            <w:vAlign w:val="center"/>
          </w:tcPr>
          <w:p w14:paraId="428C8D8A">
            <w:pPr>
              <w:pStyle w:val="28"/>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51EC672">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6706" w:type="dxa"/>
            <w:vAlign w:val="center"/>
          </w:tcPr>
          <w:p w14:paraId="28AFB8B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784D17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（2）若响应文件存在虚假响应在评审阶段，评审小组应将该响应文件作无效处理，若是成交后发现的，采购人应当取消其成交资格；</w:t>
            </w:r>
          </w:p>
          <w:p w14:paraId="40876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6FE397A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57F56B90">
            <w:pPr>
              <w:pStyle w:val="28"/>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7D2C65B9">
            <w:pPr>
              <w:pStyle w:val="29"/>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采购文件澄清、修改</w:t>
            </w:r>
          </w:p>
        </w:tc>
        <w:tc>
          <w:tcPr>
            <w:tcW w:w="6706" w:type="dxa"/>
            <w:vAlign w:val="center"/>
          </w:tcPr>
          <w:p w14:paraId="2B47786C">
            <w:pPr>
              <w:pStyle w:val="29"/>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采购人在采购期间发出的一切澄清、修改均为采购文件的有效组成部分。</w:t>
            </w:r>
          </w:p>
        </w:tc>
      </w:tr>
      <w:tr w14:paraId="4C4F3D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093CF7DF">
            <w:pPr>
              <w:pStyle w:val="28"/>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02FDED93">
            <w:pPr>
              <w:pStyle w:val="29"/>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6706" w:type="dxa"/>
            <w:vAlign w:val="center"/>
          </w:tcPr>
          <w:p w14:paraId="628FBF6C">
            <w:pPr>
              <w:pStyle w:val="29"/>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3FAF73B8">
            <w:pPr>
              <w:pStyle w:val="29"/>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48F73063">
            <w:pPr>
              <w:pStyle w:val="29"/>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4E0817F0">
            <w:pPr>
              <w:pStyle w:val="29"/>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78B2117">
            <w:pPr>
              <w:pStyle w:val="29"/>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1F812D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39ABE5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1289D22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489D650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66" w:type="dxa"/>
            <w:vAlign w:val="center"/>
          </w:tcPr>
          <w:p w14:paraId="16F8B326">
            <w:pPr>
              <w:pStyle w:val="28"/>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5DFD6E60">
            <w:pPr>
              <w:pStyle w:val="29"/>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6706" w:type="dxa"/>
            <w:vAlign w:val="center"/>
          </w:tcPr>
          <w:p w14:paraId="5E805435">
            <w:pPr>
              <w:pStyle w:val="29"/>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7C2B4E57">
            <w:pPr>
              <w:pStyle w:val="29"/>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w:t>
            </w:r>
            <w:r>
              <w:rPr>
                <w:rFonts w:hint="eastAsia" w:ascii="Times New Roman" w:hAnsi="Times New Roman" w:eastAsia="仿宋" w:cs="Times New Roman"/>
                <w:sz w:val="22"/>
                <w:szCs w:val="22"/>
                <w:lang w:val="zh-CN"/>
              </w:rPr>
              <w:t>请成交供应商在结果公告发出一个工作日后，联系招标采购中心（028-8739</w:t>
            </w:r>
            <w:r>
              <w:rPr>
                <w:rFonts w:hint="eastAsia" w:ascii="Times New Roman" w:hAnsi="Times New Roman" w:eastAsia="仿宋" w:cs="Times New Roman"/>
                <w:sz w:val="22"/>
                <w:szCs w:val="22"/>
                <w:lang w:val="zh-CN" w:eastAsia="zh-CN"/>
              </w:rPr>
              <w:t>3463</w:t>
            </w:r>
            <w:r>
              <w:rPr>
                <w:rFonts w:hint="eastAsia" w:ascii="Times New Roman" w:hAnsi="Times New Roman" w:eastAsia="仿宋" w:cs="Times New Roman"/>
                <w:sz w:val="22"/>
                <w:szCs w:val="22"/>
                <w:lang w:val="zh-CN"/>
              </w:rPr>
              <w:t>）并将合同初稿发送至</w:t>
            </w:r>
            <w:r>
              <w:rPr>
                <w:rFonts w:hint="eastAsia" w:ascii="Times New Roman" w:hAnsi="Times New Roman" w:eastAsia="仿宋" w:cs="Times New Roman"/>
                <w:sz w:val="22"/>
                <w:szCs w:val="22"/>
                <w:lang w:val="zh-CN" w:eastAsia="zh-CN"/>
              </w:rPr>
              <w:t>sbc3214@vip.163.com</w:t>
            </w:r>
            <w:r>
              <w:rPr>
                <w:rFonts w:hint="eastAsia" w:ascii="Times New Roman" w:hAnsi="Times New Roman" w:eastAsia="仿宋" w:cs="Times New Roman"/>
                <w:sz w:val="22"/>
                <w:szCs w:val="22"/>
                <w:lang w:val="zh-CN"/>
              </w:rPr>
              <w:t>。</w:t>
            </w:r>
          </w:p>
          <w:p w14:paraId="24695EB0">
            <w:pPr>
              <w:pStyle w:val="29"/>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79623BCF">
            <w:pPr>
              <w:pStyle w:val="29"/>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25C795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593A1F9A">
            <w:pPr>
              <w:pStyle w:val="28"/>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5DB3129">
            <w:pPr>
              <w:pStyle w:val="29"/>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6706" w:type="dxa"/>
            <w:vAlign w:val="center"/>
          </w:tcPr>
          <w:p w14:paraId="64F9C00B">
            <w:pPr>
              <w:pStyle w:val="29"/>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5C495124">
            <w:pPr>
              <w:pStyle w:val="29"/>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采购文件</w:t>
            </w:r>
            <w:r>
              <w:rPr>
                <w:rFonts w:ascii="Times New Roman" w:hAnsi="Times New Roman" w:eastAsia="仿宋" w:cs="Times New Roman"/>
                <w:sz w:val="22"/>
                <w:szCs w:val="22"/>
              </w:rPr>
              <w:t>的第一章、第二章均为实质性要求，供应商应当符合；</w:t>
            </w:r>
          </w:p>
          <w:p w14:paraId="03BAC88B">
            <w:pPr>
              <w:pStyle w:val="29"/>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2FAC36A4">
            <w:pPr>
              <w:pStyle w:val="29"/>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获取了采购文件拟参加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7CB9099E">
            <w:pPr>
              <w:pStyle w:val="29"/>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1B2DCA5">
            <w:pPr>
              <w:pStyle w:val="29"/>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本采购文件最终解释权归采购人所有。</w:t>
            </w:r>
          </w:p>
        </w:tc>
      </w:tr>
    </w:tbl>
    <w:p w14:paraId="74BF87D2">
      <w:pPr>
        <w:rPr>
          <w:rFonts w:ascii="Times New Roman" w:hAnsi="Times New Roman" w:cs="Times New Roman"/>
        </w:rPr>
      </w:pPr>
      <w:r>
        <w:rPr>
          <w:rFonts w:ascii="Times New Roman" w:hAnsi="Times New Roman" w:cs="Times New Roman"/>
        </w:rPr>
        <w:br w:type="page"/>
      </w:r>
    </w:p>
    <w:p w14:paraId="72CA7D32">
      <w:pPr>
        <w:pStyle w:val="3"/>
        <w:numPr>
          <w:ilvl w:val="0"/>
          <w:numId w:val="0"/>
        </w:numPr>
        <w:ind w:left="0" w:leftChars="0" w:firstLine="0" w:firstLineChars="0"/>
        <w:rPr>
          <w:rFonts w:ascii="Times New Roman" w:hAnsi="Times New Roman" w:cs="Times New Roman"/>
        </w:rPr>
      </w:pPr>
      <w:bookmarkStart w:id="9" w:name="_Toc28050"/>
      <w:bookmarkStart w:id="10" w:name="_Toc19400"/>
      <w:bookmarkStart w:id="11" w:name="_Toc192583768"/>
      <w:r>
        <w:rPr>
          <w:rFonts w:hint="eastAsia" w:ascii="Times New Roman" w:hAnsi="Times New Roman" w:eastAsia="黑体" w:cs="Times New Roman"/>
          <w:b/>
          <w:kern w:val="44"/>
          <w:sz w:val="36"/>
          <w:szCs w:val="22"/>
          <w:lang w:val="zh-CN" w:eastAsia="zh-CN" w:bidi="ar-SA"/>
        </w:rPr>
        <w:t xml:space="preserve">第三章 </w:t>
      </w:r>
      <w:r>
        <w:rPr>
          <w:rFonts w:ascii="Times New Roman" w:hAnsi="Times New Roman" w:cs="Times New Roman"/>
        </w:rPr>
        <w:t>供应商资格审查及符合性审查</w:t>
      </w:r>
      <w:bookmarkEnd w:id="9"/>
      <w:bookmarkEnd w:id="10"/>
      <w:bookmarkEnd w:id="11"/>
    </w:p>
    <w:p w14:paraId="5D31D562">
      <w:pPr>
        <w:pStyle w:val="2"/>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0"/>
        <w:gridCol w:w="2885"/>
        <w:gridCol w:w="6058"/>
      </w:tblGrid>
      <w:tr w14:paraId="6CF53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9853" w:type="dxa"/>
            <w:gridSpan w:val="3"/>
            <w:vAlign w:val="center"/>
          </w:tcPr>
          <w:p w14:paraId="5BD3F1EF">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421D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910" w:type="dxa"/>
            <w:vAlign w:val="center"/>
          </w:tcPr>
          <w:p w14:paraId="161D69AA">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885" w:type="dxa"/>
            <w:vAlign w:val="center"/>
          </w:tcPr>
          <w:p w14:paraId="016B6C2A">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6058" w:type="dxa"/>
            <w:vAlign w:val="center"/>
          </w:tcPr>
          <w:p w14:paraId="40BD8827">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7EA4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910" w:type="dxa"/>
            <w:vAlign w:val="center"/>
          </w:tcPr>
          <w:p w14:paraId="73A4E78A">
            <w:pPr>
              <w:jc w:val="center"/>
              <w:rPr>
                <w:rFonts w:ascii="Times New Roman" w:hAnsi="Times New Roman" w:eastAsia="仿宋" w:cs="Times New Roman"/>
                <w:sz w:val="22"/>
              </w:rPr>
            </w:pPr>
            <w:r>
              <w:rPr>
                <w:rFonts w:ascii="Times New Roman" w:hAnsi="Times New Roman" w:eastAsia="仿宋" w:cs="Times New Roman"/>
                <w:sz w:val="22"/>
              </w:rPr>
              <w:t>1</w:t>
            </w:r>
          </w:p>
        </w:tc>
        <w:tc>
          <w:tcPr>
            <w:tcW w:w="2885" w:type="dxa"/>
            <w:vAlign w:val="center"/>
          </w:tcPr>
          <w:p w14:paraId="18538256">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6058" w:type="dxa"/>
            <w:vAlign w:val="center"/>
          </w:tcPr>
          <w:p w14:paraId="56BBD19E">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7E6572F6">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14F83C0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0330B538">
            <w:pPr>
              <w:widowControl/>
              <w:jc w:val="left"/>
              <w:rPr>
                <w:rFonts w:ascii="Times New Roman" w:hAnsi="Times New Roman" w:eastAsia="仿宋" w:cs="Times New Roman"/>
                <w:bCs/>
                <w:kern w:val="0"/>
                <w:sz w:val="22"/>
              </w:rPr>
            </w:pPr>
            <w:r>
              <w:rPr>
                <w:rFonts w:ascii="Times New Roman" w:hAnsi="Times New Roman" w:eastAsia="仿宋" w:cs="Times New Roman"/>
              </w:rPr>
              <w:t>（4）若为自然人：提供“身份证明材料”</w:t>
            </w:r>
          </w:p>
        </w:tc>
      </w:tr>
      <w:tr w14:paraId="7E9D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910" w:type="dxa"/>
            <w:vAlign w:val="center"/>
          </w:tcPr>
          <w:p w14:paraId="159D3C47">
            <w:pPr>
              <w:jc w:val="center"/>
              <w:rPr>
                <w:rFonts w:ascii="Times New Roman" w:hAnsi="Times New Roman" w:eastAsia="仿宋" w:cs="Times New Roman"/>
                <w:sz w:val="22"/>
              </w:rPr>
            </w:pPr>
            <w:r>
              <w:rPr>
                <w:rFonts w:ascii="Times New Roman" w:hAnsi="Times New Roman" w:eastAsia="仿宋" w:cs="Times New Roman"/>
                <w:sz w:val="22"/>
              </w:rPr>
              <w:t>2</w:t>
            </w:r>
          </w:p>
        </w:tc>
        <w:tc>
          <w:tcPr>
            <w:tcW w:w="2885" w:type="dxa"/>
            <w:vAlign w:val="center"/>
          </w:tcPr>
          <w:p w14:paraId="4C1E1DE0">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6058" w:type="dxa"/>
            <w:vAlign w:val="center"/>
          </w:tcPr>
          <w:p w14:paraId="3A6CE90D">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7F3566EB">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3EBA4559">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0B034A77">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184C769F">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7862BA99">
            <w:pPr>
              <w:jc w:val="left"/>
              <w:rPr>
                <w:rFonts w:ascii="Times New Roman" w:hAnsi="Times New Roman" w:eastAsia="仿宋" w:cs="Times New Roman"/>
                <w:bCs/>
                <w:kern w:val="0"/>
                <w:sz w:val="22"/>
              </w:rPr>
            </w:pPr>
            <w:r>
              <w:rPr>
                <w:rFonts w:ascii="Times New Roman" w:hAnsi="Times New Roman" w:eastAsia="仿宋" w:cs="Times New Roman"/>
                <w:sz w:val="22"/>
              </w:rPr>
              <w:t>（5）供应商为个体工商户或自然人时，可提供承诺函。</w:t>
            </w:r>
          </w:p>
        </w:tc>
      </w:tr>
      <w:tr w14:paraId="5B6E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910" w:type="dxa"/>
            <w:vAlign w:val="center"/>
          </w:tcPr>
          <w:p w14:paraId="7CAC0336">
            <w:pPr>
              <w:jc w:val="center"/>
              <w:rPr>
                <w:rFonts w:ascii="Times New Roman" w:hAnsi="Times New Roman" w:eastAsia="仿宋" w:cs="Times New Roman"/>
                <w:sz w:val="22"/>
              </w:rPr>
            </w:pPr>
            <w:r>
              <w:rPr>
                <w:rFonts w:ascii="Times New Roman" w:hAnsi="Times New Roman" w:eastAsia="仿宋" w:cs="Times New Roman"/>
                <w:sz w:val="22"/>
              </w:rPr>
              <w:t>3</w:t>
            </w:r>
          </w:p>
        </w:tc>
        <w:tc>
          <w:tcPr>
            <w:tcW w:w="2885" w:type="dxa"/>
            <w:vAlign w:val="center"/>
          </w:tcPr>
          <w:p w14:paraId="6E0418A3">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6058" w:type="dxa"/>
            <w:vMerge w:val="restart"/>
            <w:vAlign w:val="center"/>
          </w:tcPr>
          <w:p w14:paraId="2E322651">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4DF8C372">
            <w:pPr>
              <w:jc w:val="center"/>
              <w:rPr>
                <w:rFonts w:ascii="Times New Roman" w:hAnsi="Times New Roman" w:eastAsia="仿宋" w:cs="Times New Roman"/>
                <w:bCs/>
                <w:kern w:val="0"/>
                <w:sz w:val="22"/>
              </w:rPr>
            </w:pPr>
            <w:r>
              <w:rPr>
                <w:rFonts w:ascii="Times New Roman" w:hAnsi="Times New Roman" w:eastAsia="仿宋" w:cs="Times New Roman"/>
                <w:sz w:val="22"/>
              </w:rPr>
              <w:t>(注：格式见</w:t>
            </w:r>
            <w:r>
              <w:rPr>
                <w:rFonts w:hint="eastAsia" w:ascii="Times New Roman" w:hAnsi="Times New Roman" w:eastAsia="仿宋" w:cs="Times New Roman"/>
                <w:sz w:val="22"/>
                <w:lang w:eastAsia="zh-CN"/>
              </w:rPr>
              <w:t>第五章</w:t>
            </w:r>
            <w:r>
              <w:rPr>
                <w:rFonts w:ascii="Times New Roman" w:hAnsi="Times New Roman" w:eastAsia="仿宋" w:cs="Times New Roman"/>
                <w:sz w:val="22"/>
              </w:rPr>
              <w:t>承诺函)</w:t>
            </w:r>
          </w:p>
        </w:tc>
      </w:tr>
      <w:tr w14:paraId="31C4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910" w:type="dxa"/>
            <w:vAlign w:val="center"/>
          </w:tcPr>
          <w:p w14:paraId="420950AF">
            <w:pPr>
              <w:jc w:val="center"/>
              <w:rPr>
                <w:rFonts w:ascii="Times New Roman" w:hAnsi="Times New Roman" w:eastAsia="仿宋" w:cs="Times New Roman"/>
                <w:sz w:val="22"/>
              </w:rPr>
            </w:pPr>
            <w:r>
              <w:rPr>
                <w:rFonts w:ascii="Times New Roman" w:hAnsi="Times New Roman" w:eastAsia="仿宋" w:cs="Times New Roman"/>
                <w:sz w:val="22"/>
              </w:rPr>
              <w:t>4</w:t>
            </w:r>
          </w:p>
        </w:tc>
        <w:tc>
          <w:tcPr>
            <w:tcW w:w="2885" w:type="dxa"/>
            <w:vAlign w:val="center"/>
          </w:tcPr>
          <w:p w14:paraId="7A69274E">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6058" w:type="dxa"/>
            <w:vMerge w:val="continue"/>
            <w:vAlign w:val="center"/>
          </w:tcPr>
          <w:p w14:paraId="75EA1F69">
            <w:pPr>
              <w:jc w:val="left"/>
              <w:rPr>
                <w:rFonts w:ascii="Times New Roman" w:hAnsi="Times New Roman" w:eastAsia="仿宋" w:cs="Times New Roman"/>
                <w:bCs/>
                <w:kern w:val="0"/>
                <w:sz w:val="22"/>
              </w:rPr>
            </w:pPr>
          </w:p>
        </w:tc>
      </w:tr>
      <w:tr w14:paraId="38C4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910" w:type="dxa"/>
            <w:vAlign w:val="center"/>
          </w:tcPr>
          <w:p w14:paraId="48559D6D">
            <w:pPr>
              <w:jc w:val="center"/>
              <w:rPr>
                <w:rFonts w:ascii="Times New Roman" w:hAnsi="Times New Roman" w:eastAsia="仿宋" w:cs="Times New Roman"/>
                <w:sz w:val="22"/>
              </w:rPr>
            </w:pPr>
            <w:r>
              <w:rPr>
                <w:rFonts w:ascii="Times New Roman" w:hAnsi="Times New Roman" w:eastAsia="仿宋" w:cs="Times New Roman"/>
                <w:sz w:val="22"/>
              </w:rPr>
              <w:t>5</w:t>
            </w:r>
          </w:p>
        </w:tc>
        <w:tc>
          <w:tcPr>
            <w:tcW w:w="2885" w:type="dxa"/>
            <w:vAlign w:val="center"/>
          </w:tcPr>
          <w:p w14:paraId="17852D46">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6058" w:type="dxa"/>
            <w:vMerge w:val="continue"/>
            <w:vAlign w:val="center"/>
          </w:tcPr>
          <w:p w14:paraId="44ACEB1A">
            <w:pPr>
              <w:jc w:val="left"/>
              <w:rPr>
                <w:rFonts w:ascii="Times New Roman" w:hAnsi="Times New Roman" w:eastAsia="仿宋" w:cs="Times New Roman"/>
                <w:bCs/>
                <w:kern w:val="0"/>
                <w:sz w:val="22"/>
              </w:rPr>
            </w:pPr>
          </w:p>
        </w:tc>
      </w:tr>
      <w:tr w14:paraId="2150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910" w:type="dxa"/>
            <w:vAlign w:val="center"/>
          </w:tcPr>
          <w:p w14:paraId="582F1827">
            <w:pPr>
              <w:jc w:val="center"/>
              <w:rPr>
                <w:rFonts w:ascii="Times New Roman" w:hAnsi="Times New Roman" w:eastAsia="仿宋" w:cs="Times New Roman"/>
                <w:sz w:val="22"/>
              </w:rPr>
            </w:pPr>
            <w:r>
              <w:rPr>
                <w:rFonts w:ascii="Times New Roman" w:hAnsi="Times New Roman" w:eastAsia="仿宋" w:cs="Times New Roman"/>
                <w:sz w:val="22"/>
              </w:rPr>
              <w:t>6</w:t>
            </w:r>
          </w:p>
        </w:tc>
        <w:tc>
          <w:tcPr>
            <w:tcW w:w="2885" w:type="dxa"/>
            <w:vAlign w:val="center"/>
          </w:tcPr>
          <w:p w14:paraId="21BE83A2">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6058" w:type="dxa"/>
            <w:vMerge w:val="continue"/>
            <w:vAlign w:val="center"/>
          </w:tcPr>
          <w:p w14:paraId="5C28B90D">
            <w:pPr>
              <w:jc w:val="left"/>
              <w:rPr>
                <w:rFonts w:ascii="Times New Roman" w:hAnsi="Times New Roman" w:eastAsia="仿宋" w:cs="Times New Roman"/>
                <w:bCs/>
                <w:kern w:val="0"/>
                <w:sz w:val="22"/>
              </w:rPr>
            </w:pPr>
          </w:p>
        </w:tc>
      </w:tr>
      <w:tr w14:paraId="750A1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910" w:type="dxa"/>
            <w:vAlign w:val="center"/>
          </w:tcPr>
          <w:p w14:paraId="158F6088">
            <w:pPr>
              <w:jc w:val="center"/>
              <w:rPr>
                <w:rFonts w:ascii="Times New Roman" w:hAnsi="Times New Roman" w:eastAsia="仿宋" w:cs="Times New Roman"/>
                <w:sz w:val="22"/>
              </w:rPr>
            </w:pPr>
            <w:r>
              <w:rPr>
                <w:rFonts w:ascii="Times New Roman" w:hAnsi="Times New Roman" w:eastAsia="仿宋" w:cs="Times New Roman"/>
                <w:sz w:val="22"/>
              </w:rPr>
              <w:t>7</w:t>
            </w:r>
          </w:p>
        </w:tc>
        <w:tc>
          <w:tcPr>
            <w:tcW w:w="2885" w:type="dxa"/>
            <w:vAlign w:val="center"/>
          </w:tcPr>
          <w:p w14:paraId="3876F2D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6058" w:type="dxa"/>
            <w:vMerge w:val="continue"/>
            <w:vAlign w:val="center"/>
          </w:tcPr>
          <w:p w14:paraId="7B368145">
            <w:pPr>
              <w:jc w:val="left"/>
              <w:rPr>
                <w:rFonts w:ascii="Times New Roman" w:hAnsi="Times New Roman" w:eastAsia="仿宋" w:cs="Times New Roman"/>
                <w:bCs/>
                <w:kern w:val="0"/>
                <w:sz w:val="22"/>
              </w:rPr>
            </w:pPr>
          </w:p>
        </w:tc>
      </w:tr>
      <w:tr w14:paraId="482C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910" w:type="dxa"/>
            <w:vAlign w:val="center"/>
          </w:tcPr>
          <w:p w14:paraId="20427252">
            <w:pPr>
              <w:jc w:val="center"/>
              <w:rPr>
                <w:rFonts w:ascii="Times New Roman" w:hAnsi="Times New Roman" w:eastAsia="仿宋" w:cs="Times New Roman"/>
                <w:sz w:val="22"/>
              </w:rPr>
            </w:pPr>
            <w:r>
              <w:rPr>
                <w:rFonts w:ascii="Times New Roman" w:hAnsi="Times New Roman" w:eastAsia="仿宋" w:cs="Times New Roman"/>
                <w:sz w:val="22"/>
              </w:rPr>
              <w:t>8</w:t>
            </w:r>
          </w:p>
        </w:tc>
        <w:tc>
          <w:tcPr>
            <w:tcW w:w="2885" w:type="dxa"/>
            <w:vAlign w:val="center"/>
          </w:tcPr>
          <w:p w14:paraId="302873B4">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6058" w:type="dxa"/>
            <w:vMerge w:val="continue"/>
            <w:vAlign w:val="center"/>
          </w:tcPr>
          <w:p w14:paraId="5B2F7F1D">
            <w:pPr>
              <w:jc w:val="left"/>
              <w:rPr>
                <w:rFonts w:ascii="Times New Roman" w:hAnsi="Times New Roman" w:eastAsia="仿宋" w:cs="Times New Roman"/>
                <w:bCs/>
                <w:kern w:val="0"/>
                <w:sz w:val="22"/>
              </w:rPr>
            </w:pPr>
          </w:p>
        </w:tc>
      </w:tr>
      <w:tr w14:paraId="3D76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910" w:type="dxa"/>
            <w:vAlign w:val="center"/>
          </w:tcPr>
          <w:p w14:paraId="69A8A077">
            <w:pPr>
              <w:jc w:val="center"/>
              <w:rPr>
                <w:rFonts w:ascii="Times New Roman" w:hAnsi="Times New Roman" w:eastAsia="仿宋" w:cs="Times New Roman"/>
                <w:sz w:val="22"/>
              </w:rPr>
            </w:pPr>
            <w:r>
              <w:rPr>
                <w:rFonts w:ascii="Times New Roman" w:hAnsi="Times New Roman" w:eastAsia="仿宋" w:cs="Times New Roman"/>
                <w:sz w:val="22"/>
              </w:rPr>
              <w:t>9</w:t>
            </w:r>
          </w:p>
        </w:tc>
        <w:tc>
          <w:tcPr>
            <w:tcW w:w="2885" w:type="dxa"/>
            <w:vAlign w:val="center"/>
          </w:tcPr>
          <w:p w14:paraId="0520E16E">
            <w:pPr>
              <w:widowControl/>
              <w:jc w:val="left"/>
              <w:rPr>
                <w:rFonts w:hint="eastAsia" w:ascii="Times New Roman" w:hAnsi="Times New Roman" w:eastAsia="仿宋" w:cs="Times New Roman"/>
                <w:b/>
                <w:bCs/>
                <w:sz w:val="22"/>
                <w:lang w:val="en-US" w:eastAsia="zh-CN"/>
              </w:rPr>
            </w:pPr>
            <w:r>
              <w:rPr>
                <w:rFonts w:ascii="Times New Roman" w:hAnsi="Times New Roman" w:eastAsia="仿宋" w:cs="Times New Roman"/>
                <w:b/>
                <w:bCs/>
                <w:sz w:val="22"/>
              </w:rPr>
              <w:t>本项目其他资格条件：</w:t>
            </w:r>
            <w:r>
              <w:rPr>
                <w:rFonts w:ascii="Times New Roman" w:hAnsi="Times New Roman" w:eastAsia="仿宋" w:cs="Times New Roman"/>
                <w:b/>
                <w:bCs/>
                <w:sz w:val="22"/>
                <w:u w:val="single"/>
              </w:rPr>
              <w:t xml:space="preserve"> </w:t>
            </w:r>
            <w:r>
              <w:rPr>
                <w:rFonts w:hint="eastAsia" w:ascii="Times New Roman" w:hAnsi="Times New Roman" w:eastAsia="仿宋" w:cs="Times New Roman"/>
                <w:b/>
                <w:bCs/>
                <w:sz w:val="22"/>
                <w:u w:val="single"/>
                <w:lang w:eastAsia="zh-CN"/>
              </w:rPr>
              <w:t>无</w:t>
            </w:r>
            <w:r>
              <w:rPr>
                <w:rFonts w:hint="eastAsia" w:ascii="Times New Roman" w:hAnsi="Times New Roman" w:eastAsia="仿宋" w:cs="Times New Roman"/>
                <w:b/>
                <w:bCs/>
                <w:sz w:val="22"/>
                <w:u w:val="single"/>
                <w:lang w:val="en-US" w:eastAsia="zh-CN"/>
              </w:rPr>
              <w:t xml:space="preserve"> </w:t>
            </w:r>
          </w:p>
        </w:tc>
        <w:tc>
          <w:tcPr>
            <w:tcW w:w="6058" w:type="dxa"/>
            <w:vAlign w:val="center"/>
          </w:tcPr>
          <w:p w14:paraId="7748C337">
            <w:pPr>
              <w:jc w:val="left"/>
              <w:rPr>
                <w:rFonts w:ascii="Times New Roman" w:hAnsi="Times New Roman" w:eastAsia="仿宋" w:cs="Times New Roman"/>
                <w:bCs/>
                <w:kern w:val="0"/>
                <w:sz w:val="22"/>
              </w:rPr>
            </w:pPr>
            <w:r>
              <w:rPr>
                <w:rFonts w:ascii="Times New Roman" w:hAnsi="Times New Roman" w:eastAsia="仿宋" w:cs="Times New Roman"/>
                <w:sz w:val="22"/>
              </w:rPr>
              <w:t xml:space="preserve">提供 </w:t>
            </w:r>
            <w:r>
              <w:rPr>
                <w:rFonts w:ascii="Times New Roman" w:hAnsi="Times New Roman" w:eastAsia="仿宋" w:cs="Times New Roman"/>
                <w:sz w:val="22"/>
                <w:u w:val="single"/>
              </w:rPr>
              <w:t xml:space="preserve">    </w:t>
            </w:r>
            <w:r>
              <w:rPr>
                <w:rFonts w:hint="eastAsia" w:ascii="Times New Roman" w:hAnsi="Times New Roman" w:eastAsia="仿宋" w:cs="Times New Roman"/>
                <w:sz w:val="22"/>
                <w:u w:val="single"/>
                <w:lang w:val="en-US" w:eastAsia="zh-CN"/>
              </w:rPr>
              <w:t>/</w:t>
            </w:r>
            <w:r>
              <w:rPr>
                <w:rFonts w:ascii="Times New Roman" w:hAnsi="Times New Roman" w:eastAsia="仿宋" w:cs="Times New Roman"/>
                <w:sz w:val="22"/>
                <w:u w:val="single"/>
              </w:rPr>
              <w:t xml:space="preserve">   </w:t>
            </w:r>
          </w:p>
        </w:tc>
      </w:tr>
    </w:tbl>
    <w:p w14:paraId="769BB7DE">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5"/>
        <w:gridCol w:w="2621"/>
        <w:gridCol w:w="6207"/>
        <w:gridCol w:w="10"/>
      </w:tblGrid>
      <w:tr w14:paraId="3D77EE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4EE9C89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7145B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13" w:hRule="atLeast"/>
          <w:tblHeader/>
          <w:jc w:val="center"/>
        </w:trPr>
        <w:tc>
          <w:tcPr>
            <w:tcW w:w="515" w:type="pct"/>
            <w:vAlign w:val="center"/>
          </w:tcPr>
          <w:p w14:paraId="29D4863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592EF29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0" w:type="pct"/>
            <w:vAlign w:val="center"/>
          </w:tcPr>
          <w:p w14:paraId="791D13D8">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2D3F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2211" w:hRule="atLeast"/>
          <w:jc w:val="center"/>
        </w:trPr>
        <w:tc>
          <w:tcPr>
            <w:tcW w:w="515" w:type="pct"/>
            <w:vAlign w:val="center"/>
          </w:tcPr>
          <w:p w14:paraId="1A7E183D">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7274ACB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0" w:type="pct"/>
            <w:vAlign w:val="center"/>
          </w:tcPr>
          <w:p w14:paraId="01127FB6">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3DBA286F">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29ADF076">
            <w:pPr>
              <w:rPr>
                <w:rFonts w:ascii="Times New Roman" w:hAnsi="Times New Roman" w:eastAsia="仿宋" w:cs="Times New Roman"/>
                <w:sz w:val="22"/>
              </w:rPr>
            </w:pPr>
            <w:r>
              <w:rPr>
                <w:rFonts w:ascii="Times New Roman" w:hAnsi="Times New Roman" w:eastAsia="仿宋" w:cs="Times New Roman"/>
                <w:sz w:val="22"/>
              </w:rPr>
              <w:t>注：格式见</w:t>
            </w:r>
            <w:r>
              <w:rPr>
                <w:rFonts w:hint="eastAsia" w:ascii="Times New Roman" w:hAnsi="Times New Roman" w:eastAsia="仿宋" w:cs="Times New Roman"/>
                <w:sz w:val="22"/>
                <w:lang w:eastAsia="zh-CN"/>
              </w:rPr>
              <w:t>第五章</w:t>
            </w:r>
            <w:r>
              <w:rPr>
                <w:rFonts w:ascii="Times New Roman" w:hAnsi="Times New Roman" w:eastAsia="仿宋" w:cs="Times New Roman"/>
                <w:sz w:val="22"/>
              </w:rPr>
              <w:t>“法定代表人身份证明书”以及法定代表人授权委托。</w:t>
            </w:r>
          </w:p>
        </w:tc>
      </w:tr>
      <w:tr w14:paraId="39CB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39" w:hRule="atLeast"/>
          <w:jc w:val="center"/>
        </w:trPr>
        <w:tc>
          <w:tcPr>
            <w:tcW w:w="515" w:type="pct"/>
            <w:vAlign w:val="center"/>
          </w:tcPr>
          <w:p w14:paraId="0521045E">
            <w:pPr>
              <w:jc w:val="center"/>
              <w:rPr>
                <w:rFonts w:ascii="Times New Roman" w:hAnsi="Times New Roman" w:eastAsia="仿宋" w:cs="Times New Roman"/>
                <w:sz w:val="22"/>
              </w:rPr>
            </w:pPr>
            <w:r>
              <w:rPr>
                <w:rFonts w:ascii="Times New Roman" w:hAnsi="Times New Roman" w:eastAsia="仿宋" w:cs="Times New Roman"/>
                <w:sz w:val="22"/>
              </w:rPr>
              <w:t>2</w:t>
            </w:r>
          </w:p>
        </w:tc>
        <w:tc>
          <w:tcPr>
            <w:tcW w:w="2621" w:type="dxa"/>
            <w:vAlign w:val="center"/>
          </w:tcPr>
          <w:p w14:paraId="5EB147F6">
            <w:pPr>
              <w:jc w:val="center"/>
              <w:rPr>
                <w:rFonts w:ascii="Times New Roman" w:hAnsi="Times New Roman" w:eastAsia="仿宋" w:cs="Times New Roman"/>
                <w:b/>
                <w:sz w:val="22"/>
              </w:rPr>
            </w:pPr>
            <w:r>
              <w:rPr>
                <w:rFonts w:ascii="Times New Roman" w:hAnsi="Times New Roman" w:eastAsia="仿宋" w:cs="Times New Roman"/>
                <w:b/>
                <w:sz w:val="22"/>
              </w:rPr>
              <w:t>谈判文件中实质性要求</w:t>
            </w:r>
          </w:p>
        </w:tc>
        <w:tc>
          <w:tcPr>
            <w:tcW w:w="6207" w:type="dxa"/>
            <w:vAlign w:val="center"/>
          </w:tcPr>
          <w:p w14:paraId="5222A2F3">
            <w:pPr>
              <w:rPr>
                <w:rFonts w:ascii="Times New Roman" w:hAnsi="Times New Roman" w:eastAsia="仿宋" w:cs="Times New Roman"/>
                <w:sz w:val="22"/>
              </w:rPr>
            </w:pPr>
            <w:r>
              <w:rPr>
                <w:rFonts w:ascii="Times New Roman" w:hAnsi="Times New Roman" w:eastAsia="仿宋" w:cs="Times New Roman"/>
                <w:sz w:val="22"/>
              </w:rPr>
              <w:t>供应商符合第四章</w:t>
            </w:r>
            <w:r>
              <w:rPr>
                <w:rFonts w:hint="eastAsia" w:ascii="Times New Roman" w:hAnsi="Times New Roman" w:eastAsia="仿宋" w:cs="Times New Roman"/>
                <w:sz w:val="22"/>
                <w:lang w:val="en-US" w:eastAsia="zh-CN"/>
              </w:rPr>
              <w:t>全部</w:t>
            </w:r>
            <w:r>
              <w:rPr>
                <w:rFonts w:ascii="Times New Roman" w:hAnsi="Times New Roman" w:eastAsia="仿宋" w:cs="Times New Roman"/>
                <w:sz w:val="22"/>
              </w:rPr>
              <w:t>条款</w:t>
            </w:r>
          </w:p>
        </w:tc>
      </w:tr>
      <w:tr w14:paraId="799C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58" w:hRule="atLeast"/>
          <w:jc w:val="center"/>
        </w:trPr>
        <w:tc>
          <w:tcPr>
            <w:tcW w:w="515" w:type="pct"/>
            <w:vAlign w:val="center"/>
          </w:tcPr>
          <w:p w14:paraId="5587173E">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3A939338">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0" w:type="pct"/>
            <w:vAlign w:val="center"/>
          </w:tcPr>
          <w:p w14:paraId="4A83A22F">
            <w:pPr>
              <w:rPr>
                <w:rFonts w:ascii="Times New Roman" w:hAnsi="Times New Roman" w:eastAsia="仿宋" w:cs="Times New Roman"/>
                <w:sz w:val="22"/>
              </w:rPr>
            </w:pPr>
            <w:r>
              <w:rPr>
                <w:rFonts w:ascii="Times New Roman" w:hAnsi="Times New Roman" w:eastAsia="仿宋" w:cs="Times New Roman"/>
                <w:sz w:val="22"/>
              </w:rPr>
              <w:t>符合采购文件编制的实质性要求；</w:t>
            </w:r>
          </w:p>
          <w:p w14:paraId="36F1D2E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1A0A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58" w:hRule="atLeast"/>
          <w:jc w:val="center"/>
        </w:trPr>
        <w:tc>
          <w:tcPr>
            <w:tcW w:w="515" w:type="pct"/>
            <w:vAlign w:val="center"/>
          </w:tcPr>
          <w:p w14:paraId="09826C50">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B81F155">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0" w:type="pct"/>
            <w:vAlign w:val="center"/>
          </w:tcPr>
          <w:p w14:paraId="73143386">
            <w:pPr>
              <w:rPr>
                <w:rFonts w:hint="eastAsia" w:ascii="Times New Roman" w:hAnsi="Times New Roman" w:eastAsia="仿宋" w:cs="Times New Roman"/>
                <w:sz w:val="22"/>
                <w:lang w:eastAsia="zh-CN"/>
              </w:rPr>
            </w:pPr>
            <w:r>
              <w:rPr>
                <w:rFonts w:ascii="Times New Roman" w:hAnsi="Times New Roman" w:eastAsia="仿宋" w:cs="Times New Roman"/>
                <w:sz w:val="22"/>
              </w:rPr>
              <w:t>符合采购文件要求</w:t>
            </w:r>
            <w:r>
              <w:rPr>
                <w:rFonts w:hint="eastAsia" w:ascii="Times New Roman" w:hAnsi="Times New Roman" w:eastAsia="仿宋" w:cs="Times New Roman"/>
                <w:sz w:val="22"/>
                <w:lang w:eastAsia="zh-CN"/>
              </w:rPr>
              <w:t>；</w:t>
            </w:r>
          </w:p>
          <w:p w14:paraId="6909A03A">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784A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244" w:hRule="atLeast"/>
          <w:jc w:val="center"/>
        </w:trPr>
        <w:tc>
          <w:tcPr>
            <w:tcW w:w="515" w:type="pct"/>
            <w:vAlign w:val="center"/>
          </w:tcPr>
          <w:p w14:paraId="25FC6CAB">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5FE19BCF">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0" w:type="pct"/>
            <w:vAlign w:val="center"/>
          </w:tcPr>
          <w:p w14:paraId="6D233D2C">
            <w:pPr>
              <w:rPr>
                <w:rFonts w:hint="eastAsia" w:ascii="Times New Roman" w:hAnsi="Times New Roman" w:eastAsia="仿宋" w:cs="Times New Roman"/>
                <w:sz w:val="22"/>
                <w:lang w:eastAsia="zh-CN"/>
              </w:rPr>
            </w:pPr>
            <w:r>
              <w:rPr>
                <w:rFonts w:ascii="Times New Roman" w:hAnsi="Times New Roman" w:eastAsia="仿宋" w:cs="Times New Roman"/>
                <w:sz w:val="22"/>
              </w:rPr>
              <w:t>符合采购文件报价要求</w:t>
            </w:r>
            <w:r>
              <w:rPr>
                <w:rFonts w:hint="eastAsia" w:ascii="Times New Roman" w:hAnsi="Times New Roman" w:eastAsia="仿宋" w:cs="Times New Roman"/>
                <w:sz w:val="22"/>
                <w:lang w:eastAsia="zh-CN"/>
              </w:rPr>
              <w:t>；</w:t>
            </w:r>
          </w:p>
          <w:p w14:paraId="7BEEAD2D">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2BFBB45">
      <w:pPr>
        <w:rPr>
          <w:rFonts w:ascii="Times New Roman" w:hAnsi="Times New Roman" w:cs="Times New Roman"/>
        </w:rPr>
      </w:pPr>
      <w:r>
        <w:rPr>
          <w:rFonts w:ascii="Times New Roman" w:hAnsi="Times New Roman" w:cs="Times New Roman"/>
        </w:rPr>
        <w:br w:type="page"/>
      </w:r>
    </w:p>
    <w:p w14:paraId="20802142">
      <w:pPr>
        <w:pStyle w:val="3"/>
        <w:numPr>
          <w:ilvl w:val="0"/>
          <w:numId w:val="0"/>
        </w:numPr>
        <w:ind w:left="0" w:leftChars="0" w:firstLine="0" w:firstLineChars="0"/>
        <w:rPr>
          <w:rFonts w:ascii="Times New Roman" w:hAnsi="Times New Roman" w:cs="Times New Roman"/>
        </w:rPr>
      </w:pPr>
      <w:bookmarkStart w:id="12" w:name="_Toc3988"/>
      <w:bookmarkStart w:id="13" w:name="_Toc12668"/>
      <w:bookmarkStart w:id="14" w:name="_Toc192583769"/>
      <w:r>
        <w:rPr>
          <w:rFonts w:hint="eastAsia" w:ascii="Times New Roman" w:hAnsi="Times New Roman" w:eastAsia="黑体" w:cs="Times New Roman"/>
          <w:b/>
          <w:kern w:val="44"/>
          <w:sz w:val="36"/>
          <w:szCs w:val="22"/>
          <w:lang w:val="zh-CN" w:eastAsia="zh-CN" w:bidi="ar-SA"/>
        </w:rPr>
        <w:t xml:space="preserve">第四章 </w:t>
      </w:r>
      <w:r>
        <w:rPr>
          <w:rFonts w:ascii="Times New Roman" w:hAnsi="Times New Roman" w:cs="Times New Roman"/>
        </w:rPr>
        <w:t>采购需求</w:t>
      </w:r>
      <w:bookmarkEnd w:id="12"/>
      <w:bookmarkEnd w:id="13"/>
      <w:bookmarkEnd w:id="14"/>
    </w:p>
    <w:p w14:paraId="5F1538F5">
      <w:pPr>
        <w:pStyle w:val="16"/>
        <w:keepNext w:val="0"/>
        <w:keepLines w:val="0"/>
        <w:pageBreakBefore w:val="0"/>
        <w:numPr>
          <w:ilvl w:val="0"/>
          <w:numId w:val="0"/>
        </w:numPr>
        <w:kinsoku/>
        <w:wordWrap/>
        <w:overflowPunct/>
        <w:topLinePunct w:val="0"/>
        <w:autoSpaceDN/>
        <w:bidi w:val="0"/>
        <w:adjustRightInd w:val="0"/>
        <w:snapToGrid w:val="0"/>
        <w:spacing w:before="0" w:beforeAutospacing="0" w:after="0" w:afterAutospacing="0" w:line="360" w:lineRule="auto"/>
        <w:ind w:left="0" w:leftChars="0"/>
        <w:textAlignment w:val="auto"/>
        <w:rPr>
          <w:rFonts w:hint="eastAsia" w:ascii="仿宋" w:hAnsi="仿宋" w:eastAsia="仿宋" w:cs="仿宋"/>
          <w:b/>
          <w:bCs/>
          <w:sz w:val="24"/>
          <w:szCs w:val="24"/>
        </w:rPr>
      </w:pPr>
      <w:r>
        <w:rPr>
          <w:rFonts w:hint="eastAsia" w:ascii="仿宋" w:hAnsi="仿宋" w:eastAsia="仿宋" w:cs="仿宋"/>
          <w:b/>
          <w:bCs/>
          <w:kern w:val="2"/>
          <w:sz w:val="24"/>
          <w:szCs w:val="24"/>
          <w:lang w:val="en-US" w:eastAsia="zh-CN" w:bidi="ar-SA"/>
        </w:rPr>
        <w:t>一、</w:t>
      </w:r>
      <w:r>
        <w:rPr>
          <w:rFonts w:hint="eastAsia" w:ascii="仿宋" w:hAnsi="仿宋" w:eastAsia="仿宋" w:cs="仿宋"/>
          <w:b/>
          <w:bCs/>
          <w:sz w:val="24"/>
          <w:szCs w:val="24"/>
        </w:rPr>
        <w:t>项目简介</w:t>
      </w:r>
    </w:p>
    <w:p w14:paraId="10470DD5">
      <w:pPr>
        <w:pStyle w:val="17"/>
        <w:keepNext w:val="0"/>
        <w:keepLines w:val="0"/>
        <w:pageBreakBefore w:val="0"/>
        <w:kinsoku/>
        <w:wordWrap/>
        <w:overflowPunct/>
        <w:topLinePunct w:val="0"/>
        <w:autoSpaceDN/>
        <w:bidi w:val="0"/>
        <w:adjustRightInd w:val="0"/>
        <w:snapToGrid w:val="0"/>
        <w:spacing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本项目拟确定一名供应商提供追溯管理系统升级服务。</w:t>
      </w:r>
    </w:p>
    <w:p w14:paraId="1CA8CD92">
      <w:pPr>
        <w:pStyle w:val="16"/>
        <w:keepNext w:val="0"/>
        <w:keepLines w:val="0"/>
        <w:pageBreakBefore w:val="0"/>
        <w:numPr>
          <w:ilvl w:val="0"/>
          <w:numId w:val="0"/>
        </w:numPr>
        <w:kinsoku/>
        <w:wordWrap/>
        <w:overflowPunct/>
        <w:topLinePunct w:val="0"/>
        <w:autoSpaceDN/>
        <w:bidi w:val="0"/>
        <w:adjustRightInd w:val="0"/>
        <w:snapToGrid w:val="0"/>
        <w:spacing w:before="0" w:beforeAutospacing="0" w:after="0" w:afterAutospacing="0" w:line="360" w:lineRule="auto"/>
        <w:ind w:left="0" w:leftChars="0" w:firstLine="0" w:firstLineChars="0"/>
        <w:textAlignment w:val="auto"/>
        <w:rPr>
          <w:rFonts w:hint="eastAsia" w:ascii="仿宋" w:hAnsi="仿宋" w:eastAsia="仿宋" w:cs="仿宋"/>
          <w:b/>
          <w:bCs/>
          <w:sz w:val="24"/>
          <w:szCs w:val="24"/>
          <w:lang w:val="en-US" w:eastAsia="zh-CN"/>
        </w:rPr>
      </w:pPr>
      <w:r>
        <w:rPr>
          <w:rFonts w:hint="eastAsia" w:ascii="仿宋" w:hAnsi="仿宋" w:eastAsia="仿宋" w:cs="仿宋"/>
          <w:b/>
          <w:bCs/>
          <w:kern w:val="2"/>
          <w:sz w:val="24"/>
          <w:szCs w:val="24"/>
          <w:lang w:val="en-US" w:eastAsia="zh-CN" w:bidi="ar-SA"/>
        </w:rPr>
        <w:t>二、</w:t>
      </w:r>
      <w:r>
        <w:rPr>
          <w:rFonts w:hint="eastAsia" w:ascii="仿宋" w:hAnsi="仿宋" w:eastAsia="仿宋" w:cs="仿宋"/>
          <w:b/>
          <w:bCs/>
          <w:sz w:val="24"/>
          <w:szCs w:val="24"/>
          <w:lang w:val="en-US" w:eastAsia="zh-CN"/>
        </w:rPr>
        <w:t>采购内容</w:t>
      </w:r>
    </w:p>
    <w:p w14:paraId="0818F384">
      <w:pPr>
        <w:pStyle w:val="16"/>
        <w:keepNext w:val="0"/>
        <w:keepLines w:val="0"/>
        <w:pageBreakBefore w:val="0"/>
        <w:numPr>
          <w:ilvl w:val="0"/>
          <w:numId w:val="0"/>
        </w:numPr>
        <w:kinsoku/>
        <w:wordWrap/>
        <w:overflowPunct/>
        <w:topLinePunct w:val="0"/>
        <w:autoSpaceDN/>
        <w:bidi w:val="0"/>
        <w:adjustRightInd w:val="0"/>
        <w:snapToGrid w:val="0"/>
        <w:spacing w:before="0" w:beforeAutospacing="0" w:after="0" w:afterAutospacing="0" w:line="360" w:lineRule="auto"/>
        <w:ind w:leftChars="0"/>
        <w:textAlignment w:val="auto"/>
        <w:rPr>
          <w:rFonts w:hint="default" w:ascii="仿宋" w:hAnsi="仿宋" w:eastAsia="仿宋" w:cs="仿宋"/>
          <w:b/>
          <w:bCs/>
          <w:sz w:val="24"/>
          <w:szCs w:val="24"/>
          <w:lang w:val="en-US" w:eastAsia="zh-CN"/>
        </w:rPr>
      </w:pPr>
      <w:r>
        <w:rPr>
          <w:rFonts w:hint="eastAsia" w:ascii="仿宋" w:hAnsi="仿宋" w:eastAsia="仿宋" w:cs="仿宋"/>
          <w:b/>
          <w:bCs/>
          <w:sz w:val="24"/>
          <w:szCs w:val="24"/>
          <w:lang w:val="en-US" w:eastAsia="zh-CN"/>
        </w:rPr>
        <w:t>1.采购清单</w:t>
      </w:r>
    </w:p>
    <w:tbl>
      <w:tblPr>
        <w:tblStyle w:val="1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612"/>
        <w:gridCol w:w="2348"/>
        <w:gridCol w:w="3743"/>
        <w:gridCol w:w="722"/>
        <w:gridCol w:w="845"/>
        <w:gridCol w:w="1577"/>
      </w:tblGrid>
      <w:tr w14:paraId="5885FD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jc w:val="center"/>
        </w:trPr>
        <w:tc>
          <w:tcPr>
            <w:tcW w:w="0" w:type="auto"/>
            <w:shd w:val="clear" w:color="auto" w:fill="auto"/>
            <w:tcMar>
              <w:top w:w="0" w:type="dxa"/>
              <w:left w:w="105" w:type="dxa"/>
              <w:bottom w:w="0" w:type="dxa"/>
              <w:right w:w="105" w:type="dxa"/>
            </w:tcMar>
            <w:vAlign w:val="center"/>
          </w:tcPr>
          <w:p w14:paraId="4B72DF76">
            <w:pPr>
              <w:pStyle w:val="16"/>
              <w:keepNext w:val="0"/>
              <w:keepLines w:val="0"/>
              <w:pageBreakBefore w:val="0"/>
              <w:numPr>
                <w:ilvl w:val="0"/>
                <w:numId w:val="0"/>
              </w:numPr>
              <w:kinsoku/>
              <w:wordWrap/>
              <w:overflowPunct/>
              <w:topLinePunct w:val="0"/>
              <w:autoSpaceDN/>
              <w:bidi w:val="0"/>
              <w:adjustRightInd w:val="0"/>
              <w:snapToGrid w:val="0"/>
              <w:spacing w:before="0" w:beforeAutospacing="0" w:after="0" w:afterAutospacing="0" w:line="240" w:lineRule="auto"/>
              <w:ind w:left="0" w:leftChars="0"/>
              <w:jc w:val="center"/>
              <w:textAlignment w:val="auto"/>
              <w:rPr>
                <w:rFonts w:hint="eastAsia" w:ascii="仿宋" w:hAnsi="仿宋" w:eastAsia="仿宋" w:cs="仿宋"/>
                <w:b w:val="0"/>
                <w:bCs w:val="0"/>
                <w:sz w:val="24"/>
                <w:szCs w:val="24"/>
              </w:rPr>
            </w:pPr>
            <w:r>
              <w:rPr>
                <w:rFonts w:hint="eastAsia" w:ascii="仿宋" w:hAnsi="仿宋" w:eastAsia="仿宋" w:cs="仿宋"/>
                <w:b w:val="0"/>
                <w:bCs w:val="0"/>
                <w:sz w:val="24"/>
                <w:szCs w:val="24"/>
              </w:rPr>
              <w:t>序号</w:t>
            </w:r>
          </w:p>
        </w:tc>
        <w:tc>
          <w:tcPr>
            <w:tcW w:w="0" w:type="auto"/>
            <w:shd w:val="clear" w:color="auto" w:fill="auto"/>
            <w:tcMar>
              <w:top w:w="0" w:type="dxa"/>
              <w:left w:w="105" w:type="dxa"/>
              <w:bottom w:w="0" w:type="dxa"/>
              <w:right w:w="105" w:type="dxa"/>
            </w:tcMar>
            <w:vAlign w:val="center"/>
          </w:tcPr>
          <w:p w14:paraId="1ECAB6E4">
            <w:pPr>
              <w:pStyle w:val="16"/>
              <w:keepNext w:val="0"/>
              <w:keepLines w:val="0"/>
              <w:pageBreakBefore w:val="0"/>
              <w:numPr>
                <w:ilvl w:val="0"/>
                <w:numId w:val="0"/>
              </w:numPr>
              <w:kinsoku/>
              <w:wordWrap/>
              <w:overflowPunct/>
              <w:topLinePunct w:val="0"/>
              <w:autoSpaceDN/>
              <w:bidi w:val="0"/>
              <w:adjustRightInd w:val="0"/>
              <w:snapToGrid w:val="0"/>
              <w:spacing w:before="0" w:beforeAutospacing="0" w:after="0" w:afterAutospacing="0" w:line="240" w:lineRule="auto"/>
              <w:ind w:left="0" w:leftChars="0"/>
              <w:jc w:val="center"/>
              <w:textAlignment w:val="auto"/>
              <w:rPr>
                <w:rFonts w:hint="eastAsia" w:ascii="仿宋" w:hAnsi="仿宋" w:eastAsia="仿宋" w:cs="仿宋"/>
                <w:b w:val="0"/>
                <w:bCs w:val="0"/>
                <w:sz w:val="24"/>
                <w:szCs w:val="24"/>
              </w:rPr>
            </w:pPr>
            <w:r>
              <w:rPr>
                <w:rFonts w:hint="eastAsia" w:ascii="仿宋" w:hAnsi="仿宋" w:eastAsia="仿宋" w:cs="仿宋"/>
                <w:b w:val="0"/>
                <w:bCs w:val="0"/>
                <w:sz w:val="24"/>
                <w:szCs w:val="24"/>
              </w:rPr>
              <w:t>品名</w:t>
            </w:r>
          </w:p>
        </w:tc>
        <w:tc>
          <w:tcPr>
            <w:tcW w:w="3743" w:type="dxa"/>
            <w:shd w:val="clear" w:color="auto" w:fill="auto"/>
            <w:tcMar>
              <w:top w:w="0" w:type="dxa"/>
              <w:left w:w="105" w:type="dxa"/>
              <w:bottom w:w="0" w:type="dxa"/>
              <w:right w:w="105" w:type="dxa"/>
            </w:tcMar>
            <w:vAlign w:val="center"/>
          </w:tcPr>
          <w:p w14:paraId="1064693C">
            <w:pPr>
              <w:pStyle w:val="16"/>
              <w:keepNext w:val="0"/>
              <w:keepLines w:val="0"/>
              <w:pageBreakBefore w:val="0"/>
              <w:numPr>
                <w:ilvl w:val="0"/>
                <w:numId w:val="0"/>
              </w:numPr>
              <w:kinsoku/>
              <w:wordWrap/>
              <w:overflowPunct/>
              <w:topLinePunct w:val="0"/>
              <w:autoSpaceDN/>
              <w:bidi w:val="0"/>
              <w:adjustRightInd w:val="0"/>
              <w:snapToGrid w:val="0"/>
              <w:spacing w:before="0" w:beforeAutospacing="0" w:after="0" w:afterAutospacing="0" w:line="240" w:lineRule="auto"/>
              <w:ind w:left="0" w:leftChars="0"/>
              <w:jc w:val="center"/>
              <w:textAlignment w:val="auto"/>
              <w:rPr>
                <w:rFonts w:hint="eastAsia" w:ascii="仿宋" w:hAnsi="仿宋" w:eastAsia="仿宋" w:cs="仿宋"/>
                <w:b w:val="0"/>
                <w:bCs w:val="0"/>
                <w:sz w:val="24"/>
                <w:szCs w:val="24"/>
              </w:rPr>
            </w:pPr>
            <w:r>
              <w:rPr>
                <w:rFonts w:hint="eastAsia" w:ascii="仿宋" w:hAnsi="仿宋" w:eastAsia="仿宋" w:cs="仿宋"/>
                <w:b w:val="0"/>
                <w:bCs w:val="0"/>
                <w:sz w:val="24"/>
                <w:szCs w:val="24"/>
              </w:rPr>
              <w:t>详细描述</w:t>
            </w:r>
          </w:p>
        </w:tc>
        <w:tc>
          <w:tcPr>
            <w:tcW w:w="722" w:type="dxa"/>
            <w:shd w:val="clear" w:color="auto" w:fill="auto"/>
            <w:tcMar>
              <w:top w:w="0" w:type="dxa"/>
              <w:left w:w="105" w:type="dxa"/>
              <w:bottom w:w="0" w:type="dxa"/>
              <w:right w:w="105" w:type="dxa"/>
            </w:tcMar>
            <w:vAlign w:val="center"/>
          </w:tcPr>
          <w:p w14:paraId="466B302D">
            <w:pPr>
              <w:pStyle w:val="16"/>
              <w:keepNext w:val="0"/>
              <w:keepLines w:val="0"/>
              <w:pageBreakBefore w:val="0"/>
              <w:numPr>
                <w:ilvl w:val="0"/>
                <w:numId w:val="0"/>
              </w:numPr>
              <w:kinsoku/>
              <w:wordWrap/>
              <w:overflowPunct/>
              <w:topLinePunct w:val="0"/>
              <w:autoSpaceDN/>
              <w:bidi w:val="0"/>
              <w:adjustRightInd w:val="0"/>
              <w:snapToGrid w:val="0"/>
              <w:spacing w:before="0" w:beforeAutospacing="0" w:after="0" w:afterAutospacing="0" w:line="240" w:lineRule="auto"/>
              <w:ind w:left="0" w:leftChars="0"/>
              <w:jc w:val="center"/>
              <w:textAlignment w:val="auto"/>
              <w:rPr>
                <w:rFonts w:hint="eastAsia" w:ascii="仿宋" w:hAnsi="仿宋" w:eastAsia="仿宋" w:cs="仿宋"/>
                <w:b w:val="0"/>
                <w:bCs w:val="0"/>
                <w:sz w:val="24"/>
                <w:szCs w:val="24"/>
              </w:rPr>
            </w:pPr>
            <w:r>
              <w:rPr>
                <w:rFonts w:hint="eastAsia" w:ascii="仿宋" w:hAnsi="仿宋" w:eastAsia="仿宋" w:cs="仿宋"/>
                <w:b w:val="0"/>
                <w:bCs w:val="0"/>
                <w:sz w:val="24"/>
                <w:szCs w:val="24"/>
              </w:rPr>
              <w:t>数量</w:t>
            </w:r>
          </w:p>
        </w:tc>
        <w:tc>
          <w:tcPr>
            <w:tcW w:w="845" w:type="dxa"/>
            <w:shd w:val="clear" w:color="auto" w:fill="auto"/>
            <w:tcMar>
              <w:top w:w="0" w:type="dxa"/>
              <w:left w:w="105" w:type="dxa"/>
              <w:bottom w:w="0" w:type="dxa"/>
              <w:right w:w="105" w:type="dxa"/>
            </w:tcMar>
            <w:vAlign w:val="center"/>
          </w:tcPr>
          <w:p w14:paraId="1EFA6493">
            <w:pPr>
              <w:pStyle w:val="16"/>
              <w:keepNext w:val="0"/>
              <w:keepLines w:val="0"/>
              <w:pageBreakBefore w:val="0"/>
              <w:numPr>
                <w:ilvl w:val="0"/>
                <w:numId w:val="0"/>
              </w:numPr>
              <w:kinsoku/>
              <w:wordWrap/>
              <w:overflowPunct/>
              <w:topLinePunct w:val="0"/>
              <w:autoSpaceDN/>
              <w:bidi w:val="0"/>
              <w:adjustRightInd w:val="0"/>
              <w:snapToGrid w:val="0"/>
              <w:spacing w:before="0" w:beforeAutospacing="0" w:after="0" w:afterAutospacing="0" w:line="240" w:lineRule="auto"/>
              <w:ind w:left="0" w:leftChars="0"/>
              <w:jc w:val="center"/>
              <w:textAlignment w:val="auto"/>
              <w:rPr>
                <w:rFonts w:hint="eastAsia" w:ascii="仿宋" w:hAnsi="仿宋" w:eastAsia="仿宋" w:cs="仿宋"/>
                <w:b w:val="0"/>
                <w:bCs w:val="0"/>
                <w:sz w:val="24"/>
                <w:szCs w:val="24"/>
              </w:rPr>
            </w:pPr>
            <w:r>
              <w:rPr>
                <w:rFonts w:hint="eastAsia" w:ascii="仿宋" w:hAnsi="仿宋" w:eastAsia="仿宋" w:cs="仿宋"/>
                <w:b w:val="0"/>
                <w:bCs w:val="0"/>
                <w:sz w:val="24"/>
                <w:szCs w:val="24"/>
              </w:rPr>
              <w:t>单位</w:t>
            </w:r>
          </w:p>
        </w:tc>
        <w:tc>
          <w:tcPr>
            <w:tcW w:w="0" w:type="auto"/>
            <w:shd w:val="clear" w:color="auto" w:fill="auto"/>
            <w:tcMar>
              <w:top w:w="0" w:type="dxa"/>
              <w:left w:w="105" w:type="dxa"/>
              <w:bottom w:w="0" w:type="dxa"/>
              <w:right w:w="105" w:type="dxa"/>
            </w:tcMar>
            <w:vAlign w:val="center"/>
          </w:tcPr>
          <w:p w14:paraId="3656C6F6">
            <w:pPr>
              <w:pStyle w:val="16"/>
              <w:keepNext w:val="0"/>
              <w:keepLines w:val="0"/>
              <w:pageBreakBefore w:val="0"/>
              <w:numPr>
                <w:ilvl w:val="0"/>
                <w:numId w:val="0"/>
              </w:numPr>
              <w:kinsoku/>
              <w:wordWrap/>
              <w:overflowPunct/>
              <w:topLinePunct w:val="0"/>
              <w:autoSpaceDN/>
              <w:bidi w:val="0"/>
              <w:adjustRightInd w:val="0"/>
              <w:snapToGrid w:val="0"/>
              <w:spacing w:before="0" w:beforeAutospacing="0" w:after="0" w:afterAutospacing="0" w:line="240" w:lineRule="auto"/>
              <w:ind w:left="0" w:leftChars="0"/>
              <w:jc w:val="center"/>
              <w:textAlignment w:val="auto"/>
              <w:rPr>
                <w:rFonts w:hint="eastAsia" w:ascii="仿宋" w:hAnsi="仿宋" w:eastAsia="仿宋" w:cs="仿宋"/>
                <w:b w:val="0"/>
                <w:bCs w:val="0"/>
                <w:sz w:val="24"/>
                <w:szCs w:val="24"/>
              </w:rPr>
            </w:pPr>
            <w:r>
              <w:rPr>
                <w:rFonts w:hint="eastAsia" w:ascii="仿宋" w:hAnsi="仿宋" w:eastAsia="仿宋" w:cs="仿宋"/>
                <w:b w:val="0"/>
                <w:bCs w:val="0"/>
                <w:sz w:val="24"/>
                <w:szCs w:val="24"/>
              </w:rPr>
              <w:t>限高单价（元）</w:t>
            </w:r>
          </w:p>
        </w:tc>
      </w:tr>
      <w:tr w14:paraId="02B129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jc w:val="center"/>
        </w:trPr>
        <w:tc>
          <w:tcPr>
            <w:tcW w:w="0" w:type="auto"/>
            <w:shd w:val="clear" w:color="auto" w:fill="auto"/>
            <w:tcMar>
              <w:top w:w="0" w:type="dxa"/>
              <w:left w:w="105" w:type="dxa"/>
              <w:bottom w:w="0" w:type="dxa"/>
              <w:right w:w="105" w:type="dxa"/>
            </w:tcMar>
            <w:vAlign w:val="center"/>
          </w:tcPr>
          <w:p w14:paraId="2DE866AA">
            <w:pPr>
              <w:pStyle w:val="16"/>
              <w:keepNext w:val="0"/>
              <w:keepLines w:val="0"/>
              <w:pageBreakBefore w:val="0"/>
              <w:numPr>
                <w:ilvl w:val="0"/>
                <w:numId w:val="0"/>
              </w:numPr>
              <w:kinsoku/>
              <w:wordWrap/>
              <w:overflowPunct/>
              <w:topLinePunct w:val="0"/>
              <w:autoSpaceDN/>
              <w:bidi w:val="0"/>
              <w:adjustRightInd w:val="0"/>
              <w:snapToGrid w:val="0"/>
              <w:spacing w:before="0" w:beforeAutospacing="0" w:after="0" w:afterAutospacing="0" w:line="240" w:lineRule="auto"/>
              <w:ind w:left="0" w:leftChars="0"/>
              <w:jc w:val="center"/>
              <w:textAlignment w:val="auto"/>
              <w:rPr>
                <w:rFonts w:hint="eastAsia" w:ascii="仿宋" w:hAnsi="仿宋" w:eastAsia="仿宋" w:cs="仿宋"/>
                <w:b w:val="0"/>
                <w:bCs w:val="0"/>
                <w:sz w:val="24"/>
                <w:szCs w:val="24"/>
              </w:rPr>
            </w:pPr>
            <w:r>
              <w:rPr>
                <w:rFonts w:hint="eastAsia" w:ascii="仿宋" w:hAnsi="仿宋" w:eastAsia="仿宋" w:cs="仿宋"/>
                <w:b w:val="0"/>
                <w:bCs w:val="0"/>
                <w:sz w:val="24"/>
                <w:szCs w:val="24"/>
              </w:rPr>
              <w:t>1</w:t>
            </w:r>
          </w:p>
        </w:tc>
        <w:tc>
          <w:tcPr>
            <w:tcW w:w="0" w:type="auto"/>
            <w:shd w:val="clear" w:color="auto" w:fill="auto"/>
            <w:tcMar>
              <w:top w:w="0" w:type="dxa"/>
              <w:left w:w="105" w:type="dxa"/>
              <w:bottom w:w="0" w:type="dxa"/>
              <w:right w:w="105" w:type="dxa"/>
            </w:tcMar>
            <w:vAlign w:val="center"/>
          </w:tcPr>
          <w:p w14:paraId="0F68AEA0">
            <w:pPr>
              <w:pStyle w:val="16"/>
              <w:keepNext w:val="0"/>
              <w:keepLines w:val="0"/>
              <w:pageBreakBefore w:val="0"/>
              <w:numPr>
                <w:ilvl w:val="0"/>
                <w:numId w:val="0"/>
              </w:numPr>
              <w:kinsoku/>
              <w:wordWrap/>
              <w:overflowPunct/>
              <w:topLinePunct w:val="0"/>
              <w:autoSpaceDN/>
              <w:bidi w:val="0"/>
              <w:adjustRightInd w:val="0"/>
              <w:snapToGrid w:val="0"/>
              <w:spacing w:before="0" w:beforeAutospacing="0" w:after="0" w:afterAutospacing="0" w:line="240" w:lineRule="auto"/>
              <w:ind w:left="0" w:leftChars="0"/>
              <w:jc w:val="center"/>
              <w:textAlignment w:val="auto"/>
              <w:rPr>
                <w:rFonts w:hint="eastAsia" w:ascii="仿宋" w:hAnsi="仿宋" w:eastAsia="仿宋" w:cs="仿宋"/>
                <w:b w:val="0"/>
                <w:bCs w:val="0"/>
                <w:sz w:val="24"/>
                <w:szCs w:val="24"/>
              </w:rPr>
            </w:pPr>
            <w:r>
              <w:rPr>
                <w:rFonts w:hint="eastAsia" w:ascii="仿宋" w:hAnsi="仿宋" w:eastAsia="仿宋" w:cs="仿宋"/>
                <w:b w:val="0"/>
                <w:bCs w:val="0"/>
                <w:sz w:val="24"/>
                <w:szCs w:val="24"/>
              </w:rPr>
              <w:t>CSSD质量管理平台</w:t>
            </w:r>
          </w:p>
        </w:tc>
        <w:tc>
          <w:tcPr>
            <w:tcW w:w="3743" w:type="dxa"/>
            <w:shd w:val="clear" w:color="auto" w:fill="auto"/>
            <w:tcMar>
              <w:top w:w="0" w:type="dxa"/>
              <w:left w:w="105" w:type="dxa"/>
              <w:bottom w:w="0" w:type="dxa"/>
              <w:right w:w="105" w:type="dxa"/>
            </w:tcMar>
            <w:vAlign w:val="center"/>
          </w:tcPr>
          <w:p w14:paraId="69DCB9DE">
            <w:pPr>
              <w:pStyle w:val="16"/>
              <w:keepNext w:val="0"/>
              <w:keepLines w:val="0"/>
              <w:pageBreakBefore w:val="0"/>
              <w:numPr>
                <w:ilvl w:val="0"/>
                <w:numId w:val="0"/>
              </w:numPr>
              <w:kinsoku/>
              <w:wordWrap/>
              <w:overflowPunct/>
              <w:topLinePunct w:val="0"/>
              <w:autoSpaceDN/>
              <w:bidi w:val="0"/>
              <w:adjustRightInd w:val="0"/>
              <w:snapToGrid w:val="0"/>
              <w:spacing w:before="0" w:beforeAutospacing="0" w:after="0" w:afterAutospacing="0" w:line="240" w:lineRule="auto"/>
              <w:ind w:left="0" w:leftChars="0"/>
              <w:jc w:val="center"/>
              <w:textAlignment w:val="auto"/>
              <w:rPr>
                <w:rFonts w:hint="eastAsia" w:ascii="仿宋" w:hAnsi="仿宋" w:eastAsia="仿宋" w:cs="仿宋"/>
                <w:b w:val="0"/>
                <w:bCs w:val="0"/>
                <w:sz w:val="24"/>
                <w:szCs w:val="24"/>
              </w:rPr>
            </w:pPr>
            <w:r>
              <w:rPr>
                <w:rFonts w:hint="eastAsia" w:ascii="仿宋" w:hAnsi="仿宋" w:eastAsia="仿宋" w:cs="仿宋"/>
                <w:b w:val="0"/>
                <w:bCs w:val="0"/>
                <w:sz w:val="24"/>
                <w:szCs w:val="24"/>
              </w:rPr>
              <w:t>蓝鹰追溯区域化消毒供应中心云平台V3.0升级改造</w:t>
            </w:r>
          </w:p>
        </w:tc>
        <w:tc>
          <w:tcPr>
            <w:tcW w:w="722" w:type="dxa"/>
            <w:shd w:val="clear" w:color="auto" w:fill="auto"/>
            <w:tcMar>
              <w:top w:w="0" w:type="dxa"/>
              <w:left w:w="105" w:type="dxa"/>
              <w:bottom w:w="0" w:type="dxa"/>
              <w:right w:w="105" w:type="dxa"/>
            </w:tcMar>
            <w:vAlign w:val="center"/>
          </w:tcPr>
          <w:p w14:paraId="1A884266">
            <w:pPr>
              <w:pStyle w:val="16"/>
              <w:keepNext w:val="0"/>
              <w:keepLines w:val="0"/>
              <w:pageBreakBefore w:val="0"/>
              <w:numPr>
                <w:ilvl w:val="0"/>
                <w:numId w:val="0"/>
              </w:numPr>
              <w:kinsoku/>
              <w:wordWrap/>
              <w:overflowPunct/>
              <w:topLinePunct w:val="0"/>
              <w:autoSpaceDN/>
              <w:bidi w:val="0"/>
              <w:adjustRightInd w:val="0"/>
              <w:snapToGrid w:val="0"/>
              <w:spacing w:before="0" w:beforeAutospacing="0" w:after="0" w:afterAutospacing="0" w:line="240" w:lineRule="auto"/>
              <w:ind w:left="0" w:leftChars="0"/>
              <w:jc w:val="center"/>
              <w:textAlignment w:val="auto"/>
              <w:rPr>
                <w:rFonts w:hint="eastAsia" w:ascii="仿宋" w:hAnsi="仿宋" w:eastAsia="仿宋" w:cs="仿宋"/>
                <w:b w:val="0"/>
                <w:bCs w:val="0"/>
                <w:sz w:val="24"/>
                <w:szCs w:val="24"/>
              </w:rPr>
            </w:pPr>
            <w:r>
              <w:rPr>
                <w:rFonts w:hint="eastAsia" w:ascii="仿宋" w:hAnsi="仿宋" w:eastAsia="仿宋" w:cs="仿宋"/>
                <w:b w:val="0"/>
                <w:bCs w:val="0"/>
                <w:sz w:val="24"/>
                <w:szCs w:val="24"/>
              </w:rPr>
              <w:t>1</w:t>
            </w:r>
          </w:p>
        </w:tc>
        <w:tc>
          <w:tcPr>
            <w:tcW w:w="845" w:type="dxa"/>
            <w:shd w:val="clear" w:color="auto" w:fill="auto"/>
            <w:tcMar>
              <w:top w:w="0" w:type="dxa"/>
              <w:left w:w="105" w:type="dxa"/>
              <w:bottom w:w="0" w:type="dxa"/>
              <w:right w:w="105" w:type="dxa"/>
            </w:tcMar>
            <w:vAlign w:val="center"/>
          </w:tcPr>
          <w:p w14:paraId="1BFDFD42">
            <w:pPr>
              <w:pStyle w:val="16"/>
              <w:keepNext w:val="0"/>
              <w:keepLines w:val="0"/>
              <w:pageBreakBefore w:val="0"/>
              <w:numPr>
                <w:ilvl w:val="0"/>
                <w:numId w:val="0"/>
              </w:numPr>
              <w:kinsoku/>
              <w:wordWrap/>
              <w:overflowPunct/>
              <w:topLinePunct w:val="0"/>
              <w:autoSpaceDN/>
              <w:bidi w:val="0"/>
              <w:adjustRightInd w:val="0"/>
              <w:snapToGrid w:val="0"/>
              <w:spacing w:before="0" w:beforeAutospacing="0" w:after="0" w:afterAutospacing="0" w:line="240" w:lineRule="auto"/>
              <w:ind w:left="0" w:leftChars="0"/>
              <w:jc w:val="center"/>
              <w:textAlignment w:val="auto"/>
              <w:rPr>
                <w:rFonts w:hint="eastAsia" w:ascii="仿宋" w:hAnsi="仿宋" w:eastAsia="仿宋" w:cs="仿宋"/>
                <w:b w:val="0"/>
                <w:bCs w:val="0"/>
                <w:sz w:val="24"/>
                <w:szCs w:val="24"/>
              </w:rPr>
            </w:pPr>
            <w:r>
              <w:rPr>
                <w:rFonts w:hint="eastAsia" w:ascii="仿宋" w:hAnsi="仿宋" w:eastAsia="仿宋" w:cs="仿宋"/>
                <w:b w:val="0"/>
                <w:bCs w:val="0"/>
                <w:sz w:val="24"/>
                <w:szCs w:val="24"/>
              </w:rPr>
              <w:t>套</w:t>
            </w:r>
          </w:p>
        </w:tc>
        <w:tc>
          <w:tcPr>
            <w:tcW w:w="0" w:type="auto"/>
            <w:shd w:val="clear" w:color="auto" w:fill="auto"/>
            <w:tcMar>
              <w:top w:w="0" w:type="dxa"/>
              <w:left w:w="105" w:type="dxa"/>
              <w:bottom w:w="0" w:type="dxa"/>
              <w:right w:w="105" w:type="dxa"/>
            </w:tcMar>
            <w:vAlign w:val="center"/>
          </w:tcPr>
          <w:p w14:paraId="7B3B809C">
            <w:pPr>
              <w:pStyle w:val="16"/>
              <w:keepNext w:val="0"/>
              <w:keepLines w:val="0"/>
              <w:pageBreakBefore w:val="0"/>
              <w:numPr>
                <w:ilvl w:val="0"/>
                <w:numId w:val="0"/>
              </w:numPr>
              <w:kinsoku/>
              <w:wordWrap/>
              <w:overflowPunct/>
              <w:topLinePunct w:val="0"/>
              <w:autoSpaceDN/>
              <w:bidi w:val="0"/>
              <w:adjustRightInd w:val="0"/>
              <w:snapToGrid w:val="0"/>
              <w:spacing w:before="0" w:beforeAutospacing="0" w:after="0" w:afterAutospacing="0" w:line="240" w:lineRule="auto"/>
              <w:ind w:left="0" w:leftChars="0"/>
              <w:jc w:val="center"/>
              <w:textAlignment w:val="auto"/>
              <w:rPr>
                <w:rFonts w:hint="eastAsia" w:ascii="仿宋" w:hAnsi="仿宋" w:eastAsia="仿宋" w:cs="仿宋"/>
                <w:b w:val="0"/>
                <w:bCs w:val="0"/>
                <w:sz w:val="24"/>
                <w:szCs w:val="24"/>
              </w:rPr>
            </w:pPr>
            <w:r>
              <w:rPr>
                <w:rFonts w:hint="eastAsia" w:ascii="仿宋" w:hAnsi="仿宋" w:eastAsia="仿宋" w:cs="仿宋"/>
                <w:b w:val="0"/>
                <w:bCs w:val="0"/>
                <w:sz w:val="24"/>
                <w:szCs w:val="24"/>
              </w:rPr>
              <w:t>104000</w:t>
            </w:r>
          </w:p>
        </w:tc>
      </w:tr>
      <w:tr w14:paraId="57D97F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jc w:val="center"/>
        </w:trPr>
        <w:tc>
          <w:tcPr>
            <w:tcW w:w="0" w:type="auto"/>
            <w:shd w:val="clear" w:color="auto" w:fill="auto"/>
            <w:tcMar>
              <w:top w:w="0" w:type="dxa"/>
              <w:left w:w="105" w:type="dxa"/>
              <w:bottom w:w="0" w:type="dxa"/>
              <w:right w:w="105" w:type="dxa"/>
            </w:tcMar>
            <w:vAlign w:val="center"/>
          </w:tcPr>
          <w:p w14:paraId="63E22C95">
            <w:pPr>
              <w:pStyle w:val="16"/>
              <w:keepNext w:val="0"/>
              <w:keepLines w:val="0"/>
              <w:pageBreakBefore w:val="0"/>
              <w:numPr>
                <w:ilvl w:val="0"/>
                <w:numId w:val="0"/>
              </w:numPr>
              <w:kinsoku/>
              <w:wordWrap/>
              <w:overflowPunct/>
              <w:topLinePunct w:val="0"/>
              <w:autoSpaceDN/>
              <w:bidi w:val="0"/>
              <w:adjustRightInd w:val="0"/>
              <w:snapToGrid w:val="0"/>
              <w:spacing w:before="0" w:beforeAutospacing="0" w:after="0" w:afterAutospacing="0" w:line="240" w:lineRule="auto"/>
              <w:ind w:left="0" w:leftChars="0"/>
              <w:jc w:val="center"/>
              <w:textAlignment w:val="auto"/>
              <w:rPr>
                <w:rFonts w:hint="eastAsia" w:ascii="仿宋" w:hAnsi="仿宋" w:eastAsia="仿宋" w:cs="仿宋"/>
                <w:b w:val="0"/>
                <w:bCs w:val="0"/>
                <w:sz w:val="24"/>
                <w:szCs w:val="24"/>
              </w:rPr>
            </w:pPr>
            <w:r>
              <w:rPr>
                <w:rFonts w:hint="eastAsia" w:ascii="仿宋" w:hAnsi="仿宋" w:eastAsia="仿宋" w:cs="仿宋"/>
                <w:b w:val="0"/>
                <w:bCs w:val="0"/>
                <w:sz w:val="24"/>
                <w:szCs w:val="24"/>
              </w:rPr>
              <w:t>2</w:t>
            </w:r>
          </w:p>
        </w:tc>
        <w:tc>
          <w:tcPr>
            <w:tcW w:w="0" w:type="auto"/>
            <w:shd w:val="clear" w:color="auto" w:fill="auto"/>
            <w:tcMar>
              <w:top w:w="0" w:type="dxa"/>
              <w:left w:w="105" w:type="dxa"/>
              <w:bottom w:w="0" w:type="dxa"/>
              <w:right w:w="105" w:type="dxa"/>
            </w:tcMar>
            <w:vAlign w:val="center"/>
          </w:tcPr>
          <w:p w14:paraId="23FA5C70">
            <w:pPr>
              <w:pStyle w:val="16"/>
              <w:keepNext w:val="0"/>
              <w:keepLines w:val="0"/>
              <w:pageBreakBefore w:val="0"/>
              <w:numPr>
                <w:ilvl w:val="0"/>
                <w:numId w:val="0"/>
              </w:numPr>
              <w:kinsoku/>
              <w:wordWrap/>
              <w:overflowPunct/>
              <w:topLinePunct w:val="0"/>
              <w:autoSpaceDN/>
              <w:bidi w:val="0"/>
              <w:adjustRightInd w:val="0"/>
              <w:snapToGrid w:val="0"/>
              <w:spacing w:before="0" w:beforeAutospacing="0" w:after="0" w:afterAutospacing="0" w:line="240" w:lineRule="auto"/>
              <w:ind w:left="0" w:leftChars="0"/>
              <w:jc w:val="center"/>
              <w:textAlignment w:val="auto"/>
              <w:rPr>
                <w:rFonts w:hint="eastAsia" w:ascii="仿宋" w:hAnsi="仿宋" w:eastAsia="仿宋" w:cs="仿宋"/>
                <w:b w:val="0"/>
                <w:bCs w:val="0"/>
                <w:sz w:val="24"/>
                <w:szCs w:val="24"/>
              </w:rPr>
            </w:pPr>
            <w:r>
              <w:rPr>
                <w:rFonts w:hint="eastAsia" w:ascii="仿宋" w:hAnsi="仿宋" w:eastAsia="仿宋" w:cs="仿宋"/>
                <w:b w:val="0"/>
                <w:bCs w:val="0"/>
                <w:sz w:val="24"/>
                <w:szCs w:val="24"/>
              </w:rPr>
              <w:t>CSSD质量管理平台配套设备</w:t>
            </w:r>
          </w:p>
        </w:tc>
        <w:tc>
          <w:tcPr>
            <w:tcW w:w="3743" w:type="dxa"/>
            <w:shd w:val="clear" w:color="auto" w:fill="auto"/>
            <w:tcMar>
              <w:top w:w="0" w:type="dxa"/>
              <w:left w:w="105" w:type="dxa"/>
              <w:bottom w:w="0" w:type="dxa"/>
              <w:right w:w="105" w:type="dxa"/>
            </w:tcMar>
            <w:vAlign w:val="center"/>
          </w:tcPr>
          <w:p w14:paraId="350A4035">
            <w:pPr>
              <w:pStyle w:val="16"/>
              <w:keepNext w:val="0"/>
              <w:keepLines w:val="0"/>
              <w:pageBreakBefore w:val="0"/>
              <w:numPr>
                <w:ilvl w:val="0"/>
                <w:numId w:val="0"/>
              </w:numPr>
              <w:kinsoku/>
              <w:wordWrap/>
              <w:overflowPunct/>
              <w:topLinePunct w:val="0"/>
              <w:autoSpaceDN/>
              <w:bidi w:val="0"/>
              <w:adjustRightInd w:val="0"/>
              <w:snapToGrid w:val="0"/>
              <w:spacing w:before="0" w:beforeAutospacing="0" w:after="0" w:afterAutospacing="0" w:line="240" w:lineRule="auto"/>
              <w:ind w:left="0" w:leftChars="0"/>
              <w:jc w:val="center"/>
              <w:textAlignment w:val="auto"/>
              <w:rPr>
                <w:rFonts w:hint="eastAsia" w:ascii="仿宋" w:hAnsi="仿宋" w:eastAsia="仿宋" w:cs="仿宋"/>
                <w:b w:val="0"/>
                <w:bCs w:val="0"/>
                <w:sz w:val="24"/>
                <w:szCs w:val="24"/>
              </w:rPr>
            </w:pPr>
            <w:r>
              <w:rPr>
                <w:rFonts w:hint="eastAsia" w:ascii="仿宋" w:hAnsi="仿宋" w:eastAsia="仿宋" w:cs="仿宋"/>
                <w:b w:val="0"/>
                <w:bCs w:val="0"/>
                <w:sz w:val="24"/>
                <w:szCs w:val="24"/>
              </w:rPr>
              <w:t>器械包内信息定制卡</w:t>
            </w:r>
          </w:p>
        </w:tc>
        <w:tc>
          <w:tcPr>
            <w:tcW w:w="722" w:type="dxa"/>
            <w:shd w:val="clear" w:color="auto" w:fill="auto"/>
            <w:tcMar>
              <w:top w:w="0" w:type="dxa"/>
              <w:left w:w="105" w:type="dxa"/>
              <w:bottom w:w="0" w:type="dxa"/>
              <w:right w:w="105" w:type="dxa"/>
            </w:tcMar>
            <w:vAlign w:val="center"/>
          </w:tcPr>
          <w:p w14:paraId="764EBEAC">
            <w:pPr>
              <w:pStyle w:val="16"/>
              <w:keepNext w:val="0"/>
              <w:keepLines w:val="0"/>
              <w:pageBreakBefore w:val="0"/>
              <w:numPr>
                <w:ilvl w:val="0"/>
                <w:numId w:val="0"/>
              </w:numPr>
              <w:kinsoku/>
              <w:wordWrap/>
              <w:overflowPunct/>
              <w:topLinePunct w:val="0"/>
              <w:autoSpaceDN/>
              <w:bidi w:val="0"/>
              <w:adjustRightInd w:val="0"/>
              <w:snapToGrid w:val="0"/>
              <w:spacing w:before="0" w:beforeAutospacing="0" w:after="0" w:afterAutospacing="0" w:line="240" w:lineRule="auto"/>
              <w:ind w:left="0" w:leftChars="0"/>
              <w:jc w:val="center"/>
              <w:textAlignment w:val="auto"/>
              <w:rPr>
                <w:rFonts w:hint="eastAsia" w:ascii="仿宋" w:hAnsi="仿宋" w:eastAsia="仿宋" w:cs="仿宋"/>
                <w:b w:val="0"/>
                <w:bCs w:val="0"/>
                <w:sz w:val="24"/>
                <w:szCs w:val="24"/>
              </w:rPr>
            </w:pPr>
            <w:r>
              <w:rPr>
                <w:rFonts w:hint="eastAsia" w:ascii="仿宋" w:hAnsi="仿宋" w:eastAsia="仿宋" w:cs="仿宋"/>
                <w:b w:val="0"/>
                <w:bCs w:val="0"/>
                <w:sz w:val="24"/>
                <w:szCs w:val="24"/>
              </w:rPr>
              <w:t>2000</w:t>
            </w:r>
          </w:p>
        </w:tc>
        <w:tc>
          <w:tcPr>
            <w:tcW w:w="845" w:type="dxa"/>
            <w:shd w:val="clear" w:color="auto" w:fill="auto"/>
            <w:tcMar>
              <w:top w:w="0" w:type="dxa"/>
              <w:left w:w="105" w:type="dxa"/>
              <w:bottom w:w="0" w:type="dxa"/>
              <w:right w:w="105" w:type="dxa"/>
            </w:tcMar>
            <w:vAlign w:val="center"/>
          </w:tcPr>
          <w:p w14:paraId="1A930C93">
            <w:pPr>
              <w:pStyle w:val="16"/>
              <w:keepNext w:val="0"/>
              <w:keepLines w:val="0"/>
              <w:pageBreakBefore w:val="0"/>
              <w:numPr>
                <w:ilvl w:val="0"/>
                <w:numId w:val="0"/>
              </w:numPr>
              <w:kinsoku/>
              <w:wordWrap/>
              <w:overflowPunct/>
              <w:topLinePunct w:val="0"/>
              <w:autoSpaceDN/>
              <w:bidi w:val="0"/>
              <w:adjustRightInd w:val="0"/>
              <w:snapToGrid w:val="0"/>
              <w:spacing w:before="0" w:beforeAutospacing="0" w:after="0" w:afterAutospacing="0" w:line="240" w:lineRule="auto"/>
              <w:ind w:left="0" w:leftChars="0"/>
              <w:jc w:val="center"/>
              <w:textAlignment w:val="auto"/>
              <w:rPr>
                <w:rFonts w:hint="eastAsia" w:ascii="仿宋" w:hAnsi="仿宋" w:eastAsia="仿宋" w:cs="仿宋"/>
                <w:b w:val="0"/>
                <w:bCs w:val="0"/>
                <w:sz w:val="24"/>
                <w:szCs w:val="24"/>
              </w:rPr>
            </w:pPr>
            <w:r>
              <w:rPr>
                <w:rFonts w:hint="eastAsia" w:ascii="仿宋" w:hAnsi="仿宋" w:eastAsia="仿宋" w:cs="仿宋"/>
                <w:b w:val="0"/>
                <w:bCs w:val="0"/>
                <w:sz w:val="24"/>
                <w:szCs w:val="24"/>
              </w:rPr>
              <w:t>个</w:t>
            </w:r>
          </w:p>
        </w:tc>
        <w:tc>
          <w:tcPr>
            <w:tcW w:w="0" w:type="auto"/>
            <w:shd w:val="clear" w:color="auto" w:fill="auto"/>
            <w:tcMar>
              <w:top w:w="0" w:type="dxa"/>
              <w:left w:w="105" w:type="dxa"/>
              <w:bottom w:w="0" w:type="dxa"/>
              <w:right w:w="105" w:type="dxa"/>
            </w:tcMar>
            <w:vAlign w:val="center"/>
          </w:tcPr>
          <w:p w14:paraId="701D41FB">
            <w:pPr>
              <w:pStyle w:val="16"/>
              <w:keepNext w:val="0"/>
              <w:keepLines w:val="0"/>
              <w:pageBreakBefore w:val="0"/>
              <w:numPr>
                <w:ilvl w:val="0"/>
                <w:numId w:val="0"/>
              </w:numPr>
              <w:kinsoku/>
              <w:wordWrap/>
              <w:overflowPunct/>
              <w:topLinePunct w:val="0"/>
              <w:autoSpaceDN/>
              <w:bidi w:val="0"/>
              <w:adjustRightInd w:val="0"/>
              <w:snapToGrid w:val="0"/>
              <w:spacing w:before="0" w:beforeAutospacing="0" w:after="0" w:afterAutospacing="0" w:line="240" w:lineRule="auto"/>
              <w:ind w:left="0" w:leftChars="0"/>
              <w:jc w:val="center"/>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rPr>
              <w:t>2</w:t>
            </w:r>
            <w:r>
              <w:rPr>
                <w:rFonts w:hint="eastAsia" w:ascii="仿宋" w:hAnsi="仿宋" w:eastAsia="仿宋" w:cs="仿宋"/>
                <w:b w:val="0"/>
                <w:bCs w:val="0"/>
                <w:sz w:val="24"/>
                <w:szCs w:val="24"/>
                <w:lang w:val="en-US" w:eastAsia="zh-CN"/>
              </w:rPr>
              <w:t>2</w:t>
            </w:r>
          </w:p>
        </w:tc>
      </w:tr>
    </w:tbl>
    <w:p w14:paraId="727369A8">
      <w:pPr>
        <w:pStyle w:val="16"/>
        <w:keepNext w:val="0"/>
        <w:keepLines w:val="0"/>
        <w:pageBreakBefore w:val="0"/>
        <w:numPr>
          <w:ilvl w:val="0"/>
          <w:numId w:val="0"/>
        </w:numPr>
        <w:kinsoku/>
        <w:wordWrap/>
        <w:overflowPunct/>
        <w:topLinePunct w:val="0"/>
        <w:autoSpaceDN/>
        <w:bidi w:val="0"/>
        <w:adjustRightInd w:val="0"/>
        <w:snapToGrid w:val="0"/>
        <w:spacing w:before="0" w:beforeAutospacing="0" w:after="0" w:afterAutospacing="0" w:line="360" w:lineRule="auto"/>
        <w:ind w:left="0" w:leftChars="0"/>
        <w:textAlignment w:val="auto"/>
        <w:rPr>
          <w:rFonts w:hint="default" w:ascii="仿宋" w:hAnsi="仿宋" w:eastAsia="宋体" w:cs="仿宋"/>
          <w:b/>
          <w:bCs/>
          <w:sz w:val="24"/>
          <w:szCs w:val="24"/>
          <w:lang w:val="en-US" w:eastAsia="zh-CN"/>
        </w:rPr>
      </w:pPr>
      <w:r>
        <w:rPr>
          <w:rStyle w:val="21"/>
          <w:rFonts w:hint="eastAsia" w:ascii="宋体" w:hAnsi="宋体" w:eastAsia="宋体" w:cs="宋体"/>
          <w:b/>
          <w:kern w:val="2"/>
          <w:sz w:val="24"/>
          <w:szCs w:val="24"/>
          <w:lang w:val="en-US" w:eastAsia="zh-CN"/>
        </w:rPr>
        <w:t>2.接口清单</w:t>
      </w:r>
    </w:p>
    <w:p w14:paraId="52EF1A65">
      <w:pPr>
        <w:pStyle w:val="16"/>
        <w:keepNext w:val="0"/>
        <w:keepLines w:val="0"/>
        <w:pageBreakBefore w:val="0"/>
        <w:numPr>
          <w:ilvl w:val="0"/>
          <w:numId w:val="0"/>
        </w:numPr>
        <w:kinsoku/>
        <w:wordWrap/>
        <w:overflowPunct/>
        <w:topLinePunct w:val="0"/>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b w:val="0"/>
          <w:bCs w:val="0"/>
          <w:sz w:val="24"/>
          <w:szCs w:val="24"/>
        </w:rPr>
      </w:pPr>
      <w:r>
        <w:rPr>
          <w:rFonts w:hint="eastAsia" w:ascii="仿宋" w:hAnsi="仿宋" w:eastAsia="仿宋" w:cs="仿宋"/>
          <w:b w:val="0"/>
          <w:bCs w:val="0"/>
          <w:sz w:val="24"/>
          <w:szCs w:val="24"/>
        </w:rPr>
        <w:t>本项目实施期间，凡涉及与东软集团股份有限公司（以下简称“东软”）既有系统对接，所产生的费用由采购人承担。</w:t>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763"/>
        <w:gridCol w:w="2293"/>
        <w:gridCol w:w="3662"/>
        <w:gridCol w:w="3129"/>
      </w:tblGrid>
      <w:tr w14:paraId="1E288F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jc w:val="center"/>
        </w:trPr>
        <w:tc>
          <w:tcPr>
            <w:tcW w:w="764" w:type="dxa"/>
            <w:shd w:val="clear" w:color="auto" w:fill="auto"/>
            <w:tcMar>
              <w:top w:w="0" w:type="dxa"/>
              <w:left w:w="105" w:type="dxa"/>
              <w:bottom w:w="0" w:type="dxa"/>
              <w:right w:w="105" w:type="dxa"/>
            </w:tcMar>
            <w:vAlign w:val="center"/>
          </w:tcPr>
          <w:p w14:paraId="2E70801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jc w:val="center"/>
              <w:textAlignment w:val="auto"/>
              <w:rPr>
                <w:rFonts w:hint="eastAsia" w:ascii="仿宋" w:hAnsi="仿宋" w:eastAsia="仿宋" w:cs="仿宋"/>
                <w:b w:val="0"/>
                <w:bCs w:val="0"/>
                <w:sz w:val="24"/>
                <w:szCs w:val="24"/>
              </w:rPr>
            </w:pPr>
            <w:r>
              <w:rPr>
                <w:rFonts w:hint="eastAsia" w:ascii="仿宋" w:hAnsi="仿宋" w:eastAsia="仿宋" w:cs="仿宋"/>
                <w:b w:val="0"/>
                <w:bCs w:val="0"/>
                <w:sz w:val="24"/>
                <w:szCs w:val="24"/>
              </w:rPr>
              <w:t>序号</w:t>
            </w:r>
          </w:p>
        </w:tc>
        <w:tc>
          <w:tcPr>
            <w:tcW w:w="2293" w:type="dxa"/>
            <w:shd w:val="clear" w:color="auto" w:fill="auto"/>
            <w:tcMar>
              <w:top w:w="0" w:type="dxa"/>
              <w:left w:w="105" w:type="dxa"/>
              <w:bottom w:w="0" w:type="dxa"/>
              <w:right w:w="105" w:type="dxa"/>
            </w:tcMar>
            <w:vAlign w:val="center"/>
          </w:tcPr>
          <w:p w14:paraId="748441E7">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jc w:val="center"/>
              <w:textAlignment w:val="auto"/>
              <w:rPr>
                <w:rFonts w:hint="eastAsia" w:ascii="仿宋" w:hAnsi="仿宋" w:eastAsia="仿宋" w:cs="仿宋"/>
                <w:b w:val="0"/>
                <w:bCs w:val="0"/>
                <w:sz w:val="24"/>
                <w:szCs w:val="24"/>
              </w:rPr>
            </w:pPr>
            <w:r>
              <w:rPr>
                <w:rFonts w:hint="eastAsia" w:ascii="仿宋" w:hAnsi="仿宋" w:eastAsia="仿宋" w:cs="仿宋"/>
                <w:b w:val="0"/>
                <w:bCs w:val="0"/>
                <w:sz w:val="24"/>
                <w:szCs w:val="24"/>
              </w:rPr>
              <w:t>软硬件</w:t>
            </w:r>
          </w:p>
        </w:tc>
        <w:tc>
          <w:tcPr>
            <w:tcW w:w="3662" w:type="dxa"/>
            <w:shd w:val="clear" w:color="auto" w:fill="auto"/>
            <w:tcMar>
              <w:top w:w="0" w:type="dxa"/>
              <w:left w:w="105" w:type="dxa"/>
              <w:bottom w:w="0" w:type="dxa"/>
              <w:right w:w="105" w:type="dxa"/>
            </w:tcMar>
            <w:vAlign w:val="center"/>
          </w:tcPr>
          <w:p w14:paraId="74EC27C9">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jc w:val="center"/>
              <w:textAlignment w:val="auto"/>
              <w:rPr>
                <w:rFonts w:hint="eastAsia" w:ascii="仿宋" w:hAnsi="仿宋" w:eastAsia="仿宋" w:cs="仿宋"/>
                <w:b w:val="0"/>
                <w:bCs w:val="0"/>
                <w:sz w:val="24"/>
                <w:szCs w:val="24"/>
              </w:rPr>
            </w:pPr>
            <w:r>
              <w:rPr>
                <w:rFonts w:hint="eastAsia" w:ascii="仿宋" w:hAnsi="仿宋" w:eastAsia="仿宋" w:cs="仿宋"/>
                <w:b w:val="0"/>
                <w:bCs w:val="0"/>
                <w:sz w:val="24"/>
                <w:szCs w:val="24"/>
              </w:rPr>
              <w:t>生产厂商（全称）</w:t>
            </w:r>
          </w:p>
        </w:tc>
        <w:tc>
          <w:tcPr>
            <w:tcW w:w="3129" w:type="dxa"/>
            <w:shd w:val="clear" w:color="auto" w:fill="auto"/>
            <w:tcMar>
              <w:top w:w="0" w:type="dxa"/>
              <w:left w:w="105" w:type="dxa"/>
              <w:bottom w:w="0" w:type="dxa"/>
              <w:right w:w="105" w:type="dxa"/>
            </w:tcMar>
            <w:vAlign w:val="center"/>
          </w:tcPr>
          <w:p w14:paraId="772DCD5D">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jc w:val="center"/>
              <w:textAlignment w:val="auto"/>
              <w:rPr>
                <w:rFonts w:hint="eastAsia" w:ascii="仿宋" w:hAnsi="仿宋" w:eastAsia="仿宋" w:cs="仿宋"/>
                <w:b w:val="0"/>
                <w:bCs w:val="0"/>
                <w:sz w:val="24"/>
                <w:szCs w:val="24"/>
              </w:rPr>
            </w:pPr>
            <w:r>
              <w:rPr>
                <w:rFonts w:hint="eastAsia" w:ascii="仿宋" w:hAnsi="仿宋" w:eastAsia="仿宋" w:cs="仿宋"/>
                <w:b w:val="0"/>
                <w:bCs w:val="0"/>
                <w:sz w:val="24"/>
                <w:szCs w:val="24"/>
              </w:rPr>
              <w:t>对接描述</w:t>
            </w:r>
          </w:p>
        </w:tc>
      </w:tr>
      <w:tr w14:paraId="7A1191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jc w:val="center"/>
        </w:trPr>
        <w:tc>
          <w:tcPr>
            <w:tcW w:w="764" w:type="dxa"/>
            <w:shd w:val="clear" w:color="auto" w:fill="auto"/>
            <w:tcMar>
              <w:top w:w="0" w:type="dxa"/>
              <w:left w:w="105" w:type="dxa"/>
              <w:bottom w:w="0" w:type="dxa"/>
              <w:right w:w="105" w:type="dxa"/>
            </w:tcMar>
            <w:vAlign w:val="center"/>
          </w:tcPr>
          <w:p w14:paraId="1C9AAB26">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jc w:val="center"/>
              <w:textAlignment w:val="auto"/>
              <w:rPr>
                <w:rFonts w:hint="eastAsia" w:ascii="仿宋" w:hAnsi="仿宋" w:eastAsia="仿宋" w:cs="仿宋"/>
                <w:b w:val="0"/>
                <w:bCs w:val="0"/>
                <w:sz w:val="24"/>
                <w:szCs w:val="24"/>
              </w:rPr>
            </w:pPr>
            <w:r>
              <w:rPr>
                <w:rFonts w:hint="eastAsia" w:ascii="仿宋" w:hAnsi="仿宋" w:eastAsia="仿宋" w:cs="仿宋"/>
                <w:b w:val="0"/>
                <w:bCs w:val="0"/>
                <w:sz w:val="24"/>
                <w:szCs w:val="24"/>
              </w:rPr>
              <w:t>1</w:t>
            </w:r>
          </w:p>
        </w:tc>
        <w:tc>
          <w:tcPr>
            <w:tcW w:w="2293" w:type="dxa"/>
            <w:shd w:val="clear" w:color="auto" w:fill="auto"/>
            <w:tcMar>
              <w:top w:w="0" w:type="dxa"/>
              <w:left w:w="105" w:type="dxa"/>
              <w:bottom w:w="0" w:type="dxa"/>
              <w:right w:w="105" w:type="dxa"/>
            </w:tcMar>
            <w:vAlign w:val="center"/>
          </w:tcPr>
          <w:p w14:paraId="7B6D11E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jc w:val="center"/>
              <w:textAlignment w:val="auto"/>
              <w:rPr>
                <w:rFonts w:hint="eastAsia" w:ascii="仿宋" w:hAnsi="仿宋" w:eastAsia="仿宋" w:cs="仿宋"/>
                <w:b w:val="0"/>
                <w:bCs w:val="0"/>
                <w:sz w:val="24"/>
                <w:szCs w:val="24"/>
              </w:rPr>
            </w:pPr>
            <w:r>
              <w:rPr>
                <w:rFonts w:hint="eastAsia" w:ascii="仿宋" w:hAnsi="仿宋" w:eastAsia="仿宋" w:cs="仿宋"/>
                <w:b w:val="0"/>
                <w:bCs w:val="0"/>
                <w:sz w:val="24"/>
                <w:szCs w:val="24"/>
              </w:rPr>
              <w:t>东软系统</w:t>
            </w:r>
          </w:p>
        </w:tc>
        <w:tc>
          <w:tcPr>
            <w:tcW w:w="3662" w:type="dxa"/>
            <w:shd w:val="clear" w:color="auto" w:fill="auto"/>
            <w:tcMar>
              <w:top w:w="0" w:type="dxa"/>
              <w:left w:w="105" w:type="dxa"/>
              <w:bottom w:w="0" w:type="dxa"/>
              <w:right w:w="105" w:type="dxa"/>
            </w:tcMar>
            <w:vAlign w:val="center"/>
          </w:tcPr>
          <w:p w14:paraId="2C8E869E">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jc w:val="center"/>
              <w:textAlignment w:val="auto"/>
              <w:rPr>
                <w:rFonts w:hint="eastAsia" w:ascii="仿宋" w:hAnsi="仿宋" w:eastAsia="仿宋" w:cs="仿宋"/>
                <w:b w:val="0"/>
                <w:bCs w:val="0"/>
                <w:sz w:val="24"/>
                <w:szCs w:val="24"/>
              </w:rPr>
            </w:pPr>
            <w:r>
              <w:rPr>
                <w:rFonts w:hint="eastAsia" w:ascii="仿宋" w:hAnsi="仿宋" w:eastAsia="仿宋" w:cs="仿宋"/>
                <w:b w:val="0"/>
                <w:bCs w:val="0"/>
                <w:sz w:val="24"/>
                <w:szCs w:val="24"/>
              </w:rPr>
              <w:t>东软集团股份有限公司</w:t>
            </w:r>
          </w:p>
        </w:tc>
        <w:tc>
          <w:tcPr>
            <w:tcW w:w="3129" w:type="dxa"/>
            <w:shd w:val="clear" w:color="auto" w:fill="auto"/>
            <w:tcMar>
              <w:top w:w="0" w:type="dxa"/>
              <w:left w:w="105" w:type="dxa"/>
              <w:bottom w:w="0" w:type="dxa"/>
              <w:right w:w="105" w:type="dxa"/>
            </w:tcMar>
            <w:vAlign w:val="center"/>
          </w:tcPr>
          <w:p w14:paraId="393F3922">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jc w:val="center"/>
              <w:textAlignment w:val="auto"/>
              <w:rPr>
                <w:rFonts w:hint="eastAsia" w:ascii="仿宋" w:hAnsi="仿宋" w:eastAsia="仿宋" w:cs="仿宋"/>
                <w:b w:val="0"/>
                <w:bCs w:val="0"/>
                <w:sz w:val="24"/>
                <w:szCs w:val="24"/>
              </w:rPr>
            </w:pPr>
            <w:r>
              <w:rPr>
                <w:rFonts w:hint="eastAsia" w:ascii="仿宋" w:hAnsi="仿宋" w:eastAsia="仿宋" w:cs="仿宋"/>
                <w:b w:val="0"/>
                <w:bCs w:val="0"/>
                <w:sz w:val="24"/>
                <w:szCs w:val="24"/>
              </w:rPr>
              <w:t>患者信息、单点登录、</w:t>
            </w:r>
          </w:p>
        </w:tc>
      </w:tr>
      <w:tr w14:paraId="0B8BAE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jc w:val="center"/>
        </w:trPr>
        <w:tc>
          <w:tcPr>
            <w:tcW w:w="764" w:type="dxa"/>
            <w:shd w:val="clear" w:color="auto" w:fill="auto"/>
            <w:tcMar>
              <w:top w:w="0" w:type="dxa"/>
              <w:left w:w="105" w:type="dxa"/>
              <w:bottom w:w="0" w:type="dxa"/>
              <w:right w:w="105" w:type="dxa"/>
            </w:tcMar>
            <w:vAlign w:val="center"/>
          </w:tcPr>
          <w:p w14:paraId="6AA8AD32">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jc w:val="center"/>
              <w:textAlignment w:val="auto"/>
              <w:rPr>
                <w:rFonts w:hint="eastAsia" w:ascii="仿宋" w:hAnsi="仿宋" w:eastAsia="仿宋" w:cs="仿宋"/>
                <w:b w:val="0"/>
                <w:bCs w:val="0"/>
                <w:sz w:val="24"/>
                <w:szCs w:val="24"/>
              </w:rPr>
            </w:pPr>
            <w:r>
              <w:rPr>
                <w:rFonts w:hint="eastAsia" w:ascii="仿宋" w:hAnsi="仿宋" w:eastAsia="仿宋" w:cs="仿宋"/>
                <w:b w:val="0"/>
                <w:bCs w:val="0"/>
                <w:sz w:val="24"/>
                <w:szCs w:val="24"/>
              </w:rPr>
              <w:t>2</w:t>
            </w:r>
          </w:p>
        </w:tc>
        <w:tc>
          <w:tcPr>
            <w:tcW w:w="2293" w:type="dxa"/>
            <w:shd w:val="clear" w:color="auto" w:fill="auto"/>
            <w:tcMar>
              <w:top w:w="0" w:type="dxa"/>
              <w:left w:w="105" w:type="dxa"/>
              <w:bottom w:w="0" w:type="dxa"/>
              <w:right w:w="105" w:type="dxa"/>
            </w:tcMar>
            <w:vAlign w:val="center"/>
          </w:tcPr>
          <w:p w14:paraId="2850291B">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jc w:val="center"/>
              <w:textAlignment w:val="auto"/>
              <w:rPr>
                <w:rFonts w:hint="eastAsia" w:ascii="仿宋" w:hAnsi="仿宋" w:eastAsia="仿宋" w:cs="仿宋"/>
                <w:b w:val="0"/>
                <w:bCs w:val="0"/>
                <w:sz w:val="24"/>
                <w:szCs w:val="24"/>
              </w:rPr>
            </w:pPr>
            <w:r>
              <w:rPr>
                <w:rFonts w:hint="eastAsia" w:ascii="仿宋" w:hAnsi="仿宋" w:eastAsia="仿宋" w:cs="仿宋"/>
                <w:b w:val="0"/>
                <w:bCs w:val="0"/>
                <w:sz w:val="24"/>
                <w:szCs w:val="24"/>
              </w:rPr>
              <w:t>供应室追溯系统</w:t>
            </w:r>
          </w:p>
        </w:tc>
        <w:tc>
          <w:tcPr>
            <w:tcW w:w="3662" w:type="dxa"/>
            <w:shd w:val="clear" w:color="auto" w:fill="auto"/>
            <w:tcMar>
              <w:top w:w="0" w:type="dxa"/>
              <w:left w:w="105" w:type="dxa"/>
              <w:bottom w:w="0" w:type="dxa"/>
              <w:right w:w="105" w:type="dxa"/>
            </w:tcMar>
            <w:vAlign w:val="center"/>
          </w:tcPr>
          <w:p w14:paraId="7FC08752">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jc w:val="center"/>
              <w:textAlignment w:val="auto"/>
              <w:rPr>
                <w:rFonts w:hint="eastAsia" w:ascii="仿宋" w:hAnsi="仿宋" w:eastAsia="仿宋" w:cs="仿宋"/>
                <w:b w:val="0"/>
                <w:bCs w:val="0"/>
                <w:sz w:val="24"/>
                <w:szCs w:val="24"/>
              </w:rPr>
            </w:pPr>
            <w:r>
              <w:rPr>
                <w:rFonts w:hint="eastAsia" w:ascii="仿宋" w:hAnsi="仿宋" w:eastAsia="仿宋" w:cs="仿宋"/>
                <w:b w:val="0"/>
                <w:bCs w:val="0"/>
                <w:sz w:val="24"/>
                <w:szCs w:val="24"/>
              </w:rPr>
              <w:t>四川劳吉克信息技术有限公司</w:t>
            </w:r>
          </w:p>
        </w:tc>
        <w:tc>
          <w:tcPr>
            <w:tcW w:w="3129" w:type="dxa"/>
            <w:shd w:val="clear" w:color="auto" w:fill="auto"/>
            <w:tcMar>
              <w:top w:w="0" w:type="dxa"/>
              <w:left w:w="105" w:type="dxa"/>
              <w:bottom w:w="0" w:type="dxa"/>
              <w:right w:w="105" w:type="dxa"/>
            </w:tcMar>
            <w:vAlign w:val="center"/>
          </w:tcPr>
          <w:p w14:paraId="7205126D">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jc w:val="center"/>
              <w:textAlignment w:val="auto"/>
              <w:rPr>
                <w:rFonts w:hint="eastAsia" w:ascii="仿宋" w:hAnsi="仿宋" w:eastAsia="仿宋" w:cs="仿宋"/>
                <w:b w:val="0"/>
                <w:bCs w:val="0"/>
                <w:sz w:val="24"/>
                <w:szCs w:val="24"/>
              </w:rPr>
            </w:pPr>
            <w:r>
              <w:rPr>
                <w:rFonts w:hint="eastAsia" w:ascii="仿宋" w:hAnsi="仿宋" w:eastAsia="仿宋" w:cs="仿宋"/>
                <w:b w:val="0"/>
                <w:bCs w:val="0"/>
                <w:sz w:val="24"/>
                <w:szCs w:val="24"/>
              </w:rPr>
              <w:t>所有业务流程数据</w:t>
            </w:r>
          </w:p>
        </w:tc>
      </w:tr>
    </w:tbl>
    <w:p w14:paraId="298587B3">
      <w:pPr>
        <w:pStyle w:val="16"/>
        <w:keepNext w:val="0"/>
        <w:keepLines w:val="0"/>
        <w:pageBreakBefore w:val="0"/>
        <w:numPr>
          <w:ilvl w:val="0"/>
          <w:numId w:val="0"/>
        </w:numPr>
        <w:kinsoku/>
        <w:wordWrap/>
        <w:overflowPunct/>
        <w:topLinePunct w:val="0"/>
        <w:autoSpaceDN/>
        <w:bidi w:val="0"/>
        <w:adjustRightInd w:val="0"/>
        <w:snapToGrid w:val="0"/>
        <w:spacing w:before="0" w:beforeAutospacing="0" w:after="0" w:afterAutospacing="0" w:line="360" w:lineRule="auto"/>
        <w:ind w:left="0" w:leftChars="0"/>
        <w:textAlignment w:val="auto"/>
        <w:rPr>
          <w:rFonts w:hint="default" w:ascii="仿宋" w:hAnsi="仿宋" w:eastAsia="仿宋" w:cs="仿宋"/>
          <w:b/>
          <w:bCs/>
          <w:sz w:val="24"/>
          <w:szCs w:val="24"/>
          <w:lang w:val="en-US" w:eastAsia="zh-CN"/>
        </w:rPr>
      </w:pPr>
      <w:r>
        <w:rPr>
          <w:rFonts w:hint="eastAsia" w:ascii="仿宋" w:hAnsi="仿宋" w:eastAsia="仿宋" w:cs="仿宋"/>
          <w:b/>
          <w:bCs/>
          <w:sz w:val="24"/>
          <w:szCs w:val="24"/>
        </w:rPr>
        <w:t>三</w:t>
      </w:r>
      <w:r>
        <w:rPr>
          <w:rFonts w:hint="eastAsia" w:ascii="仿宋" w:hAnsi="仿宋" w:eastAsia="仿宋" w:cs="仿宋"/>
          <w:b/>
          <w:bCs/>
          <w:sz w:val="24"/>
          <w:szCs w:val="24"/>
          <w:lang w:val="en-US" w:eastAsia="zh-CN"/>
        </w:rPr>
        <w:t>技术服务要求</w:t>
      </w:r>
    </w:p>
    <w:p w14:paraId="40563EEB">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482" w:leftChars="0" w:hanging="482" w:hangingChars="200"/>
        <w:textAlignment w:val="auto"/>
        <w:rPr>
          <w:rFonts w:hint="eastAsia" w:ascii="仿宋" w:hAnsi="仿宋" w:eastAsia="仿宋" w:cs="仿宋"/>
          <w:b/>
          <w:bCs/>
          <w:sz w:val="24"/>
          <w:szCs w:val="24"/>
          <w:lang w:val="en-US" w:eastAsia="zh-CN"/>
        </w:rPr>
      </w:pPr>
      <w:r>
        <w:rPr>
          <w:rFonts w:hint="eastAsia" w:ascii="仿宋" w:hAnsi="仿宋" w:eastAsia="仿宋" w:cs="仿宋"/>
          <w:b/>
          <w:bCs/>
          <w:kern w:val="2"/>
          <w:sz w:val="24"/>
          <w:szCs w:val="24"/>
          <w:lang w:val="en-US" w:eastAsia="zh-CN" w:bidi="ar-SA"/>
        </w:rPr>
        <w:t>1.</w:t>
      </w:r>
      <w:r>
        <w:rPr>
          <w:rFonts w:hint="eastAsia" w:ascii="仿宋" w:hAnsi="仿宋" w:eastAsia="仿宋" w:cs="仿宋"/>
          <w:b/>
          <w:bCs/>
          <w:sz w:val="24"/>
          <w:szCs w:val="24"/>
          <w:lang w:val="en-US" w:eastAsia="zh-CN"/>
        </w:rPr>
        <w:t>技术要求</w:t>
      </w:r>
    </w:p>
    <w:tbl>
      <w:tblPr>
        <w:tblStyle w:val="1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729"/>
        <w:gridCol w:w="1163"/>
        <w:gridCol w:w="1364"/>
        <w:gridCol w:w="6591"/>
      </w:tblGrid>
      <w:tr w14:paraId="695EC7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29" w:type="dxa"/>
            <w:shd w:val="clear" w:color="auto" w:fill="auto"/>
            <w:tcMar>
              <w:top w:w="0" w:type="dxa"/>
              <w:left w:w="105" w:type="dxa"/>
              <w:bottom w:w="0" w:type="dxa"/>
              <w:right w:w="105" w:type="dxa"/>
            </w:tcMar>
            <w:vAlign w:val="top"/>
          </w:tcPr>
          <w:p w14:paraId="2D49FD89">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序号</w:t>
            </w:r>
          </w:p>
        </w:tc>
        <w:tc>
          <w:tcPr>
            <w:tcW w:w="1163" w:type="dxa"/>
            <w:shd w:val="clear" w:color="auto" w:fill="auto"/>
            <w:tcMar>
              <w:top w:w="0" w:type="dxa"/>
              <w:left w:w="105" w:type="dxa"/>
              <w:bottom w:w="0" w:type="dxa"/>
              <w:right w:w="105" w:type="dxa"/>
            </w:tcMar>
            <w:vAlign w:val="top"/>
          </w:tcPr>
          <w:p w14:paraId="796BFDFF">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系统</w:t>
            </w:r>
          </w:p>
        </w:tc>
        <w:tc>
          <w:tcPr>
            <w:tcW w:w="1364" w:type="dxa"/>
            <w:shd w:val="clear" w:color="auto" w:fill="auto"/>
            <w:tcMar>
              <w:top w:w="0" w:type="dxa"/>
              <w:left w:w="105" w:type="dxa"/>
              <w:bottom w:w="0" w:type="dxa"/>
              <w:right w:w="105" w:type="dxa"/>
            </w:tcMar>
            <w:vAlign w:val="top"/>
          </w:tcPr>
          <w:p w14:paraId="2AD835A6">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模块</w:t>
            </w:r>
          </w:p>
        </w:tc>
        <w:tc>
          <w:tcPr>
            <w:tcW w:w="6592" w:type="dxa"/>
            <w:shd w:val="clear" w:color="auto" w:fill="auto"/>
            <w:tcMar>
              <w:top w:w="0" w:type="dxa"/>
              <w:left w:w="105" w:type="dxa"/>
              <w:bottom w:w="0" w:type="dxa"/>
              <w:right w:w="105" w:type="dxa"/>
            </w:tcMar>
            <w:vAlign w:val="top"/>
          </w:tcPr>
          <w:p w14:paraId="5E691605">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参数</w:t>
            </w:r>
          </w:p>
        </w:tc>
      </w:tr>
      <w:tr w14:paraId="4C3783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29" w:type="dxa"/>
            <w:vMerge w:val="restart"/>
            <w:shd w:val="clear" w:color="auto" w:fill="auto"/>
            <w:tcMar>
              <w:top w:w="0" w:type="dxa"/>
              <w:left w:w="105" w:type="dxa"/>
              <w:bottom w:w="0" w:type="dxa"/>
              <w:right w:w="105" w:type="dxa"/>
            </w:tcMar>
            <w:vAlign w:val="center"/>
          </w:tcPr>
          <w:p w14:paraId="3CE44931">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ind w:left="0" w:firstLine="0"/>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1</w:t>
            </w:r>
          </w:p>
        </w:tc>
        <w:tc>
          <w:tcPr>
            <w:tcW w:w="1163" w:type="dxa"/>
            <w:vMerge w:val="restart"/>
            <w:shd w:val="clear" w:color="auto" w:fill="auto"/>
            <w:tcMar>
              <w:top w:w="0" w:type="dxa"/>
              <w:left w:w="105" w:type="dxa"/>
              <w:bottom w:w="0" w:type="dxa"/>
              <w:right w:w="105" w:type="dxa"/>
            </w:tcMar>
            <w:vAlign w:val="center"/>
          </w:tcPr>
          <w:p w14:paraId="3896244F">
            <w:pPr>
              <w:pStyle w:val="14"/>
              <w:keepNext w:val="0"/>
              <w:keepLines w:val="0"/>
              <w:pageBreakBefore w:val="0"/>
              <w:widowControl/>
              <w:suppressLineNumbers w:val="0"/>
              <w:kinsoku/>
              <w:wordWrap/>
              <w:overflowPunct/>
              <w:topLinePunct w:val="0"/>
              <w:autoSpaceDN/>
              <w:bidi w:val="0"/>
              <w:adjustRightInd w:val="0"/>
              <w:snapToGrid w:val="0"/>
              <w:spacing w:beforeAutospacing="0" w:afterAutospacing="0"/>
              <w:textAlignment w:val="auto"/>
              <w:rPr>
                <w:rFonts w:hint="eastAsia" w:ascii="仿宋" w:hAnsi="仿宋" w:eastAsia="仿宋" w:cs="仿宋"/>
                <w:sz w:val="24"/>
                <w:szCs w:val="24"/>
              </w:rPr>
            </w:pPr>
            <w:r>
              <w:rPr>
                <w:rFonts w:hint="eastAsia" w:ascii="仿宋" w:hAnsi="仿宋" w:eastAsia="仿宋" w:cs="仿宋"/>
                <w:sz w:val="24"/>
                <w:szCs w:val="24"/>
              </w:rPr>
              <w:t>CSSD质量管理平台</w:t>
            </w:r>
          </w:p>
        </w:tc>
        <w:tc>
          <w:tcPr>
            <w:tcW w:w="1364" w:type="dxa"/>
            <w:shd w:val="clear" w:color="auto" w:fill="auto"/>
            <w:tcMar>
              <w:top w:w="0" w:type="dxa"/>
              <w:left w:w="105" w:type="dxa"/>
              <w:bottom w:w="0" w:type="dxa"/>
              <w:right w:w="105" w:type="dxa"/>
            </w:tcMar>
            <w:vAlign w:val="center"/>
          </w:tcPr>
          <w:p w14:paraId="5B0069FC">
            <w:pPr>
              <w:pStyle w:val="14"/>
              <w:keepNext w:val="0"/>
              <w:keepLines w:val="0"/>
              <w:pageBreakBefore w:val="0"/>
              <w:widowControl/>
              <w:suppressLineNumbers w:val="0"/>
              <w:kinsoku/>
              <w:wordWrap/>
              <w:overflowPunct/>
              <w:topLinePunct w:val="0"/>
              <w:autoSpaceDN/>
              <w:bidi w:val="0"/>
              <w:adjustRightInd w:val="0"/>
              <w:snapToGrid w:val="0"/>
              <w:spacing w:beforeAutospacing="0" w:afterAutospacing="0"/>
              <w:ind w:left="0" w:firstLine="0"/>
              <w:textAlignment w:val="auto"/>
              <w:rPr>
                <w:rFonts w:hint="eastAsia" w:ascii="仿宋" w:hAnsi="仿宋" w:eastAsia="仿宋" w:cs="仿宋"/>
                <w:sz w:val="24"/>
                <w:szCs w:val="24"/>
              </w:rPr>
            </w:pPr>
            <w:r>
              <w:rPr>
                <w:rFonts w:hint="eastAsia" w:ascii="仿宋" w:hAnsi="仿宋" w:eastAsia="仿宋" w:cs="仿宋"/>
                <w:sz w:val="24"/>
                <w:szCs w:val="24"/>
              </w:rPr>
              <w:t>模块1</w:t>
            </w:r>
          </w:p>
        </w:tc>
        <w:tc>
          <w:tcPr>
            <w:tcW w:w="6592" w:type="dxa"/>
            <w:shd w:val="clear" w:color="auto" w:fill="auto"/>
            <w:tcMar>
              <w:top w:w="0" w:type="dxa"/>
              <w:left w:w="105" w:type="dxa"/>
              <w:bottom w:w="0" w:type="dxa"/>
              <w:right w:w="105" w:type="dxa"/>
            </w:tcMar>
            <w:vAlign w:val="top"/>
          </w:tcPr>
          <w:p w14:paraId="4077A04C">
            <w:pPr>
              <w:pStyle w:val="14"/>
              <w:keepNext w:val="0"/>
              <w:keepLines w:val="0"/>
              <w:pageBreakBefore w:val="0"/>
              <w:widowControl/>
              <w:suppressLineNumbers w:val="0"/>
              <w:kinsoku/>
              <w:wordWrap/>
              <w:overflowPunct/>
              <w:topLinePunct w:val="0"/>
              <w:autoSpaceDN/>
              <w:bidi w:val="0"/>
              <w:adjustRightInd w:val="0"/>
              <w:snapToGrid w:val="0"/>
              <w:spacing w:beforeAutospacing="0" w:afterAutospacing="0"/>
              <w:ind w:left="0" w:firstLine="0"/>
              <w:textAlignment w:val="auto"/>
              <w:rPr>
                <w:rFonts w:hint="eastAsia" w:ascii="仿宋" w:hAnsi="仿宋" w:eastAsia="仿宋" w:cs="仿宋"/>
                <w:sz w:val="24"/>
                <w:szCs w:val="24"/>
              </w:rPr>
            </w:pPr>
            <w:r>
              <w:rPr>
                <w:rFonts w:hint="eastAsia" w:ascii="仿宋" w:hAnsi="仿宋" w:eastAsia="仿宋" w:cs="仿宋"/>
                <w:sz w:val="24"/>
                <w:szCs w:val="24"/>
              </w:rPr>
              <w:t>CSSD质量管理平台要与</w:t>
            </w:r>
            <w:r>
              <w:rPr>
                <w:rFonts w:hint="eastAsia" w:ascii="仿宋" w:hAnsi="仿宋" w:eastAsia="仿宋" w:cs="仿宋"/>
                <w:sz w:val="24"/>
                <w:szCs w:val="24"/>
                <w:lang w:eastAsia="zh-CN"/>
              </w:rPr>
              <w:t>采购人</w:t>
            </w:r>
            <w:r>
              <w:rPr>
                <w:rFonts w:hint="eastAsia" w:ascii="仿宋" w:hAnsi="仿宋" w:eastAsia="仿宋" w:cs="仿宋"/>
                <w:sz w:val="24"/>
                <w:szCs w:val="24"/>
              </w:rPr>
              <w:t>现有追溯区域化消毒供应中心云平台实现全数据无缝对接，确保可完整融合现有系统的全部历史数据。因此而产生的所有相关费用（包括但不限于软件开发、数据接口对接等）均由</w:t>
            </w:r>
            <w:r>
              <w:rPr>
                <w:rFonts w:hint="eastAsia" w:ascii="仿宋" w:hAnsi="仿宋" w:eastAsia="仿宋" w:cs="仿宋"/>
                <w:sz w:val="24"/>
                <w:szCs w:val="24"/>
                <w:lang w:eastAsia="zh-CN"/>
              </w:rPr>
              <w:t>成交</w:t>
            </w:r>
            <w:r>
              <w:rPr>
                <w:rFonts w:hint="eastAsia" w:ascii="仿宋" w:hAnsi="仿宋" w:eastAsia="仿宋" w:cs="仿宋"/>
                <w:sz w:val="24"/>
                <w:szCs w:val="24"/>
              </w:rPr>
              <w:t>单位承担</w:t>
            </w:r>
            <w:r>
              <w:rPr>
                <w:rFonts w:hint="eastAsia" w:ascii="仿宋" w:hAnsi="仿宋" w:eastAsia="仿宋" w:cs="仿宋"/>
                <w:b/>
                <w:bCs/>
                <w:sz w:val="24"/>
                <w:szCs w:val="24"/>
              </w:rPr>
              <w:t>(提供承诺函)</w:t>
            </w:r>
            <w:r>
              <w:rPr>
                <w:rFonts w:hint="eastAsia" w:ascii="仿宋" w:hAnsi="仿宋" w:eastAsia="仿宋" w:cs="仿宋"/>
                <w:sz w:val="24"/>
                <w:szCs w:val="24"/>
              </w:rPr>
              <w:t>；</w:t>
            </w:r>
          </w:p>
        </w:tc>
      </w:tr>
      <w:tr w14:paraId="0C4003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29" w:type="dxa"/>
            <w:vMerge w:val="continue"/>
            <w:shd w:val="clear" w:color="auto" w:fill="auto"/>
            <w:tcMar>
              <w:top w:w="0" w:type="dxa"/>
              <w:left w:w="105" w:type="dxa"/>
              <w:bottom w:w="0" w:type="dxa"/>
              <w:right w:w="105" w:type="dxa"/>
            </w:tcMar>
            <w:vAlign w:val="center"/>
          </w:tcPr>
          <w:p w14:paraId="7C575283">
            <w:pPr>
              <w:keepNext w:val="0"/>
              <w:keepLines w:val="0"/>
              <w:pageBreakBefore w:val="0"/>
              <w:kinsoku/>
              <w:wordWrap/>
              <w:overflowPunct/>
              <w:topLinePunct w:val="0"/>
              <w:autoSpaceDN/>
              <w:bidi w:val="0"/>
              <w:adjustRightInd w:val="0"/>
              <w:snapToGrid w:val="0"/>
              <w:spacing w:beforeAutospacing="0" w:afterAutospacing="0"/>
              <w:textAlignment w:val="auto"/>
              <w:rPr>
                <w:rFonts w:hint="eastAsia" w:ascii="仿宋" w:hAnsi="仿宋" w:eastAsia="仿宋" w:cs="仿宋"/>
                <w:sz w:val="24"/>
                <w:szCs w:val="24"/>
              </w:rPr>
            </w:pPr>
          </w:p>
        </w:tc>
        <w:tc>
          <w:tcPr>
            <w:tcW w:w="1163" w:type="dxa"/>
            <w:vMerge w:val="continue"/>
            <w:shd w:val="clear" w:color="auto" w:fill="auto"/>
            <w:tcMar>
              <w:top w:w="0" w:type="dxa"/>
              <w:left w:w="105" w:type="dxa"/>
              <w:bottom w:w="0" w:type="dxa"/>
              <w:right w:w="105" w:type="dxa"/>
            </w:tcMar>
            <w:vAlign w:val="center"/>
          </w:tcPr>
          <w:p w14:paraId="41CB6D35">
            <w:pPr>
              <w:keepNext w:val="0"/>
              <w:keepLines w:val="0"/>
              <w:pageBreakBefore w:val="0"/>
              <w:kinsoku/>
              <w:wordWrap/>
              <w:overflowPunct/>
              <w:topLinePunct w:val="0"/>
              <w:autoSpaceDN/>
              <w:bidi w:val="0"/>
              <w:adjustRightInd w:val="0"/>
              <w:snapToGrid w:val="0"/>
              <w:spacing w:beforeAutospacing="0" w:afterAutospacing="0"/>
              <w:textAlignment w:val="auto"/>
              <w:rPr>
                <w:rFonts w:hint="eastAsia" w:ascii="仿宋" w:hAnsi="仿宋" w:eastAsia="仿宋" w:cs="仿宋"/>
                <w:sz w:val="24"/>
                <w:szCs w:val="24"/>
              </w:rPr>
            </w:pPr>
          </w:p>
        </w:tc>
        <w:tc>
          <w:tcPr>
            <w:tcW w:w="1364" w:type="dxa"/>
            <w:shd w:val="clear" w:color="auto" w:fill="auto"/>
            <w:tcMar>
              <w:top w:w="0" w:type="dxa"/>
              <w:left w:w="105" w:type="dxa"/>
              <w:bottom w:w="0" w:type="dxa"/>
              <w:right w:w="105" w:type="dxa"/>
            </w:tcMar>
            <w:vAlign w:val="center"/>
          </w:tcPr>
          <w:p w14:paraId="557A8E80">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ind w:left="0" w:firstLine="0"/>
              <w:jc w:val="center"/>
              <w:textAlignment w:val="auto"/>
              <w:rPr>
                <w:rFonts w:hint="eastAsia" w:ascii="仿宋" w:hAnsi="仿宋" w:eastAsia="仿宋" w:cs="仿宋"/>
                <w:sz w:val="24"/>
                <w:szCs w:val="24"/>
              </w:rPr>
            </w:pPr>
            <w:r>
              <w:rPr>
                <w:rFonts w:hint="eastAsia" w:ascii="仿宋" w:hAnsi="仿宋" w:eastAsia="仿宋" w:cs="仿宋"/>
                <w:sz w:val="24"/>
                <w:szCs w:val="24"/>
              </w:rPr>
              <w:t>模块2</w:t>
            </w:r>
          </w:p>
        </w:tc>
        <w:tc>
          <w:tcPr>
            <w:tcW w:w="6592" w:type="dxa"/>
            <w:shd w:val="clear" w:color="auto" w:fill="auto"/>
            <w:tcMar>
              <w:top w:w="0" w:type="dxa"/>
              <w:left w:w="105" w:type="dxa"/>
              <w:bottom w:w="0" w:type="dxa"/>
              <w:right w:w="105" w:type="dxa"/>
            </w:tcMar>
            <w:vAlign w:val="top"/>
          </w:tcPr>
          <w:p w14:paraId="6714A7BB">
            <w:pPr>
              <w:pStyle w:val="14"/>
              <w:keepNext w:val="0"/>
              <w:keepLines w:val="0"/>
              <w:pageBreakBefore w:val="0"/>
              <w:widowControl/>
              <w:suppressLineNumbers w:val="0"/>
              <w:kinsoku/>
              <w:wordWrap/>
              <w:overflowPunct/>
              <w:topLinePunct w:val="0"/>
              <w:autoSpaceDN/>
              <w:bidi w:val="0"/>
              <w:adjustRightInd w:val="0"/>
              <w:snapToGrid w:val="0"/>
              <w:spacing w:beforeAutospacing="0" w:afterAutospacing="0"/>
              <w:ind w:left="0" w:firstLine="0"/>
              <w:textAlignment w:val="auto"/>
              <w:rPr>
                <w:rFonts w:hint="eastAsia" w:ascii="仿宋" w:hAnsi="仿宋" w:eastAsia="仿宋" w:cs="仿宋"/>
                <w:sz w:val="24"/>
                <w:szCs w:val="24"/>
              </w:rPr>
            </w:pPr>
            <w:r>
              <w:rPr>
                <w:rFonts w:hint="eastAsia" w:ascii="仿宋" w:hAnsi="仿宋" w:eastAsia="仿宋" w:cs="仿宋"/>
                <w:sz w:val="24"/>
                <w:szCs w:val="24"/>
              </w:rPr>
              <w:t>CSSD质量管理平台需要保证各区域医疗机构流程可按各自的实际需求进行个性化优化，根据各区域医疗机构的实际业务特点和需求梳理操作流程，开展软件优化、开发工作，确保软件在不违反规范的前提下贴合实际情况，实现操作与软件使用相契合;确保各区域医疗机构流程独立的同时，实现区域内数据100%汇总，达成全局数据实时化、可视化；</w:t>
            </w:r>
          </w:p>
        </w:tc>
      </w:tr>
      <w:tr w14:paraId="43EAF4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29" w:type="dxa"/>
            <w:vMerge w:val="continue"/>
            <w:shd w:val="clear" w:color="auto" w:fill="auto"/>
            <w:tcMar>
              <w:top w:w="0" w:type="dxa"/>
              <w:left w:w="105" w:type="dxa"/>
              <w:bottom w:w="0" w:type="dxa"/>
              <w:right w:w="105" w:type="dxa"/>
            </w:tcMar>
            <w:vAlign w:val="center"/>
          </w:tcPr>
          <w:p w14:paraId="7FFECF37">
            <w:pPr>
              <w:keepNext w:val="0"/>
              <w:keepLines w:val="0"/>
              <w:pageBreakBefore w:val="0"/>
              <w:kinsoku/>
              <w:wordWrap/>
              <w:overflowPunct/>
              <w:topLinePunct w:val="0"/>
              <w:autoSpaceDN/>
              <w:bidi w:val="0"/>
              <w:adjustRightInd w:val="0"/>
              <w:snapToGrid w:val="0"/>
              <w:spacing w:beforeAutospacing="0" w:afterAutospacing="0"/>
              <w:textAlignment w:val="auto"/>
              <w:rPr>
                <w:rFonts w:hint="eastAsia" w:ascii="仿宋" w:hAnsi="仿宋" w:eastAsia="仿宋" w:cs="仿宋"/>
                <w:sz w:val="24"/>
                <w:szCs w:val="24"/>
              </w:rPr>
            </w:pPr>
          </w:p>
        </w:tc>
        <w:tc>
          <w:tcPr>
            <w:tcW w:w="1163" w:type="dxa"/>
            <w:vMerge w:val="continue"/>
            <w:shd w:val="clear" w:color="auto" w:fill="auto"/>
            <w:tcMar>
              <w:top w:w="0" w:type="dxa"/>
              <w:left w:w="105" w:type="dxa"/>
              <w:bottom w:w="0" w:type="dxa"/>
              <w:right w:w="105" w:type="dxa"/>
            </w:tcMar>
            <w:vAlign w:val="center"/>
          </w:tcPr>
          <w:p w14:paraId="54C60B1E">
            <w:pPr>
              <w:keepNext w:val="0"/>
              <w:keepLines w:val="0"/>
              <w:pageBreakBefore w:val="0"/>
              <w:kinsoku/>
              <w:wordWrap/>
              <w:overflowPunct/>
              <w:topLinePunct w:val="0"/>
              <w:autoSpaceDN/>
              <w:bidi w:val="0"/>
              <w:adjustRightInd w:val="0"/>
              <w:snapToGrid w:val="0"/>
              <w:spacing w:beforeAutospacing="0" w:afterAutospacing="0"/>
              <w:textAlignment w:val="auto"/>
              <w:rPr>
                <w:rFonts w:hint="eastAsia" w:ascii="仿宋" w:hAnsi="仿宋" w:eastAsia="仿宋" w:cs="仿宋"/>
                <w:sz w:val="24"/>
                <w:szCs w:val="24"/>
              </w:rPr>
            </w:pPr>
          </w:p>
        </w:tc>
        <w:tc>
          <w:tcPr>
            <w:tcW w:w="1364" w:type="dxa"/>
            <w:shd w:val="clear" w:color="auto" w:fill="auto"/>
            <w:tcMar>
              <w:top w:w="0" w:type="dxa"/>
              <w:left w:w="105" w:type="dxa"/>
              <w:bottom w:w="0" w:type="dxa"/>
              <w:right w:w="105" w:type="dxa"/>
            </w:tcMar>
            <w:vAlign w:val="center"/>
          </w:tcPr>
          <w:p w14:paraId="62DD374A">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ind w:left="0" w:firstLine="0"/>
              <w:jc w:val="center"/>
              <w:textAlignment w:val="auto"/>
              <w:rPr>
                <w:rFonts w:hint="eastAsia" w:ascii="仿宋" w:hAnsi="仿宋" w:eastAsia="仿宋" w:cs="仿宋"/>
                <w:sz w:val="24"/>
                <w:szCs w:val="24"/>
              </w:rPr>
            </w:pPr>
            <w:r>
              <w:rPr>
                <w:rFonts w:hint="eastAsia" w:ascii="仿宋" w:hAnsi="仿宋" w:eastAsia="仿宋" w:cs="仿宋"/>
                <w:sz w:val="24"/>
                <w:szCs w:val="24"/>
              </w:rPr>
              <w:t>模块3</w:t>
            </w:r>
          </w:p>
        </w:tc>
        <w:tc>
          <w:tcPr>
            <w:tcW w:w="6592" w:type="dxa"/>
            <w:shd w:val="clear" w:color="auto" w:fill="auto"/>
            <w:tcMar>
              <w:top w:w="0" w:type="dxa"/>
              <w:left w:w="105" w:type="dxa"/>
              <w:bottom w:w="0" w:type="dxa"/>
              <w:right w:w="105" w:type="dxa"/>
            </w:tcMar>
            <w:vAlign w:val="top"/>
          </w:tcPr>
          <w:p w14:paraId="0EB7EA62">
            <w:pPr>
              <w:pStyle w:val="14"/>
              <w:keepNext w:val="0"/>
              <w:keepLines w:val="0"/>
              <w:pageBreakBefore w:val="0"/>
              <w:widowControl/>
              <w:suppressLineNumbers w:val="0"/>
              <w:kinsoku/>
              <w:wordWrap/>
              <w:overflowPunct/>
              <w:topLinePunct w:val="0"/>
              <w:autoSpaceDN/>
              <w:bidi w:val="0"/>
              <w:adjustRightInd w:val="0"/>
              <w:snapToGrid w:val="0"/>
              <w:spacing w:beforeAutospacing="0" w:afterAutospacing="0"/>
              <w:ind w:left="0" w:firstLine="0"/>
              <w:textAlignment w:val="auto"/>
              <w:rPr>
                <w:rFonts w:hint="eastAsia" w:ascii="仿宋" w:hAnsi="仿宋" w:eastAsia="仿宋" w:cs="仿宋"/>
                <w:sz w:val="24"/>
                <w:szCs w:val="24"/>
              </w:rPr>
            </w:pPr>
            <w:r>
              <w:rPr>
                <w:rFonts w:hint="eastAsia" w:ascii="仿宋" w:hAnsi="仿宋" w:eastAsia="仿宋" w:cs="仿宋"/>
                <w:sz w:val="24"/>
                <w:szCs w:val="24"/>
              </w:rPr>
              <w:t>CSSD质量管理平台需要支持扩展FRID无感收发、出入库，同时兼容现有身份牌；</w:t>
            </w:r>
          </w:p>
        </w:tc>
      </w:tr>
      <w:tr w14:paraId="5C9F9A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29" w:type="dxa"/>
            <w:vMerge w:val="continue"/>
            <w:shd w:val="clear" w:color="auto" w:fill="auto"/>
            <w:tcMar>
              <w:top w:w="0" w:type="dxa"/>
              <w:left w:w="105" w:type="dxa"/>
              <w:bottom w:w="0" w:type="dxa"/>
              <w:right w:w="105" w:type="dxa"/>
            </w:tcMar>
            <w:vAlign w:val="center"/>
          </w:tcPr>
          <w:p w14:paraId="5521EDF5">
            <w:pPr>
              <w:keepNext w:val="0"/>
              <w:keepLines w:val="0"/>
              <w:pageBreakBefore w:val="0"/>
              <w:kinsoku/>
              <w:wordWrap/>
              <w:overflowPunct/>
              <w:topLinePunct w:val="0"/>
              <w:autoSpaceDN/>
              <w:bidi w:val="0"/>
              <w:adjustRightInd w:val="0"/>
              <w:snapToGrid w:val="0"/>
              <w:spacing w:beforeAutospacing="0" w:afterAutospacing="0"/>
              <w:textAlignment w:val="auto"/>
              <w:rPr>
                <w:rFonts w:hint="eastAsia" w:ascii="仿宋" w:hAnsi="仿宋" w:eastAsia="仿宋" w:cs="仿宋"/>
                <w:sz w:val="24"/>
                <w:szCs w:val="24"/>
              </w:rPr>
            </w:pPr>
          </w:p>
        </w:tc>
        <w:tc>
          <w:tcPr>
            <w:tcW w:w="1163" w:type="dxa"/>
            <w:vMerge w:val="continue"/>
            <w:shd w:val="clear" w:color="auto" w:fill="auto"/>
            <w:tcMar>
              <w:top w:w="0" w:type="dxa"/>
              <w:left w:w="105" w:type="dxa"/>
              <w:bottom w:w="0" w:type="dxa"/>
              <w:right w:w="105" w:type="dxa"/>
            </w:tcMar>
            <w:vAlign w:val="center"/>
          </w:tcPr>
          <w:p w14:paraId="5F1A0273">
            <w:pPr>
              <w:keepNext w:val="0"/>
              <w:keepLines w:val="0"/>
              <w:pageBreakBefore w:val="0"/>
              <w:kinsoku/>
              <w:wordWrap/>
              <w:overflowPunct/>
              <w:topLinePunct w:val="0"/>
              <w:autoSpaceDN/>
              <w:bidi w:val="0"/>
              <w:adjustRightInd w:val="0"/>
              <w:snapToGrid w:val="0"/>
              <w:spacing w:beforeAutospacing="0" w:afterAutospacing="0"/>
              <w:textAlignment w:val="auto"/>
              <w:rPr>
                <w:rFonts w:hint="eastAsia" w:ascii="仿宋" w:hAnsi="仿宋" w:eastAsia="仿宋" w:cs="仿宋"/>
                <w:sz w:val="24"/>
                <w:szCs w:val="24"/>
              </w:rPr>
            </w:pPr>
          </w:p>
        </w:tc>
        <w:tc>
          <w:tcPr>
            <w:tcW w:w="1364" w:type="dxa"/>
            <w:shd w:val="clear" w:color="auto" w:fill="auto"/>
            <w:tcMar>
              <w:top w:w="0" w:type="dxa"/>
              <w:left w:w="105" w:type="dxa"/>
              <w:bottom w:w="0" w:type="dxa"/>
              <w:right w:w="105" w:type="dxa"/>
            </w:tcMar>
            <w:vAlign w:val="center"/>
          </w:tcPr>
          <w:p w14:paraId="0DEF9CB1">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ind w:left="0" w:firstLine="0"/>
              <w:jc w:val="center"/>
              <w:textAlignment w:val="auto"/>
              <w:rPr>
                <w:rFonts w:hint="eastAsia" w:ascii="仿宋" w:hAnsi="仿宋" w:eastAsia="仿宋" w:cs="仿宋"/>
                <w:sz w:val="24"/>
                <w:szCs w:val="24"/>
              </w:rPr>
            </w:pPr>
            <w:r>
              <w:rPr>
                <w:rFonts w:hint="eastAsia" w:ascii="仿宋" w:hAnsi="仿宋" w:eastAsia="仿宋" w:cs="仿宋"/>
                <w:sz w:val="24"/>
                <w:szCs w:val="24"/>
              </w:rPr>
              <w:t>模块4</w:t>
            </w:r>
          </w:p>
        </w:tc>
        <w:tc>
          <w:tcPr>
            <w:tcW w:w="6592" w:type="dxa"/>
            <w:shd w:val="clear" w:color="auto" w:fill="auto"/>
            <w:tcMar>
              <w:top w:w="0" w:type="dxa"/>
              <w:left w:w="105" w:type="dxa"/>
              <w:bottom w:w="0" w:type="dxa"/>
              <w:right w:w="105" w:type="dxa"/>
            </w:tcMar>
            <w:vAlign w:val="top"/>
          </w:tcPr>
          <w:p w14:paraId="53206FC1">
            <w:pPr>
              <w:pStyle w:val="14"/>
              <w:keepNext w:val="0"/>
              <w:keepLines w:val="0"/>
              <w:pageBreakBefore w:val="0"/>
              <w:widowControl/>
              <w:suppressLineNumbers w:val="0"/>
              <w:kinsoku/>
              <w:wordWrap/>
              <w:overflowPunct/>
              <w:topLinePunct w:val="0"/>
              <w:autoSpaceDN/>
              <w:bidi w:val="0"/>
              <w:adjustRightInd w:val="0"/>
              <w:snapToGrid w:val="0"/>
              <w:spacing w:beforeAutospacing="0" w:afterAutospacing="0"/>
              <w:ind w:left="0" w:firstLine="0"/>
              <w:textAlignment w:val="auto"/>
              <w:rPr>
                <w:rFonts w:hint="eastAsia" w:ascii="仿宋" w:hAnsi="仿宋" w:eastAsia="仿宋" w:cs="仿宋"/>
                <w:sz w:val="24"/>
                <w:szCs w:val="24"/>
              </w:rPr>
            </w:pPr>
            <w:r>
              <w:rPr>
                <w:rFonts w:hint="eastAsia" w:ascii="仿宋" w:hAnsi="仿宋" w:eastAsia="仿宋" w:cs="仿宋"/>
                <w:sz w:val="24"/>
                <w:szCs w:val="24"/>
              </w:rPr>
              <w:t>CSSD质量管理平台支持消毒供应中心多种场景下的回收登记管理；一键查询已回收任务，修改回收内容，重打回收单据。</w:t>
            </w:r>
          </w:p>
        </w:tc>
      </w:tr>
      <w:tr w14:paraId="349D38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29" w:type="dxa"/>
            <w:vMerge w:val="continue"/>
            <w:shd w:val="clear" w:color="auto" w:fill="auto"/>
            <w:tcMar>
              <w:top w:w="0" w:type="dxa"/>
              <w:left w:w="105" w:type="dxa"/>
              <w:bottom w:w="0" w:type="dxa"/>
              <w:right w:w="105" w:type="dxa"/>
            </w:tcMar>
            <w:vAlign w:val="center"/>
          </w:tcPr>
          <w:p w14:paraId="55605A0E">
            <w:pPr>
              <w:keepNext w:val="0"/>
              <w:keepLines w:val="0"/>
              <w:pageBreakBefore w:val="0"/>
              <w:kinsoku/>
              <w:wordWrap/>
              <w:overflowPunct/>
              <w:topLinePunct w:val="0"/>
              <w:autoSpaceDN/>
              <w:bidi w:val="0"/>
              <w:adjustRightInd w:val="0"/>
              <w:snapToGrid w:val="0"/>
              <w:spacing w:beforeAutospacing="0" w:afterAutospacing="0"/>
              <w:textAlignment w:val="auto"/>
              <w:rPr>
                <w:rFonts w:hint="eastAsia" w:ascii="仿宋" w:hAnsi="仿宋" w:eastAsia="仿宋" w:cs="仿宋"/>
                <w:sz w:val="24"/>
                <w:szCs w:val="24"/>
              </w:rPr>
            </w:pPr>
          </w:p>
        </w:tc>
        <w:tc>
          <w:tcPr>
            <w:tcW w:w="1163" w:type="dxa"/>
            <w:vMerge w:val="continue"/>
            <w:shd w:val="clear" w:color="auto" w:fill="auto"/>
            <w:tcMar>
              <w:top w:w="0" w:type="dxa"/>
              <w:left w:w="105" w:type="dxa"/>
              <w:bottom w:w="0" w:type="dxa"/>
              <w:right w:w="105" w:type="dxa"/>
            </w:tcMar>
            <w:vAlign w:val="center"/>
          </w:tcPr>
          <w:p w14:paraId="2BD79632">
            <w:pPr>
              <w:keepNext w:val="0"/>
              <w:keepLines w:val="0"/>
              <w:pageBreakBefore w:val="0"/>
              <w:kinsoku/>
              <w:wordWrap/>
              <w:overflowPunct/>
              <w:topLinePunct w:val="0"/>
              <w:autoSpaceDN/>
              <w:bidi w:val="0"/>
              <w:adjustRightInd w:val="0"/>
              <w:snapToGrid w:val="0"/>
              <w:spacing w:beforeAutospacing="0" w:afterAutospacing="0"/>
              <w:textAlignment w:val="auto"/>
              <w:rPr>
                <w:rFonts w:hint="eastAsia" w:ascii="仿宋" w:hAnsi="仿宋" w:eastAsia="仿宋" w:cs="仿宋"/>
                <w:sz w:val="24"/>
                <w:szCs w:val="24"/>
              </w:rPr>
            </w:pPr>
          </w:p>
        </w:tc>
        <w:tc>
          <w:tcPr>
            <w:tcW w:w="1364" w:type="dxa"/>
            <w:shd w:val="clear" w:color="auto" w:fill="auto"/>
            <w:tcMar>
              <w:top w:w="0" w:type="dxa"/>
              <w:left w:w="105" w:type="dxa"/>
              <w:bottom w:w="0" w:type="dxa"/>
              <w:right w:w="105" w:type="dxa"/>
            </w:tcMar>
            <w:vAlign w:val="center"/>
          </w:tcPr>
          <w:p w14:paraId="05A08F5D">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ind w:left="0" w:firstLine="0"/>
              <w:jc w:val="center"/>
              <w:textAlignment w:val="auto"/>
              <w:rPr>
                <w:rFonts w:hint="eastAsia" w:ascii="仿宋" w:hAnsi="仿宋" w:eastAsia="仿宋" w:cs="仿宋"/>
                <w:sz w:val="24"/>
                <w:szCs w:val="24"/>
              </w:rPr>
            </w:pPr>
            <w:r>
              <w:rPr>
                <w:rFonts w:hint="eastAsia" w:ascii="仿宋" w:hAnsi="仿宋" w:eastAsia="仿宋" w:cs="仿宋"/>
                <w:sz w:val="24"/>
                <w:szCs w:val="24"/>
              </w:rPr>
              <w:t>模块5</w:t>
            </w:r>
          </w:p>
        </w:tc>
        <w:tc>
          <w:tcPr>
            <w:tcW w:w="6592" w:type="dxa"/>
            <w:shd w:val="clear" w:color="auto" w:fill="auto"/>
            <w:tcMar>
              <w:top w:w="0" w:type="dxa"/>
              <w:left w:w="105" w:type="dxa"/>
              <w:bottom w:w="0" w:type="dxa"/>
              <w:right w:w="105" w:type="dxa"/>
            </w:tcMar>
            <w:vAlign w:val="top"/>
          </w:tcPr>
          <w:p w14:paraId="702951C5">
            <w:pPr>
              <w:pStyle w:val="14"/>
              <w:keepNext w:val="0"/>
              <w:keepLines w:val="0"/>
              <w:pageBreakBefore w:val="0"/>
              <w:widowControl/>
              <w:suppressLineNumbers w:val="0"/>
              <w:kinsoku/>
              <w:wordWrap/>
              <w:overflowPunct/>
              <w:topLinePunct w:val="0"/>
              <w:autoSpaceDN/>
              <w:bidi w:val="0"/>
              <w:adjustRightInd w:val="0"/>
              <w:snapToGrid w:val="0"/>
              <w:spacing w:beforeAutospacing="0" w:afterAutospacing="0"/>
              <w:ind w:left="0" w:firstLine="0"/>
              <w:textAlignment w:val="auto"/>
              <w:rPr>
                <w:rFonts w:hint="eastAsia" w:ascii="仿宋" w:hAnsi="仿宋" w:eastAsia="仿宋" w:cs="仿宋"/>
                <w:sz w:val="24"/>
                <w:szCs w:val="24"/>
              </w:rPr>
            </w:pPr>
            <w:r>
              <w:rPr>
                <w:rFonts w:hint="eastAsia" w:ascii="仿宋" w:hAnsi="仿宋" w:eastAsia="仿宋" w:cs="仿宋"/>
                <w:sz w:val="24"/>
                <w:szCs w:val="24"/>
              </w:rPr>
              <w:t>CSSD质量管理平台支持使用科室提交不同类型申领单（借包、交接、敷料等），消毒供应中心各岗位审核，并依据类型进行后续处理；</w:t>
            </w:r>
          </w:p>
        </w:tc>
      </w:tr>
      <w:tr w14:paraId="42A675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29" w:type="dxa"/>
            <w:vMerge w:val="continue"/>
            <w:shd w:val="clear" w:color="auto" w:fill="auto"/>
            <w:tcMar>
              <w:top w:w="0" w:type="dxa"/>
              <w:left w:w="105" w:type="dxa"/>
              <w:bottom w:w="0" w:type="dxa"/>
              <w:right w:w="105" w:type="dxa"/>
            </w:tcMar>
            <w:vAlign w:val="center"/>
          </w:tcPr>
          <w:p w14:paraId="02A649AA">
            <w:pPr>
              <w:keepNext w:val="0"/>
              <w:keepLines w:val="0"/>
              <w:pageBreakBefore w:val="0"/>
              <w:kinsoku/>
              <w:wordWrap/>
              <w:overflowPunct/>
              <w:topLinePunct w:val="0"/>
              <w:autoSpaceDN/>
              <w:bidi w:val="0"/>
              <w:adjustRightInd w:val="0"/>
              <w:snapToGrid w:val="0"/>
              <w:spacing w:beforeAutospacing="0" w:afterAutospacing="0"/>
              <w:textAlignment w:val="auto"/>
              <w:rPr>
                <w:rFonts w:hint="eastAsia" w:ascii="仿宋" w:hAnsi="仿宋" w:eastAsia="仿宋" w:cs="仿宋"/>
                <w:sz w:val="24"/>
                <w:szCs w:val="24"/>
              </w:rPr>
            </w:pPr>
          </w:p>
        </w:tc>
        <w:tc>
          <w:tcPr>
            <w:tcW w:w="1163" w:type="dxa"/>
            <w:vMerge w:val="continue"/>
            <w:shd w:val="clear" w:color="auto" w:fill="auto"/>
            <w:tcMar>
              <w:top w:w="0" w:type="dxa"/>
              <w:left w:w="105" w:type="dxa"/>
              <w:bottom w:w="0" w:type="dxa"/>
              <w:right w:w="105" w:type="dxa"/>
            </w:tcMar>
            <w:vAlign w:val="center"/>
          </w:tcPr>
          <w:p w14:paraId="6F5C7F13">
            <w:pPr>
              <w:keepNext w:val="0"/>
              <w:keepLines w:val="0"/>
              <w:pageBreakBefore w:val="0"/>
              <w:kinsoku/>
              <w:wordWrap/>
              <w:overflowPunct/>
              <w:topLinePunct w:val="0"/>
              <w:autoSpaceDN/>
              <w:bidi w:val="0"/>
              <w:adjustRightInd w:val="0"/>
              <w:snapToGrid w:val="0"/>
              <w:spacing w:beforeAutospacing="0" w:afterAutospacing="0"/>
              <w:textAlignment w:val="auto"/>
              <w:rPr>
                <w:rFonts w:hint="eastAsia" w:ascii="仿宋" w:hAnsi="仿宋" w:eastAsia="仿宋" w:cs="仿宋"/>
                <w:sz w:val="24"/>
                <w:szCs w:val="24"/>
              </w:rPr>
            </w:pPr>
          </w:p>
        </w:tc>
        <w:tc>
          <w:tcPr>
            <w:tcW w:w="1364" w:type="dxa"/>
            <w:shd w:val="clear" w:color="auto" w:fill="auto"/>
            <w:tcMar>
              <w:top w:w="0" w:type="dxa"/>
              <w:left w:w="105" w:type="dxa"/>
              <w:bottom w:w="0" w:type="dxa"/>
              <w:right w:w="105" w:type="dxa"/>
            </w:tcMar>
            <w:vAlign w:val="center"/>
          </w:tcPr>
          <w:p w14:paraId="40A42528">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ind w:left="0" w:firstLine="0"/>
              <w:jc w:val="center"/>
              <w:textAlignment w:val="auto"/>
              <w:rPr>
                <w:rFonts w:hint="eastAsia" w:ascii="仿宋" w:hAnsi="仿宋" w:eastAsia="仿宋" w:cs="仿宋"/>
                <w:sz w:val="24"/>
                <w:szCs w:val="24"/>
              </w:rPr>
            </w:pPr>
            <w:r>
              <w:rPr>
                <w:rFonts w:hint="eastAsia" w:ascii="仿宋" w:hAnsi="仿宋" w:eastAsia="仿宋" w:cs="仿宋"/>
                <w:sz w:val="24"/>
                <w:szCs w:val="24"/>
              </w:rPr>
              <w:t>模块6</w:t>
            </w:r>
          </w:p>
        </w:tc>
        <w:tc>
          <w:tcPr>
            <w:tcW w:w="6592" w:type="dxa"/>
            <w:shd w:val="clear" w:color="auto" w:fill="auto"/>
            <w:tcMar>
              <w:top w:w="0" w:type="dxa"/>
              <w:left w:w="105" w:type="dxa"/>
              <w:bottom w:w="0" w:type="dxa"/>
              <w:right w:w="105" w:type="dxa"/>
            </w:tcMar>
            <w:vAlign w:val="top"/>
          </w:tcPr>
          <w:p w14:paraId="1806A455">
            <w:pPr>
              <w:pStyle w:val="14"/>
              <w:keepNext w:val="0"/>
              <w:keepLines w:val="0"/>
              <w:pageBreakBefore w:val="0"/>
              <w:widowControl/>
              <w:suppressLineNumbers w:val="0"/>
              <w:kinsoku/>
              <w:wordWrap/>
              <w:overflowPunct/>
              <w:topLinePunct w:val="0"/>
              <w:autoSpaceDN/>
              <w:bidi w:val="0"/>
              <w:adjustRightInd w:val="0"/>
              <w:snapToGrid w:val="0"/>
              <w:spacing w:beforeAutospacing="0" w:afterAutospacing="0"/>
              <w:ind w:left="0" w:firstLine="0"/>
              <w:textAlignment w:val="auto"/>
              <w:rPr>
                <w:rFonts w:hint="eastAsia" w:ascii="仿宋" w:hAnsi="仿宋" w:eastAsia="仿宋" w:cs="仿宋"/>
                <w:sz w:val="24"/>
                <w:szCs w:val="24"/>
                <w:lang w:eastAsia="zh-CN"/>
              </w:rPr>
            </w:pPr>
            <w:r>
              <w:rPr>
                <w:rFonts w:hint="eastAsia" w:ascii="仿宋" w:hAnsi="仿宋" w:eastAsia="仿宋" w:cs="仿宋"/>
                <w:sz w:val="24"/>
                <w:szCs w:val="24"/>
              </w:rPr>
              <w:t>CSSD质量管理平台支持单据识别快速回收模式，实现对标准回收单据进行自动扫描识别与数据采集，并可对错漏信息进行修正</w:t>
            </w:r>
            <w:r>
              <w:rPr>
                <w:rFonts w:hint="eastAsia" w:ascii="仿宋" w:hAnsi="仿宋" w:eastAsia="仿宋" w:cs="仿宋"/>
                <w:sz w:val="24"/>
                <w:szCs w:val="24"/>
                <w:lang w:eastAsia="zh-CN"/>
              </w:rPr>
              <w:t>；</w:t>
            </w:r>
          </w:p>
        </w:tc>
      </w:tr>
      <w:tr w14:paraId="2A94ED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29" w:type="dxa"/>
            <w:vMerge w:val="continue"/>
            <w:shd w:val="clear" w:color="auto" w:fill="auto"/>
            <w:tcMar>
              <w:top w:w="0" w:type="dxa"/>
              <w:left w:w="105" w:type="dxa"/>
              <w:bottom w:w="0" w:type="dxa"/>
              <w:right w:w="105" w:type="dxa"/>
            </w:tcMar>
            <w:vAlign w:val="center"/>
          </w:tcPr>
          <w:p w14:paraId="3AC456A8">
            <w:pPr>
              <w:keepNext w:val="0"/>
              <w:keepLines w:val="0"/>
              <w:pageBreakBefore w:val="0"/>
              <w:kinsoku/>
              <w:wordWrap/>
              <w:overflowPunct/>
              <w:topLinePunct w:val="0"/>
              <w:autoSpaceDN/>
              <w:bidi w:val="0"/>
              <w:adjustRightInd w:val="0"/>
              <w:snapToGrid w:val="0"/>
              <w:spacing w:beforeAutospacing="0" w:afterAutospacing="0"/>
              <w:textAlignment w:val="auto"/>
              <w:rPr>
                <w:rFonts w:hint="eastAsia" w:ascii="仿宋" w:hAnsi="仿宋" w:eastAsia="仿宋" w:cs="仿宋"/>
                <w:sz w:val="24"/>
                <w:szCs w:val="24"/>
              </w:rPr>
            </w:pPr>
          </w:p>
        </w:tc>
        <w:tc>
          <w:tcPr>
            <w:tcW w:w="1163" w:type="dxa"/>
            <w:vMerge w:val="continue"/>
            <w:shd w:val="clear" w:color="auto" w:fill="auto"/>
            <w:tcMar>
              <w:top w:w="0" w:type="dxa"/>
              <w:left w:w="105" w:type="dxa"/>
              <w:bottom w:w="0" w:type="dxa"/>
              <w:right w:w="105" w:type="dxa"/>
            </w:tcMar>
            <w:vAlign w:val="center"/>
          </w:tcPr>
          <w:p w14:paraId="25348236">
            <w:pPr>
              <w:keepNext w:val="0"/>
              <w:keepLines w:val="0"/>
              <w:pageBreakBefore w:val="0"/>
              <w:kinsoku/>
              <w:wordWrap/>
              <w:overflowPunct/>
              <w:topLinePunct w:val="0"/>
              <w:autoSpaceDN/>
              <w:bidi w:val="0"/>
              <w:adjustRightInd w:val="0"/>
              <w:snapToGrid w:val="0"/>
              <w:spacing w:beforeAutospacing="0" w:afterAutospacing="0"/>
              <w:textAlignment w:val="auto"/>
              <w:rPr>
                <w:rFonts w:hint="eastAsia" w:ascii="仿宋" w:hAnsi="仿宋" w:eastAsia="仿宋" w:cs="仿宋"/>
                <w:sz w:val="24"/>
                <w:szCs w:val="24"/>
              </w:rPr>
            </w:pPr>
          </w:p>
        </w:tc>
        <w:tc>
          <w:tcPr>
            <w:tcW w:w="1364" w:type="dxa"/>
            <w:shd w:val="clear" w:color="auto" w:fill="auto"/>
            <w:tcMar>
              <w:top w:w="0" w:type="dxa"/>
              <w:left w:w="105" w:type="dxa"/>
              <w:bottom w:w="0" w:type="dxa"/>
              <w:right w:w="105" w:type="dxa"/>
            </w:tcMar>
            <w:vAlign w:val="center"/>
          </w:tcPr>
          <w:p w14:paraId="000C9C0B">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ind w:left="0" w:firstLine="0"/>
              <w:jc w:val="center"/>
              <w:textAlignment w:val="auto"/>
              <w:rPr>
                <w:rFonts w:hint="eastAsia" w:ascii="仿宋" w:hAnsi="仿宋" w:eastAsia="仿宋" w:cs="仿宋"/>
                <w:sz w:val="24"/>
                <w:szCs w:val="24"/>
              </w:rPr>
            </w:pPr>
            <w:r>
              <w:rPr>
                <w:rFonts w:hint="eastAsia" w:ascii="仿宋" w:hAnsi="仿宋" w:eastAsia="仿宋" w:cs="仿宋"/>
                <w:sz w:val="24"/>
                <w:szCs w:val="24"/>
              </w:rPr>
              <w:t>模块7</w:t>
            </w:r>
          </w:p>
        </w:tc>
        <w:tc>
          <w:tcPr>
            <w:tcW w:w="6592" w:type="dxa"/>
            <w:shd w:val="clear" w:color="auto" w:fill="auto"/>
            <w:tcMar>
              <w:top w:w="0" w:type="dxa"/>
              <w:left w:w="105" w:type="dxa"/>
              <w:bottom w:w="0" w:type="dxa"/>
              <w:right w:w="105" w:type="dxa"/>
            </w:tcMar>
            <w:vAlign w:val="top"/>
          </w:tcPr>
          <w:p w14:paraId="3A2543B2">
            <w:pPr>
              <w:pStyle w:val="14"/>
              <w:keepNext w:val="0"/>
              <w:keepLines w:val="0"/>
              <w:pageBreakBefore w:val="0"/>
              <w:widowControl/>
              <w:suppressLineNumbers w:val="0"/>
              <w:kinsoku/>
              <w:wordWrap/>
              <w:overflowPunct/>
              <w:topLinePunct w:val="0"/>
              <w:autoSpaceDN/>
              <w:bidi w:val="0"/>
              <w:adjustRightInd w:val="0"/>
              <w:snapToGrid w:val="0"/>
              <w:spacing w:beforeAutospacing="0" w:afterAutospacing="0"/>
              <w:ind w:left="0" w:firstLine="0"/>
              <w:textAlignment w:val="auto"/>
              <w:rPr>
                <w:rFonts w:hint="eastAsia" w:ascii="仿宋" w:hAnsi="仿宋" w:eastAsia="仿宋" w:cs="仿宋"/>
                <w:sz w:val="24"/>
                <w:szCs w:val="24"/>
              </w:rPr>
            </w:pPr>
            <w:r>
              <w:rPr>
                <w:rFonts w:hint="eastAsia" w:ascii="仿宋" w:hAnsi="仿宋" w:eastAsia="仿宋" w:cs="仿宋"/>
                <w:sz w:val="24"/>
                <w:szCs w:val="24"/>
              </w:rPr>
              <w:t>CSSD质量管理平台支持预处理登记，预处理汇总后交接回收；</w:t>
            </w:r>
          </w:p>
        </w:tc>
      </w:tr>
      <w:tr w14:paraId="4E2D27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29" w:type="dxa"/>
            <w:vMerge w:val="continue"/>
            <w:shd w:val="clear" w:color="auto" w:fill="auto"/>
            <w:tcMar>
              <w:top w:w="0" w:type="dxa"/>
              <w:left w:w="105" w:type="dxa"/>
              <w:bottom w:w="0" w:type="dxa"/>
              <w:right w:w="105" w:type="dxa"/>
            </w:tcMar>
            <w:vAlign w:val="center"/>
          </w:tcPr>
          <w:p w14:paraId="492FEE52">
            <w:pPr>
              <w:keepNext w:val="0"/>
              <w:keepLines w:val="0"/>
              <w:pageBreakBefore w:val="0"/>
              <w:kinsoku/>
              <w:wordWrap/>
              <w:overflowPunct/>
              <w:topLinePunct w:val="0"/>
              <w:autoSpaceDN/>
              <w:bidi w:val="0"/>
              <w:adjustRightInd w:val="0"/>
              <w:snapToGrid w:val="0"/>
              <w:spacing w:beforeAutospacing="0" w:afterAutospacing="0"/>
              <w:textAlignment w:val="auto"/>
              <w:rPr>
                <w:rFonts w:hint="eastAsia" w:ascii="仿宋" w:hAnsi="仿宋" w:eastAsia="仿宋" w:cs="仿宋"/>
                <w:sz w:val="24"/>
                <w:szCs w:val="24"/>
              </w:rPr>
            </w:pPr>
          </w:p>
        </w:tc>
        <w:tc>
          <w:tcPr>
            <w:tcW w:w="1163" w:type="dxa"/>
            <w:vMerge w:val="continue"/>
            <w:shd w:val="clear" w:color="auto" w:fill="auto"/>
            <w:tcMar>
              <w:top w:w="0" w:type="dxa"/>
              <w:left w:w="105" w:type="dxa"/>
              <w:bottom w:w="0" w:type="dxa"/>
              <w:right w:w="105" w:type="dxa"/>
            </w:tcMar>
            <w:vAlign w:val="center"/>
          </w:tcPr>
          <w:p w14:paraId="2EB58A59">
            <w:pPr>
              <w:keepNext w:val="0"/>
              <w:keepLines w:val="0"/>
              <w:pageBreakBefore w:val="0"/>
              <w:kinsoku/>
              <w:wordWrap/>
              <w:overflowPunct/>
              <w:topLinePunct w:val="0"/>
              <w:autoSpaceDN/>
              <w:bidi w:val="0"/>
              <w:adjustRightInd w:val="0"/>
              <w:snapToGrid w:val="0"/>
              <w:spacing w:beforeAutospacing="0" w:afterAutospacing="0"/>
              <w:textAlignment w:val="auto"/>
              <w:rPr>
                <w:rFonts w:hint="eastAsia" w:ascii="仿宋" w:hAnsi="仿宋" w:eastAsia="仿宋" w:cs="仿宋"/>
                <w:sz w:val="24"/>
                <w:szCs w:val="24"/>
              </w:rPr>
            </w:pPr>
          </w:p>
        </w:tc>
        <w:tc>
          <w:tcPr>
            <w:tcW w:w="1364" w:type="dxa"/>
            <w:shd w:val="clear" w:color="auto" w:fill="auto"/>
            <w:tcMar>
              <w:top w:w="0" w:type="dxa"/>
              <w:left w:w="105" w:type="dxa"/>
              <w:bottom w:w="0" w:type="dxa"/>
              <w:right w:w="105" w:type="dxa"/>
            </w:tcMar>
            <w:vAlign w:val="center"/>
          </w:tcPr>
          <w:p w14:paraId="0D132EC5">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ind w:left="0" w:firstLine="0"/>
              <w:jc w:val="center"/>
              <w:textAlignment w:val="auto"/>
              <w:rPr>
                <w:rFonts w:hint="eastAsia" w:ascii="仿宋" w:hAnsi="仿宋" w:eastAsia="仿宋" w:cs="仿宋"/>
                <w:sz w:val="24"/>
                <w:szCs w:val="24"/>
              </w:rPr>
            </w:pPr>
            <w:r>
              <w:rPr>
                <w:rFonts w:hint="eastAsia" w:ascii="仿宋" w:hAnsi="仿宋" w:eastAsia="仿宋" w:cs="仿宋"/>
                <w:sz w:val="24"/>
                <w:szCs w:val="24"/>
              </w:rPr>
              <w:t>模块8</w:t>
            </w:r>
          </w:p>
        </w:tc>
        <w:tc>
          <w:tcPr>
            <w:tcW w:w="6592" w:type="dxa"/>
            <w:shd w:val="clear" w:color="auto" w:fill="auto"/>
            <w:tcMar>
              <w:top w:w="0" w:type="dxa"/>
              <w:left w:w="105" w:type="dxa"/>
              <w:bottom w:w="0" w:type="dxa"/>
              <w:right w:w="105" w:type="dxa"/>
            </w:tcMar>
            <w:vAlign w:val="top"/>
          </w:tcPr>
          <w:p w14:paraId="52728DF7">
            <w:pPr>
              <w:pStyle w:val="14"/>
              <w:keepNext w:val="0"/>
              <w:keepLines w:val="0"/>
              <w:pageBreakBefore w:val="0"/>
              <w:widowControl/>
              <w:suppressLineNumbers w:val="0"/>
              <w:kinsoku/>
              <w:wordWrap/>
              <w:overflowPunct/>
              <w:topLinePunct w:val="0"/>
              <w:autoSpaceDN/>
              <w:bidi w:val="0"/>
              <w:adjustRightInd w:val="0"/>
              <w:snapToGrid w:val="0"/>
              <w:spacing w:beforeAutospacing="0" w:afterAutospacing="0"/>
              <w:ind w:left="0" w:firstLine="0"/>
              <w:textAlignment w:val="auto"/>
              <w:rPr>
                <w:rFonts w:hint="eastAsia" w:ascii="仿宋" w:hAnsi="仿宋" w:eastAsia="仿宋" w:cs="仿宋"/>
                <w:sz w:val="24"/>
                <w:szCs w:val="24"/>
              </w:rPr>
            </w:pPr>
            <w:r>
              <w:rPr>
                <w:rFonts w:hint="eastAsia" w:ascii="仿宋" w:hAnsi="仿宋" w:eastAsia="仿宋" w:cs="仿宋"/>
                <w:sz w:val="24"/>
                <w:szCs w:val="24"/>
              </w:rPr>
              <w:t>CSSD质量管理平台支持器械商自行填写外来器械登记详细信息，包含供应商相关信息、医生相关信息、病人相关信息、器械包明细信息等；可单独设置包标签</w:t>
            </w:r>
            <w:r>
              <w:rPr>
                <w:rFonts w:hint="eastAsia" w:ascii="仿宋" w:hAnsi="仿宋" w:eastAsia="仿宋" w:cs="仿宋"/>
                <w:sz w:val="24"/>
                <w:szCs w:val="24"/>
                <w:lang w:eastAsia="zh-CN"/>
              </w:rPr>
              <w:t>模板</w:t>
            </w:r>
            <w:r>
              <w:rPr>
                <w:rFonts w:hint="eastAsia" w:ascii="仿宋" w:hAnsi="仿宋" w:eastAsia="仿宋" w:cs="仿宋"/>
                <w:sz w:val="24"/>
                <w:szCs w:val="24"/>
              </w:rPr>
              <w:t>和回收单模板。</w:t>
            </w:r>
          </w:p>
        </w:tc>
      </w:tr>
      <w:tr w14:paraId="027A82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29" w:type="dxa"/>
            <w:vMerge w:val="continue"/>
            <w:shd w:val="clear" w:color="auto" w:fill="auto"/>
            <w:tcMar>
              <w:top w:w="0" w:type="dxa"/>
              <w:left w:w="105" w:type="dxa"/>
              <w:bottom w:w="0" w:type="dxa"/>
              <w:right w:w="105" w:type="dxa"/>
            </w:tcMar>
            <w:vAlign w:val="center"/>
          </w:tcPr>
          <w:p w14:paraId="15AA6184">
            <w:pPr>
              <w:keepNext w:val="0"/>
              <w:keepLines w:val="0"/>
              <w:pageBreakBefore w:val="0"/>
              <w:kinsoku/>
              <w:wordWrap/>
              <w:overflowPunct/>
              <w:topLinePunct w:val="0"/>
              <w:autoSpaceDN/>
              <w:bidi w:val="0"/>
              <w:adjustRightInd w:val="0"/>
              <w:snapToGrid w:val="0"/>
              <w:spacing w:beforeAutospacing="0" w:afterAutospacing="0"/>
              <w:textAlignment w:val="auto"/>
              <w:rPr>
                <w:rFonts w:hint="eastAsia" w:ascii="仿宋" w:hAnsi="仿宋" w:eastAsia="仿宋" w:cs="仿宋"/>
                <w:sz w:val="24"/>
                <w:szCs w:val="24"/>
              </w:rPr>
            </w:pPr>
          </w:p>
        </w:tc>
        <w:tc>
          <w:tcPr>
            <w:tcW w:w="1163" w:type="dxa"/>
            <w:vMerge w:val="continue"/>
            <w:shd w:val="clear" w:color="auto" w:fill="auto"/>
            <w:tcMar>
              <w:top w:w="0" w:type="dxa"/>
              <w:left w:w="105" w:type="dxa"/>
              <w:bottom w:w="0" w:type="dxa"/>
              <w:right w:w="105" w:type="dxa"/>
            </w:tcMar>
            <w:vAlign w:val="center"/>
          </w:tcPr>
          <w:p w14:paraId="64D0FABB">
            <w:pPr>
              <w:keepNext w:val="0"/>
              <w:keepLines w:val="0"/>
              <w:pageBreakBefore w:val="0"/>
              <w:kinsoku/>
              <w:wordWrap/>
              <w:overflowPunct/>
              <w:topLinePunct w:val="0"/>
              <w:autoSpaceDN/>
              <w:bidi w:val="0"/>
              <w:adjustRightInd w:val="0"/>
              <w:snapToGrid w:val="0"/>
              <w:spacing w:beforeAutospacing="0" w:afterAutospacing="0"/>
              <w:textAlignment w:val="auto"/>
              <w:rPr>
                <w:rFonts w:hint="eastAsia" w:ascii="仿宋" w:hAnsi="仿宋" w:eastAsia="仿宋" w:cs="仿宋"/>
                <w:sz w:val="24"/>
                <w:szCs w:val="24"/>
              </w:rPr>
            </w:pPr>
          </w:p>
        </w:tc>
        <w:tc>
          <w:tcPr>
            <w:tcW w:w="1364" w:type="dxa"/>
            <w:shd w:val="clear" w:color="auto" w:fill="auto"/>
            <w:tcMar>
              <w:top w:w="0" w:type="dxa"/>
              <w:left w:w="105" w:type="dxa"/>
              <w:bottom w:w="0" w:type="dxa"/>
              <w:right w:w="105" w:type="dxa"/>
            </w:tcMar>
            <w:vAlign w:val="center"/>
          </w:tcPr>
          <w:p w14:paraId="2FEA53EE">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ind w:left="0" w:firstLine="0"/>
              <w:jc w:val="center"/>
              <w:textAlignment w:val="auto"/>
              <w:rPr>
                <w:rFonts w:hint="eastAsia" w:ascii="仿宋" w:hAnsi="仿宋" w:eastAsia="仿宋" w:cs="仿宋"/>
                <w:sz w:val="24"/>
                <w:szCs w:val="24"/>
              </w:rPr>
            </w:pPr>
            <w:r>
              <w:rPr>
                <w:rFonts w:hint="eastAsia" w:ascii="仿宋" w:hAnsi="仿宋" w:eastAsia="仿宋" w:cs="仿宋"/>
                <w:sz w:val="24"/>
                <w:szCs w:val="24"/>
              </w:rPr>
              <w:t>模块9</w:t>
            </w:r>
          </w:p>
        </w:tc>
        <w:tc>
          <w:tcPr>
            <w:tcW w:w="6592" w:type="dxa"/>
            <w:shd w:val="clear" w:color="auto" w:fill="auto"/>
            <w:tcMar>
              <w:top w:w="0" w:type="dxa"/>
              <w:left w:w="105" w:type="dxa"/>
              <w:bottom w:w="0" w:type="dxa"/>
              <w:right w:w="105" w:type="dxa"/>
            </w:tcMar>
            <w:vAlign w:val="top"/>
          </w:tcPr>
          <w:p w14:paraId="792ED620">
            <w:pPr>
              <w:pStyle w:val="14"/>
              <w:keepNext w:val="0"/>
              <w:keepLines w:val="0"/>
              <w:pageBreakBefore w:val="0"/>
              <w:widowControl/>
              <w:suppressLineNumbers w:val="0"/>
              <w:kinsoku/>
              <w:wordWrap/>
              <w:overflowPunct/>
              <w:topLinePunct w:val="0"/>
              <w:autoSpaceDN/>
              <w:bidi w:val="0"/>
              <w:adjustRightInd w:val="0"/>
              <w:snapToGrid w:val="0"/>
              <w:spacing w:beforeAutospacing="0" w:afterAutospacing="0"/>
              <w:ind w:left="0" w:firstLine="0"/>
              <w:textAlignment w:val="auto"/>
              <w:rPr>
                <w:rFonts w:hint="eastAsia" w:ascii="仿宋" w:hAnsi="仿宋" w:eastAsia="仿宋" w:cs="仿宋"/>
                <w:sz w:val="24"/>
                <w:szCs w:val="24"/>
              </w:rPr>
            </w:pPr>
            <w:r>
              <w:rPr>
                <w:rFonts w:hint="eastAsia" w:ascii="仿宋" w:hAnsi="仿宋" w:eastAsia="仿宋" w:cs="仿宋"/>
                <w:sz w:val="24"/>
                <w:szCs w:val="24"/>
              </w:rPr>
              <w:t>CSSD质量管理平台支持外来器械使用后返洗、归还或继续使用标识，根据标识执行归还或继续使用，并留有记录可追溯；</w:t>
            </w:r>
          </w:p>
        </w:tc>
      </w:tr>
      <w:tr w14:paraId="3C7C67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29" w:type="dxa"/>
            <w:vMerge w:val="continue"/>
            <w:shd w:val="clear" w:color="auto" w:fill="auto"/>
            <w:tcMar>
              <w:top w:w="0" w:type="dxa"/>
              <w:left w:w="105" w:type="dxa"/>
              <w:bottom w:w="0" w:type="dxa"/>
              <w:right w:w="105" w:type="dxa"/>
            </w:tcMar>
            <w:vAlign w:val="center"/>
          </w:tcPr>
          <w:p w14:paraId="680CD14D">
            <w:pPr>
              <w:keepNext w:val="0"/>
              <w:keepLines w:val="0"/>
              <w:pageBreakBefore w:val="0"/>
              <w:kinsoku/>
              <w:wordWrap/>
              <w:overflowPunct/>
              <w:topLinePunct w:val="0"/>
              <w:autoSpaceDN/>
              <w:bidi w:val="0"/>
              <w:adjustRightInd w:val="0"/>
              <w:snapToGrid w:val="0"/>
              <w:spacing w:beforeAutospacing="0" w:afterAutospacing="0"/>
              <w:textAlignment w:val="auto"/>
              <w:rPr>
                <w:rFonts w:hint="eastAsia" w:ascii="仿宋" w:hAnsi="仿宋" w:eastAsia="仿宋" w:cs="仿宋"/>
                <w:sz w:val="24"/>
                <w:szCs w:val="24"/>
              </w:rPr>
            </w:pPr>
          </w:p>
        </w:tc>
        <w:tc>
          <w:tcPr>
            <w:tcW w:w="1163" w:type="dxa"/>
            <w:vMerge w:val="continue"/>
            <w:shd w:val="clear" w:color="auto" w:fill="auto"/>
            <w:tcMar>
              <w:top w:w="0" w:type="dxa"/>
              <w:left w:w="105" w:type="dxa"/>
              <w:bottom w:w="0" w:type="dxa"/>
              <w:right w:w="105" w:type="dxa"/>
            </w:tcMar>
            <w:vAlign w:val="center"/>
          </w:tcPr>
          <w:p w14:paraId="08D41D0C">
            <w:pPr>
              <w:keepNext w:val="0"/>
              <w:keepLines w:val="0"/>
              <w:pageBreakBefore w:val="0"/>
              <w:kinsoku/>
              <w:wordWrap/>
              <w:overflowPunct/>
              <w:topLinePunct w:val="0"/>
              <w:autoSpaceDN/>
              <w:bidi w:val="0"/>
              <w:adjustRightInd w:val="0"/>
              <w:snapToGrid w:val="0"/>
              <w:spacing w:beforeAutospacing="0" w:afterAutospacing="0"/>
              <w:textAlignment w:val="auto"/>
              <w:rPr>
                <w:rFonts w:hint="eastAsia" w:ascii="仿宋" w:hAnsi="仿宋" w:eastAsia="仿宋" w:cs="仿宋"/>
                <w:sz w:val="24"/>
                <w:szCs w:val="24"/>
              </w:rPr>
            </w:pPr>
          </w:p>
        </w:tc>
        <w:tc>
          <w:tcPr>
            <w:tcW w:w="1364" w:type="dxa"/>
            <w:shd w:val="clear" w:color="auto" w:fill="auto"/>
            <w:tcMar>
              <w:top w:w="0" w:type="dxa"/>
              <w:left w:w="105" w:type="dxa"/>
              <w:bottom w:w="0" w:type="dxa"/>
              <w:right w:w="105" w:type="dxa"/>
            </w:tcMar>
            <w:vAlign w:val="center"/>
          </w:tcPr>
          <w:p w14:paraId="141AA8DD">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ind w:left="0" w:firstLine="0"/>
              <w:jc w:val="center"/>
              <w:textAlignment w:val="auto"/>
              <w:rPr>
                <w:rFonts w:hint="eastAsia" w:ascii="仿宋" w:hAnsi="仿宋" w:eastAsia="仿宋" w:cs="仿宋"/>
                <w:sz w:val="24"/>
                <w:szCs w:val="24"/>
              </w:rPr>
            </w:pPr>
            <w:r>
              <w:rPr>
                <w:rFonts w:hint="eastAsia" w:ascii="仿宋" w:hAnsi="仿宋" w:eastAsia="仿宋" w:cs="仿宋"/>
                <w:sz w:val="24"/>
                <w:szCs w:val="24"/>
              </w:rPr>
              <w:t>模块10</w:t>
            </w:r>
          </w:p>
        </w:tc>
        <w:tc>
          <w:tcPr>
            <w:tcW w:w="6592" w:type="dxa"/>
            <w:shd w:val="clear" w:color="auto" w:fill="auto"/>
            <w:tcMar>
              <w:top w:w="0" w:type="dxa"/>
              <w:left w:w="105" w:type="dxa"/>
              <w:bottom w:w="0" w:type="dxa"/>
              <w:right w:w="105" w:type="dxa"/>
            </w:tcMar>
            <w:vAlign w:val="top"/>
          </w:tcPr>
          <w:p w14:paraId="20C8E478">
            <w:pPr>
              <w:pStyle w:val="14"/>
              <w:keepNext w:val="0"/>
              <w:keepLines w:val="0"/>
              <w:pageBreakBefore w:val="0"/>
              <w:widowControl/>
              <w:suppressLineNumbers w:val="0"/>
              <w:kinsoku/>
              <w:wordWrap/>
              <w:overflowPunct/>
              <w:topLinePunct w:val="0"/>
              <w:autoSpaceDN/>
              <w:bidi w:val="0"/>
              <w:adjustRightInd w:val="0"/>
              <w:snapToGrid w:val="0"/>
              <w:spacing w:beforeAutospacing="0" w:afterAutospacing="0"/>
              <w:ind w:left="0" w:firstLine="0"/>
              <w:textAlignment w:val="auto"/>
              <w:rPr>
                <w:rFonts w:hint="eastAsia" w:ascii="仿宋" w:hAnsi="仿宋" w:eastAsia="仿宋" w:cs="仿宋"/>
                <w:sz w:val="24"/>
                <w:szCs w:val="24"/>
              </w:rPr>
            </w:pPr>
            <w:r>
              <w:rPr>
                <w:rFonts w:hint="eastAsia" w:ascii="仿宋" w:hAnsi="仿宋" w:eastAsia="仿宋" w:cs="仿宋"/>
                <w:sz w:val="24"/>
                <w:szCs w:val="24"/>
              </w:rPr>
              <w:t>CSSD质量管理平台支持外来器械首次灭菌验证登记，首次回收温压仪检测记录；</w:t>
            </w:r>
          </w:p>
        </w:tc>
      </w:tr>
      <w:tr w14:paraId="1BA704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29" w:type="dxa"/>
            <w:vMerge w:val="continue"/>
            <w:shd w:val="clear" w:color="auto" w:fill="auto"/>
            <w:tcMar>
              <w:top w:w="0" w:type="dxa"/>
              <w:left w:w="105" w:type="dxa"/>
              <w:bottom w:w="0" w:type="dxa"/>
              <w:right w:w="105" w:type="dxa"/>
            </w:tcMar>
            <w:vAlign w:val="center"/>
          </w:tcPr>
          <w:p w14:paraId="1B1A6E6B">
            <w:pPr>
              <w:keepNext w:val="0"/>
              <w:keepLines w:val="0"/>
              <w:pageBreakBefore w:val="0"/>
              <w:kinsoku/>
              <w:wordWrap/>
              <w:overflowPunct/>
              <w:topLinePunct w:val="0"/>
              <w:autoSpaceDN/>
              <w:bidi w:val="0"/>
              <w:adjustRightInd w:val="0"/>
              <w:snapToGrid w:val="0"/>
              <w:spacing w:beforeAutospacing="0" w:afterAutospacing="0"/>
              <w:textAlignment w:val="auto"/>
              <w:rPr>
                <w:rFonts w:hint="eastAsia" w:ascii="仿宋" w:hAnsi="仿宋" w:eastAsia="仿宋" w:cs="仿宋"/>
                <w:sz w:val="24"/>
                <w:szCs w:val="24"/>
              </w:rPr>
            </w:pPr>
          </w:p>
        </w:tc>
        <w:tc>
          <w:tcPr>
            <w:tcW w:w="1163" w:type="dxa"/>
            <w:vMerge w:val="continue"/>
            <w:shd w:val="clear" w:color="auto" w:fill="auto"/>
            <w:tcMar>
              <w:top w:w="0" w:type="dxa"/>
              <w:left w:w="105" w:type="dxa"/>
              <w:bottom w:w="0" w:type="dxa"/>
              <w:right w:w="105" w:type="dxa"/>
            </w:tcMar>
            <w:vAlign w:val="center"/>
          </w:tcPr>
          <w:p w14:paraId="539FD55D">
            <w:pPr>
              <w:keepNext w:val="0"/>
              <w:keepLines w:val="0"/>
              <w:pageBreakBefore w:val="0"/>
              <w:kinsoku/>
              <w:wordWrap/>
              <w:overflowPunct/>
              <w:topLinePunct w:val="0"/>
              <w:autoSpaceDN/>
              <w:bidi w:val="0"/>
              <w:adjustRightInd w:val="0"/>
              <w:snapToGrid w:val="0"/>
              <w:spacing w:beforeAutospacing="0" w:afterAutospacing="0"/>
              <w:textAlignment w:val="auto"/>
              <w:rPr>
                <w:rFonts w:hint="eastAsia" w:ascii="仿宋" w:hAnsi="仿宋" w:eastAsia="仿宋" w:cs="仿宋"/>
                <w:sz w:val="24"/>
                <w:szCs w:val="24"/>
              </w:rPr>
            </w:pPr>
          </w:p>
        </w:tc>
        <w:tc>
          <w:tcPr>
            <w:tcW w:w="1364" w:type="dxa"/>
            <w:shd w:val="clear" w:color="auto" w:fill="auto"/>
            <w:tcMar>
              <w:top w:w="0" w:type="dxa"/>
              <w:left w:w="105" w:type="dxa"/>
              <w:bottom w:w="0" w:type="dxa"/>
              <w:right w:w="105" w:type="dxa"/>
            </w:tcMar>
            <w:vAlign w:val="center"/>
          </w:tcPr>
          <w:p w14:paraId="173940FE">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ind w:left="0" w:firstLine="0"/>
              <w:jc w:val="center"/>
              <w:textAlignment w:val="auto"/>
              <w:rPr>
                <w:rFonts w:hint="eastAsia" w:ascii="仿宋" w:hAnsi="仿宋" w:eastAsia="仿宋" w:cs="仿宋"/>
                <w:sz w:val="24"/>
                <w:szCs w:val="24"/>
              </w:rPr>
            </w:pPr>
            <w:r>
              <w:rPr>
                <w:rFonts w:hint="eastAsia" w:ascii="仿宋" w:hAnsi="仿宋" w:eastAsia="仿宋" w:cs="仿宋"/>
                <w:sz w:val="24"/>
                <w:szCs w:val="24"/>
              </w:rPr>
              <w:t>模块11</w:t>
            </w:r>
          </w:p>
        </w:tc>
        <w:tc>
          <w:tcPr>
            <w:tcW w:w="6592" w:type="dxa"/>
            <w:shd w:val="clear" w:color="auto" w:fill="auto"/>
            <w:tcMar>
              <w:top w:w="0" w:type="dxa"/>
              <w:left w:w="105" w:type="dxa"/>
              <w:bottom w:w="0" w:type="dxa"/>
              <w:right w:w="105" w:type="dxa"/>
            </w:tcMar>
            <w:vAlign w:val="top"/>
          </w:tcPr>
          <w:p w14:paraId="38F4E476">
            <w:pPr>
              <w:pStyle w:val="14"/>
              <w:keepNext w:val="0"/>
              <w:keepLines w:val="0"/>
              <w:pageBreakBefore w:val="0"/>
              <w:widowControl/>
              <w:suppressLineNumbers w:val="0"/>
              <w:kinsoku/>
              <w:wordWrap/>
              <w:overflowPunct/>
              <w:topLinePunct w:val="0"/>
              <w:autoSpaceDN/>
              <w:bidi w:val="0"/>
              <w:adjustRightInd w:val="0"/>
              <w:snapToGrid w:val="0"/>
              <w:spacing w:beforeAutospacing="0" w:afterAutospacing="0"/>
              <w:ind w:left="0" w:firstLine="0"/>
              <w:textAlignment w:val="auto"/>
              <w:rPr>
                <w:rFonts w:hint="eastAsia" w:ascii="仿宋" w:hAnsi="仿宋" w:eastAsia="仿宋" w:cs="仿宋"/>
                <w:sz w:val="24"/>
                <w:szCs w:val="24"/>
              </w:rPr>
            </w:pPr>
            <w:r>
              <w:rPr>
                <w:rFonts w:hint="eastAsia" w:ascii="仿宋" w:hAnsi="仿宋" w:eastAsia="仿宋" w:cs="仿宋"/>
                <w:sz w:val="24"/>
                <w:szCs w:val="24"/>
              </w:rPr>
              <w:t>CSSD质量管理平台支持清洗流程的信息化管理并登记预清洗人信息；一键查询已清洗任务，修改清洗内容，重打清洗单据。</w:t>
            </w:r>
          </w:p>
        </w:tc>
      </w:tr>
      <w:tr w14:paraId="37D865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29" w:type="dxa"/>
            <w:vMerge w:val="continue"/>
            <w:shd w:val="clear" w:color="auto" w:fill="auto"/>
            <w:tcMar>
              <w:top w:w="0" w:type="dxa"/>
              <w:left w:w="105" w:type="dxa"/>
              <w:bottom w:w="0" w:type="dxa"/>
              <w:right w:w="105" w:type="dxa"/>
            </w:tcMar>
            <w:vAlign w:val="center"/>
          </w:tcPr>
          <w:p w14:paraId="228D0B87">
            <w:pPr>
              <w:keepNext w:val="0"/>
              <w:keepLines w:val="0"/>
              <w:pageBreakBefore w:val="0"/>
              <w:kinsoku/>
              <w:wordWrap/>
              <w:overflowPunct/>
              <w:topLinePunct w:val="0"/>
              <w:autoSpaceDN/>
              <w:bidi w:val="0"/>
              <w:adjustRightInd w:val="0"/>
              <w:snapToGrid w:val="0"/>
              <w:spacing w:beforeAutospacing="0" w:afterAutospacing="0"/>
              <w:textAlignment w:val="auto"/>
              <w:rPr>
                <w:rFonts w:hint="eastAsia" w:ascii="仿宋" w:hAnsi="仿宋" w:eastAsia="仿宋" w:cs="仿宋"/>
                <w:sz w:val="24"/>
                <w:szCs w:val="24"/>
              </w:rPr>
            </w:pPr>
          </w:p>
        </w:tc>
        <w:tc>
          <w:tcPr>
            <w:tcW w:w="1163" w:type="dxa"/>
            <w:vMerge w:val="continue"/>
            <w:shd w:val="clear" w:color="auto" w:fill="auto"/>
            <w:tcMar>
              <w:top w:w="0" w:type="dxa"/>
              <w:left w:w="105" w:type="dxa"/>
              <w:bottom w:w="0" w:type="dxa"/>
              <w:right w:w="105" w:type="dxa"/>
            </w:tcMar>
            <w:vAlign w:val="center"/>
          </w:tcPr>
          <w:p w14:paraId="3B125DF3">
            <w:pPr>
              <w:keepNext w:val="0"/>
              <w:keepLines w:val="0"/>
              <w:pageBreakBefore w:val="0"/>
              <w:kinsoku/>
              <w:wordWrap/>
              <w:overflowPunct/>
              <w:topLinePunct w:val="0"/>
              <w:autoSpaceDN/>
              <w:bidi w:val="0"/>
              <w:adjustRightInd w:val="0"/>
              <w:snapToGrid w:val="0"/>
              <w:spacing w:beforeAutospacing="0" w:afterAutospacing="0"/>
              <w:textAlignment w:val="auto"/>
              <w:rPr>
                <w:rFonts w:hint="eastAsia" w:ascii="仿宋" w:hAnsi="仿宋" w:eastAsia="仿宋" w:cs="仿宋"/>
                <w:sz w:val="24"/>
                <w:szCs w:val="24"/>
              </w:rPr>
            </w:pPr>
          </w:p>
        </w:tc>
        <w:tc>
          <w:tcPr>
            <w:tcW w:w="1364" w:type="dxa"/>
            <w:shd w:val="clear" w:color="auto" w:fill="auto"/>
            <w:tcMar>
              <w:top w:w="0" w:type="dxa"/>
              <w:left w:w="105" w:type="dxa"/>
              <w:bottom w:w="0" w:type="dxa"/>
              <w:right w:w="105" w:type="dxa"/>
            </w:tcMar>
            <w:vAlign w:val="center"/>
          </w:tcPr>
          <w:p w14:paraId="7A9BEF29">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ind w:left="0" w:firstLine="0"/>
              <w:jc w:val="center"/>
              <w:textAlignment w:val="auto"/>
              <w:rPr>
                <w:rFonts w:hint="eastAsia" w:ascii="仿宋" w:hAnsi="仿宋" w:eastAsia="仿宋" w:cs="仿宋"/>
                <w:sz w:val="24"/>
                <w:szCs w:val="24"/>
              </w:rPr>
            </w:pPr>
            <w:r>
              <w:rPr>
                <w:rFonts w:hint="eastAsia" w:ascii="仿宋" w:hAnsi="仿宋" w:eastAsia="仿宋" w:cs="仿宋"/>
                <w:sz w:val="24"/>
                <w:szCs w:val="24"/>
              </w:rPr>
              <w:t>模块12</w:t>
            </w:r>
          </w:p>
        </w:tc>
        <w:tc>
          <w:tcPr>
            <w:tcW w:w="6592" w:type="dxa"/>
            <w:shd w:val="clear" w:color="auto" w:fill="auto"/>
            <w:tcMar>
              <w:top w:w="0" w:type="dxa"/>
              <w:left w:w="105" w:type="dxa"/>
              <w:bottom w:w="0" w:type="dxa"/>
              <w:right w:w="105" w:type="dxa"/>
            </w:tcMar>
            <w:vAlign w:val="top"/>
          </w:tcPr>
          <w:p w14:paraId="1BFE096F">
            <w:pPr>
              <w:pStyle w:val="14"/>
              <w:keepNext w:val="0"/>
              <w:keepLines w:val="0"/>
              <w:pageBreakBefore w:val="0"/>
              <w:widowControl/>
              <w:suppressLineNumbers w:val="0"/>
              <w:kinsoku/>
              <w:wordWrap/>
              <w:overflowPunct/>
              <w:topLinePunct w:val="0"/>
              <w:autoSpaceDN/>
              <w:bidi w:val="0"/>
              <w:adjustRightInd w:val="0"/>
              <w:snapToGrid w:val="0"/>
              <w:spacing w:beforeAutospacing="0" w:afterAutospacing="0"/>
              <w:ind w:left="0" w:firstLine="0"/>
              <w:textAlignment w:val="auto"/>
              <w:rPr>
                <w:rFonts w:hint="eastAsia" w:ascii="仿宋" w:hAnsi="仿宋" w:eastAsia="仿宋" w:cs="仿宋"/>
                <w:sz w:val="24"/>
                <w:szCs w:val="24"/>
              </w:rPr>
            </w:pPr>
            <w:r>
              <w:rPr>
                <w:rFonts w:hint="eastAsia" w:ascii="仿宋" w:hAnsi="仿宋" w:eastAsia="仿宋" w:cs="仿宋"/>
                <w:sz w:val="24"/>
                <w:szCs w:val="24"/>
              </w:rPr>
              <w:t>CSSD质量管理平台支持指定器械使用指定的清洗程序，避免程序不对使得器械损坏。</w:t>
            </w:r>
          </w:p>
        </w:tc>
      </w:tr>
      <w:tr w14:paraId="3E282D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29" w:type="dxa"/>
            <w:vMerge w:val="continue"/>
            <w:shd w:val="clear" w:color="auto" w:fill="auto"/>
            <w:tcMar>
              <w:top w:w="0" w:type="dxa"/>
              <w:left w:w="105" w:type="dxa"/>
              <w:bottom w:w="0" w:type="dxa"/>
              <w:right w:w="105" w:type="dxa"/>
            </w:tcMar>
            <w:vAlign w:val="center"/>
          </w:tcPr>
          <w:p w14:paraId="288DD27F">
            <w:pPr>
              <w:keepNext w:val="0"/>
              <w:keepLines w:val="0"/>
              <w:pageBreakBefore w:val="0"/>
              <w:kinsoku/>
              <w:wordWrap/>
              <w:overflowPunct/>
              <w:topLinePunct w:val="0"/>
              <w:autoSpaceDN/>
              <w:bidi w:val="0"/>
              <w:adjustRightInd w:val="0"/>
              <w:snapToGrid w:val="0"/>
              <w:spacing w:beforeAutospacing="0" w:afterAutospacing="0"/>
              <w:textAlignment w:val="auto"/>
              <w:rPr>
                <w:rFonts w:hint="eastAsia" w:ascii="仿宋" w:hAnsi="仿宋" w:eastAsia="仿宋" w:cs="仿宋"/>
                <w:sz w:val="24"/>
                <w:szCs w:val="24"/>
              </w:rPr>
            </w:pPr>
          </w:p>
        </w:tc>
        <w:tc>
          <w:tcPr>
            <w:tcW w:w="1163" w:type="dxa"/>
            <w:vMerge w:val="continue"/>
            <w:shd w:val="clear" w:color="auto" w:fill="auto"/>
            <w:tcMar>
              <w:top w:w="0" w:type="dxa"/>
              <w:left w:w="105" w:type="dxa"/>
              <w:bottom w:w="0" w:type="dxa"/>
              <w:right w:w="105" w:type="dxa"/>
            </w:tcMar>
            <w:vAlign w:val="center"/>
          </w:tcPr>
          <w:p w14:paraId="494A566F">
            <w:pPr>
              <w:keepNext w:val="0"/>
              <w:keepLines w:val="0"/>
              <w:pageBreakBefore w:val="0"/>
              <w:kinsoku/>
              <w:wordWrap/>
              <w:overflowPunct/>
              <w:topLinePunct w:val="0"/>
              <w:autoSpaceDN/>
              <w:bidi w:val="0"/>
              <w:adjustRightInd w:val="0"/>
              <w:snapToGrid w:val="0"/>
              <w:spacing w:beforeAutospacing="0" w:afterAutospacing="0"/>
              <w:textAlignment w:val="auto"/>
              <w:rPr>
                <w:rFonts w:hint="eastAsia" w:ascii="仿宋" w:hAnsi="仿宋" w:eastAsia="仿宋" w:cs="仿宋"/>
                <w:sz w:val="24"/>
                <w:szCs w:val="24"/>
              </w:rPr>
            </w:pPr>
          </w:p>
        </w:tc>
        <w:tc>
          <w:tcPr>
            <w:tcW w:w="1364" w:type="dxa"/>
            <w:shd w:val="clear" w:color="auto" w:fill="auto"/>
            <w:tcMar>
              <w:top w:w="0" w:type="dxa"/>
              <w:left w:w="105" w:type="dxa"/>
              <w:bottom w:w="0" w:type="dxa"/>
              <w:right w:w="105" w:type="dxa"/>
            </w:tcMar>
            <w:vAlign w:val="center"/>
          </w:tcPr>
          <w:p w14:paraId="56584B8E">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ind w:left="0" w:firstLine="0"/>
              <w:jc w:val="center"/>
              <w:textAlignment w:val="auto"/>
              <w:rPr>
                <w:rFonts w:hint="eastAsia" w:ascii="仿宋" w:hAnsi="仿宋" w:eastAsia="仿宋" w:cs="仿宋"/>
                <w:sz w:val="24"/>
                <w:szCs w:val="24"/>
              </w:rPr>
            </w:pPr>
            <w:r>
              <w:rPr>
                <w:rFonts w:hint="eastAsia" w:ascii="仿宋" w:hAnsi="仿宋" w:eastAsia="仿宋" w:cs="仿宋"/>
                <w:sz w:val="24"/>
                <w:szCs w:val="24"/>
              </w:rPr>
              <w:t>模块13</w:t>
            </w:r>
          </w:p>
        </w:tc>
        <w:tc>
          <w:tcPr>
            <w:tcW w:w="6592" w:type="dxa"/>
            <w:shd w:val="clear" w:color="auto" w:fill="auto"/>
            <w:tcMar>
              <w:top w:w="0" w:type="dxa"/>
              <w:left w:w="105" w:type="dxa"/>
              <w:bottom w:w="0" w:type="dxa"/>
              <w:right w:w="105" w:type="dxa"/>
            </w:tcMar>
            <w:vAlign w:val="top"/>
          </w:tcPr>
          <w:p w14:paraId="6890C86F">
            <w:pPr>
              <w:pStyle w:val="14"/>
              <w:keepNext w:val="0"/>
              <w:keepLines w:val="0"/>
              <w:pageBreakBefore w:val="0"/>
              <w:widowControl/>
              <w:suppressLineNumbers w:val="0"/>
              <w:kinsoku/>
              <w:wordWrap/>
              <w:overflowPunct/>
              <w:topLinePunct w:val="0"/>
              <w:autoSpaceDN/>
              <w:bidi w:val="0"/>
              <w:adjustRightInd w:val="0"/>
              <w:snapToGrid w:val="0"/>
              <w:spacing w:beforeAutospacing="0" w:afterAutospacing="0"/>
              <w:ind w:left="0" w:firstLine="0"/>
              <w:textAlignment w:val="auto"/>
              <w:rPr>
                <w:rFonts w:hint="eastAsia" w:ascii="仿宋" w:hAnsi="仿宋" w:eastAsia="仿宋" w:cs="仿宋"/>
                <w:sz w:val="24"/>
                <w:szCs w:val="24"/>
              </w:rPr>
            </w:pPr>
            <w:r>
              <w:rPr>
                <w:rFonts w:hint="eastAsia" w:ascii="仿宋" w:hAnsi="仿宋" w:eastAsia="仿宋" w:cs="仿宋"/>
                <w:sz w:val="24"/>
                <w:szCs w:val="24"/>
              </w:rPr>
              <w:t>CSSD质量管理平台支持配包、审核、包装三岗位记录，可针对单个包设置配包时临时修改外包装和包内卡放入提醒；</w:t>
            </w:r>
          </w:p>
        </w:tc>
      </w:tr>
      <w:tr w14:paraId="692172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29" w:type="dxa"/>
            <w:vMerge w:val="continue"/>
            <w:shd w:val="clear" w:color="auto" w:fill="auto"/>
            <w:tcMar>
              <w:top w:w="0" w:type="dxa"/>
              <w:left w:w="105" w:type="dxa"/>
              <w:bottom w:w="0" w:type="dxa"/>
              <w:right w:w="105" w:type="dxa"/>
            </w:tcMar>
            <w:vAlign w:val="center"/>
          </w:tcPr>
          <w:p w14:paraId="3961F946">
            <w:pPr>
              <w:keepNext w:val="0"/>
              <w:keepLines w:val="0"/>
              <w:pageBreakBefore w:val="0"/>
              <w:kinsoku/>
              <w:wordWrap/>
              <w:overflowPunct/>
              <w:topLinePunct w:val="0"/>
              <w:autoSpaceDN/>
              <w:bidi w:val="0"/>
              <w:adjustRightInd w:val="0"/>
              <w:snapToGrid w:val="0"/>
              <w:spacing w:beforeAutospacing="0" w:afterAutospacing="0"/>
              <w:textAlignment w:val="auto"/>
              <w:rPr>
                <w:rFonts w:hint="eastAsia" w:ascii="仿宋" w:hAnsi="仿宋" w:eastAsia="仿宋" w:cs="仿宋"/>
                <w:sz w:val="24"/>
                <w:szCs w:val="24"/>
              </w:rPr>
            </w:pPr>
          </w:p>
        </w:tc>
        <w:tc>
          <w:tcPr>
            <w:tcW w:w="1163" w:type="dxa"/>
            <w:vMerge w:val="continue"/>
            <w:shd w:val="clear" w:color="auto" w:fill="auto"/>
            <w:tcMar>
              <w:top w:w="0" w:type="dxa"/>
              <w:left w:w="105" w:type="dxa"/>
              <w:bottom w:w="0" w:type="dxa"/>
              <w:right w:w="105" w:type="dxa"/>
            </w:tcMar>
            <w:vAlign w:val="center"/>
          </w:tcPr>
          <w:p w14:paraId="4C9F9C37">
            <w:pPr>
              <w:keepNext w:val="0"/>
              <w:keepLines w:val="0"/>
              <w:pageBreakBefore w:val="0"/>
              <w:kinsoku/>
              <w:wordWrap/>
              <w:overflowPunct/>
              <w:topLinePunct w:val="0"/>
              <w:autoSpaceDN/>
              <w:bidi w:val="0"/>
              <w:adjustRightInd w:val="0"/>
              <w:snapToGrid w:val="0"/>
              <w:spacing w:beforeAutospacing="0" w:afterAutospacing="0"/>
              <w:textAlignment w:val="auto"/>
              <w:rPr>
                <w:rFonts w:hint="eastAsia" w:ascii="仿宋" w:hAnsi="仿宋" w:eastAsia="仿宋" w:cs="仿宋"/>
                <w:sz w:val="24"/>
                <w:szCs w:val="24"/>
              </w:rPr>
            </w:pPr>
          </w:p>
        </w:tc>
        <w:tc>
          <w:tcPr>
            <w:tcW w:w="1364" w:type="dxa"/>
            <w:shd w:val="clear" w:color="auto" w:fill="auto"/>
            <w:tcMar>
              <w:top w:w="0" w:type="dxa"/>
              <w:left w:w="105" w:type="dxa"/>
              <w:bottom w:w="0" w:type="dxa"/>
              <w:right w:w="105" w:type="dxa"/>
            </w:tcMar>
            <w:vAlign w:val="center"/>
          </w:tcPr>
          <w:p w14:paraId="7A7E04EC">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ind w:left="0" w:firstLine="0"/>
              <w:jc w:val="center"/>
              <w:textAlignment w:val="auto"/>
              <w:rPr>
                <w:rFonts w:hint="eastAsia" w:ascii="仿宋" w:hAnsi="仿宋" w:eastAsia="仿宋" w:cs="仿宋"/>
                <w:sz w:val="24"/>
                <w:szCs w:val="24"/>
              </w:rPr>
            </w:pPr>
            <w:r>
              <w:rPr>
                <w:rFonts w:hint="eastAsia" w:ascii="仿宋" w:hAnsi="仿宋" w:eastAsia="仿宋" w:cs="仿宋"/>
                <w:sz w:val="24"/>
                <w:szCs w:val="24"/>
              </w:rPr>
              <w:t>模块14</w:t>
            </w:r>
          </w:p>
        </w:tc>
        <w:tc>
          <w:tcPr>
            <w:tcW w:w="6592" w:type="dxa"/>
            <w:shd w:val="clear" w:color="auto" w:fill="auto"/>
            <w:tcMar>
              <w:top w:w="0" w:type="dxa"/>
              <w:left w:w="105" w:type="dxa"/>
              <w:bottom w:w="0" w:type="dxa"/>
              <w:right w:w="105" w:type="dxa"/>
            </w:tcMar>
            <w:vAlign w:val="top"/>
          </w:tcPr>
          <w:p w14:paraId="4C3DD364">
            <w:pPr>
              <w:pStyle w:val="14"/>
              <w:keepNext w:val="0"/>
              <w:keepLines w:val="0"/>
              <w:pageBreakBefore w:val="0"/>
              <w:widowControl/>
              <w:suppressLineNumbers w:val="0"/>
              <w:kinsoku/>
              <w:wordWrap/>
              <w:overflowPunct/>
              <w:topLinePunct w:val="0"/>
              <w:autoSpaceDN/>
              <w:bidi w:val="0"/>
              <w:adjustRightInd w:val="0"/>
              <w:snapToGrid w:val="0"/>
              <w:spacing w:beforeAutospacing="0" w:afterAutospacing="0"/>
              <w:ind w:left="0" w:firstLine="0"/>
              <w:textAlignment w:val="auto"/>
              <w:rPr>
                <w:rFonts w:hint="eastAsia" w:ascii="仿宋" w:hAnsi="仿宋" w:eastAsia="仿宋" w:cs="仿宋"/>
                <w:sz w:val="24"/>
                <w:szCs w:val="24"/>
              </w:rPr>
            </w:pPr>
            <w:r>
              <w:rPr>
                <w:rFonts w:hint="eastAsia" w:ascii="仿宋" w:hAnsi="仿宋" w:eastAsia="仿宋" w:cs="仿宋"/>
                <w:sz w:val="24"/>
                <w:szCs w:val="24"/>
              </w:rPr>
              <w:t>CSSD质量管理平台支持BD测试和化学PCD包内外唯一码登记；</w:t>
            </w:r>
          </w:p>
        </w:tc>
      </w:tr>
      <w:tr w14:paraId="1291DE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29" w:type="dxa"/>
            <w:vMerge w:val="continue"/>
            <w:shd w:val="clear" w:color="auto" w:fill="auto"/>
            <w:tcMar>
              <w:top w:w="0" w:type="dxa"/>
              <w:left w:w="105" w:type="dxa"/>
              <w:bottom w:w="0" w:type="dxa"/>
              <w:right w:w="105" w:type="dxa"/>
            </w:tcMar>
            <w:vAlign w:val="center"/>
          </w:tcPr>
          <w:p w14:paraId="1B4A48B1">
            <w:pPr>
              <w:keepNext w:val="0"/>
              <w:keepLines w:val="0"/>
              <w:pageBreakBefore w:val="0"/>
              <w:kinsoku/>
              <w:wordWrap/>
              <w:overflowPunct/>
              <w:topLinePunct w:val="0"/>
              <w:autoSpaceDN/>
              <w:bidi w:val="0"/>
              <w:adjustRightInd w:val="0"/>
              <w:snapToGrid w:val="0"/>
              <w:spacing w:beforeAutospacing="0" w:afterAutospacing="0"/>
              <w:textAlignment w:val="auto"/>
              <w:rPr>
                <w:rFonts w:hint="eastAsia" w:ascii="仿宋" w:hAnsi="仿宋" w:eastAsia="仿宋" w:cs="仿宋"/>
                <w:sz w:val="24"/>
                <w:szCs w:val="24"/>
              </w:rPr>
            </w:pPr>
          </w:p>
        </w:tc>
        <w:tc>
          <w:tcPr>
            <w:tcW w:w="1163" w:type="dxa"/>
            <w:vMerge w:val="continue"/>
            <w:shd w:val="clear" w:color="auto" w:fill="auto"/>
            <w:tcMar>
              <w:top w:w="0" w:type="dxa"/>
              <w:left w:w="105" w:type="dxa"/>
              <w:bottom w:w="0" w:type="dxa"/>
              <w:right w:w="105" w:type="dxa"/>
            </w:tcMar>
            <w:vAlign w:val="center"/>
          </w:tcPr>
          <w:p w14:paraId="4C295E71">
            <w:pPr>
              <w:keepNext w:val="0"/>
              <w:keepLines w:val="0"/>
              <w:pageBreakBefore w:val="0"/>
              <w:kinsoku/>
              <w:wordWrap/>
              <w:overflowPunct/>
              <w:topLinePunct w:val="0"/>
              <w:autoSpaceDN/>
              <w:bidi w:val="0"/>
              <w:adjustRightInd w:val="0"/>
              <w:snapToGrid w:val="0"/>
              <w:spacing w:beforeAutospacing="0" w:afterAutospacing="0"/>
              <w:textAlignment w:val="auto"/>
              <w:rPr>
                <w:rFonts w:hint="eastAsia" w:ascii="仿宋" w:hAnsi="仿宋" w:eastAsia="仿宋" w:cs="仿宋"/>
                <w:sz w:val="24"/>
                <w:szCs w:val="24"/>
              </w:rPr>
            </w:pPr>
          </w:p>
        </w:tc>
        <w:tc>
          <w:tcPr>
            <w:tcW w:w="1364" w:type="dxa"/>
            <w:shd w:val="clear" w:color="auto" w:fill="auto"/>
            <w:tcMar>
              <w:top w:w="0" w:type="dxa"/>
              <w:left w:w="105" w:type="dxa"/>
              <w:bottom w:w="0" w:type="dxa"/>
              <w:right w:w="105" w:type="dxa"/>
            </w:tcMar>
            <w:vAlign w:val="center"/>
          </w:tcPr>
          <w:p w14:paraId="16688387">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ind w:left="0" w:firstLine="0"/>
              <w:jc w:val="center"/>
              <w:textAlignment w:val="auto"/>
              <w:rPr>
                <w:rFonts w:hint="eastAsia" w:ascii="仿宋" w:hAnsi="仿宋" w:eastAsia="仿宋" w:cs="仿宋"/>
                <w:sz w:val="24"/>
                <w:szCs w:val="24"/>
              </w:rPr>
            </w:pPr>
            <w:r>
              <w:rPr>
                <w:rFonts w:hint="eastAsia" w:ascii="仿宋" w:hAnsi="仿宋" w:eastAsia="仿宋" w:cs="仿宋"/>
                <w:sz w:val="24"/>
                <w:szCs w:val="24"/>
              </w:rPr>
              <w:t>模块15</w:t>
            </w:r>
          </w:p>
        </w:tc>
        <w:tc>
          <w:tcPr>
            <w:tcW w:w="6592" w:type="dxa"/>
            <w:shd w:val="clear" w:color="auto" w:fill="auto"/>
            <w:tcMar>
              <w:top w:w="0" w:type="dxa"/>
              <w:left w:w="105" w:type="dxa"/>
              <w:bottom w:w="0" w:type="dxa"/>
              <w:right w:w="105" w:type="dxa"/>
            </w:tcMar>
            <w:vAlign w:val="top"/>
          </w:tcPr>
          <w:p w14:paraId="2580AD75">
            <w:pPr>
              <w:pStyle w:val="14"/>
              <w:keepNext w:val="0"/>
              <w:keepLines w:val="0"/>
              <w:pageBreakBefore w:val="0"/>
              <w:widowControl/>
              <w:suppressLineNumbers w:val="0"/>
              <w:kinsoku/>
              <w:wordWrap/>
              <w:overflowPunct/>
              <w:topLinePunct w:val="0"/>
              <w:autoSpaceDN/>
              <w:bidi w:val="0"/>
              <w:adjustRightInd w:val="0"/>
              <w:snapToGrid w:val="0"/>
              <w:spacing w:beforeAutospacing="0" w:afterAutospacing="0"/>
              <w:ind w:left="0" w:firstLine="0"/>
              <w:textAlignment w:val="auto"/>
              <w:rPr>
                <w:rFonts w:hint="eastAsia" w:ascii="仿宋" w:hAnsi="仿宋" w:eastAsia="仿宋" w:cs="仿宋"/>
                <w:sz w:val="24"/>
                <w:szCs w:val="24"/>
              </w:rPr>
            </w:pPr>
            <w:r>
              <w:rPr>
                <w:rFonts w:hint="eastAsia" w:ascii="仿宋" w:hAnsi="仿宋" w:eastAsia="仿宋" w:cs="仿宋"/>
                <w:sz w:val="24"/>
                <w:szCs w:val="24"/>
              </w:rPr>
              <w:t>CSSD质量管理平台支持空锅运载测试登记（如大修或移机后的三次BD和三次生物以及日常的BD、测漏、锅体检测等）；</w:t>
            </w:r>
          </w:p>
        </w:tc>
      </w:tr>
      <w:tr w14:paraId="352885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29" w:type="dxa"/>
            <w:vMerge w:val="continue"/>
            <w:shd w:val="clear" w:color="auto" w:fill="auto"/>
            <w:tcMar>
              <w:top w:w="0" w:type="dxa"/>
              <w:left w:w="105" w:type="dxa"/>
              <w:bottom w:w="0" w:type="dxa"/>
              <w:right w:w="105" w:type="dxa"/>
            </w:tcMar>
            <w:vAlign w:val="center"/>
          </w:tcPr>
          <w:p w14:paraId="6D7A33C8">
            <w:pPr>
              <w:keepNext w:val="0"/>
              <w:keepLines w:val="0"/>
              <w:pageBreakBefore w:val="0"/>
              <w:kinsoku/>
              <w:wordWrap/>
              <w:overflowPunct/>
              <w:topLinePunct w:val="0"/>
              <w:autoSpaceDN/>
              <w:bidi w:val="0"/>
              <w:adjustRightInd w:val="0"/>
              <w:snapToGrid w:val="0"/>
              <w:spacing w:beforeAutospacing="0" w:afterAutospacing="0"/>
              <w:textAlignment w:val="auto"/>
              <w:rPr>
                <w:rFonts w:hint="eastAsia" w:ascii="仿宋" w:hAnsi="仿宋" w:eastAsia="仿宋" w:cs="仿宋"/>
                <w:sz w:val="24"/>
                <w:szCs w:val="24"/>
              </w:rPr>
            </w:pPr>
          </w:p>
        </w:tc>
        <w:tc>
          <w:tcPr>
            <w:tcW w:w="1163" w:type="dxa"/>
            <w:vMerge w:val="continue"/>
            <w:shd w:val="clear" w:color="auto" w:fill="auto"/>
            <w:tcMar>
              <w:top w:w="0" w:type="dxa"/>
              <w:left w:w="105" w:type="dxa"/>
              <w:bottom w:w="0" w:type="dxa"/>
              <w:right w:w="105" w:type="dxa"/>
            </w:tcMar>
            <w:vAlign w:val="center"/>
          </w:tcPr>
          <w:p w14:paraId="2D064DB7">
            <w:pPr>
              <w:keepNext w:val="0"/>
              <w:keepLines w:val="0"/>
              <w:pageBreakBefore w:val="0"/>
              <w:kinsoku/>
              <w:wordWrap/>
              <w:overflowPunct/>
              <w:topLinePunct w:val="0"/>
              <w:autoSpaceDN/>
              <w:bidi w:val="0"/>
              <w:adjustRightInd w:val="0"/>
              <w:snapToGrid w:val="0"/>
              <w:spacing w:beforeAutospacing="0" w:afterAutospacing="0"/>
              <w:textAlignment w:val="auto"/>
              <w:rPr>
                <w:rFonts w:hint="eastAsia" w:ascii="仿宋" w:hAnsi="仿宋" w:eastAsia="仿宋" w:cs="仿宋"/>
                <w:sz w:val="24"/>
                <w:szCs w:val="24"/>
              </w:rPr>
            </w:pPr>
          </w:p>
        </w:tc>
        <w:tc>
          <w:tcPr>
            <w:tcW w:w="1364" w:type="dxa"/>
            <w:shd w:val="clear" w:color="auto" w:fill="auto"/>
            <w:tcMar>
              <w:top w:w="0" w:type="dxa"/>
              <w:left w:w="105" w:type="dxa"/>
              <w:bottom w:w="0" w:type="dxa"/>
              <w:right w:w="105" w:type="dxa"/>
            </w:tcMar>
            <w:vAlign w:val="center"/>
          </w:tcPr>
          <w:p w14:paraId="1F9A6BDB">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ind w:left="0" w:firstLine="0"/>
              <w:jc w:val="center"/>
              <w:textAlignment w:val="auto"/>
              <w:rPr>
                <w:rFonts w:hint="eastAsia" w:ascii="仿宋" w:hAnsi="仿宋" w:eastAsia="仿宋" w:cs="仿宋"/>
                <w:sz w:val="24"/>
                <w:szCs w:val="24"/>
              </w:rPr>
            </w:pPr>
            <w:r>
              <w:rPr>
                <w:rFonts w:hint="eastAsia" w:ascii="仿宋" w:hAnsi="仿宋" w:eastAsia="仿宋" w:cs="仿宋"/>
                <w:sz w:val="24"/>
                <w:szCs w:val="24"/>
              </w:rPr>
              <w:t>模块16</w:t>
            </w:r>
          </w:p>
        </w:tc>
        <w:tc>
          <w:tcPr>
            <w:tcW w:w="6592" w:type="dxa"/>
            <w:shd w:val="clear" w:color="auto" w:fill="auto"/>
            <w:tcMar>
              <w:top w:w="0" w:type="dxa"/>
              <w:left w:w="105" w:type="dxa"/>
              <w:bottom w:w="0" w:type="dxa"/>
              <w:right w:w="105" w:type="dxa"/>
            </w:tcMar>
            <w:vAlign w:val="top"/>
          </w:tcPr>
          <w:p w14:paraId="2900971D">
            <w:pPr>
              <w:pStyle w:val="14"/>
              <w:keepNext w:val="0"/>
              <w:keepLines w:val="0"/>
              <w:pageBreakBefore w:val="0"/>
              <w:widowControl/>
              <w:suppressLineNumbers w:val="0"/>
              <w:kinsoku/>
              <w:wordWrap/>
              <w:overflowPunct/>
              <w:topLinePunct w:val="0"/>
              <w:autoSpaceDN/>
              <w:bidi w:val="0"/>
              <w:adjustRightInd w:val="0"/>
              <w:snapToGrid w:val="0"/>
              <w:spacing w:beforeAutospacing="0" w:afterAutospacing="0"/>
              <w:ind w:left="0" w:firstLine="0"/>
              <w:textAlignment w:val="auto"/>
              <w:rPr>
                <w:rFonts w:hint="eastAsia" w:ascii="仿宋" w:hAnsi="仿宋" w:eastAsia="仿宋" w:cs="仿宋"/>
                <w:sz w:val="24"/>
                <w:szCs w:val="24"/>
              </w:rPr>
            </w:pPr>
            <w:r>
              <w:rPr>
                <w:rFonts w:hint="eastAsia" w:ascii="仿宋" w:hAnsi="仿宋" w:eastAsia="仿宋" w:cs="仿宋"/>
                <w:sz w:val="24"/>
                <w:szCs w:val="24"/>
              </w:rPr>
              <w:t>CSSD质量管理平台支持消毒供应中心遇设备维修、手术室自行灭菌、院外灭菌登记、跨供应室灭菌登记时的流程处理；</w:t>
            </w:r>
          </w:p>
        </w:tc>
      </w:tr>
      <w:tr w14:paraId="410F03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29" w:type="dxa"/>
            <w:vMerge w:val="continue"/>
            <w:shd w:val="clear" w:color="auto" w:fill="auto"/>
            <w:tcMar>
              <w:top w:w="0" w:type="dxa"/>
              <w:left w:w="105" w:type="dxa"/>
              <w:bottom w:w="0" w:type="dxa"/>
              <w:right w:w="105" w:type="dxa"/>
            </w:tcMar>
            <w:vAlign w:val="center"/>
          </w:tcPr>
          <w:p w14:paraId="37AFA55C">
            <w:pPr>
              <w:keepNext w:val="0"/>
              <w:keepLines w:val="0"/>
              <w:pageBreakBefore w:val="0"/>
              <w:kinsoku/>
              <w:wordWrap/>
              <w:overflowPunct/>
              <w:topLinePunct w:val="0"/>
              <w:autoSpaceDN/>
              <w:bidi w:val="0"/>
              <w:adjustRightInd w:val="0"/>
              <w:snapToGrid w:val="0"/>
              <w:spacing w:beforeAutospacing="0" w:afterAutospacing="0"/>
              <w:textAlignment w:val="auto"/>
              <w:rPr>
                <w:rFonts w:hint="eastAsia" w:ascii="仿宋" w:hAnsi="仿宋" w:eastAsia="仿宋" w:cs="仿宋"/>
                <w:sz w:val="24"/>
                <w:szCs w:val="24"/>
              </w:rPr>
            </w:pPr>
          </w:p>
        </w:tc>
        <w:tc>
          <w:tcPr>
            <w:tcW w:w="1163" w:type="dxa"/>
            <w:vMerge w:val="continue"/>
            <w:shd w:val="clear" w:color="auto" w:fill="auto"/>
            <w:tcMar>
              <w:top w:w="0" w:type="dxa"/>
              <w:left w:w="105" w:type="dxa"/>
              <w:bottom w:w="0" w:type="dxa"/>
              <w:right w:w="105" w:type="dxa"/>
            </w:tcMar>
            <w:vAlign w:val="center"/>
          </w:tcPr>
          <w:p w14:paraId="271C0711">
            <w:pPr>
              <w:keepNext w:val="0"/>
              <w:keepLines w:val="0"/>
              <w:pageBreakBefore w:val="0"/>
              <w:kinsoku/>
              <w:wordWrap/>
              <w:overflowPunct/>
              <w:topLinePunct w:val="0"/>
              <w:autoSpaceDN/>
              <w:bidi w:val="0"/>
              <w:adjustRightInd w:val="0"/>
              <w:snapToGrid w:val="0"/>
              <w:spacing w:beforeAutospacing="0" w:afterAutospacing="0"/>
              <w:textAlignment w:val="auto"/>
              <w:rPr>
                <w:rFonts w:hint="eastAsia" w:ascii="仿宋" w:hAnsi="仿宋" w:eastAsia="仿宋" w:cs="仿宋"/>
                <w:sz w:val="24"/>
                <w:szCs w:val="24"/>
              </w:rPr>
            </w:pPr>
          </w:p>
        </w:tc>
        <w:tc>
          <w:tcPr>
            <w:tcW w:w="1364" w:type="dxa"/>
            <w:shd w:val="clear" w:color="auto" w:fill="auto"/>
            <w:tcMar>
              <w:top w:w="0" w:type="dxa"/>
              <w:left w:w="105" w:type="dxa"/>
              <w:bottom w:w="0" w:type="dxa"/>
              <w:right w:w="105" w:type="dxa"/>
            </w:tcMar>
            <w:vAlign w:val="center"/>
          </w:tcPr>
          <w:p w14:paraId="4DEAAA81">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ind w:left="0" w:firstLine="0"/>
              <w:jc w:val="center"/>
              <w:textAlignment w:val="auto"/>
              <w:rPr>
                <w:rFonts w:hint="eastAsia" w:ascii="仿宋" w:hAnsi="仿宋" w:eastAsia="仿宋" w:cs="仿宋"/>
                <w:sz w:val="24"/>
                <w:szCs w:val="24"/>
              </w:rPr>
            </w:pPr>
            <w:r>
              <w:rPr>
                <w:rFonts w:hint="eastAsia" w:ascii="仿宋" w:hAnsi="仿宋" w:eastAsia="仿宋" w:cs="仿宋"/>
                <w:sz w:val="24"/>
                <w:szCs w:val="24"/>
              </w:rPr>
              <w:t>模块17</w:t>
            </w:r>
          </w:p>
        </w:tc>
        <w:tc>
          <w:tcPr>
            <w:tcW w:w="6592" w:type="dxa"/>
            <w:shd w:val="clear" w:color="auto" w:fill="auto"/>
            <w:tcMar>
              <w:top w:w="0" w:type="dxa"/>
              <w:left w:w="105" w:type="dxa"/>
              <w:bottom w:w="0" w:type="dxa"/>
              <w:right w:w="105" w:type="dxa"/>
            </w:tcMar>
            <w:vAlign w:val="top"/>
          </w:tcPr>
          <w:p w14:paraId="4F4AF636">
            <w:pPr>
              <w:pStyle w:val="14"/>
              <w:keepNext w:val="0"/>
              <w:keepLines w:val="0"/>
              <w:pageBreakBefore w:val="0"/>
              <w:widowControl/>
              <w:suppressLineNumbers w:val="0"/>
              <w:kinsoku/>
              <w:wordWrap/>
              <w:overflowPunct/>
              <w:topLinePunct w:val="0"/>
              <w:autoSpaceDN/>
              <w:bidi w:val="0"/>
              <w:adjustRightInd w:val="0"/>
              <w:snapToGrid w:val="0"/>
              <w:spacing w:beforeAutospacing="0" w:afterAutospacing="0"/>
              <w:ind w:left="0" w:firstLine="0"/>
              <w:textAlignment w:val="auto"/>
              <w:rPr>
                <w:rFonts w:hint="eastAsia" w:ascii="仿宋" w:hAnsi="仿宋" w:eastAsia="仿宋" w:cs="仿宋"/>
                <w:sz w:val="24"/>
                <w:szCs w:val="24"/>
              </w:rPr>
            </w:pPr>
            <w:r>
              <w:rPr>
                <w:rFonts w:hint="eastAsia" w:ascii="仿宋" w:hAnsi="仿宋" w:eastAsia="仿宋" w:cs="仿宋"/>
                <w:sz w:val="24"/>
                <w:szCs w:val="24"/>
              </w:rPr>
              <w:t>CSSD质量管理平台支持灭菌审核不合格时，系统二次确认防止误触，智能识别影响范围并告知后续包流向，留存审核凭据图像资料；</w:t>
            </w:r>
          </w:p>
        </w:tc>
      </w:tr>
      <w:tr w14:paraId="5E6506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29" w:type="dxa"/>
            <w:vMerge w:val="continue"/>
            <w:shd w:val="clear" w:color="auto" w:fill="auto"/>
            <w:tcMar>
              <w:top w:w="0" w:type="dxa"/>
              <w:left w:w="105" w:type="dxa"/>
              <w:bottom w:w="0" w:type="dxa"/>
              <w:right w:w="105" w:type="dxa"/>
            </w:tcMar>
            <w:vAlign w:val="center"/>
          </w:tcPr>
          <w:p w14:paraId="7FDC7874">
            <w:pPr>
              <w:keepNext w:val="0"/>
              <w:keepLines w:val="0"/>
              <w:pageBreakBefore w:val="0"/>
              <w:kinsoku/>
              <w:wordWrap/>
              <w:overflowPunct/>
              <w:topLinePunct w:val="0"/>
              <w:autoSpaceDN/>
              <w:bidi w:val="0"/>
              <w:adjustRightInd w:val="0"/>
              <w:snapToGrid w:val="0"/>
              <w:spacing w:beforeAutospacing="0" w:afterAutospacing="0"/>
              <w:textAlignment w:val="auto"/>
              <w:rPr>
                <w:rFonts w:hint="eastAsia" w:ascii="仿宋" w:hAnsi="仿宋" w:eastAsia="仿宋" w:cs="仿宋"/>
                <w:sz w:val="24"/>
                <w:szCs w:val="24"/>
              </w:rPr>
            </w:pPr>
          </w:p>
        </w:tc>
        <w:tc>
          <w:tcPr>
            <w:tcW w:w="1163" w:type="dxa"/>
            <w:vMerge w:val="continue"/>
            <w:shd w:val="clear" w:color="auto" w:fill="auto"/>
            <w:tcMar>
              <w:top w:w="0" w:type="dxa"/>
              <w:left w:w="105" w:type="dxa"/>
              <w:bottom w:w="0" w:type="dxa"/>
              <w:right w:w="105" w:type="dxa"/>
            </w:tcMar>
            <w:vAlign w:val="center"/>
          </w:tcPr>
          <w:p w14:paraId="3167E8EF">
            <w:pPr>
              <w:keepNext w:val="0"/>
              <w:keepLines w:val="0"/>
              <w:pageBreakBefore w:val="0"/>
              <w:kinsoku/>
              <w:wordWrap/>
              <w:overflowPunct/>
              <w:topLinePunct w:val="0"/>
              <w:autoSpaceDN/>
              <w:bidi w:val="0"/>
              <w:adjustRightInd w:val="0"/>
              <w:snapToGrid w:val="0"/>
              <w:spacing w:beforeAutospacing="0" w:afterAutospacing="0"/>
              <w:textAlignment w:val="auto"/>
              <w:rPr>
                <w:rFonts w:hint="eastAsia" w:ascii="仿宋" w:hAnsi="仿宋" w:eastAsia="仿宋" w:cs="仿宋"/>
                <w:sz w:val="24"/>
                <w:szCs w:val="24"/>
              </w:rPr>
            </w:pPr>
          </w:p>
        </w:tc>
        <w:tc>
          <w:tcPr>
            <w:tcW w:w="1364" w:type="dxa"/>
            <w:shd w:val="clear" w:color="auto" w:fill="auto"/>
            <w:tcMar>
              <w:top w:w="0" w:type="dxa"/>
              <w:left w:w="105" w:type="dxa"/>
              <w:bottom w:w="0" w:type="dxa"/>
              <w:right w:w="105" w:type="dxa"/>
            </w:tcMar>
            <w:vAlign w:val="center"/>
          </w:tcPr>
          <w:p w14:paraId="4B317467">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ind w:left="0" w:firstLine="0"/>
              <w:jc w:val="center"/>
              <w:textAlignment w:val="auto"/>
              <w:rPr>
                <w:rFonts w:hint="eastAsia" w:ascii="仿宋" w:hAnsi="仿宋" w:eastAsia="仿宋" w:cs="仿宋"/>
                <w:sz w:val="24"/>
                <w:szCs w:val="24"/>
              </w:rPr>
            </w:pPr>
            <w:r>
              <w:rPr>
                <w:rFonts w:hint="eastAsia" w:ascii="仿宋" w:hAnsi="仿宋" w:eastAsia="仿宋" w:cs="仿宋"/>
                <w:sz w:val="24"/>
                <w:szCs w:val="24"/>
              </w:rPr>
              <w:t>模块18</w:t>
            </w:r>
          </w:p>
        </w:tc>
        <w:tc>
          <w:tcPr>
            <w:tcW w:w="6592" w:type="dxa"/>
            <w:shd w:val="clear" w:color="auto" w:fill="auto"/>
            <w:tcMar>
              <w:top w:w="0" w:type="dxa"/>
              <w:left w:w="105" w:type="dxa"/>
              <w:bottom w:w="0" w:type="dxa"/>
              <w:right w:w="105" w:type="dxa"/>
            </w:tcMar>
            <w:vAlign w:val="top"/>
          </w:tcPr>
          <w:p w14:paraId="128F53F2">
            <w:pPr>
              <w:pStyle w:val="14"/>
              <w:keepNext w:val="0"/>
              <w:keepLines w:val="0"/>
              <w:pageBreakBefore w:val="0"/>
              <w:widowControl/>
              <w:suppressLineNumbers w:val="0"/>
              <w:kinsoku/>
              <w:wordWrap/>
              <w:overflowPunct/>
              <w:topLinePunct w:val="0"/>
              <w:autoSpaceDN/>
              <w:bidi w:val="0"/>
              <w:adjustRightInd w:val="0"/>
              <w:snapToGrid w:val="0"/>
              <w:spacing w:beforeAutospacing="0" w:afterAutospacing="0"/>
              <w:ind w:left="0" w:firstLine="0"/>
              <w:textAlignment w:val="auto"/>
              <w:rPr>
                <w:rFonts w:hint="eastAsia" w:ascii="仿宋" w:hAnsi="仿宋" w:eastAsia="仿宋" w:cs="仿宋"/>
                <w:sz w:val="24"/>
                <w:szCs w:val="24"/>
              </w:rPr>
            </w:pPr>
            <w:r>
              <w:rPr>
                <w:rFonts w:hint="eastAsia" w:ascii="仿宋" w:hAnsi="仿宋" w:eastAsia="仿宋" w:cs="仿宋"/>
                <w:sz w:val="24"/>
                <w:szCs w:val="24"/>
              </w:rPr>
              <w:t>CSSD质量管理平台支持装载容量控制，系统控制装载量；支持指定器械包指定灭菌程序灭菌。</w:t>
            </w:r>
          </w:p>
        </w:tc>
      </w:tr>
      <w:tr w14:paraId="1A0CC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29" w:type="dxa"/>
            <w:vMerge w:val="continue"/>
            <w:shd w:val="clear" w:color="auto" w:fill="auto"/>
            <w:tcMar>
              <w:top w:w="0" w:type="dxa"/>
              <w:left w:w="105" w:type="dxa"/>
              <w:bottom w:w="0" w:type="dxa"/>
              <w:right w:w="105" w:type="dxa"/>
            </w:tcMar>
            <w:vAlign w:val="center"/>
          </w:tcPr>
          <w:p w14:paraId="0B667FD9">
            <w:pPr>
              <w:keepNext w:val="0"/>
              <w:keepLines w:val="0"/>
              <w:pageBreakBefore w:val="0"/>
              <w:kinsoku/>
              <w:wordWrap/>
              <w:overflowPunct/>
              <w:topLinePunct w:val="0"/>
              <w:autoSpaceDN/>
              <w:bidi w:val="0"/>
              <w:adjustRightInd w:val="0"/>
              <w:snapToGrid w:val="0"/>
              <w:spacing w:beforeAutospacing="0" w:afterAutospacing="0"/>
              <w:textAlignment w:val="auto"/>
              <w:rPr>
                <w:rFonts w:hint="eastAsia" w:ascii="仿宋" w:hAnsi="仿宋" w:eastAsia="仿宋" w:cs="仿宋"/>
                <w:sz w:val="24"/>
                <w:szCs w:val="24"/>
              </w:rPr>
            </w:pPr>
          </w:p>
        </w:tc>
        <w:tc>
          <w:tcPr>
            <w:tcW w:w="1163" w:type="dxa"/>
            <w:vMerge w:val="continue"/>
            <w:shd w:val="clear" w:color="auto" w:fill="auto"/>
            <w:tcMar>
              <w:top w:w="0" w:type="dxa"/>
              <w:left w:w="105" w:type="dxa"/>
              <w:bottom w:w="0" w:type="dxa"/>
              <w:right w:w="105" w:type="dxa"/>
            </w:tcMar>
            <w:vAlign w:val="center"/>
          </w:tcPr>
          <w:p w14:paraId="33976F7B">
            <w:pPr>
              <w:keepNext w:val="0"/>
              <w:keepLines w:val="0"/>
              <w:pageBreakBefore w:val="0"/>
              <w:kinsoku/>
              <w:wordWrap/>
              <w:overflowPunct/>
              <w:topLinePunct w:val="0"/>
              <w:autoSpaceDN/>
              <w:bidi w:val="0"/>
              <w:adjustRightInd w:val="0"/>
              <w:snapToGrid w:val="0"/>
              <w:spacing w:beforeAutospacing="0" w:afterAutospacing="0"/>
              <w:textAlignment w:val="auto"/>
              <w:rPr>
                <w:rFonts w:hint="eastAsia" w:ascii="仿宋" w:hAnsi="仿宋" w:eastAsia="仿宋" w:cs="仿宋"/>
                <w:sz w:val="24"/>
                <w:szCs w:val="24"/>
              </w:rPr>
            </w:pPr>
          </w:p>
        </w:tc>
        <w:tc>
          <w:tcPr>
            <w:tcW w:w="1364" w:type="dxa"/>
            <w:shd w:val="clear" w:color="auto" w:fill="auto"/>
            <w:tcMar>
              <w:top w:w="0" w:type="dxa"/>
              <w:left w:w="105" w:type="dxa"/>
              <w:bottom w:w="0" w:type="dxa"/>
              <w:right w:w="105" w:type="dxa"/>
            </w:tcMar>
            <w:vAlign w:val="center"/>
          </w:tcPr>
          <w:p w14:paraId="74A9EF36">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ind w:left="0" w:firstLine="0"/>
              <w:jc w:val="center"/>
              <w:textAlignment w:val="auto"/>
              <w:rPr>
                <w:rFonts w:hint="eastAsia" w:ascii="仿宋" w:hAnsi="仿宋" w:eastAsia="仿宋" w:cs="仿宋"/>
                <w:sz w:val="24"/>
                <w:szCs w:val="24"/>
              </w:rPr>
            </w:pPr>
            <w:r>
              <w:rPr>
                <w:rFonts w:hint="eastAsia" w:ascii="仿宋" w:hAnsi="仿宋" w:eastAsia="仿宋" w:cs="仿宋"/>
                <w:sz w:val="24"/>
                <w:szCs w:val="24"/>
              </w:rPr>
              <w:t>模块19</w:t>
            </w:r>
          </w:p>
        </w:tc>
        <w:tc>
          <w:tcPr>
            <w:tcW w:w="6592" w:type="dxa"/>
            <w:shd w:val="clear" w:color="auto" w:fill="auto"/>
            <w:tcMar>
              <w:top w:w="0" w:type="dxa"/>
              <w:left w:w="105" w:type="dxa"/>
              <w:bottom w:w="0" w:type="dxa"/>
              <w:right w:w="105" w:type="dxa"/>
            </w:tcMar>
            <w:vAlign w:val="top"/>
          </w:tcPr>
          <w:p w14:paraId="4C76EE8F">
            <w:pPr>
              <w:pStyle w:val="14"/>
              <w:keepNext w:val="0"/>
              <w:keepLines w:val="0"/>
              <w:pageBreakBefore w:val="0"/>
              <w:widowControl/>
              <w:suppressLineNumbers w:val="0"/>
              <w:kinsoku/>
              <w:wordWrap/>
              <w:overflowPunct/>
              <w:topLinePunct w:val="0"/>
              <w:autoSpaceDN/>
              <w:bidi w:val="0"/>
              <w:adjustRightInd w:val="0"/>
              <w:snapToGrid w:val="0"/>
              <w:spacing w:beforeAutospacing="0" w:afterAutospacing="0"/>
              <w:ind w:left="0" w:firstLine="0"/>
              <w:textAlignment w:val="auto"/>
              <w:rPr>
                <w:rFonts w:hint="eastAsia" w:ascii="仿宋" w:hAnsi="仿宋" w:eastAsia="仿宋" w:cs="仿宋"/>
                <w:sz w:val="24"/>
                <w:szCs w:val="24"/>
              </w:rPr>
            </w:pPr>
            <w:r>
              <w:rPr>
                <w:rFonts w:hint="eastAsia" w:ascii="仿宋" w:hAnsi="仿宋" w:eastAsia="仿宋" w:cs="仿宋"/>
                <w:sz w:val="24"/>
                <w:szCs w:val="24"/>
              </w:rPr>
              <w:t>CSSD质量管理平台支持任务单比对发放，并实时核查库存情况，库存充足和不足时有醒目提示；</w:t>
            </w:r>
          </w:p>
        </w:tc>
      </w:tr>
      <w:tr w14:paraId="31FE9B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29" w:type="dxa"/>
            <w:vMerge w:val="continue"/>
            <w:shd w:val="clear" w:color="auto" w:fill="auto"/>
            <w:tcMar>
              <w:top w:w="0" w:type="dxa"/>
              <w:left w:w="105" w:type="dxa"/>
              <w:bottom w:w="0" w:type="dxa"/>
              <w:right w:w="105" w:type="dxa"/>
            </w:tcMar>
            <w:vAlign w:val="center"/>
          </w:tcPr>
          <w:p w14:paraId="5A110E53">
            <w:pPr>
              <w:keepNext w:val="0"/>
              <w:keepLines w:val="0"/>
              <w:pageBreakBefore w:val="0"/>
              <w:kinsoku/>
              <w:wordWrap/>
              <w:overflowPunct/>
              <w:topLinePunct w:val="0"/>
              <w:autoSpaceDN/>
              <w:bidi w:val="0"/>
              <w:adjustRightInd w:val="0"/>
              <w:snapToGrid w:val="0"/>
              <w:spacing w:beforeAutospacing="0" w:afterAutospacing="0"/>
              <w:textAlignment w:val="auto"/>
              <w:rPr>
                <w:rFonts w:hint="eastAsia" w:ascii="仿宋" w:hAnsi="仿宋" w:eastAsia="仿宋" w:cs="仿宋"/>
                <w:sz w:val="24"/>
                <w:szCs w:val="24"/>
              </w:rPr>
            </w:pPr>
          </w:p>
        </w:tc>
        <w:tc>
          <w:tcPr>
            <w:tcW w:w="1163" w:type="dxa"/>
            <w:vMerge w:val="continue"/>
            <w:shd w:val="clear" w:color="auto" w:fill="auto"/>
            <w:tcMar>
              <w:top w:w="0" w:type="dxa"/>
              <w:left w:w="105" w:type="dxa"/>
              <w:bottom w:w="0" w:type="dxa"/>
              <w:right w:w="105" w:type="dxa"/>
            </w:tcMar>
            <w:vAlign w:val="center"/>
          </w:tcPr>
          <w:p w14:paraId="6987EF86">
            <w:pPr>
              <w:keepNext w:val="0"/>
              <w:keepLines w:val="0"/>
              <w:pageBreakBefore w:val="0"/>
              <w:kinsoku/>
              <w:wordWrap/>
              <w:overflowPunct/>
              <w:topLinePunct w:val="0"/>
              <w:autoSpaceDN/>
              <w:bidi w:val="0"/>
              <w:adjustRightInd w:val="0"/>
              <w:snapToGrid w:val="0"/>
              <w:spacing w:beforeAutospacing="0" w:afterAutospacing="0"/>
              <w:textAlignment w:val="auto"/>
              <w:rPr>
                <w:rFonts w:hint="eastAsia" w:ascii="仿宋" w:hAnsi="仿宋" w:eastAsia="仿宋" w:cs="仿宋"/>
                <w:sz w:val="24"/>
                <w:szCs w:val="24"/>
              </w:rPr>
            </w:pPr>
          </w:p>
        </w:tc>
        <w:tc>
          <w:tcPr>
            <w:tcW w:w="1364" w:type="dxa"/>
            <w:shd w:val="clear" w:color="auto" w:fill="auto"/>
            <w:tcMar>
              <w:top w:w="0" w:type="dxa"/>
              <w:left w:w="105" w:type="dxa"/>
              <w:bottom w:w="0" w:type="dxa"/>
              <w:right w:w="105" w:type="dxa"/>
            </w:tcMar>
            <w:vAlign w:val="center"/>
          </w:tcPr>
          <w:p w14:paraId="0559B5A7">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ind w:left="0" w:firstLine="0"/>
              <w:jc w:val="center"/>
              <w:textAlignment w:val="auto"/>
              <w:rPr>
                <w:rFonts w:hint="eastAsia" w:ascii="仿宋" w:hAnsi="仿宋" w:eastAsia="仿宋" w:cs="仿宋"/>
                <w:sz w:val="24"/>
                <w:szCs w:val="24"/>
              </w:rPr>
            </w:pPr>
            <w:r>
              <w:rPr>
                <w:rFonts w:hint="eastAsia" w:ascii="仿宋" w:hAnsi="仿宋" w:eastAsia="仿宋" w:cs="仿宋"/>
                <w:sz w:val="24"/>
                <w:szCs w:val="24"/>
              </w:rPr>
              <w:t>模块20</w:t>
            </w:r>
          </w:p>
        </w:tc>
        <w:tc>
          <w:tcPr>
            <w:tcW w:w="6592" w:type="dxa"/>
            <w:shd w:val="clear" w:color="auto" w:fill="auto"/>
            <w:tcMar>
              <w:top w:w="0" w:type="dxa"/>
              <w:left w:w="105" w:type="dxa"/>
              <w:bottom w:w="0" w:type="dxa"/>
              <w:right w:w="105" w:type="dxa"/>
            </w:tcMar>
            <w:vAlign w:val="top"/>
          </w:tcPr>
          <w:p w14:paraId="5A2D9258">
            <w:pPr>
              <w:pStyle w:val="14"/>
              <w:keepNext w:val="0"/>
              <w:keepLines w:val="0"/>
              <w:pageBreakBefore w:val="0"/>
              <w:widowControl/>
              <w:suppressLineNumbers w:val="0"/>
              <w:kinsoku/>
              <w:wordWrap/>
              <w:overflowPunct/>
              <w:topLinePunct w:val="0"/>
              <w:autoSpaceDN/>
              <w:bidi w:val="0"/>
              <w:adjustRightInd w:val="0"/>
              <w:snapToGrid w:val="0"/>
              <w:spacing w:beforeAutospacing="0" w:afterAutospacing="0"/>
              <w:ind w:left="0" w:firstLine="0"/>
              <w:textAlignment w:val="auto"/>
              <w:rPr>
                <w:rFonts w:hint="eastAsia" w:ascii="仿宋" w:hAnsi="仿宋" w:eastAsia="仿宋" w:cs="仿宋"/>
                <w:sz w:val="24"/>
                <w:szCs w:val="24"/>
              </w:rPr>
            </w:pPr>
            <w:r>
              <w:rPr>
                <w:rFonts w:hint="eastAsia" w:ascii="仿宋" w:hAnsi="仿宋" w:eastAsia="仿宋" w:cs="仿宋"/>
                <w:sz w:val="24"/>
                <w:szCs w:val="24"/>
              </w:rPr>
              <w:t>CSSD质量管理平台支持供应室间相互交接储存，交接到分院区供应室后发放；</w:t>
            </w:r>
          </w:p>
        </w:tc>
      </w:tr>
      <w:tr w14:paraId="457349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29" w:type="dxa"/>
            <w:vMerge w:val="continue"/>
            <w:shd w:val="clear" w:color="auto" w:fill="auto"/>
            <w:tcMar>
              <w:top w:w="0" w:type="dxa"/>
              <w:left w:w="105" w:type="dxa"/>
              <w:bottom w:w="0" w:type="dxa"/>
              <w:right w:w="105" w:type="dxa"/>
            </w:tcMar>
            <w:vAlign w:val="center"/>
          </w:tcPr>
          <w:p w14:paraId="72A6D11D">
            <w:pPr>
              <w:keepNext w:val="0"/>
              <w:keepLines w:val="0"/>
              <w:pageBreakBefore w:val="0"/>
              <w:kinsoku/>
              <w:wordWrap/>
              <w:overflowPunct/>
              <w:topLinePunct w:val="0"/>
              <w:autoSpaceDN/>
              <w:bidi w:val="0"/>
              <w:adjustRightInd w:val="0"/>
              <w:snapToGrid w:val="0"/>
              <w:spacing w:beforeAutospacing="0" w:afterAutospacing="0"/>
              <w:textAlignment w:val="auto"/>
              <w:rPr>
                <w:rFonts w:hint="eastAsia" w:ascii="仿宋" w:hAnsi="仿宋" w:eastAsia="仿宋" w:cs="仿宋"/>
                <w:sz w:val="24"/>
                <w:szCs w:val="24"/>
              </w:rPr>
            </w:pPr>
          </w:p>
        </w:tc>
        <w:tc>
          <w:tcPr>
            <w:tcW w:w="1163" w:type="dxa"/>
            <w:vMerge w:val="continue"/>
            <w:shd w:val="clear" w:color="auto" w:fill="auto"/>
            <w:tcMar>
              <w:top w:w="0" w:type="dxa"/>
              <w:left w:w="105" w:type="dxa"/>
              <w:bottom w:w="0" w:type="dxa"/>
              <w:right w:w="105" w:type="dxa"/>
            </w:tcMar>
            <w:vAlign w:val="center"/>
          </w:tcPr>
          <w:p w14:paraId="54641ABD">
            <w:pPr>
              <w:keepNext w:val="0"/>
              <w:keepLines w:val="0"/>
              <w:pageBreakBefore w:val="0"/>
              <w:kinsoku/>
              <w:wordWrap/>
              <w:overflowPunct/>
              <w:topLinePunct w:val="0"/>
              <w:autoSpaceDN/>
              <w:bidi w:val="0"/>
              <w:adjustRightInd w:val="0"/>
              <w:snapToGrid w:val="0"/>
              <w:spacing w:beforeAutospacing="0" w:afterAutospacing="0"/>
              <w:textAlignment w:val="auto"/>
              <w:rPr>
                <w:rFonts w:hint="eastAsia" w:ascii="仿宋" w:hAnsi="仿宋" w:eastAsia="仿宋" w:cs="仿宋"/>
                <w:sz w:val="24"/>
                <w:szCs w:val="24"/>
              </w:rPr>
            </w:pPr>
          </w:p>
        </w:tc>
        <w:tc>
          <w:tcPr>
            <w:tcW w:w="1364" w:type="dxa"/>
            <w:shd w:val="clear" w:color="auto" w:fill="auto"/>
            <w:tcMar>
              <w:top w:w="0" w:type="dxa"/>
              <w:left w:w="105" w:type="dxa"/>
              <w:bottom w:w="0" w:type="dxa"/>
              <w:right w:w="105" w:type="dxa"/>
            </w:tcMar>
            <w:vAlign w:val="center"/>
          </w:tcPr>
          <w:p w14:paraId="7525291C">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ind w:left="0" w:firstLine="0"/>
              <w:jc w:val="center"/>
              <w:textAlignment w:val="auto"/>
              <w:rPr>
                <w:rFonts w:hint="eastAsia" w:ascii="仿宋" w:hAnsi="仿宋" w:eastAsia="仿宋" w:cs="仿宋"/>
                <w:sz w:val="24"/>
                <w:szCs w:val="24"/>
              </w:rPr>
            </w:pPr>
            <w:r>
              <w:rPr>
                <w:rFonts w:hint="eastAsia" w:ascii="仿宋" w:hAnsi="仿宋" w:eastAsia="仿宋" w:cs="仿宋"/>
                <w:sz w:val="24"/>
                <w:szCs w:val="24"/>
              </w:rPr>
              <w:t>模块21</w:t>
            </w:r>
          </w:p>
        </w:tc>
        <w:tc>
          <w:tcPr>
            <w:tcW w:w="6592" w:type="dxa"/>
            <w:shd w:val="clear" w:color="auto" w:fill="auto"/>
            <w:tcMar>
              <w:top w:w="0" w:type="dxa"/>
              <w:left w:w="105" w:type="dxa"/>
              <w:bottom w:w="0" w:type="dxa"/>
              <w:right w:w="105" w:type="dxa"/>
            </w:tcMar>
            <w:vAlign w:val="top"/>
          </w:tcPr>
          <w:p w14:paraId="4DE920EC">
            <w:pPr>
              <w:pStyle w:val="14"/>
              <w:keepNext w:val="0"/>
              <w:keepLines w:val="0"/>
              <w:pageBreakBefore w:val="0"/>
              <w:widowControl/>
              <w:suppressLineNumbers w:val="0"/>
              <w:kinsoku/>
              <w:wordWrap/>
              <w:overflowPunct/>
              <w:topLinePunct w:val="0"/>
              <w:autoSpaceDN/>
              <w:bidi w:val="0"/>
              <w:adjustRightInd w:val="0"/>
              <w:snapToGrid w:val="0"/>
              <w:spacing w:beforeAutospacing="0" w:afterAutospacing="0"/>
              <w:ind w:left="0" w:firstLine="0"/>
              <w:textAlignment w:val="auto"/>
              <w:rPr>
                <w:rFonts w:hint="eastAsia" w:ascii="仿宋" w:hAnsi="仿宋" w:eastAsia="仿宋" w:cs="仿宋"/>
                <w:sz w:val="24"/>
                <w:szCs w:val="24"/>
              </w:rPr>
            </w:pPr>
            <w:r>
              <w:rPr>
                <w:rFonts w:hint="eastAsia" w:ascii="仿宋" w:hAnsi="仿宋" w:eastAsia="仿宋" w:cs="仿宋"/>
                <w:sz w:val="24"/>
                <w:szCs w:val="24"/>
              </w:rPr>
              <w:t>CSSD质量管理平台支持使用科室申领单加急登记，支持申领物品借还登记，支持申领物品备注登记；支持分院区统一申领交接和按供应室申领；</w:t>
            </w:r>
          </w:p>
        </w:tc>
      </w:tr>
      <w:tr w14:paraId="5242EB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29" w:type="dxa"/>
            <w:vMerge w:val="continue"/>
            <w:shd w:val="clear" w:color="auto" w:fill="auto"/>
            <w:tcMar>
              <w:top w:w="0" w:type="dxa"/>
              <w:left w:w="105" w:type="dxa"/>
              <w:bottom w:w="0" w:type="dxa"/>
              <w:right w:w="105" w:type="dxa"/>
            </w:tcMar>
            <w:vAlign w:val="center"/>
          </w:tcPr>
          <w:p w14:paraId="16C7EDC5">
            <w:pPr>
              <w:keepNext w:val="0"/>
              <w:keepLines w:val="0"/>
              <w:pageBreakBefore w:val="0"/>
              <w:kinsoku/>
              <w:wordWrap/>
              <w:overflowPunct/>
              <w:topLinePunct w:val="0"/>
              <w:autoSpaceDN/>
              <w:bidi w:val="0"/>
              <w:adjustRightInd w:val="0"/>
              <w:snapToGrid w:val="0"/>
              <w:spacing w:beforeAutospacing="0" w:afterAutospacing="0"/>
              <w:textAlignment w:val="auto"/>
              <w:rPr>
                <w:rFonts w:hint="eastAsia" w:ascii="仿宋" w:hAnsi="仿宋" w:eastAsia="仿宋" w:cs="仿宋"/>
                <w:sz w:val="24"/>
                <w:szCs w:val="24"/>
              </w:rPr>
            </w:pPr>
          </w:p>
        </w:tc>
        <w:tc>
          <w:tcPr>
            <w:tcW w:w="1163" w:type="dxa"/>
            <w:vMerge w:val="continue"/>
            <w:shd w:val="clear" w:color="auto" w:fill="auto"/>
            <w:tcMar>
              <w:top w:w="0" w:type="dxa"/>
              <w:left w:w="105" w:type="dxa"/>
              <w:bottom w:w="0" w:type="dxa"/>
              <w:right w:w="105" w:type="dxa"/>
            </w:tcMar>
            <w:vAlign w:val="center"/>
          </w:tcPr>
          <w:p w14:paraId="1F456A40">
            <w:pPr>
              <w:keepNext w:val="0"/>
              <w:keepLines w:val="0"/>
              <w:pageBreakBefore w:val="0"/>
              <w:kinsoku/>
              <w:wordWrap/>
              <w:overflowPunct/>
              <w:topLinePunct w:val="0"/>
              <w:autoSpaceDN/>
              <w:bidi w:val="0"/>
              <w:adjustRightInd w:val="0"/>
              <w:snapToGrid w:val="0"/>
              <w:spacing w:beforeAutospacing="0" w:afterAutospacing="0"/>
              <w:textAlignment w:val="auto"/>
              <w:rPr>
                <w:rFonts w:hint="eastAsia" w:ascii="仿宋" w:hAnsi="仿宋" w:eastAsia="仿宋" w:cs="仿宋"/>
                <w:sz w:val="24"/>
                <w:szCs w:val="24"/>
              </w:rPr>
            </w:pPr>
          </w:p>
        </w:tc>
        <w:tc>
          <w:tcPr>
            <w:tcW w:w="1364" w:type="dxa"/>
            <w:shd w:val="clear" w:color="auto" w:fill="auto"/>
            <w:tcMar>
              <w:top w:w="0" w:type="dxa"/>
              <w:left w:w="105" w:type="dxa"/>
              <w:bottom w:w="0" w:type="dxa"/>
              <w:right w:w="105" w:type="dxa"/>
            </w:tcMar>
            <w:vAlign w:val="center"/>
          </w:tcPr>
          <w:p w14:paraId="6D4487A7">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ind w:left="0" w:firstLine="0"/>
              <w:jc w:val="center"/>
              <w:textAlignment w:val="auto"/>
              <w:rPr>
                <w:rFonts w:hint="eastAsia" w:ascii="仿宋" w:hAnsi="仿宋" w:eastAsia="仿宋" w:cs="仿宋"/>
                <w:sz w:val="24"/>
                <w:szCs w:val="24"/>
              </w:rPr>
            </w:pPr>
            <w:r>
              <w:rPr>
                <w:rFonts w:hint="eastAsia" w:ascii="仿宋" w:hAnsi="仿宋" w:eastAsia="仿宋" w:cs="仿宋"/>
                <w:sz w:val="24"/>
                <w:szCs w:val="24"/>
              </w:rPr>
              <w:t>模块22</w:t>
            </w:r>
          </w:p>
        </w:tc>
        <w:tc>
          <w:tcPr>
            <w:tcW w:w="6592" w:type="dxa"/>
            <w:shd w:val="clear" w:color="auto" w:fill="auto"/>
            <w:tcMar>
              <w:top w:w="0" w:type="dxa"/>
              <w:left w:w="105" w:type="dxa"/>
              <w:bottom w:w="0" w:type="dxa"/>
              <w:right w:w="105" w:type="dxa"/>
            </w:tcMar>
            <w:vAlign w:val="top"/>
          </w:tcPr>
          <w:p w14:paraId="00FE9139">
            <w:pPr>
              <w:pStyle w:val="14"/>
              <w:keepNext w:val="0"/>
              <w:keepLines w:val="0"/>
              <w:pageBreakBefore w:val="0"/>
              <w:widowControl/>
              <w:suppressLineNumbers w:val="0"/>
              <w:kinsoku/>
              <w:wordWrap/>
              <w:overflowPunct/>
              <w:topLinePunct w:val="0"/>
              <w:autoSpaceDN/>
              <w:bidi w:val="0"/>
              <w:adjustRightInd w:val="0"/>
              <w:snapToGrid w:val="0"/>
              <w:spacing w:beforeAutospacing="0" w:afterAutospacing="0"/>
              <w:ind w:left="0" w:firstLine="0"/>
              <w:textAlignment w:val="auto"/>
              <w:rPr>
                <w:rFonts w:hint="eastAsia" w:ascii="仿宋" w:hAnsi="仿宋" w:eastAsia="仿宋" w:cs="仿宋"/>
                <w:sz w:val="24"/>
                <w:szCs w:val="24"/>
              </w:rPr>
            </w:pPr>
            <w:r>
              <w:rPr>
                <w:rFonts w:hint="eastAsia" w:ascii="仿宋" w:hAnsi="仿宋" w:eastAsia="仿宋" w:cs="仿宋"/>
                <w:sz w:val="24"/>
                <w:szCs w:val="24"/>
              </w:rPr>
              <w:t>CSSD质量管理平台支持手术室无菌库使用FRID无感出入库、扫码出入库、手动登记出入库操作，支持出入库记录查询，支持出入库退回或撤回操作；</w:t>
            </w:r>
          </w:p>
        </w:tc>
      </w:tr>
      <w:tr w14:paraId="7A18FC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29" w:type="dxa"/>
            <w:vMerge w:val="continue"/>
            <w:shd w:val="clear" w:color="auto" w:fill="auto"/>
            <w:tcMar>
              <w:top w:w="0" w:type="dxa"/>
              <w:left w:w="105" w:type="dxa"/>
              <w:bottom w:w="0" w:type="dxa"/>
              <w:right w:w="105" w:type="dxa"/>
            </w:tcMar>
            <w:vAlign w:val="center"/>
          </w:tcPr>
          <w:p w14:paraId="57D8CB8D">
            <w:pPr>
              <w:keepNext w:val="0"/>
              <w:keepLines w:val="0"/>
              <w:pageBreakBefore w:val="0"/>
              <w:kinsoku/>
              <w:wordWrap/>
              <w:overflowPunct/>
              <w:topLinePunct w:val="0"/>
              <w:autoSpaceDN/>
              <w:bidi w:val="0"/>
              <w:adjustRightInd w:val="0"/>
              <w:snapToGrid w:val="0"/>
              <w:spacing w:beforeAutospacing="0" w:afterAutospacing="0"/>
              <w:textAlignment w:val="auto"/>
              <w:rPr>
                <w:rFonts w:hint="eastAsia" w:ascii="仿宋" w:hAnsi="仿宋" w:eastAsia="仿宋" w:cs="仿宋"/>
                <w:sz w:val="24"/>
                <w:szCs w:val="24"/>
              </w:rPr>
            </w:pPr>
          </w:p>
        </w:tc>
        <w:tc>
          <w:tcPr>
            <w:tcW w:w="1163" w:type="dxa"/>
            <w:vMerge w:val="continue"/>
            <w:shd w:val="clear" w:color="auto" w:fill="auto"/>
            <w:tcMar>
              <w:top w:w="0" w:type="dxa"/>
              <w:left w:w="105" w:type="dxa"/>
              <w:bottom w:w="0" w:type="dxa"/>
              <w:right w:w="105" w:type="dxa"/>
            </w:tcMar>
            <w:vAlign w:val="center"/>
          </w:tcPr>
          <w:p w14:paraId="6C69DDFA">
            <w:pPr>
              <w:keepNext w:val="0"/>
              <w:keepLines w:val="0"/>
              <w:pageBreakBefore w:val="0"/>
              <w:kinsoku/>
              <w:wordWrap/>
              <w:overflowPunct/>
              <w:topLinePunct w:val="0"/>
              <w:autoSpaceDN/>
              <w:bidi w:val="0"/>
              <w:adjustRightInd w:val="0"/>
              <w:snapToGrid w:val="0"/>
              <w:spacing w:beforeAutospacing="0" w:afterAutospacing="0"/>
              <w:textAlignment w:val="auto"/>
              <w:rPr>
                <w:rFonts w:hint="eastAsia" w:ascii="仿宋" w:hAnsi="仿宋" w:eastAsia="仿宋" w:cs="仿宋"/>
                <w:sz w:val="24"/>
                <w:szCs w:val="24"/>
              </w:rPr>
            </w:pPr>
          </w:p>
        </w:tc>
        <w:tc>
          <w:tcPr>
            <w:tcW w:w="1364" w:type="dxa"/>
            <w:shd w:val="clear" w:color="auto" w:fill="auto"/>
            <w:tcMar>
              <w:top w:w="0" w:type="dxa"/>
              <w:left w:w="105" w:type="dxa"/>
              <w:bottom w:w="0" w:type="dxa"/>
              <w:right w:w="105" w:type="dxa"/>
            </w:tcMar>
            <w:vAlign w:val="center"/>
          </w:tcPr>
          <w:p w14:paraId="7C6DB67F">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ind w:left="0" w:firstLine="0"/>
              <w:jc w:val="center"/>
              <w:textAlignment w:val="auto"/>
              <w:rPr>
                <w:rFonts w:hint="eastAsia" w:ascii="仿宋" w:hAnsi="仿宋" w:eastAsia="仿宋" w:cs="仿宋"/>
                <w:sz w:val="24"/>
                <w:szCs w:val="24"/>
              </w:rPr>
            </w:pPr>
            <w:r>
              <w:rPr>
                <w:rFonts w:hint="eastAsia" w:ascii="仿宋" w:hAnsi="仿宋" w:eastAsia="仿宋" w:cs="仿宋"/>
                <w:sz w:val="24"/>
                <w:szCs w:val="24"/>
              </w:rPr>
              <w:t>模块23</w:t>
            </w:r>
          </w:p>
        </w:tc>
        <w:tc>
          <w:tcPr>
            <w:tcW w:w="6592" w:type="dxa"/>
            <w:shd w:val="clear" w:color="auto" w:fill="auto"/>
            <w:tcMar>
              <w:top w:w="0" w:type="dxa"/>
              <w:left w:w="105" w:type="dxa"/>
              <w:bottom w:w="0" w:type="dxa"/>
              <w:right w:w="105" w:type="dxa"/>
            </w:tcMar>
            <w:vAlign w:val="top"/>
          </w:tcPr>
          <w:p w14:paraId="2F46DBCA">
            <w:pPr>
              <w:pStyle w:val="14"/>
              <w:keepNext w:val="0"/>
              <w:keepLines w:val="0"/>
              <w:pageBreakBefore w:val="0"/>
              <w:widowControl/>
              <w:suppressLineNumbers w:val="0"/>
              <w:kinsoku/>
              <w:wordWrap/>
              <w:overflowPunct/>
              <w:topLinePunct w:val="0"/>
              <w:autoSpaceDN/>
              <w:bidi w:val="0"/>
              <w:adjustRightInd w:val="0"/>
              <w:snapToGrid w:val="0"/>
              <w:spacing w:beforeAutospacing="0" w:afterAutospacing="0"/>
              <w:ind w:left="0" w:firstLine="0"/>
              <w:textAlignment w:val="auto"/>
              <w:rPr>
                <w:rFonts w:hint="eastAsia" w:ascii="仿宋" w:hAnsi="仿宋" w:eastAsia="仿宋" w:cs="仿宋"/>
                <w:sz w:val="24"/>
                <w:szCs w:val="24"/>
              </w:rPr>
            </w:pPr>
            <w:r>
              <w:rPr>
                <w:rFonts w:hint="eastAsia" w:ascii="仿宋" w:hAnsi="仿宋" w:eastAsia="仿宋" w:cs="仿宋"/>
                <w:sz w:val="24"/>
                <w:szCs w:val="24"/>
              </w:rPr>
              <w:t>CSSD质量管理平台支持带病人信息单点登录进行使用登记，感染标记，异常登记；支持扩展手术室设备使用登记；</w:t>
            </w:r>
          </w:p>
        </w:tc>
      </w:tr>
      <w:tr w14:paraId="51E072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29" w:type="dxa"/>
            <w:vMerge w:val="continue"/>
            <w:shd w:val="clear" w:color="auto" w:fill="auto"/>
            <w:tcMar>
              <w:top w:w="0" w:type="dxa"/>
              <w:left w:w="105" w:type="dxa"/>
              <w:bottom w:w="0" w:type="dxa"/>
              <w:right w:w="105" w:type="dxa"/>
            </w:tcMar>
            <w:vAlign w:val="center"/>
          </w:tcPr>
          <w:p w14:paraId="38B36D25">
            <w:pPr>
              <w:keepNext w:val="0"/>
              <w:keepLines w:val="0"/>
              <w:pageBreakBefore w:val="0"/>
              <w:kinsoku/>
              <w:wordWrap/>
              <w:overflowPunct/>
              <w:topLinePunct w:val="0"/>
              <w:autoSpaceDN/>
              <w:bidi w:val="0"/>
              <w:adjustRightInd w:val="0"/>
              <w:snapToGrid w:val="0"/>
              <w:spacing w:beforeAutospacing="0" w:afterAutospacing="0"/>
              <w:textAlignment w:val="auto"/>
              <w:rPr>
                <w:rFonts w:hint="eastAsia" w:ascii="仿宋" w:hAnsi="仿宋" w:eastAsia="仿宋" w:cs="仿宋"/>
                <w:sz w:val="24"/>
                <w:szCs w:val="24"/>
              </w:rPr>
            </w:pPr>
          </w:p>
        </w:tc>
        <w:tc>
          <w:tcPr>
            <w:tcW w:w="1163" w:type="dxa"/>
            <w:vMerge w:val="continue"/>
            <w:shd w:val="clear" w:color="auto" w:fill="auto"/>
            <w:tcMar>
              <w:top w:w="0" w:type="dxa"/>
              <w:left w:w="105" w:type="dxa"/>
              <w:bottom w:w="0" w:type="dxa"/>
              <w:right w:w="105" w:type="dxa"/>
            </w:tcMar>
            <w:vAlign w:val="center"/>
          </w:tcPr>
          <w:p w14:paraId="758D7D77">
            <w:pPr>
              <w:keepNext w:val="0"/>
              <w:keepLines w:val="0"/>
              <w:pageBreakBefore w:val="0"/>
              <w:kinsoku/>
              <w:wordWrap/>
              <w:overflowPunct/>
              <w:topLinePunct w:val="0"/>
              <w:autoSpaceDN/>
              <w:bidi w:val="0"/>
              <w:adjustRightInd w:val="0"/>
              <w:snapToGrid w:val="0"/>
              <w:spacing w:beforeAutospacing="0" w:afterAutospacing="0"/>
              <w:textAlignment w:val="auto"/>
              <w:rPr>
                <w:rFonts w:hint="eastAsia" w:ascii="仿宋" w:hAnsi="仿宋" w:eastAsia="仿宋" w:cs="仿宋"/>
                <w:sz w:val="24"/>
                <w:szCs w:val="24"/>
              </w:rPr>
            </w:pPr>
          </w:p>
        </w:tc>
        <w:tc>
          <w:tcPr>
            <w:tcW w:w="1364" w:type="dxa"/>
            <w:shd w:val="clear" w:color="auto" w:fill="auto"/>
            <w:tcMar>
              <w:top w:w="0" w:type="dxa"/>
              <w:left w:w="105" w:type="dxa"/>
              <w:bottom w:w="0" w:type="dxa"/>
              <w:right w:w="105" w:type="dxa"/>
            </w:tcMar>
            <w:vAlign w:val="center"/>
          </w:tcPr>
          <w:p w14:paraId="3427AC56">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ind w:left="0" w:firstLine="0"/>
              <w:jc w:val="center"/>
              <w:textAlignment w:val="auto"/>
              <w:rPr>
                <w:rFonts w:hint="eastAsia" w:ascii="仿宋" w:hAnsi="仿宋" w:eastAsia="仿宋" w:cs="仿宋"/>
                <w:sz w:val="24"/>
                <w:szCs w:val="24"/>
              </w:rPr>
            </w:pPr>
            <w:r>
              <w:rPr>
                <w:rFonts w:hint="eastAsia" w:ascii="仿宋" w:hAnsi="仿宋" w:eastAsia="仿宋" w:cs="仿宋"/>
                <w:sz w:val="24"/>
                <w:szCs w:val="24"/>
              </w:rPr>
              <w:t>模块24</w:t>
            </w:r>
          </w:p>
        </w:tc>
        <w:tc>
          <w:tcPr>
            <w:tcW w:w="6592" w:type="dxa"/>
            <w:shd w:val="clear" w:color="auto" w:fill="auto"/>
            <w:tcMar>
              <w:top w:w="0" w:type="dxa"/>
              <w:left w:w="105" w:type="dxa"/>
              <w:bottom w:w="0" w:type="dxa"/>
              <w:right w:w="105" w:type="dxa"/>
            </w:tcMar>
            <w:vAlign w:val="top"/>
          </w:tcPr>
          <w:p w14:paraId="4A26DC9A">
            <w:pPr>
              <w:pStyle w:val="14"/>
              <w:keepNext w:val="0"/>
              <w:keepLines w:val="0"/>
              <w:pageBreakBefore w:val="0"/>
              <w:widowControl/>
              <w:suppressLineNumbers w:val="0"/>
              <w:kinsoku/>
              <w:wordWrap/>
              <w:overflowPunct/>
              <w:topLinePunct w:val="0"/>
              <w:autoSpaceDN/>
              <w:bidi w:val="0"/>
              <w:adjustRightInd w:val="0"/>
              <w:snapToGrid w:val="0"/>
              <w:spacing w:beforeAutospacing="0" w:afterAutospacing="0"/>
              <w:ind w:left="0" w:firstLine="0"/>
              <w:textAlignment w:val="auto"/>
              <w:rPr>
                <w:rFonts w:hint="eastAsia" w:ascii="仿宋" w:hAnsi="仿宋" w:eastAsia="仿宋" w:cs="仿宋"/>
                <w:sz w:val="24"/>
                <w:szCs w:val="24"/>
              </w:rPr>
            </w:pPr>
            <w:r>
              <w:rPr>
                <w:rFonts w:hint="eastAsia" w:ascii="仿宋" w:hAnsi="仿宋" w:eastAsia="仿宋" w:cs="仿宋"/>
                <w:sz w:val="24"/>
                <w:szCs w:val="24"/>
              </w:rPr>
              <w:t>CSSD质量管理平台支持无菌包追溯、设备追溯、病人追溯、单件器械追溯，支持相关联的包、消灭设备、手术室设备、病人之间的快速查询；</w:t>
            </w:r>
          </w:p>
        </w:tc>
      </w:tr>
      <w:tr w14:paraId="2E0C2B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29" w:type="dxa"/>
            <w:vMerge w:val="continue"/>
            <w:shd w:val="clear" w:color="auto" w:fill="auto"/>
            <w:tcMar>
              <w:top w:w="0" w:type="dxa"/>
              <w:left w:w="105" w:type="dxa"/>
              <w:bottom w:w="0" w:type="dxa"/>
              <w:right w:w="105" w:type="dxa"/>
            </w:tcMar>
            <w:vAlign w:val="center"/>
          </w:tcPr>
          <w:p w14:paraId="7B576FF1">
            <w:pPr>
              <w:keepNext w:val="0"/>
              <w:keepLines w:val="0"/>
              <w:pageBreakBefore w:val="0"/>
              <w:kinsoku/>
              <w:wordWrap/>
              <w:overflowPunct/>
              <w:topLinePunct w:val="0"/>
              <w:autoSpaceDN/>
              <w:bidi w:val="0"/>
              <w:adjustRightInd w:val="0"/>
              <w:snapToGrid w:val="0"/>
              <w:spacing w:beforeAutospacing="0" w:afterAutospacing="0"/>
              <w:textAlignment w:val="auto"/>
              <w:rPr>
                <w:rFonts w:hint="eastAsia" w:ascii="仿宋" w:hAnsi="仿宋" w:eastAsia="仿宋" w:cs="仿宋"/>
                <w:sz w:val="24"/>
                <w:szCs w:val="24"/>
              </w:rPr>
            </w:pPr>
          </w:p>
        </w:tc>
        <w:tc>
          <w:tcPr>
            <w:tcW w:w="1163" w:type="dxa"/>
            <w:vMerge w:val="continue"/>
            <w:shd w:val="clear" w:color="auto" w:fill="auto"/>
            <w:tcMar>
              <w:top w:w="0" w:type="dxa"/>
              <w:left w:w="105" w:type="dxa"/>
              <w:bottom w:w="0" w:type="dxa"/>
              <w:right w:w="105" w:type="dxa"/>
            </w:tcMar>
            <w:vAlign w:val="center"/>
          </w:tcPr>
          <w:p w14:paraId="38C77D4B">
            <w:pPr>
              <w:keepNext w:val="0"/>
              <w:keepLines w:val="0"/>
              <w:pageBreakBefore w:val="0"/>
              <w:kinsoku/>
              <w:wordWrap/>
              <w:overflowPunct/>
              <w:topLinePunct w:val="0"/>
              <w:autoSpaceDN/>
              <w:bidi w:val="0"/>
              <w:adjustRightInd w:val="0"/>
              <w:snapToGrid w:val="0"/>
              <w:spacing w:beforeAutospacing="0" w:afterAutospacing="0"/>
              <w:textAlignment w:val="auto"/>
              <w:rPr>
                <w:rFonts w:hint="eastAsia" w:ascii="仿宋" w:hAnsi="仿宋" w:eastAsia="仿宋" w:cs="仿宋"/>
                <w:sz w:val="24"/>
                <w:szCs w:val="24"/>
              </w:rPr>
            </w:pPr>
          </w:p>
        </w:tc>
        <w:tc>
          <w:tcPr>
            <w:tcW w:w="1364" w:type="dxa"/>
            <w:shd w:val="clear" w:color="auto" w:fill="auto"/>
            <w:tcMar>
              <w:top w:w="0" w:type="dxa"/>
              <w:left w:w="105" w:type="dxa"/>
              <w:bottom w:w="0" w:type="dxa"/>
              <w:right w:w="105" w:type="dxa"/>
            </w:tcMar>
            <w:vAlign w:val="center"/>
          </w:tcPr>
          <w:p w14:paraId="65D72C91">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ind w:left="0" w:firstLine="0"/>
              <w:jc w:val="center"/>
              <w:textAlignment w:val="auto"/>
              <w:rPr>
                <w:rFonts w:hint="eastAsia" w:ascii="仿宋" w:hAnsi="仿宋" w:eastAsia="仿宋" w:cs="仿宋"/>
                <w:sz w:val="24"/>
                <w:szCs w:val="24"/>
              </w:rPr>
            </w:pPr>
            <w:r>
              <w:rPr>
                <w:rFonts w:hint="eastAsia" w:ascii="仿宋" w:hAnsi="仿宋" w:eastAsia="仿宋" w:cs="仿宋"/>
                <w:sz w:val="24"/>
                <w:szCs w:val="24"/>
              </w:rPr>
              <w:t>模块25</w:t>
            </w:r>
          </w:p>
        </w:tc>
        <w:tc>
          <w:tcPr>
            <w:tcW w:w="6592" w:type="dxa"/>
            <w:shd w:val="clear" w:color="auto" w:fill="auto"/>
            <w:tcMar>
              <w:top w:w="0" w:type="dxa"/>
              <w:left w:w="105" w:type="dxa"/>
              <w:bottom w:w="0" w:type="dxa"/>
              <w:right w:w="105" w:type="dxa"/>
            </w:tcMar>
            <w:vAlign w:val="top"/>
          </w:tcPr>
          <w:p w14:paraId="0D545863">
            <w:pPr>
              <w:pStyle w:val="14"/>
              <w:keepNext w:val="0"/>
              <w:keepLines w:val="0"/>
              <w:pageBreakBefore w:val="0"/>
              <w:widowControl/>
              <w:suppressLineNumbers w:val="0"/>
              <w:kinsoku/>
              <w:wordWrap/>
              <w:overflowPunct/>
              <w:topLinePunct w:val="0"/>
              <w:autoSpaceDN/>
              <w:bidi w:val="0"/>
              <w:adjustRightInd w:val="0"/>
              <w:snapToGrid w:val="0"/>
              <w:spacing w:beforeAutospacing="0" w:afterAutospacing="0"/>
              <w:ind w:left="0" w:firstLine="0"/>
              <w:textAlignment w:val="auto"/>
              <w:rPr>
                <w:rFonts w:hint="eastAsia" w:ascii="仿宋" w:hAnsi="仿宋" w:eastAsia="仿宋" w:cs="仿宋"/>
                <w:sz w:val="24"/>
                <w:szCs w:val="24"/>
              </w:rPr>
            </w:pPr>
            <w:r>
              <w:rPr>
                <w:rFonts w:hint="eastAsia" w:ascii="仿宋" w:hAnsi="仿宋" w:eastAsia="仿宋" w:cs="仿宋"/>
                <w:sz w:val="24"/>
                <w:szCs w:val="24"/>
              </w:rPr>
              <w:t>CSSD质量管理平台支持物品质量登记，发现器械缺失、湿包、包内卡变色不合格等情况时可扫描物品条码登记质量事件；</w:t>
            </w:r>
          </w:p>
        </w:tc>
      </w:tr>
      <w:tr w14:paraId="6555C9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29" w:type="dxa"/>
            <w:vMerge w:val="continue"/>
            <w:shd w:val="clear" w:color="auto" w:fill="auto"/>
            <w:tcMar>
              <w:top w:w="0" w:type="dxa"/>
              <w:left w:w="105" w:type="dxa"/>
              <w:bottom w:w="0" w:type="dxa"/>
              <w:right w:w="105" w:type="dxa"/>
            </w:tcMar>
            <w:vAlign w:val="center"/>
          </w:tcPr>
          <w:p w14:paraId="30F16DEC">
            <w:pPr>
              <w:keepNext w:val="0"/>
              <w:keepLines w:val="0"/>
              <w:pageBreakBefore w:val="0"/>
              <w:kinsoku/>
              <w:wordWrap/>
              <w:overflowPunct/>
              <w:topLinePunct w:val="0"/>
              <w:autoSpaceDN/>
              <w:bidi w:val="0"/>
              <w:adjustRightInd w:val="0"/>
              <w:snapToGrid w:val="0"/>
              <w:spacing w:beforeAutospacing="0" w:afterAutospacing="0"/>
              <w:textAlignment w:val="auto"/>
              <w:rPr>
                <w:rFonts w:hint="eastAsia" w:ascii="仿宋" w:hAnsi="仿宋" w:eastAsia="仿宋" w:cs="仿宋"/>
                <w:sz w:val="24"/>
                <w:szCs w:val="24"/>
              </w:rPr>
            </w:pPr>
          </w:p>
        </w:tc>
        <w:tc>
          <w:tcPr>
            <w:tcW w:w="1163" w:type="dxa"/>
            <w:vMerge w:val="continue"/>
            <w:shd w:val="clear" w:color="auto" w:fill="auto"/>
            <w:tcMar>
              <w:top w:w="0" w:type="dxa"/>
              <w:left w:w="105" w:type="dxa"/>
              <w:bottom w:w="0" w:type="dxa"/>
              <w:right w:w="105" w:type="dxa"/>
            </w:tcMar>
            <w:vAlign w:val="center"/>
          </w:tcPr>
          <w:p w14:paraId="6342DFC7">
            <w:pPr>
              <w:keepNext w:val="0"/>
              <w:keepLines w:val="0"/>
              <w:pageBreakBefore w:val="0"/>
              <w:kinsoku/>
              <w:wordWrap/>
              <w:overflowPunct/>
              <w:topLinePunct w:val="0"/>
              <w:autoSpaceDN/>
              <w:bidi w:val="0"/>
              <w:adjustRightInd w:val="0"/>
              <w:snapToGrid w:val="0"/>
              <w:spacing w:beforeAutospacing="0" w:afterAutospacing="0"/>
              <w:textAlignment w:val="auto"/>
              <w:rPr>
                <w:rFonts w:hint="eastAsia" w:ascii="仿宋" w:hAnsi="仿宋" w:eastAsia="仿宋" w:cs="仿宋"/>
                <w:sz w:val="24"/>
                <w:szCs w:val="24"/>
              </w:rPr>
            </w:pPr>
          </w:p>
        </w:tc>
        <w:tc>
          <w:tcPr>
            <w:tcW w:w="1364" w:type="dxa"/>
            <w:shd w:val="clear" w:color="auto" w:fill="auto"/>
            <w:tcMar>
              <w:top w:w="0" w:type="dxa"/>
              <w:left w:w="105" w:type="dxa"/>
              <w:bottom w:w="0" w:type="dxa"/>
              <w:right w:w="105" w:type="dxa"/>
            </w:tcMar>
            <w:vAlign w:val="center"/>
          </w:tcPr>
          <w:p w14:paraId="4F259EFD">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ind w:left="0" w:firstLine="0"/>
              <w:jc w:val="center"/>
              <w:textAlignment w:val="auto"/>
              <w:rPr>
                <w:rFonts w:hint="eastAsia" w:ascii="仿宋" w:hAnsi="仿宋" w:eastAsia="仿宋" w:cs="仿宋"/>
                <w:sz w:val="24"/>
                <w:szCs w:val="24"/>
              </w:rPr>
            </w:pPr>
            <w:r>
              <w:rPr>
                <w:rFonts w:hint="eastAsia" w:ascii="仿宋" w:hAnsi="仿宋" w:eastAsia="仿宋" w:cs="仿宋"/>
                <w:sz w:val="24"/>
                <w:szCs w:val="24"/>
              </w:rPr>
              <w:t>模块26</w:t>
            </w:r>
          </w:p>
        </w:tc>
        <w:tc>
          <w:tcPr>
            <w:tcW w:w="6592" w:type="dxa"/>
            <w:shd w:val="clear" w:color="auto" w:fill="auto"/>
            <w:tcMar>
              <w:top w:w="0" w:type="dxa"/>
              <w:left w:w="105" w:type="dxa"/>
              <w:bottom w:w="0" w:type="dxa"/>
              <w:right w:w="105" w:type="dxa"/>
            </w:tcMar>
            <w:vAlign w:val="top"/>
          </w:tcPr>
          <w:p w14:paraId="0A6A21B9">
            <w:pPr>
              <w:pStyle w:val="14"/>
              <w:keepNext w:val="0"/>
              <w:keepLines w:val="0"/>
              <w:pageBreakBefore w:val="0"/>
              <w:widowControl/>
              <w:suppressLineNumbers w:val="0"/>
              <w:kinsoku/>
              <w:wordWrap/>
              <w:overflowPunct/>
              <w:topLinePunct w:val="0"/>
              <w:autoSpaceDN/>
              <w:bidi w:val="0"/>
              <w:adjustRightInd w:val="0"/>
              <w:snapToGrid w:val="0"/>
              <w:spacing w:beforeAutospacing="0" w:afterAutospacing="0"/>
              <w:ind w:left="0" w:firstLine="0"/>
              <w:textAlignment w:val="auto"/>
              <w:rPr>
                <w:rFonts w:hint="eastAsia" w:ascii="仿宋" w:hAnsi="仿宋" w:eastAsia="仿宋" w:cs="仿宋"/>
                <w:sz w:val="24"/>
                <w:szCs w:val="24"/>
              </w:rPr>
            </w:pPr>
            <w:r>
              <w:rPr>
                <w:rFonts w:hint="eastAsia" w:ascii="仿宋" w:hAnsi="仿宋" w:eastAsia="仿宋" w:cs="仿宋"/>
                <w:sz w:val="24"/>
                <w:szCs w:val="24"/>
              </w:rPr>
              <w:t>CSSD质量管理平台支持权限细化管理，可针对不同用户，设置界面的查看和编辑权限；支持敏感操作进行授权并留存日志可查询；</w:t>
            </w:r>
          </w:p>
        </w:tc>
      </w:tr>
      <w:tr w14:paraId="79BED1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29" w:type="dxa"/>
            <w:vMerge w:val="continue"/>
            <w:shd w:val="clear" w:color="auto" w:fill="auto"/>
            <w:tcMar>
              <w:top w:w="0" w:type="dxa"/>
              <w:left w:w="105" w:type="dxa"/>
              <w:bottom w:w="0" w:type="dxa"/>
              <w:right w:w="105" w:type="dxa"/>
            </w:tcMar>
            <w:vAlign w:val="center"/>
          </w:tcPr>
          <w:p w14:paraId="4BF01111">
            <w:pPr>
              <w:keepNext w:val="0"/>
              <w:keepLines w:val="0"/>
              <w:pageBreakBefore w:val="0"/>
              <w:kinsoku/>
              <w:wordWrap/>
              <w:overflowPunct/>
              <w:topLinePunct w:val="0"/>
              <w:autoSpaceDN/>
              <w:bidi w:val="0"/>
              <w:adjustRightInd w:val="0"/>
              <w:snapToGrid w:val="0"/>
              <w:spacing w:beforeAutospacing="0" w:afterAutospacing="0"/>
              <w:textAlignment w:val="auto"/>
              <w:rPr>
                <w:rFonts w:hint="eastAsia" w:ascii="仿宋" w:hAnsi="仿宋" w:eastAsia="仿宋" w:cs="仿宋"/>
                <w:sz w:val="24"/>
                <w:szCs w:val="24"/>
              </w:rPr>
            </w:pPr>
          </w:p>
        </w:tc>
        <w:tc>
          <w:tcPr>
            <w:tcW w:w="1163" w:type="dxa"/>
            <w:vMerge w:val="continue"/>
            <w:shd w:val="clear" w:color="auto" w:fill="auto"/>
            <w:tcMar>
              <w:top w:w="0" w:type="dxa"/>
              <w:left w:w="105" w:type="dxa"/>
              <w:bottom w:w="0" w:type="dxa"/>
              <w:right w:w="105" w:type="dxa"/>
            </w:tcMar>
            <w:vAlign w:val="center"/>
          </w:tcPr>
          <w:p w14:paraId="164337A0">
            <w:pPr>
              <w:keepNext w:val="0"/>
              <w:keepLines w:val="0"/>
              <w:pageBreakBefore w:val="0"/>
              <w:kinsoku/>
              <w:wordWrap/>
              <w:overflowPunct/>
              <w:topLinePunct w:val="0"/>
              <w:autoSpaceDN/>
              <w:bidi w:val="0"/>
              <w:adjustRightInd w:val="0"/>
              <w:snapToGrid w:val="0"/>
              <w:spacing w:beforeAutospacing="0" w:afterAutospacing="0"/>
              <w:textAlignment w:val="auto"/>
              <w:rPr>
                <w:rFonts w:hint="eastAsia" w:ascii="仿宋" w:hAnsi="仿宋" w:eastAsia="仿宋" w:cs="仿宋"/>
                <w:sz w:val="24"/>
                <w:szCs w:val="24"/>
              </w:rPr>
            </w:pPr>
          </w:p>
        </w:tc>
        <w:tc>
          <w:tcPr>
            <w:tcW w:w="1364" w:type="dxa"/>
            <w:shd w:val="clear" w:color="auto" w:fill="auto"/>
            <w:tcMar>
              <w:top w:w="0" w:type="dxa"/>
              <w:left w:w="105" w:type="dxa"/>
              <w:bottom w:w="0" w:type="dxa"/>
              <w:right w:w="105" w:type="dxa"/>
            </w:tcMar>
            <w:vAlign w:val="center"/>
          </w:tcPr>
          <w:p w14:paraId="5736BADF">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ind w:left="0" w:firstLine="0"/>
              <w:jc w:val="center"/>
              <w:textAlignment w:val="auto"/>
              <w:rPr>
                <w:rFonts w:hint="eastAsia" w:ascii="仿宋" w:hAnsi="仿宋" w:eastAsia="仿宋" w:cs="仿宋"/>
                <w:sz w:val="24"/>
                <w:szCs w:val="24"/>
              </w:rPr>
            </w:pPr>
            <w:r>
              <w:rPr>
                <w:rFonts w:hint="eastAsia" w:ascii="仿宋" w:hAnsi="仿宋" w:eastAsia="仿宋" w:cs="仿宋"/>
                <w:sz w:val="24"/>
                <w:szCs w:val="24"/>
              </w:rPr>
              <w:t>模块27</w:t>
            </w:r>
          </w:p>
        </w:tc>
        <w:tc>
          <w:tcPr>
            <w:tcW w:w="6592" w:type="dxa"/>
            <w:shd w:val="clear" w:color="auto" w:fill="auto"/>
            <w:tcMar>
              <w:top w:w="0" w:type="dxa"/>
              <w:left w:w="105" w:type="dxa"/>
              <w:bottom w:w="0" w:type="dxa"/>
              <w:right w:w="105" w:type="dxa"/>
            </w:tcMar>
            <w:vAlign w:val="top"/>
          </w:tcPr>
          <w:p w14:paraId="2F9DF1EA">
            <w:pPr>
              <w:pStyle w:val="14"/>
              <w:keepNext w:val="0"/>
              <w:keepLines w:val="0"/>
              <w:pageBreakBefore w:val="0"/>
              <w:widowControl/>
              <w:suppressLineNumbers w:val="0"/>
              <w:kinsoku/>
              <w:wordWrap/>
              <w:overflowPunct/>
              <w:topLinePunct w:val="0"/>
              <w:autoSpaceDN/>
              <w:bidi w:val="0"/>
              <w:adjustRightInd w:val="0"/>
              <w:snapToGrid w:val="0"/>
              <w:spacing w:beforeAutospacing="0" w:afterAutospacing="0"/>
              <w:ind w:left="0" w:firstLine="0"/>
              <w:textAlignment w:val="auto"/>
              <w:rPr>
                <w:rFonts w:hint="eastAsia" w:ascii="仿宋" w:hAnsi="仿宋" w:eastAsia="仿宋" w:cs="仿宋"/>
                <w:sz w:val="24"/>
                <w:szCs w:val="24"/>
              </w:rPr>
            </w:pPr>
            <w:r>
              <w:rPr>
                <w:rFonts w:hint="eastAsia" w:ascii="仿宋" w:hAnsi="仿宋" w:eastAsia="仿宋" w:cs="仿宋"/>
                <w:sz w:val="24"/>
                <w:szCs w:val="24"/>
              </w:rPr>
              <w:t>CSSD质量管理平台支持覆盖人、财、物及各流程的报表统计分析，包括但不限于人员绩效、回收统计、发放费用等，支持个性化报表定制，满足各类型数据管理需求；</w:t>
            </w:r>
          </w:p>
        </w:tc>
      </w:tr>
      <w:tr w14:paraId="625676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29" w:type="dxa"/>
            <w:vMerge w:val="continue"/>
            <w:shd w:val="clear" w:color="auto" w:fill="auto"/>
            <w:tcMar>
              <w:top w:w="0" w:type="dxa"/>
              <w:left w:w="105" w:type="dxa"/>
              <w:bottom w:w="0" w:type="dxa"/>
              <w:right w:w="105" w:type="dxa"/>
            </w:tcMar>
            <w:vAlign w:val="center"/>
          </w:tcPr>
          <w:p w14:paraId="733C5BA0">
            <w:pPr>
              <w:keepNext w:val="0"/>
              <w:keepLines w:val="0"/>
              <w:pageBreakBefore w:val="0"/>
              <w:kinsoku/>
              <w:wordWrap/>
              <w:overflowPunct/>
              <w:topLinePunct w:val="0"/>
              <w:autoSpaceDN/>
              <w:bidi w:val="0"/>
              <w:adjustRightInd w:val="0"/>
              <w:snapToGrid w:val="0"/>
              <w:spacing w:beforeAutospacing="0" w:afterAutospacing="0"/>
              <w:textAlignment w:val="auto"/>
              <w:rPr>
                <w:rFonts w:hint="eastAsia" w:ascii="仿宋" w:hAnsi="仿宋" w:eastAsia="仿宋" w:cs="仿宋"/>
                <w:sz w:val="24"/>
                <w:szCs w:val="24"/>
              </w:rPr>
            </w:pPr>
          </w:p>
        </w:tc>
        <w:tc>
          <w:tcPr>
            <w:tcW w:w="1163" w:type="dxa"/>
            <w:vMerge w:val="continue"/>
            <w:shd w:val="clear" w:color="auto" w:fill="auto"/>
            <w:tcMar>
              <w:top w:w="0" w:type="dxa"/>
              <w:left w:w="105" w:type="dxa"/>
              <w:bottom w:w="0" w:type="dxa"/>
              <w:right w:w="105" w:type="dxa"/>
            </w:tcMar>
            <w:vAlign w:val="center"/>
          </w:tcPr>
          <w:p w14:paraId="6F94412E">
            <w:pPr>
              <w:keepNext w:val="0"/>
              <w:keepLines w:val="0"/>
              <w:pageBreakBefore w:val="0"/>
              <w:kinsoku/>
              <w:wordWrap/>
              <w:overflowPunct/>
              <w:topLinePunct w:val="0"/>
              <w:autoSpaceDN/>
              <w:bidi w:val="0"/>
              <w:adjustRightInd w:val="0"/>
              <w:snapToGrid w:val="0"/>
              <w:spacing w:beforeAutospacing="0" w:afterAutospacing="0"/>
              <w:textAlignment w:val="auto"/>
              <w:rPr>
                <w:rFonts w:hint="eastAsia" w:ascii="仿宋" w:hAnsi="仿宋" w:eastAsia="仿宋" w:cs="仿宋"/>
                <w:sz w:val="24"/>
                <w:szCs w:val="24"/>
              </w:rPr>
            </w:pPr>
          </w:p>
        </w:tc>
        <w:tc>
          <w:tcPr>
            <w:tcW w:w="1364" w:type="dxa"/>
            <w:shd w:val="clear" w:color="auto" w:fill="auto"/>
            <w:tcMar>
              <w:top w:w="0" w:type="dxa"/>
              <w:left w:w="105" w:type="dxa"/>
              <w:bottom w:w="0" w:type="dxa"/>
              <w:right w:w="105" w:type="dxa"/>
            </w:tcMar>
            <w:vAlign w:val="center"/>
          </w:tcPr>
          <w:p w14:paraId="20C9054E">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ind w:left="0" w:firstLine="0"/>
              <w:jc w:val="center"/>
              <w:textAlignment w:val="auto"/>
              <w:rPr>
                <w:rFonts w:hint="eastAsia" w:ascii="仿宋" w:hAnsi="仿宋" w:eastAsia="仿宋" w:cs="仿宋"/>
                <w:sz w:val="24"/>
                <w:szCs w:val="24"/>
              </w:rPr>
            </w:pPr>
            <w:r>
              <w:rPr>
                <w:rFonts w:hint="eastAsia" w:ascii="仿宋" w:hAnsi="仿宋" w:eastAsia="仿宋" w:cs="仿宋"/>
                <w:sz w:val="24"/>
                <w:szCs w:val="24"/>
              </w:rPr>
              <w:t>模块28</w:t>
            </w:r>
          </w:p>
        </w:tc>
        <w:tc>
          <w:tcPr>
            <w:tcW w:w="6592" w:type="dxa"/>
            <w:shd w:val="clear" w:color="auto" w:fill="auto"/>
            <w:tcMar>
              <w:top w:w="0" w:type="dxa"/>
              <w:left w:w="105" w:type="dxa"/>
              <w:bottom w:w="0" w:type="dxa"/>
              <w:right w:w="105" w:type="dxa"/>
            </w:tcMar>
            <w:vAlign w:val="top"/>
          </w:tcPr>
          <w:p w14:paraId="1FD094F0">
            <w:pPr>
              <w:pStyle w:val="14"/>
              <w:keepNext w:val="0"/>
              <w:keepLines w:val="0"/>
              <w:pageBreakBefore w:val="0"/>
              <w:widowControl/>
              <w:suppressLineNumbers w:val="0"/>
              <w:kinsoku/>
              <w:wordWrap/>
              <w:overflowPunct/>
              <w:topLinePunct w:val="0"/>
              <w:autoSpaceDN/>
              <w:bidi w:val="0"/>
              <w:adjustRightInd w:val="0"/>
              <w:snapToGrid w:val="0"/>
              <w:spacing w:beforeAutospacing="0" w:afterAutospacing="0"/>
              <w:ind w:left="0" w:firstLine="0"/>
              <w:textAlignment w:val="auto"/>
              <w:rPr>
                <w:rFonts w:hint="eastAsia" w:ascii="仿宋" w:hAnsi="仿宋" w:eastAsia="仿宋" w:cs="仿宋"/>
                <w:sz w:val="24"/>
                <w:szCs w:val="24"/>
              </w:rPr>
            </w:pPr>
            <w:r>
              <w:rPr>
                <w:rFonts w:hint="eastAsia" w:ascii="仿宋" w:hAnsi="仿宋" w:eastAsia="仿宋" w:cs="仿宋"/>
                <w:sz w:val="24"/>
                <w:szCs w:val="24"/>
              </w:rPr>
              <w:t>CSSD质量管理平台支持质控指标统计，系统提供指标定义及说明、趋势分析，支持统计人员实时查阅；支持质控数据大屏监控信息展示，实时图表展示各质量控制数据；</w:t>
            </w:r>
          </w:p>
        </w:tc>
      </w:tr>
      <w:tr w14:paraId="14CE0D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29" w:type="dxa"/>
            <w:vMerge w:val="continue"/>
            <w:shd w:val="clear" w:color="auto" w:fill="auto"/>
            <w:tcMar>
              <w:top w:w="0" w:type="dxa"/>
              <w:left w:w="105" w:type="dxa"/>
              <w:bottom w:w="0" w:type="dxa"/>
              <w:right w:w="105" w:type="dxa"/>
            </w:tcMar>
            <w:vAlign w:val="center"/>
          </w:tcPr>
          <w:p w14:paraId="3DBE6413">
            <w:pPr>
              <w:keepNext w:val="0"/>
              <w:keepLines w:val="0"/>
              <w:pageBreakBefore w:val="0"/>
              <w:kinsoku/>
              <w:wordWrap/>
              <w:overflowPunct/>
              <w:topLinePunct w:val="0"/>
              <w:autoSpaceDN/>
              <w:bidi w:val="0"/>
              <w:adjustRightInd w:val="0"/>
              <w:snapToGrid w:val="0"/>
              <w:spacing w:beforeAutospacing="0" w:afterAutospacing="0"/>
              <w:textAlignment w:val="auto"/>
              <w:rPr>
                <w:rFonts w:hint="eastAsia" w:ascii="仿宋" w:hAnsi="仿宋" w:eastAsia="仿宋" w:cs="仿宋"/>
                <w:sz w:val="24"/>
                <w:szCs w:val="24"/>
              </w:rPr>
            </w:pPr>
          </w:p>
        </w:tc>
        <w:tc>
          <w:tcPr>
            <w:tcW w:w="1163" w:type="dxa"/>
            <w:vMerge w:val="continue"/>
            <w:shd w:val="clear" w:color="auto" w:fill="auto"/>
            <w:tcMar>
              <w:top w:w="0" w:type="dxa"/>
              <w:left w:w="105" w:type="dxa"/>
              <w:bottom w:w="0" w:type="dxa"/>
              <w:right w:w="105" w:type="dxa"/>
            </w:tcMar>
            <w:vAlign w:val="center"/>
          </w:tcPr>
          <w:p w14:paraId="530E0850">
            <w:pPr>
              <w:keepNext w:val="0"/>
              <w:keepLines w:val="0"/>
              <w:pageBreakBefore w:val="0"/>
              <w:kinsoku/>
              <w:wordWrap/>
              <w:overflowPunct/>
              <w:topLinePunct w:val="0"/>
              <w:autoSpaceDN/>
              <w:bidi w:val="0"/>
              <w:adjustRightInd w:val="0"/>
              <w:snapToGrid w:val="0"/>
              <w:spacing w:beforeAutospacing="0" w:afterAutospacing="0"/>
              <w:textAlignment w:val="auto"/>
              <w:rPr>
                <w:rFonts w:hint="eastAsia" w:ascii="仿宋" w:hAnsi="仿宋" w:eastAsia="仿宋" w:cs="仿宋"/>
                <w:sz w:val="24"/>
                <w:szCs w:val="24"/>
              </w:rPr>
            </w:pPr>
          </w:p>
        </w:tc>
        <w:tc>
          <w:tcPr>
            <w:tcW w:w="1364" w:type="dxa"/>
            <w:shd w:val="clear" w:color="auto" w:fill="auto"/>
            <w:tcMar>
              <w:top w:w="0" w:type="dxa"/>
              <w:left w:w="105" w:type="dxa"/>
              <w:bottom w:w="0" w:type="dxa"/>
              <w:right w:w="105" w:type="dxa"/>
            </w:tcMar>
            <w:vAlign w:val="center"/>
          </w:tcPr>
          <w:p w14:paraId="40FCC308">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ind w:left="0" w:firstLine="0"/>
              <w:jc w:val="center"/>
              <w:textAlignment w:val="auto"/>
              <w:rPr>
                <w:rFonts w:hint="eastAsia" w:ascii="仿宋" w:hAnsi="仿宋" w:eastAsia="仿宋" w:cs="仿宋"/>
                <w:sz w:val="24"/>
                <w:szCs w:val="24"/>
              </w:rPr>
            </w:pPr>
            <w:r>
              <w:rPr>
                <w:rFonts w:hint="eastAsia" w:ascii="仿宋" w:hAnsi="仿宋" w:eastAsia="仿宋" w:cs="仿宋"/>
                <w:sz w:val="24"/>
                <w:szCs w:val="24"/>
              </w:rPr>
              <w:t>模块29</w:t>
            </w:r>
          </w:p>
        </w:tc>
        <w:tc>
          <w:tcPr>
            <w:tcW w:w="6592" w:type="dxa"/>
            <w:shd w:val="clear" w:color="auto" w:fill="auto"/>
            <w:tcMar>
              <w:top w:w="0" w:type="dxa"/>
              <w:left w:w="105" w:type="dxa"/>
              <w:bottom w:w="0" w:type="dxa"/>
              <w:right w:w="105" w:type="dxa"/>
            </w:tcMar>
            <w:vAlign w:val="top"/>
          </w:tcPr>
          <w:p w14:paraId="5A000413">
            <w:pPr>
              <w:pStyle w:val="14"/>
              <w:keepNext w:val="0"/>
              <w:keepLines w:val="0"/>
              <w:pageBreakBefore w:val="0"/>
              <w:widowControl/>
              <w:suppressLineNumbers w:val="0"/>
              <w:kinsoku/>
              <w:wordWrap/>
              <w:overflowPunct/>
              <w:topLinePunct w:val="0"/>
              <w:autoSpaceDN/>
              <w:bidi w:val="0"/>
              <w:adjustRightInd w:val="0"/>
              <w:snapToGrid w:val="0"/>
              <w:spacing w:beforeAutospacing="0" w:afterAutospacing="0"/>
              <w:ind w:left="0" w:firstLine="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CSSD质量管理平台支持大屏监控信息展示，图表化显示当前发放进度，设备实时在线情况，各流程数据汇总，无菌包及器械异常信息，加急物品处理进度等</w:t>
            </w:r>
            <w:r>
              <w:rPr>
                <w:rFonts w:hint="eastAsia" w:ascii="仿宋" w:hAnsi="仿宋" w:eastAsia="仿宋" w:cs="仿宋"/>
                <w:sz w:val="24"/>
                <w:szCs w:val="24"/>
              </w:rPr>
              <w:t>；</w:t>
            </w:r>
          </w:p>
        </w:tc>
      </w:tr>
      <w:tr w14:paraId="3908E1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29" w:type="dxa"/>
            <w:vMerge w:val="continue"/>
            <w:shd w:val="clear" w:color="auto" w:fill="auto"/>
            <w:tcMar>
              <w:top w:w="0" w:type="dxa"/>
              <w:left w:w="105" w:type="dxa"/>
              <w:bottom w:w="0" w:type="dxa"/>
              <w:right w:w="105" w:type="dxa"/>
            </w:tcMar>
            <w:vAlign w:val="center"/>
          </w:tcPr>
          <w:p w14:paraId="6FCF8879">
            <w:pPr>
              <w:keepNext w:val="0"/>
              <w:keepLines w:val="0"/>
              <w:pageBreakBefore w:val="0"/>
              <w:kinsoku/>
              <w:wordWrap/>
              <w:overflowPunct/>
              <w:topLinePunct w:val="0"/>
              <w:autoSpaceDN/>
              <w:bidi w:val="0"/>
              <w:adjustRightInd w:val="0"/>
              <w:snapToGrid w:val="0"/>
              <w:spacing w:beforeAutospacing="0" w:afterAutospacing="0"/>
              <w:textAlignment w:val="auto"/>
              <w:rPr>
                <w:rFonts w:hint="eastAsia" w:ascii="仿宋" w:hAnsi="仿宋" w:eastAsia="仿宋" w:cs="仿宋"/>
                <w:sz w:val="24"/>
                <w:szCs w:val="24"/>
              </w:rPr>
            </w:pPr>
          </w:p>
        </w:tc>
        <w:tc>
          <w:tcPr>
            <w:tcW w:w="1163" w:type="dxa"/>
            <w:vMerge w:val="continue"/>
            <w:shd w:val="clear" w:color="auto" w:fill="auto"/>
            <w:tcMar>
              <w:top w:w="0" w:type="dxa"/>
              <w:left w:w="105" w:type="dxa"/>
              <w:bottom w:w="0" w:type="dxa"/>
              <w:right w:w="105" w:type="dxa"/>
            </w:tcMar>
            <w:vAlign w:val="center"/>
          </w:tcPr>
          <w:p w14:paraId="1E44D3F3">
            <w:pPr>
              <w:keepNext w:val="0"/>
              <w:keepLines w:val="0"/>
              <w:pageBreakBefore w:val="0"/>
              <w:kinsoku/>
              <w:wordWrap/>
              <w:overflowPunct/>
              <w:topLinePunct w:val="0"/>
              <w:autoSpaceDN/>
              <w:bidi w:val="0"/>
              <w:adjustRightInd w:val="0"/>
              <w:snapToGrid w:val="0"/>
              <w:spacing w:beforeAutospacing="0" w:afterAutospacing="0"/>
              <w:textAlignment w:val="auto"/>
              <w:rPr>
                <w:rFonts w:hint="eastAsia" w:ascii="仿宋" w:hAnsi="仿宋" w:eastAsia="仿宋" w:cs="仿宋"/>
                <w:sz w:val="24"/>
                <w:szCs w:val="24"/>
              </w:rPr>
            </w:pPr>
          </w:p>
        </w:tc>
        <w:tc>
          <w:tcPr>
            <w:tcW w:w="1364" w:type="dxa"/>
            <w:shd w:val="clear" w:color="auto" w:fill="auto"/>
            <w:tcMar>
              <w:top w:w="0" w:type="dxa"/>
              <w:left w:w="105" w:type="dxa"/>
              <w:bottom w:w="0" w:type="dxa"/>
              <w:right w:w="105" w:type="dxa"/>
            </w:tcMar>
            <w:vAlign w:val="center"/>
          </w:tcPr>
          <w:p w14:paraId="22CA7571">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ind w:left="0" w:firstLine="0"/>
              <w:jc w:val="center"/>
              <w:textAlignment w:val="auto"/>
              <w:rPr>
                <w:rFonts w:hint="eastAsia" w:ascii="仿宋" w:hAnsi="仿宋" w:eastAsia="仿宋" w:cs="仿宋"/>
                <w:sz w:val="24"/>
                <w:szCs w:val="24"/>
              </w:rPr>
            </w:pPr>
            <w:r>
              <w:rPr>
                <w:rFonts w:hint="eastAsia" w:ascii="仿宋" w:hAnsi="仿宋" w:eastAsia="仿宋" w:cs="仿宋"/>
                <w:sz w:val="24"/>
                <w:szCs w:val="24"/>
              </w:rPr>
              <w:t>模块30</w:t>
            </w:r>
          </w:p>
        </w:tc>
        <w:tc>
          <w:tcPr>
            <w:tcW w:w="6592" w:type="dxa"/>
            <w:shd w:val="clear" w:color="auto" w:fill="auto"/>
            <w:tcMar>
              <w:top w:w="0" w:type="dxa"/>
              <w:left w:w="105" w:type="dxa"/>
              <w:bottom w:w="0" w:type="dxa"/>
              <w:right w:w="105" w:type="dxa"/>
            </w:tcMar>
            <w:vAlign w:val="top"/>
          </w:tcPr>
          <w:p w14:paraId="547A1368">
            <w:pPr>
              <w:pStyle w:val="14"/>
              <w:keepNext w:val="0"/>
              <w:keepLines w:val="0"/>
              <w:pageBreakBefore w:val="0"/>
              <w:widowControl/>
              <w:suppressLineNumbers w:val="0"/>
              <w:kinsoku/>
              <w:wordWrap/>
              <w:overflowPunct/>
              <w:topLinePunct w:val="0"/>
              <w:autoSpaceDN/>
              <w:bidi w:val="0"/>
              <w:adjustRightInd w:val="0"/>
              <w:snapToGrid w:val="0"/>
              <w:spacing w:beforeAutospacing="0" w:afterAutospacing="0"/>
              <w:ind w:left="0" w:firstLine="0"/>
              <w:textAlignment w:val="auto"/>
              <w:rPr>
                <w:rFonts w:hint="eastAsia" w:ascii="仿宋" w:hAnsi="仿宋" w:eastAsia="仿宋" w:cs="仿宋"/>
                <w:sz w:val="24"/>
                <w:szCs w:val="24"/>
              </w:rPr>
            </w:pPr>
            <w:r>
              <w:rPr>
                <w:rFonts w:hint="eastAsia" w:ascii="仿宋" w:hAnsi="仿宋" w:eastAsia="仿宋" w:cs="仿宋"/>
                <w:sz w:val="24"/>
                <w:szCs w:val="24"/>
              </w:rPr>
              <w:t>CSSD质量管理平台具备单独的后台管理子系统，支持展示管理区域下所有数据运维情况。</w:t>
            </w:r>
          </w:p>
        </w:tc>
      </w:tr>
      <w:tr w14:paraId="74BF4A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29" w:type="dxa"/>
            <w:vMerge w:val="continue"/>
            <w:shd w:val="clear" w:color="auto" w:fill="auto"/>
            <w:tcMar>
              <w:top w:w="0" w:type="dxa"/>
              <w:left w:w="105" w:type="dxa"/>
              <w:bottom w:w="0" w:type="dxa"/>
              <w:right w:w="105" w:type="dxa"/>
            </w:tcMar>
            <w:vAlign w:val="center"/>
          </w:tcPr>
          <w:p w14:paraId="1BBE4C04">
            <w:pPr>
              <w:keepNext w:val="0"/>
              <w:keepLines w:val="0"/>
              <w:pageBreakBefore w:val="0"/>
              <w:kinsoku/>
              <w:wordWrap/>
              <w:overflowPunct/>
              <w:topLinePunct w:val="0"/>
              <w:autoSpaceDN/>
              <w:bidi w:val="0"/>
              <w:adjustRightInd w:val="0"/>
              <w:snapToGrid w:val="0"/>
              <w:spacing w:beforeAutospacing="0" w:afterAutospacing="0"/>
              <w:textAlignment w:val="auto"/>
              <w:rPr>
                <w:rFonts w:hint="eastAsia" w:ascii="仿宋" w:hAnsi="仿宋" w:eastAsia="仿宋" w:cs="仿宋"/>
                <w:sz w:val="24"/>
                <w:szCs w:val="24"/>
              </w:rPr>
            </w:pPr>
          </w:p>
        </w:tc>
        <w:tc>
          <w:tcPr>
            <w:tcW w:w="1163" w:type="dxa"/>
            <w:vMerge w:val="continue"/>
            <w:shd w:val="clear" w:color="auto" w:fill="auto"/>
            <w:tcMar>
              <w:top w:w="0" w:type="dxa"/>
              <w:left w:w="105" w:type="dxa"/>
              <w:bottom w:w="0" w:type="dxa"/>
              <w:right w:w="105" w:type="dxa"/>
            </w:tcMar>
            <w:vAlign w:val="center"/>
          </w:tcPr>
          <w:p w14:paraId="04D721EC">
            <w:pPr>
              <w:keepNext w:val="0"/>
              <w:keepLines w:val="0"/>
              <w:pageBreakBefore w:val="0"/>
              <w:kinsoku/>
              <w:wordWrap/>
              <w:overflowPunct/>
              <w:topLinePunct w:val="0"/>
              <w:autoSpaceDN/>
              <w:bidi w:val="0"/>
              <w:adjustRightInd w:val="0"/>
              <w:snapToGrid w:val="0"/>
              <w:spacing w:beforeAutospacing="0" w:afterAutospacing="0"/>
              <w:textAlignment w:val="auto"/>
              <w:rPr>
                <w:rFonts w:hint="eastAsia" w:ascii="仿宋" w:hAnsi="仿宋" w:eastAsia="仿宋" w:cs="仿宋"/>
                <w:sz w:val="24"/>
                <w:szCs w:val="24"/>
              </w:rPr>
            </w:pPr>
          </w:p>
        </w:tc>
        <w:tc>
          <w:tcPr>
            <w:tcW w:w="1364" w:type="dxa"/>
            <w:shd w:val="clear" w:color="auto" w:fill="auto"/>
            <w:tcMar>
              <w:top w:w="0" w:type="dxa"/>
              <w:left w:w="105" w:type="dxa"/>
              <w:bottom w:w="0" w:type="dxa"/>
              <w:right w:w="105" w:type="dxa"/>
            </w:tcMar>
            <w:vAlign w:val="center"/>
          </w:tcPr>
          <w:p w14:paraId="42522C47">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ind w:left="0" w:firstLine="0"/>
              <w:jc w:val="center"/>
              <w:textAlignment w:val="auto"/>
              <w:rPr>
                <w:rFonts w:hint="eastAsia" w:ascii="仿宋" w:hAnsi="仿宋" w:eastAsia="仿宋" w:cs="仿宋"/>
                <w:sz w:val="24"/>
                <w:szCs w:val="24"/>
              </w:rPr>
            </w:pPr>
            <w:r>
              <w:rPr>
                <w:rFonts w:hint="eastAsia" w:ascii="仿宋" w:hAnsi="仿宋" w:eastAsia="仿宋" w:cs="仿宋"/>
                <w:sz w:val="24"/>
                <w:szCs w:val="24"/>
              </w:rPr>
              <w:t>模块31</w:t>
            </w:r>
          </w:p>
        </w:tc>
        <w:tc>
          <w:tcPr>
            <w:tcW w:w="6592" w:type="dxa"/>
            <w:shd w:val="clear" w:color="auto" w:fill="auto"/>
            <w:tcMar>
              <w:top w:w="0" w:type="dxa"/>
              <w:left w:w="105" w:type="dxa"/>
              <w:bottom w:w="0" w:type="dxa"/>
              <w:right w:w="105" w:type="dxa"/>
            </w:tcMar>
            <w:vAlign w:val="top"/>
          </w:tcPr>
          <w:p w14:paraId="7C490320">
            <w:pPr>
              <w:pStyle w:val="14"/>
              <w:keepNext w:val="0"/>
              <w:keepLines w:val="0"/>
              <w:pageBreakBefore w:val="0"/>
              <w:widowControl/>
              <w:suppressLineNumbers w:val="0"/>
              <w:kinsoku/>
              <w:wordWrap/>
              <w:overflowPunct/>
              <w:topLinePunct w:val="0"/>
              <w:autoSpaceDN/>
              <w:bidi w:val="0"/>
              <w:adjustRightInd w:val="0"/>
              <w:snapToGrid w:val="0"/>
              <w:spacing w:beforeAutospacing="0" w:afterAutospacing="0"/>
              <w:ind w:left="0" w:firstLine="0"/>
              <w:textAlignment w:val="auto"/>
              <w:rPr>
                <w:rFonts w:hint="eastAsia" w:ascii="仿宋" w:hAnsi="仿宋" w:eastAsia="仿宋" w:cs="仿宋"/>
                <w:sz w:val="24"/>
                <w:szCs w:val="24"/>
              </w:rPr>
            </w:pPr>
            <w:r>
              <w:rPr>
                <w:rFonts w:hint="eastAsia" w:ascii="仿宋" w:hAnsi="仿宋" w:eastAsia="仿宋" w:cs="仿宋"/>
                <w:sz w:val="24"/>
                <w:szCs w:val="24"/>
              </w:rPr>
              <w:t>CSSD质量管理平台支持洗消设备每日巡检提醒，记录巡检结果，上传巡检凭据；满足规范要求的前提下，灭菌设备支持设定周期性生物监测间隔天数；针对植入物锅次和周期性锅次在提前放行规定上设置；</w:t>
            </w:r>
          </w:p>
        </w:tc>
      </w:tr>
      <w:tr w14:paraId="05DF5A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29" w:type="dxa"/>
            <w:vMerge w:val="continue"/>
            <w:shd w:val="clear" w:color="auto" w:fill="auto"/>
            <w:tcMar>
              <w:top w:w="0" w:type="dxa"/>
              <w:left w:w="105" w:type="dxa"/>
              <w:bottom w:w="0" w:type="dxa"/>
              <w:right w:w="105" w:type="dxa"/>
            </w:tcMar>
            <w:vAlign w:val="center"/>
          </w:tcPr>
          <w:p w14:paraId="2B64E7BB">
            <w:pPr>
              <w:keepNext w:val="0"/>
              <w:keepLines w:val="0"/>
              <w:pageBreakBefore w:val="0"/>
              <w:kinsoku/>
              <w:wordWrap/>
              <w:overflowPunct/>
              <w:topLinePunct w:val="0"/>
              <w:autoSpaceDN/>
              <w:bidi w:val="0"/>
              <w:adjustRightInd w:val="0"/>
              <w:snapToGrid w:val="0"/>
              <w:spacing w:beforeAutospacing="0" w:afterAutospacing="0"/>
              <w:textAlignment w:val="auto"/>
              <w:rPr>
                <w:rFonts w:hint="eastAsia" w:ascii="仿宋" w:hAnsi="仿宋" w:eastAsia="仿宋" w:cs="仿宋"/>
                <w:sz w:val="24"/>
                <w:szCs w:val="24"/>
              </w:rPr>
            </w:pPr>
          </w:p>
        </w:tc>
        <w:tc>
          <w:tcPr>
            <w:tcW w:w="1163" w:type="dxa"/>
            <w:vMerge w:val="continue"/>
            <w:shd w:val="clear" w:color="auto" w:fill="auto"/>
            <w:tcMar>
              <w:top w:w="0" w:type="dxa"/>
              <w:left w:w="105" w:type="dxa"/>
              <w:bottom w:w="0" w:type="dxa"/>
              <w:right w:w="105" w:type="dxa"/>
            </w:tcMar>
            <w:vAlign w:val="center"/>
          </w:tcPr>
          <w:p w14:paraId="41A8248C">
            <w:pPr>
              <w:keepNext w:val="0"/>
              <w:keepLines w:val="0"/>
              <w:pageBreakBefore w:val="0"/>
              <w:kinsoku/>
              <w:wordWrap/>
              <w:overflowPunct/>
              <w:topLinePunct w:val="0"/>
              <w:autoSpaceDN/>
              <w:bidi w:val="0"/>
              <w:adjustRightInd w:val="0"/>
              <w:snapToGrid w:val="0"/>
              <w:spacing w:beforeAutospacing="0" w:afterAutospacing="0"/>
              <w:textAlignment w:val="auto"/>
              <w:rPr>
                <w:rFonts w:hint="eastAsia" w:ascii="仿宋" w:hAnsi="仿宋" w:eastAsia="仿宋" w:cs="仿宋"/>
                <w:sz w:val="24"/>
                <w:szCs w:val="24"/>
              </w:rPr>
            </w:pPr>
          </w:p>
        </w:tc>
        <w:tc>
          <w:tcPr>
            <w:tcW w:w="1364" w:type="dxa"/>
            <w:shd w:val="clear" w:color="auto" w:fill="auto"/>
            <w:tcMar>
              <w:top w:w="0" w:type="dxa"/>
              <w:left w:w="105" w:type="dxa"/>
              <w:bottom w:w="0" w:type="dxa"/>
              <w:right w:w="105" w:type="dxa"/>
            </w:tcMar>
            <w:vAlign w:val="center"/>
          </w:tcPr>
          <w:p w14:paraId="0A4B7472">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ind w:left="0" w:firstLine="0"/>
              <w:jc w:val="center"/>
              <w:textAlignment w:val="auto"/>
              <w:rPr>
                <w:rFonts w:hint="eastAsia" w:ascii="仿宋" w:hAnsi="仿宋" w:eastAsia="仿宋" w:cs="仿宋"/>
                <w:sz w:val="24"/>
                <w:szCs w:val="24"/>
              </w:rPr>
            </w:pPr>
            <w:r>
              <w:rPr>
                <w:rFonts w:hint="eastAsia" w:ascii="仿宋" w:hAnsi="仿宋" w:eastAsia="仿宋" w:cs="仿宋"/>
                <w:sz w:val="24"/>
                <w:szCs w:val="24"/>
              </w:rPr>
              <w:t>模块32</w:t>
            </w:r>
          </w:p>
        </w:tc>
        <w:tc>
          <w:tcPr>
            <w:tcW w:w="6592" w:type="dxa"/>
            <w:shd w:val="clear" w:color="auto" w:fill="auto"/>
            <w:tcMar>
              <w:top w:w="0" w:type="dxa"/>
              <w:left w:w="105" w:type="dxa"/>
              <w:bottom w:w="0" w:type="dxa"/>
              <w:right w:w="105" w:type="dxa"/>
            </w:tcMar>
            <w:vAlign w:val="top"/>
          </w:tcPr>
          <w:p w14:paraId="306507AB">
            <w:pPr>
              <w:pStyle w:val="14"/>
              <w:keepNext w:val="0"/>
              <w:keepLines w:val="0"/>
              <w:pageBreakBefore w:val="0"/>
              <w:widowControl/>
              <w:suppressLineNumbers w:val="0"/>
              <w:kinsoku/>
              <w:wordWrap/>
              <w:overflowPunct/>
              <w:topLinePunct w:val="0"/>
              <w:autoSpaceDN/>
              <w:bidi w:val="0"/>
              <w:adjustRightInd w:val="0"/>
              <w:snapToGrid w:val="0"/>
              <w:spacing w:beforeAutospacing="0" w:afterAutospacing="0"/>
              <w:ind w:left="0" w:firstLine="0"/>
              <w:textAlignment w:val="auto"/>
              <w:rPr>
                <w:rFonts w:hint="eastAsia" w:ascii="仿宋" w:hAnsi="仿宋" w:eastAsia="仿宋" w:cs="仿宋"/>
                <w:sz w:val="24"/>
                <w:szCs w:val="24"/>
              </w:rPr>
            </w:pPr>
            <w:r>
              <w:rPr>
                <w:rFonts w:hint="eastAsia" w:ascii="仿宋" w:hAnsi="仿宋" w:eastAsia="仿宋" w:cs="仿宋"/>
                <w:sz w:val="24"/>
                <w:szCs w:val="24"/>
              </w:rPr>
              <w:t>CSSD质量管理平台支持基础数据管理，支持包基础数据修改后的历史记录查询并支持还原到任意修改前版本；</w:t>
            </w:r>
          </w:p>
        </w:tc>
      </w:tr>
      <w:tr w14:paraId="6BEE0C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1247" w:hRule="atLeast"/>
        </w:trPr>
        <w:tc>
          <w:tcPr>
            <w:tcW w:w="729" w:type="dxa"/>
            <w:shd w:val="clear" w:color="auto" w:fill="auto"/>
            <w:tcMar>
              <w:top w:w="0" w:type="dxa"/>
              <w:left w:w="105" w:type="dxa"/>
              <w:bottom w:w="0" w:type="dxa"/>
              <w:right w:w="105" w:type="dxa"/>
            </w:tcMar>
            <w:vAlign w:val="center"/>
          </w:tcPr>
          <w:p w14:paraId="7DC3B824">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2</w:t>
            </w:r>
          </w:p>
        </w:tc>
        <w:tc>
          <w:tcPr>
            <w:tcW w:w="1163" w:type="dxa"/>
            <w:shd w:val="clear" w:color="auto" w:fill="auto"/>
            <w:tcMar>
              <w:top w:w="0" w:type="dxa"/>
              <w:left w:w="105" w:type="dxa"/>
              <w:bottom w:w="0" w:type="dxa"/>
              <w:right w:w="105" w:type="dxa"/>
            </w:tcMar>
            <w:vAlign w:val="center"/>
          </w:tcPr>
          <w:p w14:paraId="3A0001BA">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textAlignment w:val="auto"/>
              <w:rPr>
                <w:rFonts w:hint="eastAsia" w:ascii="仿宋" w:hAnsi="仿宋" w:eastAsia="仿宋" w:cs="仿宋"/>
                <w:sz w:val="24"/>
                <w:szCs w:val="24"/>
              </w:rPr>
            </w:pPr>
            <w:r>
              <w:rPr>
                <w:rFonts w:hint="eastAsia" w:ascii="仿宋" w:hAnsi="仿宋" w:eastAsia="仿宋" w:cs="仿宋"/>
                <w:sz w:val="24"/>
                <w:szCs w:val="24"/>
              </w:rPr>
              <w:t>CSSD质量管理平台配套设备</w:t>
            </w:r>
          </w:p>
        </w:tc>
        <w:tc>
          <w:tcPr>
            <w:tcW w:w="1364" w:type="dxa"/>
            <w:shd w:val="clear" w:color="auto" w:fill="auto"/>
            <w:tcMar>
              <w:top w:w="0" w:type="dxa"/>
              <w:left w:w="105" w:type="dxa"/>
              <w:bottom w:w="0" w:type="dxa"/>
              <w:right w:w="105" w:type="dxa"/>
            </w:tcMar>
            <w:vAlign w:val="center"/>
          </w:tcPr>
          <w:p w14:paraId="36CE9B43">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ind w:left="0" w:firstLine="0"/>
              <w:jc w:val="center"/>
              <w:textAlignment w:val="auto"/>
              <w:rPr>
                <w:rFonts w:hint="eastAsia" w:ascii="仿宋" w:hAnsi="仿宋" w:eastAsia="仿宋" w:cs="仿宋"/>
                <w:sz w:val="24"/>
                <w:szCs w:val="24"/>
              </w:rPr>
            </w:pPr>
            <w:r>
              <w:rPr>
                <w:rFonts w:hint="eastAsia" w:ascii="仿宋" w:hAnsi="仿宋" w:eastAsia="仿宋" w:cs="仿宋"/>
                <w:sz w:val="24"/>
                <w:szCs w:val="24"/>
              </w:rPr>
              <w:t>器械包内定制信息卡</w:t>
            </w:r>
          </w:p>
        </w:tc>
        <w:tc>
          <w:tcPr>
            <w:tcW w:w="6592" w:type="dxa"/>
            <w:shd w:val="clear" w:color="auto" w:fill="auto"/>
            <w:tcMar>
              <w:top w:w="0" w:type="dxa"/>
              <w:left w:w="105" w:type="dxa"/>
              <w:bottom w:w="0" w:type="dxa"/>
              <w:right w:w="105" w:type="dxa"/>
            </w:tcMar>
            <w:vAlign w:val="top"/>
          </w:tcPr>
          <w:p w14:paraId="3E5E3770">
            <w:pPr>
              <w:pStyle w:val="14"/>
              <w:keepNext w:val="0"/>
              <w:keepLines w:val="0"/>
              <w:pageBreakBefore w:val="0"/>
              <w:widowControl/>
              <w:suppressLineNumbers w:val="0"/>
              <w:kinsoku/>
              <w:wordWrap/>
              <w:overflowPunct/>
              <w:topLinePunct w:val="0"/>
              <w:autoSpaceDN/>
              <w:bidi w:val="0"/>
              <w:adjustRightInd w:val="0"/>
              <w:snapToGrid w:val="0"/>
              <w:spacing w:beforeAutospacing="0" w:afterAutospacing="0"/>
              <w:ind w:left="0" w:firstLine="0"/>
              <w:textAlignment w:val="auto"/>
              <w:rPr>
                <w:rFonts w:hint="eastAsia" w:ascii="仿宋" w:hAnsi="仿宋" w:eastAsia="仿宋" w:cs="仿宋"/>
                <w:sz w:val="24"/>
                <w:szCs w:val="24"/>
              </w:rPr>
            </w:pPr>
            <w:r>
              <w:rPr>
                <w:rFonts w:hint="eastAsia" w:ascii="仿宋" w:hAnsi="仿宋" w:eastAsia="仿宋" w:cs="仿宋"/>
                <w:sz w:val="24"/>
                <w:szCs w:val="24"/>
              </w:rPr>
              <w:t>CSSD质量管理平台配备无菌包明细牌，数量2000个，牌面根据无菌包实际明细进行个性化定制。</w:t>
            </w:r>
            <w:r>
              <w:rPr>
                <w:rFonts w:hint="eastAsia" w:ascii="仿宋" w:hAnsi="仿宋" w:eastAsia="仿宋" w:cs="仿宋"/>
                <w:b/>
                <w:bCs/>
                <w:sz w:val="24"/>
                <w:szCs w:val="24"/>
              </w:rPr>
              <w:t>(提供承诺函)</w:t>
            </w:r>
          </w:p>
          <w:p w14:paraId="41E0F541">
            <w:pPr>
              <w:pStyle w:val="14"/>
              <w:keepNext w:val="0"/>
              <w:keepLines w:val="0"/>
              <w:pageBreakBefore w:val="0"/>
              <w:widowControl/>
              <w:suppressLineNumbers w:val="0"/>
              <w:kinsoku/>
              <w:wordWrap/>
              <w:overflowPunct/>
              <w:topLinePunct w:val="0"/>
              <w:autoSpaceDN/>
              <w:bidi w:val="0"/>
              <w:adjustRightInd w:val="0"/>
              <w:snapToGrid w:val="0"/>
              <w:spacing w:beforeAutospacing="0" w:afterAutospacing="0"/>
              <w:ind w:left="0" w:firstLine="0"/>
              <w:textAlignment w:val="auto"/>
              <w:rPr>
                <w:rFonts w:hint="eastAsia" w:ascii="仿宋" w:hAnsi="仿宋" w:eastAsia="仿宋" w:cs="仿宋"/>
                <w:sz w:val="24"/>
                <w:szCs w:val="24"/>
                <w:lang w:eastAsia="zh-CN"/>
              </w:rPr>
            </w:pPr>
            <w:r>
              <w:rPr>
                <w:rFonts w:hint="eastAsia" w:ascii="仿宋" w:hAnsi="仿宋" w:eastAsia="仿宋" w:cs="仿宋"/>
                <w:sz w:val="24"/>
                <w:szCs w:val="24"/>
              </w:rPr>
              <w:t>1.1尺寸(长*宽):90mm*60mm</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长度和宽度的允许偏差值均为</w:t>
            </w:r>
            <w:r>
              <w:rPr>
                <w:rFonts w:hint="eastAsia" w:ascii="仿宋" w:hAnsi="仿宋" w:eastAsia="仿宋" w:cs="仿宋"/>
                <w:sz w:val="24"/>
                <w:szCs w:val="24"/>
                <w:lang w:eastAsia="zh-CN"/>
              </w:rPr>
              <w:t>±5mm。</w:t>
            </w:r>
          </w:p>
          <w:p w14:paraId="7730D958">
            <w:pPr>
              <w:pStyle w:val="14"/>
              <w:keepNext w:val="0"/>
              <w:keepLines w:val="0"/>
              <w:pageBreakBefore w:val="0"/>
              <w:widowControl/>
              <w:suppressLineNumbers w:val="0"/>
              <w:kinsoku/>
              <w:wordWrap/>
              <w:overflowPunct/>
              <w:topLinePunct w:val="0"/>
              <w:autoSpaceDN/>
              <w:bidi w:val="0"/>
              <w:adjustRightInd w:val="0"/>
              <w:snapToGrid w:val="0"/>
              <w:spacing w:beforeAutospacing="0" w:afterAutospacing="0"/>
              <w:ind w:left="0" w:firstLine="0"/>
              <w:textAlignment w:val="auto"/>
              <w:rPr>
                <w:rFonts w:hint="eastAsia" w:ascii="仿宋" w:hAnsi="仿宋" w:eastAsia="仿宋" w:cs="仿宋"/>
                <w:sz w:val="24"/>
                <w:szCs w:val="24"/>
              </w:rPr>
            </w:pPr>
            <w:r>
              <w:rPr>
                <w:rFonts w:hint="eastAsia" w:ascii="仿宋" w:hAnsi="仿宋" w:eastAsia="仿宋" w:cs="仿宋"/>
                <w:sz w:val="24"/>
                <w:szCs w:val="24"/>
              </w:rPr>
              <w:t>1.2使用复合材料，可耐高温134</w:t>
            </w:r>
            <w:r>
              <w:rPr>
                <w:rFonts w:hint="eastAsia" w:ascii="仿宋" w:hAnsi="仿宋" w:eastAsia="仿宋" w:cs="仿宋"/>
                <w:sz w:val="24"/>
                <w:szCs w:val="24"/>
                <w:lang w:val="en-US" w:eastAsia="zh-CN"/>
              </w:rPr>
              <w:t>℃</w:t>
            </w:r>
            <w:r>
              <w:rPr>
                <w:rFonts w:hint="eastAsia" w:ascii="仿宋" w:hAnsi="仿宋" w:eastAsia="仿宋" w:cs="仿宋"/>
                <w:sz w:val="24"/>
                <w:szCs w:val="24"/>
              </w:rPr>
              <w:t>，高温后无形变；</w:t>
            </w:r>
          </w:p>
          <w:p w14:paraId="549B4224">
            <w:pPr>
              <w:pStyle w:val="14"/>
              <w:keepNext w:val="0"/>
              <w:keepLines w:val="0"/>
              <w:pageBreakBefore w:val="0"/>
              <w:widowControl/>
              <w:suppressLineNumbers w:val="0"/>
              <w:kinsoku/>
              <w:wordWrap/>
              <w:overflowPunct/>
              <w:topLinePunct w:val="0"/>
              <w:autoSpaceDN/>
              <w:bidi w:val="0"/>
              <w:adjustRightInd w:val="0"/>
              <w:snapToGrid w:val="0"/>
              <w:spacing w:beforeAutospacing="0" w:afterAutospacing="0"/>
              <w:ind w:left="0" w:firstLine="0"/>
              <w:textAlignment w:val="auto"/>
              <w:rPr>
                <w:rFonts w:hint="eastAsia" w:ascii="仿宋" w:hAnsi="仿宋" w:eastAsia="仿宋" w:cs="仿宋"/>
                <w:sz w:val="24"/>
                <w:szCs w:val="24"/>
              </w:rPr>
            </w:pPr>
            <w:r>
              <w:rPr>
                <w:rFonts w:hint="eastAsia" w:ascii="仿宋" w:hAnsi="仿宋" w:eastAsia="仿宋" w:cs="仿宋"/>
                <w:sz w:val="24"/>
                <w:szCs w:val="24"/>
              </w:rPr>
              <w:t>1.3网篮牌上所打印条码耐刮耐腐蚀耐高温。</w:t>
            </w:r>
          </w:p>
        </w:tc>
      </w:tr>
    </w:tbl>
    <w:p w14:paraId="216253ED">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482" w:leftChars="0" w:hanging="482" w:hangingChars="200"/>
        <w:textAlignment w:val="auto"/>
        <w:rPr>
          <w:rFonts w:hint="default" w:ascii="仿宋" w:hAnsi="仿宋" w:eastAsia="仿宋" w:cs="仿宋"/>
          <w:b/>
          <w:bCs/>
          <w:sz w:val="24"/>
          <w:szCs w:val="24"/>
          <w:lang w:val="en-US" w:eastAsia="zh-CN"/>
        </w:rPr>
      </w:pPr>
      <w:r>
        <w:rPr>
          <w:rFonts w:hint="default" w:ascii="仿宋" w:hAnsi="仿宋" w:eastAsia="仿宋" w:cs="仿宋"/>
          <w:b/>
          <w:bCs/>
          <w:kern w:val="2"/>
          <w:sz w:val="24"/>
          <w:szCs w:val="24"/>
          <w:lang w:val="en-US" w:eastAsia="zh-CN" w:bidi="ar-SA"/>
        </w:rPr>
        <w:t>2.</w:t>
      </w:r>
      <w:r>
        <w:rPr>
          <w:rFonts w:hint="eastAsia" w:ascii="仿宋" w:hAnsi="仿宋" w:eastAsia="仿宋" w:cs="仿宋"/>
          <w:b/>
          <w:bCs/>
          <w:sz w:val="24"/>
          <w:szCs w:val="24"/>
          <w:lang w:val="en-US" w:eastAsia="zh-CN"/>
        </w:rPr>
        <w:t>服务要求</w:t>
      </w:r>
    </w:p>
    <w:tbl>
      <w:tblPr>
        <w:tblStyle w:val="1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747"/>
        <w:gridCol w:w="1554"/>
        <w:gridCol w:w="6109"/>
        <w:gridCol w:w="1437"/>
      </w:tblGrid>
      <w:tr w14:paraId="30040E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747" w:type="dxa"/>
            <w:shd w:val="clear" w:color="auto" w:fill="auto"/>
            <w:tcMar>
              <w:top w:w="0" w:type="dxa"/>
              <w:left w:w="105" w:type="dxa"/>
              <w:bottom w:w="0" w:type="dxa"/>
              <w:right w:w="105" w:type="dxa"/>
            </w:tcMar>
            <w:vAlign w:val="top"/>
          </w:tcPr>
          <w:p w14:paraId="5A588974">
            <w:pPr>
              <w:keepNext w:val="0"/>
              <w:keepLines w:val="0"/>
              <w:pageBreakBefore w:val="0"/>
              <w:widowControl/>
              <w:suppressLineNumbers w:val="0"/>
              <w:kinsoku/>
              <w:wordWrap/>
              <w:overflowPunct/>
              <w:topLinePunct w:val="0"/>
              <w:autoSpaceDN/>
              <w:bidi w:val="0"/>
              <w:adjustRightInd/>
              <w:snapToGrid/>
              <w:spacing w:beforeAutospacing="0" w:afterAutospacing="0" w:line="240" w:lineRule="auto"/>
              <w:jc w:val="left"/>
              <w:textAlignment w:val="auto"/>
              <w:rPr>
                <w:rFonts w:hint="eastAsia" w:ascii="仿宋" w:hAnsi="仿宋" w:eastAsia="仿宋" w:cs="仿宋"/>
                <w:color w:val="auto"/>
                <w:sz w:val="24"/>
                <w:szCs w:val="24"/>
                <w:lang w:val="en-US" w:eastAsia="zh-CN"/>
              </w:rPr>
            </w:pPr>
            <w:r>
              <w:rPr>
                <w:rFonts w:hint="eastAsia" w:ascii="仿宋" w:hAnsi="仿宋" w:eastAsia="仿宋" w:cs="仿宋"/>
                <w:b/>
                <w:bCs/>
                <w:color w:val="auto"/>
                <w:sz w:val="24"/>
                <w:szCs w:val="24"/>
                <w:lang w:val="en-US" w:eastAsia="zh-CN"/>
              </w:rPr>
              <w:t>序号</w:t>
            </w:r>
          </w:p>
        </w:tc>
        <w:tc>
          <w:tcPr>
            <w:tcW w:w="1554" w:type="dxa"/>
            <w:shd w:val="clear" w:color="auto" w:fill="auto"/>
            <w:tcMar>
              <w:top w:w="0" w:type="dxa"/>
              <w:left w:w="105" w:type="dxa"/>
              <w:bottom w:w="0" w:type="dxa"/>
              <w:right w:w="105" w:type="dxa"/>
            </w:tcMar>
            <w:vAlign w:val="top"/>
          </w:tcPr>
          <w:p w14:paraId="70A2EDAD">
            <w:pPr>
              <w:pStyle w:val="14"/>
              <w:keepNext w:val="0"/>
              <w:keepLines w:val="0"/>
              <w:pageBreakBefore w:val="0"/>
              <w:widowControl/>
              <w:suppressLineNumbers w:val="0"/>
              <w:kinsoku/>
              <w:wordWrap/>
              <w:overflowPunct/>
              <w:topLinePunct w:val="0"/>
              <w:autoSpaceDE w:val="0"/>
              <w:autoSpaceDN/>
              <w:bidi w:val="0"/>
              <w:adjustRightInd/>
              <w:snapToGrid/>
              <w:spacing w:beforeAutospacing="0" w:afterAutospacing="0" w:line="240" w:lineRule="auto"/>
              <w:jc w:val="center"/>
              <w:textAlignment w:val="auto"/>
              <w:rPr>
                <w:rFonts w:hint="eastAsia" w:ascii="仿宋" w:hAnsi="仿宋" w:eastAsia="仿宋" w:cs="仿宋"/>
                <w:color w:val="auto"/>
                <w:sz w:val="24"/>
                <w:szCs w:val="24"/>
              </w:rPr>
            </w:pPr>
            <w:r>
              <w:rPr>
                <w:rStyle w:val="21"/>
                <w:rFonts w:hint="eastAsia" w:ascii="仿宋" w:hAnsi="仿宋" w:eastAsia="仿宋" w:cs="仿宋"/>
                <w:color w:val="auto"/>
                <w:sz w:val="24"/>
                <w:szCs w:val="24"/>
              </w:rPr>
              <w:t>服务类型</w:t>
            </w:r>
          </w:p>
        </w:tc>
        <w:tc>
          <w:tcPr>
            <w:tcW w:w="6109" w:type="dxa"/>
            <w:shd w:val="clear" w:color="auto" w:fill="auto"/>
            <w:tcMar>
              <w:top w:w="0" w:type="dxa"/>
              <w:left w:w="105" w:type="dxa"/>
              <w:bottom w:w="0" w:type="dxa"/>
              <w:right w:w="105" w:type="dxa"/>
            </w:tcMar>
            <w:vAlign w:val="top"/>
          </w:tcPr>
          <w:p w14:paraId="4F62FAD8">
            <w:pPr>
              <w:pStyle w:val="14"/>
              <w:keepNext w:val="0"/>
              <w:keepLines w:val="0"/>
              <w:pageBreakBefore w:val="0"/>
              <w:widowControl/>
              <w:suppressLineNumbers w:val="0"/>
              <w:kinsoku/>
              <w:wordWrap/>
              <w:overflowPunct/>
              <w:topLinePunct w:val="0"/>
              <w:autoSpaceDE w:val="0"/>
              <w:autoSpaceDN/>
              <w:bidi w:val="0"/>
              <w:adjustRightInd/>
              <w:snapToGrid/>
              <w:spacing w:beforeAutospacing="0" w:afterAutospacing="0" w:line="240" w:lineRule="auto"/>
              <w:jc w:val="center"/>
              <w:textAlignment w:val="auto"/>
              <w:rPr>
                <w:rFonts w:hint="eastAsia" w:ascii="仿宋" w:hAnsi="仿宋" w:eastAsia="仿宋" w:cs="仿宋"/>
                <w:color w:val="auto"/>
                <w:sz w:val="24"/>
                <w:szCs w:val="24"/>
              </w:rPr>
            </w:pPr>
            <w:r>
              <w:rPr>
                <w:rStyle w:val="21"/>
                <w:rFonts w:hint="eastAsia" w:ascii="仿宋" w:hAnsi="仿宋" w:eastAsia="仿宋" w:cs="仿宋"/>
                <w:color w:val="auto"/>
                <w:sz w:val="24"/>
                <w:szCs w:val="24"/>
              </w:rPr>
              <w:t>服务内容</w:t>
            </w:r>
          </w:p>
        </w:tc>
        <w:tc>
          <w:tcPr>
            <w:tcW w:w="1437" w:type="dxa"/>
            <w:shd w:val="clear" w:color="auto" w:fill="auto"/>
            <w:tcMar>
              <w:top w:w="0" w:type="dxa"/>
              <w:left w:w="105" w:type="dxa"/>
              <w:bottom w:w="0" w:type="dxa"/>
              <w:right w:w="105" w:type="dxa"/>
            </w:tcMar>
            <w:vAlign w:val="top"/>
          </w:tcPr>
          <w:p w14:paraId="49D05708">
            <w:pPr>
              <w:pStyle w:val="14"/>
              <w:keepNext w:val="0"/>
              <w:keepLines w:val="0"/>
              <w:pageBreakBefore w:val="0"/>
              <w:widowControl/>
              <w:suppressLineNumbers w:val="0"/>
              <w:kinsoku/>
              <w:wordWrap/>
              <w:overflowPunct/>
              <w:topLinePunct w:val="0"/>
              <w:autoSpaceDE w:val="0"/>
              <w:autoSpaceDN/>
              <w:bidi w:val="0"/>
              <w:adjustRightInd/>
              <w:snapToGrid/>
              <w:spacing w:beforeAutospacing="0" w:afterAutospacing="0" w:line="240" w:lineRule="auto"/>
              <w:jc w:val="center"/>
              <w:textAlignment w:val="auto"/>
              <w:rPr>
                <w:rFonts w:hint="eastAsia" w:ascii="仿宋" w:hAnsi="仿宋" w:eastAsia="仿宋" w:cs="仿宋"/>
                <w:color w:val="auto"/>
                <w:sz w:val="24"/>
                <w:szCs w:val="24"/>
              </w:rPr>
            </w:pPr>
            <w:r>
              <w:rPr>
                <w:rStyle w:val="21"/>
                <w:rFonts w:hint="eastAsia" w:ascii="仿宋" w:hAnsi="仿宋" w:eastAsia="仿宋" w:cs="仿宋"/>
                <w:color w:val="auto"/>
                <w:sz w:val="24"/>
                <w:szCs w:val="24"/>
              </w:rPr>
              <w:t>服务期</w:t>
            </w:r>
          </w:p>
        </w:tc>
      </w:tr>
      <w:tr w14:paraId="4FB659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47" w:type="dxa"/>
            <w:shd w:val="clear" w:color="auto" w:fill="auto"/>
            <w:tcMar>
              <w:top w:w="0" w:type="dxa"/>
              <w:left w:w="105" w:type="dxa"/>
              <w:bottom w:w="0" w:type="dxa"/>
              <w:right w:w="105" w:type="dxa"/>
            </w:tcMar>
            <w:vAlign w:val="center"/>
          </w:tcPr>
          <w:p w14:paraId="7D75B078">
            <w:pPr>
              <w:pStyle w:val="14"/>
              <w:keepNext w:val="0"/>
              <w:keepLines w:val="0"/>
              <w:pageBreakBefore w:val="0"/>
              <w:widowControl/>
              <w:suppressLineNumbers w:val="0"/>
              <w:kinsoku/>
              <w:wordWrap/>
              <w:overflowPunct/>
              <w:topLinePunct w:val="0"/>
              <w:autoSpaceDE w:val="0"/>
              <w:autoSpaceDN/>
              <w:bidi w:val="0"/>
              <w:adjustRightInd/>
              <w:snapToGrid/>
              <w:spacing w:beforeAutospacing="0" w:afterAutospacing="0" w:line="240" w:lineRule="auto"/>
              <w:jc w:val="center"/>
              <w:textAlignment w:val="auto"/>
              <w:rPr>
                <w:rFonts w:hint="eastAsia" w:ascii="仿宋" w:hAnsi="仿宋" w:eastAsia="仿宋" w:cs="仿宋"/>
                <w:color w:val="auto"/>
                <w:sz w:val="24"/>
                <w:szCs w:val="24"/>
              </w:rPr>
            </w:pPr>
            <w:r>
              <w:rPr>
                <w:rStyle w:val="21"/>
                <w:rFonts w:hint="eastAsia" w:ascii="仿宋" w:hAnsi="仿宋" w:eastAsia="仿宋" w:cs="仿宋"/>
                <w:color w:val="auto"/>
                <w:sz w:val="24"/>
                <w:szCs w:val="24"/>
              </w:rPr>
              <w:t>1</w:t>
            </w:r>
          </w:p>
        </w:tc>
        <w:tc>
          <w:tcPr>
            <w:tcW w:w="1554" w:type="dxa"/>
            <w:shd w:val="clear" w:color="auto" w:fill="auto"/>
            <w:tcMar>
              <w:top w:w="0" w:type="dxa"/>
              <w:left w:w="105" w:type="dxa"/>
              <w:bottom w:w="0" w:type="dxa"/>
              <w:right w:w="105" w:type="dxa"/>
            </w:tcMar>
            <w:vAlign w:val="center"/>
          </w:tcPr>
          <w:p w14:paraId="124E6D2D">
            <w:pPr>
              <w:pStyle w:val="14"/>
              <w:keepNext w:val="0"/>
              <w:keepLines w:val="0"/>
              <w:pageBreakBefore w:val="0"/>
              <w:widowControl/>
              <w:suppressLineNumbers w:val="0"/>
              <w:kinsoku/>
              <w:wordWrap/>
              <w:overflowPunct/>
              <w:topLinePunct w:val="0"/>
              <w:autoSpaceDE w:val="0"/>
              <w:autoSpaceDN/>
              <w:bidi w:val="0"/>
              <w:adjustRightInd/>
              <w:snapToGrid/>
              <w:spacing w:beforeAutospacing="0" w:afterAutospacing="0" w:line="240" w:lineRule="auto"/>
              <w:jc w:val="center"/>
              <w:textAlignment w:val="auto"/>
              <w:rPr>
                <w:rFonts w:hint="eastAsia" w:ascii="仿宋" w:hAnsi="仿宋" w:eastAsia="仿宋" w:cs="仿宋"/>
                <w:color w:val="auto"/>
                <w:sz w:val="24"/>
                <w:szCs w:val="24"/>
              </w:rPr>
            </w:pPr>
            <w:r>
              <w:rPr>
                <w:rStyle w:val="21"/>
                <w:rFonts w:hint="eastAsia" w:ascii="仿宋" w:hAnsi="仿宋" w:eastAsia="仿宋" w:cs="仿宋"/>
                <w:color w:val="auto"/>
                <w:sz w:val="24"/>
                <w:szCs w:val="24"/>
              </w:rPr>
              <w:t>基本服务</w:t>
            </w:r>
          </w:p>
        </w:tc>
        <w:tc>
          <w:tcPr>
            <w:tcW w:w="6109" w:type="dxa"/>
            <w:shd w:val="clear" w:color="auto" w:fill="auto"/>
            <w:tcMar>
              <w:top w:w="0" w:type="dxa"/>
              <w:left w:w="105" w:type="dxa"/>
              <w:bottom w:w="0" w:type="dxa"/>
              <w:right w:w="105" w:type="dxa"/>
            </w:tcMar>
            <w:vAlign w:val="top"/>
          </w:tcPr>
          <w:p w14:paraId="40C90478">
            <w:pPr>
              <w:pStyle w:val="14"/>
              <w:keepNext w:val="0"/>
              <w:keepLines w:val="0"/>
              <w:pageBreakBefore w:val="0"/>
              <w:widowControl/>
              <w:suppressLineNumbers w:val="0"/>
              <w:kinsoku/>
              <w:wordWrap/>
              <w:overflowPunct/>
              <w:topLinePunct w:val="0"/>
              <w:autoSpaceDN/>
              <w:bidi w:val="0"/>
              <w:adjustRightInd/>
              <w:snapToGrid/>
              <w:spacing w:beforeAutospacing="0" w:afterAutospacing="0" w:line="240" w:lineRule="auto"/>
              <w:textAlignment w:val="auto"/>
              <w:rPr>
                <w:rFonts w:hint="eastAsia" w:ascii="仿宋" w:hAnsi="仿宋" w:eastAsia="仿宋" w:cs="仿宋"/>
                <w:color w:val="auto"/>
                <w:sz w:val="24"/>
                <w:szCs w:val="24"/>
              </w:rPr>
            </w:pPr>
            <w:r>
              <w:rPr>
                <w:rStyle w:val="21"/>
                <w:rFonts w:hint="eastAsia" w:ascii="仿宋" w:hAnsi="仿宋" w:eastAsia="仿宋" w:cs="仿宋"/>
                <w:color w:val="auto"/>
                <w:sz w:val="24"/>
                <w:szCs w:val="24"/>
              </w:rPr>
              <w:t>基本服务至少满足以下内容：</w:t>
            </w:r>
          </w:p>
          <w:p w14:paraId="63FBD1C0">
            <w:pPr>
              <w:pStyle w:val="14"/>
              <w:keepNext w:val="0"/>
              <w:keepLines w:val="0"/>
              <w:pageBreakBefore w:val="0"/>
              <w:widowControl/>
              <w:suppressLineNumbers w:val="0"/>
              <w:kinsoku/>
              <w:wordWrap/>
              <w:overflowPunct/>
              <w:topLinePunct w:val="0"/>
              <w:autoSpaceDN/>
              <w:bidi w:val="0"/>
              <w:adjustRightInd/>
              <w:snapToGrid/>
              <w:spacing w:beforeAutospacing="0" w:afterAutospacing="0" w:line="240" w:lineRule="auto"/>
              <w:textAlignment w:val="auto"/>
              <w:rPr>
                <w:rFonts w:hint="eastAsia" w:ascii="仿宋" w:hAnsi="仿宋" w:eastAsia="仿宋" w:cs="仿宋"/>
                <w:color w:val="auto"/>
                <w:sz w:val="24"/>
                <w:szCs w:val="24"/>
              </w:rPr>
            </w:pPr>
            <w:r>
              <w:rPr>
                <w:rStyle w:val="21"/>
                <w:rFonts w:hint="eastAsia" w:ascii="仿宋" w:hAnsi="仿宋" w:eastAsia="仿宋" w:cs="仿宋"/>
                <w:color w:val="auto"/>
                <w:sz w:val="24"/>
                <w:szCs w:val="24"/>
                <w:lang w:eastAsia="zh-CN"/>
              </w:rPr>
              <w:t>1.</w:t>
            </w:r>
            <w:r>
              <w:rPr>
                <w:rStyle w:val="21"/>
                <w:rFonts w:hint="eastAsia" w:ascii="仿宋" w:hAnsi="仿宋" w:eastAsia="仿宋" w:cs="仿宋"/>
                <w:color w:val="auto"/>
                <w:sz w:val="24"/>
                <w:szCs w:val="24"/>
              </w:rPr>
              <w:t>稳定性：</w:t>
            </w:r>
            <w:r>
              <w:rPr>
                <w:rFonts w:hint="eastAsia" w:ascii="仿宋" w:hAnsi="仿宋" w:eastAsia="仿宋" w:cs="仿宋"/>
                <w:color w:val="auto"/>
                <w:sz w:val="24"/>
                <w:szCs w:val="24"/>
              </w:rPr>
              <w:t>服务期内需保障业务稳定，不无故出现崩溃或宕机现象；</w:t>
            </w:r>
          </w:p>
          <w:p w14:paraId="21AC086D">
            <w:pPr>
              <w:pStyle w:val="14"/>
              <w:keepNext w:val="0"/>
              <w:keepLines w:val="0"/>
              <w:pageBreakBefore w:val="0"/>
              <w:widowControl/>
              <w:suppressLineNumbers w:val="0"/>
              <w:kinsoku/>
              <w:wordWrap/>
              <w:overflowPunct/>
              <w:topLinePunct w:val="0"/>
              <w:autoSpaceDN/>
              <w:bidi w:val="0"/>
              <w:adjustRightInd/>
              <w:snapToGrid/>
              <w:spacing w:beforeAutospacing="0" w:afterAutospacing="0" w:line="240" w:lineRule="auto"/>
              <w:textAlignment w:val="auto"/>
              <w:rPr>
                <w:rFonts w:hint="eastAsia" w:ascii="仿宋" w:hAnsi="仿宋" w:eastAsia="仿宋" w:cs="仿宋"/>
                <w:color w:val="auto"/>
                <w:sz w:val="24"/>
                <w:szCs w:val="24"/>
              </w:rPr>
            </w:pPr>
            <w:r>
              <w:rPr>
                <w:rStyle w:val="21"/>
                <w:rFonts w:hint="eastAsia" w:ascii="仿宋" w:hAnsi="仿宋" w:eastAsia="仿宋" w:cs="仿宋"/>
                <w:color w:val="auto"/>
                <w:sz w:val="24"/>
                <w:szCs w:val="24"/>
                <w:lang w:eastAsia="zh-CN"/>
              </w:rPr>
              <w:t>2.</w:t>
            </w:r>
            <w:r>
              <w:rPr>
                <w:rStyle w:val="21"/>
                <w:rFonts w:hint="eastAsia" w:ascii="仿宋" w:hAnsi="仿宋" w:eastAsia="仿宋" w:cs="仿宋"/>
                <w:color w:val="auto"/>
                <w:sz w:val="24"/>
                <w:szCs w:val="24"/>
              </w:rPr>
              <w:t>安全性：</w:t>
            </w:r>
            <w:r>
              <w:rPr>
                <w:rFonts w:hint="eastAsia" w:ascii="仿宋" w:hAnsi="仿宋" w:eastAsia="仿宋" w:cs="仿宋"/>
                <w:color w:val="auto"/>
                <w:sz w:val="24"/>
                <w:szCs w:val="24"/>
              </w:rPr>
              <w:t>具备完善的安全防护机制，做好数据备份，在合同签订后15个工作日内提交《安全事件应急响应手册》，重大安全事件（数据泄露、勒索病毒等）30分钟内电话通报、2小时内到场、4小时内出具初步处置报告；</w:t>
            </w:r>
          </w:p>
          <w:p w14:paraId="633000AE">
            <w:pPr>
              <w:pStyle w:val="14"/>
              <w:keepNext w:val="0"/>
              <w:keepLines w:val="0"/>
              <w:pageBreakBefore w:val="0"/>
              <w:widowControl/>
              <w:suppressLineNumbers w:val="0"/>
              <w:kinsoku/>
              <w:wordWrap/>
              <w:overflowPunct/>
              <w:topLinePunct w:val="0"/>
              <w:autoSpaceDN/>
              <w:bidi w:val="0"/>
              <w:adjustRightInd/>
              <w:snapToGrid/>
              <w:spacing w:beforeAutospacing="0" w:afterAutospacing="0" w:line="240" w:lineRule="auto"/>
              <w:textAlignment w:val="auto"/>
              <w:rPr>
                <w:rFonts w:hint="eastAsia" w:ascii="仿宋" w:hAnsi="仿宋" w:eastAsia="仿宋" w:cs="仿宋"/>
                <w:color w:val="auto"/>
                <w:sz w:val="24"/>
                <w:szCs w:val="24"/>
              </w:rPr>
            </w:pPr>
            <w:r>
              <w:rPr>
                <w:rStyle w:val="21"/>
                <w:rFonts w:hint="eastAsia" w:ascii="仿宋" w:hAnsi="仿宋" w:eastAsia="仿宋" w:cs="仿宋"/>
                <w:color w:val="auto"/>
                <w:sz w:val="24"/>
                <w:szCs w:val="24"/>
                <w:lang w:eastAsia="zh-CN"/>
              </w:rPr>
              <w:t>3.</w:t>
            </w:r>
            <w:r>
              <w:rPr>
                <w:rStyle w:val="21"/>
                <w:rFonts w:hint="eastAsia" w:ascii="仿宋" w:hAnsi="仿宋" w:eastAsia="仿宋" w:cs="仿宋"/>
                <w:color w:val="auto"/>
                <w:sz w:val="24"/>
                <w:szCs w:val="24"/>
              </w:rPr>
              <w:t>数据质量：</w:t>
            </w:r>
            <w:r>
              <w:rPr>
                <w:rFonts w:hint="eastAsia" w:ascii="仿宋" w:hAnsi="仿宋" w:eastAsia="仿宋" w:cs="仿宋"/>
                <w:color w:val="auto"/>
                <w:sz w:val="24"/>
                <w:szCs w:val="24"/>
              </w:rPr>
              <w:t>供应商收到异议后，</w:t>
            </w:r>
            <w:r>
              <w:rPr>
                <w:rFonts w:hint="eastAsia" w:ascii="仿宋" w:hAnsi="仿宋" w:eastAsia="仿宋" w:cs="仿宋"/>
                <w:color w:val="auto"/>
                <w:sz w:val="24"/>
                <w:szCs w:val="24"/>
                <w:lang w:eastAsia="zh-CN"/>
              </w:rPr>
              <w:t>成交</w:t>
            </w:r>
            <w:r>
              <w:rPr>
                <w:rFonts w:hint="eastAsia" w:ascii="仿宋" w:hAnsi="仿宋" w:eastAsia="仿宋" w:cs="仿宋"/>
                <w:color w:val="auto"/>
                <w:sz w:val="24"/>
                <w:szCs w:val="24"/>
              </w:rPr>
              <w:t>供应商应在5个工作日内对数据质量问题进行原因查找和反馈，30个工作日内对数据质量问题进行数据清洗；</w:t>
            </w:r>
          </w:p>
          <w:p w14:paraId="4701FFA4">
            <w:pPr>
              <w:pStyle w:val="14"/>
              <w:keepNext w:val="0"/>
              <w:keepLines w:val="0"/>
              <w:pageBreakBefore w:val="0"/>
              <w:widowControl/>
              <w:suppressLineNumbers w:val="0"/>
              <w:kinsoku/>
              <w:wordWrap/>
              <w:overflowPunct/>
              <w:topLinePunct w:val="0"/>
              <w:autoSpaceDN/>
              <w:bidi w:val="0"/>
              <w:adjustRightInd/>
              <w:snapToGrid/>
              <w:spacing w:beforeAutospacing="0" w:afterAutospacing="0" w:line="240" w:lineRule="auto"/>
              <w:textAlignment w:val="auto"/>
              <w:rPr>
                <w:rFonts w:hint="eastAsia" w:ascii="仿宋" w:hAnsi="仿宋" w:eastAsia="仿宋" w:cs="仿宋"/>
                <w:color w:val="auto"/>
                <w:sz w:val="24"/>
                <w:szCs w:val="24"/>
              </w:rPr>
            </w:pPr>
            <w:r>
              <w:rPr>
                <w:rStyle w:val="21"/>
                <w:rFonts w:hint="eastAsia" w:ascii="仿宋" w:hAnsi="仿宋" w:eastAsia="仿宋" w:cs="仿宋"/>
                <w:color w:val="auto"/>
                <w:sz w:val="24"/>
                <w:szCs w:val="24"/>
                <w:lang w:eastAsia="zh-CN"/>
              </w:rPr>
              <w:t>4.</w:t>
            </w:r>
            <w:r>
              <w:rPr>
                <w:rStyle w:val="21"/>
                <w:rFonts w:hint="eastAsia" w:ascii="仿宋" w:hAnsi="仿宋" w:eastAsia="仿宋" w:cs="仿宋"/>
                <w:color w:val="auto"/>
                <w:sz w:val="24"/>
                <w:szCs w:val="24"/>
              </w:rPr>
              <w:t>响应速度：</w:t>
            </w:r>
            <w:r>
              <w:rPr>
                <w:rFonts w:hint="eastAsia" w:ascii="仿宋" w:hAnsi="仿宋" w:eastAsia="仿宋" w:cs="仿宋"/>
                <w:color w:val="auto"/>
                <w:sz w:val="24"/>
                <w:szCs w:val="24"/>
              </w:rPr>
              <w:t>服务期内，采购人通过电话、微信、现场提出的支持需求，供应商须在需求提出的当日完成响应；</w:t>
            </w:r>
          </w:p>
          <w:p w14:paraId="5E7BF23B">
            <w:pPr>
              <w:pStyle w:val="14"/>
              <w:keepNext w:val="0"/>
              <w:keepLines w:val="0"/>
              <w:pageBreakBefore w:val="0"/>
              <w:widowControl/>
              <w:suppressLineNumbers w:val="0"/>
              <w:kinsoku/>
              <w:wordWrap/>
              <w:overflowPunct/>
              <w:topLinePunct w:val="0"/>
              <w:autoSpaceDN/>
              <w:bidi w:val="0"/>
              <w:adjustRightInd/>
              <w:snapToGrid/>
              <w:spacing w:beforeAutospacing="0" w:afterAutospacing="0" w:line="240" w:lineRule="auto"/>
              <w:textAlignment w:val="auto"/>
              <w:rPr>
                <w:rFonts w:hint="eastAsia" w:ascii="仿宋" w:hAnsi="仿宋" w:eastAsia="仿宋" w:cs="仿宋"/>
                <w:color w:val="auto"/>
                <w:sz w:val="24"/>
                <w:szCs w:val="24"/>
              </w:rPr>
            </w:pPr>
            <w:r>
              <w:rPr>
                <w:rStyle w:val="21"/>
                <w:rFonts w:hint="eastAsia" w:ascii="仿宋" w:hAnsi="仿宋" w:eastAsia="仿宋" w:cs="仿宋"/>
                <w:color w:val="auto"/>
                <w:sz w:val="24"/>
                <w:szCs w:val="24"/>
                <w:lang w:val="en-US" w:eastAsia="zh-CN"/>
              </w:rPr>
              <w:t>5</w:t>
            </w:r>
            <w:r>
              <w:rPr>
                <w:rStyle w:val="21"/>
                <w:rFonts w:hint="eastAsia" w:ascii="仿宋" w:hAnsi="仿宋" w:eastAsia="仿宋" w:cs="仿宋"/>
                <w:color w:val="auto"/>
                <w:sz w:val="24"/>
                <w:szCs w:val="24"/>
                <w:lang w:eastAsia="zh-CN"/>
              </w:rPr>
              <w:t>.</w:t>
            </w:r>
            <w:r>
              <w:rPr>
                <w:rStyle w:val="21"/>
                <w:rFonts w:hint="eastAsia" w:ascii="仿宋" w:hAnsi="仿宋" w:eastAsia="仿宋" w:cs="仿宋"/>
                <w:color w:val="auto"/>
                <w:sz w:val="24"/>
                <w:szCs w:val="24"/>
              </w:rPr>
              <w:t>定期巡检：</w:t>
            </w:r>
            <w:r>
              <w:rPr>
                <w:rFonts w:hint="eastAsia" w:ascii="仿宋" w:hAnsi="仿宋" w:eastAsia="仿宋" w:cs="仿宋"/>
                <w:color w:val="auto"/>
                <w:sz w:val="24"/>
                <w:szCs w:val="24"/>
              </w:rPr>
              <w:t>服务期内每月提供至少1次软硬件服务期巡检报告；</w:t>
            </w:r>
          </w:p>
          <w:p w14:paraId="668923E6">
            <w:pPr>
              <w:pStyle w:val="14"/>
              <w:keepNext w:val="0"/>
              <w:keepLines w:val="0"/>
              <w:pageBreakBefore w:val="0"/>
              <w:widowControl/>
              <w:suppressLineNumbers w:val="0"/>
              <w:kinsoku/>
              <w:wordWrap/>
              <w:overflowPunct/>
              <w:topLinePunct w:val="0"/>
              <w:autoSpaceDN/>
              <w:bidi w:val="0"/>
              <w:adjustRightInd/>
              <w:snapToGrid/>
              <w:spacing w:beforeAutospacing="0" w:afterAutospacing="0" w:line="240" w:lineRule="auto"/>
              <w:textAlignment w:val="auto"/>
              <w:rPr>
                <w:rFonts w:hint="eastAsia" w:ascii="仿宋" w:hAnsi="仿宋" w:eastAsia="仿宋" w:cs="仿宋"/>
                <w:color w:val="auto"/>
                <w:sz w:val="24"/>
                <w:szCs w:val="24"/>
              </w:rPr>
            </w:pPr>
            <w:r>
              <w:rPr>
                <w:rStyle w:val="21"/>
                <w:rFonts w:hint="eastAsia" w:ascii="仿宋" w:hAnsi="仿宋" w:eastAsia="仿宋" w:cs="仿宋"/>
                <w:color w:val="auto"/>
                <w:sz w:val="24"/>
                <w:szCs w:val="24"/>
                <w:lang w:val="en-US" w:eastAsia="zh-CN"/>
              </w:rPr>
              <w:t>6</w:t>
            </w:r>
            <w:r>
              <w:rPr>
                <w:rStyle w:val="21"/>
                <w:rFonts w:hint="eastAsia" w:ascii="仿宋" w:hAnsi="仿宋" w:eastAsia="仿宋" w:cs="仿宋"/>
                <w:color w:val="auto"/>
                <w:sz w:val="24"/>
                <w:szCs w:val="24"/>
                <w:lang w:eastAsia="zh-CN"/>
              </w:rPr>
              <w:t>.</w:t>
            </w:r>
            <w:r>
              <w:rPr>
                <w:rStyle w:val="21"/>
                <w:rFonts w:hint="eastAsia" w:ascii="仿宋" w:hAnsi="仿宋" w:eastAsia="仿宋" w:cs="仿宋"/>
                <w:color w:val="auto"/>
                <w:sz w:val="24"/>
                <w:szCs w:val="24"/>
              </w:rPr>
              <w:t>培训服务：</w:t>
            </w:r>
            <w:r>
              <w:rPr>
                <w:rFonts w:hint="eastAsia" w:ascii="仿宋" w:hAnsi="仿宋" w:eastAsia="仿宋" w:cs="仿宋"/>
                <w:color w:val="auto"/>
                <w:sz w:val="24"/>
                <w:szCs w:val="24"/>
              </w:rPr>
              <w:t>每年提供≥2次培训服务，并提交培训方案和签到表；</w:t>
            </w:r>
          </w:p>
          <w:p w14:paraId="74E99F64">
            <w:pPr>
              <w:pStyle w:val="14"/>
              <w:keepNext w:val="0"/>
              <w:keepLines w:val="0"/>
              <w:pageBreakBefore w:val="0"/>
              <w:widowControl/>
              <w:suppressLineNumbers w:val="0"/>
              <w:kinsoku/>
              <w:wordWrap/>
              <w:overflowPunct/>
              <w:topLinePunct w:val="0"/>
              <w:autoSpaceDN/>
              <w:bidi w:val="0"/>
              <w:adjustRightInd/>
              <w:snapToGrid/>
              <w:spacing w:beforeAutospacing="0" w:afterAutospacing="0" w:line="240" w:lineRule="auto"/>
              <w:textAlignment w:val="auto"/>
              <w:rPr>
                <w:rFonts w:hint="eastAsia" w:ascii="仿宋" w:hAnsi="仿宋" w:eastAsia="仿宋" w:cs="仿宋"/>
                <w:color w:val="auto"/>
                <w:sz w:val="24"/>
                <w:szCs w:val="24"/>
              </w:rPr>
            </w:pPr>
            <w:r>
              <w:rPr>
                <w:rStyle w:val="21"/>
                <w:rFonts w:hint="eastAsia" w:ascii="仿宋" w:hAnsi="仿宋" w:eastAsia="仿宋" w:cs="仿宋"/>
                <w:color w:val="auto"/>
                <w:sz w:val="24"/>
                <w:szCs w:val="24"/>
                <w:lang w:val="en-US" w:eastAsia="zh-CN"/>
              </w:rPr>
              <w:t>7.</w:t>
            </w:r>
            <w:r>
              <w:rPr>
                <w:rStyle w:val="21"/>
                <w:rFonts w:hint="eastAsia" w:ascii="仿宋" w:hAnsi="仿宋" w:eastAsia="仿宋" w:cs="仿宋"/>
                <w:color w:val="auto"/>
                <w:sz w:val="24"/>
                <w:szCs w:val="24"/>
              </w:rPr>
              <w:t>人员服务：</w:t>
            </w:r>
          </w:p>
          <w:p w14:paraId="2C61C1B1">
            <w:pPr>
              <w:pStyle w:val="14"/>
              <w:keepNext w:val="0"/>
              <w:keepLines w:val="0"/>
              <w:pageBreakBefore w:val="0"/>
              <w:widowControl/>
              <w:suppressLineNumbers w:val="0"/>
              <w:kinsoku/>
              <w:wordWrap/>
              <w:overflowPunct/>
              <w:topLinePunct w:val="0"/>
              <w:autoSpaceDN/>
              <w:bidi w:val="0"/>
              <w:adjustRightInd/>
              <w:snapToGrid/>
              <w:spacing w:beforeAutospacing="0" w:afterAutospacing="0" w:line="240" w:lineRule="auto"/>
              <w:textAlignment w:val="auto"/>
              <w:rPr>
                <w:rFonts w:hint="eastAsia" w:ascii="仿宋" w:hAnsi="仿宋" w:eastAsia="仿宋" w:cs="仿宋"/>
                <w:color w:val="auto"/>
                <w:sz w:val="24"/>
                <w:szCs w:val="24"/>
                <w:u w:val="none"/>
                <w:lang w:eastAsia="zh-CN"/>
              </w:rPr>
            </w:pPr>
            <w:r>
              <w:rPr>
                <w:rFonts w:hint="eastAsia" w:ascii="仿宋" w:hAnsi="仿宋" w:eastAsia="仿宋" w:cs="仿宋"/>
                <w:color w:val="auto"/>
                <w:sz w:val="24"/>
                <w:szCs w:val="24"/>
                <w:u w:val="none"/>
              </w:rPr>
              <w:t>实施期间提供1人驻场，驻场期间纳入医院统一管理。工作时间：工作日8:00-17:30,法定节假日按照医院统一放假时间，节假日期间安排人员远程值班,人员轮转、变动</w:t>
            </w:r>
            <w:r>
              <w:rPr>
                <w:rFonts w:hint="eastAsia" w:ascii="仿宋" w:hAnsi="仿宋" w:eastAsia="仿宋" w:cs="仿宋"/>
                <w:color w:val="auto"/>
                <w:sz w:val="24"/>
                <w:szCs w:val="24"/>
                <w:u w:val="none"/>
                <w:lang w:val="en-US" w:eastAsia="zh-CN"/>
              </w:rPr>
              <w:t>需</w:t>
            </w:r>
            <w:r>
              <w:rPr>
                <w:rFonts w:hint="eastAsia" w:ascii="仿宋" w:hAnsi="仿宋" w:eastAsia="仿宋" w:cs="仿宋"/>
                <w:color w:val="auto"/>
                <w:sz w:val="24"/>
                <w:szCs w:val="24"/>
                <w:u w:val="none"/>
              </w:rPr>
              <w:t>提前通知采购人</w:t>
            </w:r>
            <w:r>
              <w:rPr>
                <w:rFonts w:hint="eastAsia" w:ascii="仿宋" w:hAnsi="仿宋" w:eastAsia="仿宋" w:cs="仿宋"/>
                <w:color w:val="auto"/>
                <w:sz w:val="24"/>
                <w:szCs w:val="24"/>
                <w:u w:val="none"/>
                <w:lang w:eastAsia="zh-CN"/>
              </w:rPr>
              <w:t>。</w:t>
            </w:r>
          </w:p>
          <w:p w14:paraId="4508D16B">
            <w:pPr>
              <w:pStyle w:val="14"/>
              <w:keepNext w:val="0"/>
              <w:keepLines w:val="0"/>
              <w:pageBreakBefore w:val="0"/>
              <w:widowControl/>
              <w:suppressLineNumbers w:val="0"/>
              <w:kinsoku/>
              <w:wordWrap/>
              <w:overflowPunct/>
              <w:topLinePunct w:val="0"/>
              <w:autoSpaceDE w:val="0"/>
              <w:autoSpaceDN/>
              <w:bidi w:val="0"/>
              <w:adjustRightInd/>
              <w:snapToGrid/>
              <w:spacing w:beforeAutospacing="0" w:afterAutospacing="0" w:line="240" w:lineRule="auto"/>
              <w:ind w:left="0" w:firstLine="0"/>
              <w:textAlignment w:val="auto"/>
              <w:rPr>
                <w:rFonts w:hint="eastAsia" w:ascii="仿宋" w:hAnsi="仿宋" w:eastAsia="仿宋" w:cs="仿宋"/>
                <w:color w:val="auto"/>
                <w:sz w:val="24"/>
                <w:szCs w:val="24"/>
                <w:u w:val="none"/>
              </w:rPr>
            </w:pPr>
            <w:r>
              <w:rPr>
                <w:rFonts w:hint="eastAsia" w:ascii="仿宋" w:hAnsi="仿宋" w:eastAsia="仿宋" w:cs="仿宋"/>
                <w:b/>
                <w:bCs/>
                <w:color w:val="auto"/>
                <w:sz w:val="24"/>
                <w:szCs w:val="24"/>
                <w:u w:val="none"/>
                <w:lang w:val="en-US" w:eastAsia="zh-CN"/>
              </w:rPr>
              <w:t>8</w:t>
            </w:r>
            <w:r>
              <w:rPr>
                <w:rFonts w:hint="eastAsia" w:ascii="仿宋" w:hAnsi="仿宋" w:eastAsia="仿宋" w:cs="仿宋"/>
                <w:b/>
                <w:bCs/>
                <w:color w:val="auto"/>
                <w:sz w:val="24"/>
                <w:szCs w:val="24"/>
                <w:u w:val="none"/>
                <w:lang w:eastAsia="zh-CN"/>
              </w:rPr>
              <w:t>.</w:t>
            </w:r>
            <w:r>
              <w:rPr>
                <w:rStyle w:val="21"/>
                <w:rFonts w:hint="eastAsia" w:ascii="仿宋" w:hAnsi="仿宋" w:eastAsia="仿宋" w:cs="仿宋"/>
                <w:color w:val="auto"/>
                <w:sz w:val="24"/>
                <w:szCs w:val="24"/>
                <w:u w:val="none"/>
              </w:rPr>
              <w:t>其他：</w:t>
            </w:r>
          </w:p>
          <w:p w14:paraId="2CA2082A">
            <w:pPr>
              <w:pStyle w:val="14"/>
              <w:keepNext w:val="0"/>
              <w:keepLines w:val="0"/>
              <w:pageBreakBefore w:val="0"/>
              <w:widowControl/>
              <w:suppressLineNumbers w:val="0"/>
              <w:kinsoku/>
              <w:wordWrap/>
              <w:overflowPunct/>
              <w:topLinePunct w:val="0"/>
              <w:autoSpaceDN/>
              <w:bidi w:val="0"/>
              <w:adjustRightInd/>
              <w:snapToGrid/>
              <w:spacing w:beforeAutospacing="0" w:afterAutospacing="0" w:line="240" w:lineRule="auto"/>
              <w:textAlignment w:val="auto"/>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1）</w:t>
            </w:r>
            <w:r>
              <w:rPr>
                <w:rFonts w:hint="eastAsia" w:ascii="仿宋" w:hAnsi="仿宋" w:eastAsia="仿宋" w:cs="仿宋"/>
                <w:color w:val="auto"/>
                <w:sz w:val="24"/>
                <w:szCs w:val="24"/>
                <w:u w:val="none"/>
                <w:lang w:eastAsia="zh-CN"/>
              </w:rPr>
              <w:t>成交</w:t>
            </w:r>
            <w:r>
              <w:rPr>
                <w:rFonts w:hint="eastAsia" w:ascii="仿宋" w:hAnsi="仿宋" w:eastAsia="仿宋" w:cs="仿宋"/>
                <w:color w:val="auto"/>
                <w:sz w:val="24"/>
                <w:szCs w:val="24"/>
                <w:u w:val="none"/>
              </w:rPr>
              <w:t>供应商应当与本项目相关的第三方保持有痕的沟通，明确项目的具体要求和功能等方面的细节。采购人负责组织、监督和验收，以确保项目的顺利完成。</w:t>
            </w:r>
          </w:p>
          <w:p w14:paraId="67524B21">
            <w:pPr>
              <w:pStyle w:val="14"/>
              <w:keepNext w:val="0"/>
              <w:keepLines w:val="0"/>
              <w:pageBreakBefore w:val="0"/>
              <w:widowControl/>
              <w:suppressLineNumbers w:val="0"/>
              <w:kinsoku/>
              <w:wordWrap/>
              <w:overflowPunct/>
              <w:topLinePunct w:val="0"/>
              <w:autoSpaceDN/>
              <w:bidi w:val="0"/>
              <w:adjustRightInd/>
              <w:snapToGrid/>
              <w:spacing w:beforeAutospacing="0" w:afterAutospacing="0" w:line="24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u w:val="none"/>
                <w:lang w:val="en-US" w:eastAsia="zh-CN"/>
              </w:rPr>
              <w:t>2</w:t>
            </w:r>
            <w:r>
              <w:rPr>
                <w:rFonts w:hint="eastAsia" w:ascii="仿宋" w:hAnsi="仿宋" w:eastAsia="仿宋" w:cs="仿宋"/>
                <w:color w:val="auto"/>
                <w:sz w:val="24"/>
                <w:szCs w:val="24"/>
                <w:u w:val="none"/>
              </w:rPr>
              <w:t>）如涉及因本项目开发的系统原因造成采购人的经济损失，由</w:t>
            </w:r>
            <w:r>
              <w:rPr>
                <w:rFonts w:hint="eastAsia" w:ascii="仿宋" w:hAnsi="仿宋" w:eastAsia="仿宋" w:cs="仿宋"/>
                <w:color w:val="auto"/>
                <w:sz w:val="24"/>
                <w:szCs w:val="24"/>
                <w:u w:val="none"/>
                <w:lang w:eastAsia="zh-CN"/>
              </w:rPr>
              <w:t>成交</w:t>
            </w:r>
            <w:r>
              <w:rPr>
                <w:rFonts w:hint="eastAsia" w:ascii="仿宋" w:hAnsi="仿宋" w:eastAsia="仿宋" w:cs="仿宋"/>
                <w:color w:val="auto"/>
                <w:sz w:val="24"/>
                <w:szCs w:val="24"/>
                <w:u w:val="none"/>
              </w:rPr>
              <w:t>供应商负责向采购人进行赔偿。</w:t>
            </w:r>
          </w:p>
        </w:tc>
        <w:tc>
          <w:tcPr>
            <w:tcW w:w="1437" w:type="dxa"/>
            <w:vMerge w:val="restart"/>
            <w:shd w:val="clear" w:color="auto" w:fill="auto"/>
            <w:tcMar>
              <w:top w:w="0" w:type="dxa"/>
              <w:left w:w="105" w:type="dxa"/>
              <w:bottom w:w="0" w:type="dxa"/>
              <w:right w:w="105" w:type="dxa"/>
            </w:tcMar>
            <w:vAlign w:val="center"/>
          </w:tcPr>
          <w:p w14:paraId="0DC2869A">
            <w:pPr>
              <w:pStyle w:val="14"/>
              <w:keepNext w:val="0"/>
              <w:keepLines w:val="0"/>
              <w:pageBreakBefore w:val="0"/>
              <w:widowControl/>
              <w:suppressLineNumbers w:val="0"/>
              <w:kinsoku/>
              <w:wordWrap/>
              <w:overflowPunct/>
              <w:topLinePunct w:val="0"/>
              <w:autoSpaceDE w:val="0"/>
              <w:autoSpaceDN/>
              <w:bidi w:val="0"/>
              <w:adjustRightInd/>
              <w:snapToGrid/>
              <w:spacing w:beforeAutospacing="0" w:afterAutospacing="0" w:line="240" w:lineRule="auto"/>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验收合格之日起，提供不低于1年</w:t>
            </w:r>
          </w:p>
        </w:tc>
      </w:tr>
      <w:tr w14:paraId="3B342E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47" w:type="dxa"/>
            <w:shd w:val="clear" w:color="auto" w:fill="auto"/>
            <w:tcMar>
              <w:top w:w="0" w:type="dxa"/>
              <w:left w:w="105" w:type="dxa"/>
              <w:bottom w:w="0" w:type="dxa"/>
              <w:right w:w="105" w:type="dxa"/>
            </w:tcMar>
            <w:vAlign w:val="center"/>
          </w:tcPr>
          <w:p w14:paraId="381CEFD2">
            <w:pPr>
              <w:pStyle w:val="14"/>
              <w:keepNext w:val="0"/>
              <w:keepLines w:val="0"/>
              <w:pageBreakBefore w:val="0"/>
              <w:widowControl/>
              <w:suppressLineNumbers w:val="0"/>
              <w:kinsoku/>
              <w:wordWrap/>
              <w:overflowPunct/>
              <w:topLinePunct w:val="0"/>
              <w:autoSpaceDE w:val="0"/>
              <w:autoSpaceDN/>
              <w:bidi w:val="0"/>
              <w:adjustRightInd/>
              <w:snapToGrid/>
              <w:spacing w:beforeAutospacing="0" w:afterAutospacing="0" w:line="240" w:lineRule="auto"/>
              <w:jc w:val="center"/>
              <w:textAlignment w:val="auto"/>
              <w:rPr>
                <w:rFonts w:hint="eastAsia" w:ascii="仿宋" w:hAnsi="仿宋" w:eastAsia="仿宋" w:cs="仿宋"/>
                <w:color w:val="auto"/>
                <w:sz w:val="24"/>
                <w:szCs w:val="24"/>
              </w:rPr>
            </w:pPr>
            <w:r>
              <w:rPr>
                <w:rStyle w:val="21"/>
                <w:rFonts w:hint="eastAsia" w:ascii="仿宋" w:hAnsi="仿宋" w:eastAsia="仿宋" w:cs="仿宋"/>
                <w:color w:val="auto"/>
                <w:sz w:val="24"/>
                <w:szCs w:val="24"/>
              </w:rPr>
              <w:t>2</w:t>
            </w:r>
          </w:p>
        </w:tc>
        <w:tc>
          <w:tcPr>
            <w:tcW w:w="1554" w:type="dxa"/>
            <w:shd w:val="clear" w:color="auto" w:fill="auto"/>
            <w:tcMar>
              <w:top w:w="0" w:type="dxa"/>
              <w:left w:w="105" w:type="dxa"/>
              <w:bottom w:w="0" w:type="dxa"/>
              <w:right w:w="105" w:type="dxa"/>
            </w:tcMar>
            <w:vAlign w:val="center"/>
          </w:tcPr>
          <w:p w14:paraId="42D5DB1C">
            <w:pPr>
              <w:pStyle w:val="14"/>
              <w:keepNext w:val="0"/>
              <w:keepLines w:val="0"/>
              <w:pageBreakBefore w:val="0"/>
              <w:widowControl/>
              <w:suppressLineNumbers w:val="0"/>
              <w:kinsoku/>
              <w:wordWrap/>
              <w:overflowPunct/>
              <w:topLinePunct w:val="0"/>
              <w:autoSpaceDE w:val="0"/>
              <w:autoSpaceDN/>
              <w:bidi w:val="0"/>
              <w:adjustRightInd/>
              <w:snapToGrid/>
              <w:spacing w:beforeAutospacing="0" w:afterAutospacing="0" w:line="240" w:lineRule="auto"/>
              <w:jc w:val="center"/>
              <w:textAlignment w:val="auto"/>
              <w:rPr>
                <w:rFonts w:hint="eastAsia" w:ascii="仿宋" w:hAnsi="仿宋" w:eastAsia="仿宋" w:cs="仿宋"/>
                <w:color w:val="auto"/>
                <w:sz w:val="24"/>
                <w:szCs w:val="24"/>
              </w:rPr>
            </w:pPr>
            <w:r>
              <w:rPr>
                <w:rStyle w:val="21"/>
                <w:rFonts w:hint="eastAsia" w:ascii="仿宋" w:hAnsi="仿宋" w:eastAsia="仿宋" w:cs="仿宋"/>
                <w:color w:val="auto"/>
                <w:sz w:val="24"/>
                <w:szCs w:val="24"/>
              </w:rPr>
              <w:t>质保服务</w:t>
            </w:r>
          </w:p>
        </w:tc>
        <w:tc>
          <w:tcPr>
            <w:tcW w:w="6109" w:type="dxa"/>
            <w:shd w:val="clear" w:color="auto" w:fill="auto"/>
            <w:tcMar>
              <w:top w:w="0" w:type="dxa"/>
              <w:left w:w="105" w:type="dxa"/>
              <w:bottom w:w="0" w:type="dxa"/>
              <w:right w:w="105" w:type="dxa"/>
            </w:tcMar>
            <w:vAlign w:val="center"/>
          </w:tcPr>
          <w:p w14:paraId="6A55537D">
            <w:pPr>
              <w:pStyle w:val="14"/>
              <w:keepNext w:val="0"/>
              <w:keepLines w:val="0"/>
              <w:pageBreakBefore w:val="0"/>
              <w:widowControl/>
              <w:suppressLineNumbers w:val="0"/>
              <w:kinsoku/>
              <w:wordWrap/>
              <w:overflowPunct/>
              <w:topLinePunct w:val="0"/>
              <w:autoSpaceDE w:val="0"/>
              <w:autoSpaceDN/>
              <w:bidi w:val="0"/>
              <w:adjustRightInd/>
              <w:snapToGrid/>
              <w:spacing w:beforeAutospacing="0" w:afterAutospacing="0" w:line="240" w:lineRule="auto"/>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保证软硬件功能正常运行，提供7*24小时原厂质保服务。</w:t>
            </w:r>
          </w:p>
        </w:tc>
        <w:tc>
          <w:tcPr>
            <w:tcW w:w="1437" w:type="dxa"/>
            <w:vMerge w:val="continue"/>
            <w:shd w:val="clear" w:color="auto" w:fill="auto"/>
            <w:tcMar>
              <w:top w:w="0" w:type="dxa"/>
              <w:left w:w="105" w:type="dxa"/>
              <w:bottom w:w="0" w:type="dxa"/>
              <w:right w:w="105" w:type="dxa"/>
            </w:tcMar>
            <w:vAlign w:val="top"/>
          </w:tcPr>
          <w:p w14:paraId="06B7328F">
            <w:pPr>
              <w:pStyle w:val="14"/>
              <w:keepNext w:val="0"/>
              <w:keepLines w:val="0"/>
              <w:pageBreakBefore w:val="0"/>
              <w:widowControl/>
              <w:suppressLineNumbers w:val="0"/>
              <w:kinsoku/>
              <w:wordWrap/>
              <w:overflowPunct/>
              <w:topLinePunct w:val="0"/>
              <w:autoSpaceDE w:val="0"/>
              <w:autoSpaceDN/>
              <w:bidi w:val="0"/>
              <w:adjustRightInd/>
              <w:snapToGrid/>
              <w:spacing w:beforeAutospacing="0" w:afterAutospacing="0" w:line="240" w:lineRule="auto"/>
              <w:textAlignment w:val="auto"/>
              <w:rPr>
                <w:rFonts w:hint="eastAsia" w:ascii="仿宋" w:hAnsi="仿宋" w:eastAsia="仿宋" w:cs="仿宋"/>
                <w:color w:val="auto"/>
                <w:sz w:val="24"/>
                <w:szCs w:val="24"/>
              </w:rPr>
            </w:pPr>
          </w:p>
        </w:tc>
      </w:tr>
      <w:tr w14:paraId="57BCCD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47" w:type="dxa"/>
            <w:shd w:val="clear" w:color="auto" w:fill="auto"/>
            <w:tcMar>
              <w:top w:w="0" w:type="dxa"/>
              <w:left w:w="105" w:type="dxa"/>
              <w:bottom w:w="0" w:type="dxa"/>
              <w:right w:w="105" w:type="dxa"/>
            </w:tcMar>
            <w:vAlign w:val="center"/>
          </w:tcPr>
          <w:p w14:paraId="798CDD41">
            <w:pPr>
              <w:pStyle w:val="14"/>
              <w:keepNext w:val="0"/>
              <w:keepLines w:val="0"/>
              <w:pageBreakBefore w:val="0"/>
              <w:widowControl/>
              <w:suppressLineNumbers w:val="0"/>
              <w:kinsoku/>
              <w:wordWrap/>
              <w:overflowPunct/>
              <w:topLinePunct w:val="0"/>
              <w:autoSpaceDE w:val="0"/>
              <w:autoSpaceDN/>
              <w:bidi w:val="0"/>
              <w:adjustRightInd/>
              <w:snapToGrid/>
              <w:spacing w:beforeAutospacing="0" w:afterAutospacing="0" w:line="240" w:lineRule="auto"/>
              <w:jc w:val="center"/>
              <w:textAlignment w:val="auto"/>
              <w:rPr>
                <w:rStyle w:val="21"/>
                <w:rFonts w:hint="eastAsia" w:ascii="仿宋" w:hAnsi="仿宋" w:eastAsia="仿宋" w:cs="仿宋"/>
                <w:color w:val="auto"/>
                <w:sz w:val="24"/>
                <w:szCs w:val="24"/>
                <w:lang w:val="en-US" w:eastAsia="zh-CN"/>
              </w:rPr>
            </w:pPr>
            <w:r>
              <w:rPr>
                <w:rStyle w:val="21"/>
                <w:rFonts w:hint="eastAsia" w:ascii="仿宋" w:hAnsi="仿宋" w:eastAsia="仿宋" w:cs="仿宋"/>
                <w:color w:val="auto"/>
                <w:sz w:val="24"/>
                <w:szCs w:val="24"/>
                <w:lang w:val="en-US" w:eastAsia="zh-CN"/>
              </w:rPr>
              <w:t>3</w:t>
            </w:r>
          </w:p>
        </w:tc>
        <w:tc>
          <w:tcPr>
            <w:tcW w:w="1554" w:type="dxa"/>
            <w:shd w:val="clear" w:color="auto" w:fill="auto"/>
            <w:tcMar>
              <w:top w:w="0" w:type="dxa"/>
              <w:left w:w="105" w:type="dxa"/>
              <w:bottom w:w="0" w:type="dxa"/>
              <w:right w:w="105" w:type="dxa"/>
            </w:tcMar>
            <w:vAlign w:val="center"/>
          </w:tcPr>
          <w:p w14:paraId="4FD32FE5">
            <w:pPr>
              <w:pStyle w:val="14"/>
              <w:keepNext w:val="0"/>
              <w:keepLines w:val="0"/>
              <w:pageBreakBefore w:val="0"/>
              <w:widowControl/>
              <w:suppressLineNumbers w:val="0"/>
              <w:kinsoku/>
              <w:wordWrap/>
              <w:overflowPunct/>
              <w:topLinePunct w:val="0"/>
              <w:autoSpaceDE w:val="0"/>
              <w:autoSpaceDN/>
              <w:bidi w:val="0"/>
              <w:adjustRightInd/>
              <w:snapToGrid/>
              <w:spacing w:beforeAutospacing="0" w:afterAutospacing="0" w:line="240" w:lineRule="auto"/>
              <w:jc w:val="center"/>
              <w:textAlignment w:val="auto"/>
              <w:rPr>
                <w:rStyle w:val="21"/>
                <w:rFonts w:hint="eastAsia" w:ascii="仿宋" w:hAnsi="仿宋" w:eastAsia="仿宋" w:cs="仿宋"/>
                <w:color w:val="auto"/>
                <w:sz w:val="24"/>
                <w:szCs w:val="24"/>
                <w:lang w:val="en-US" w:eastAsia="zh-CN"/>
              </w:rPr>
            </w:pPr>
            <w:r>
              <w:rPr>
                <w:rStyle w:val="21"/>
                <w:rFonts w:hint="eastAsia" w:ascii="仿宋" w:hAnsi="仿宋" w:eastAsia="仿宋" w:cs="仿宋"/>
                <w:color w:val="auto"/>
                <w:sz w:val="24"/>
                <w:szCs w:val="24"/>
                <w:lang w:val="en-US" w:eastAsia="zh-CN"/>
              </w:rPr>
              <w:t>考核</w:t>
            </w:r>
          </w:p>
        </w:tc>
        <w:tc>
          <w:tcPr>
            <w:tcW w:w="6109" w:type="dxa"/>
            <w:shd w:val="clear" w:color="auto" w:fill="auto"/>
            <w:tcMar>
              <w:top w:w="0" w:type="dxa"/>
              <w:left w:w="105" w:type="dxa"/>
              <w:bottom w:w="0" w:type="dxa"/>
              <w:right w:w="105" w:type="dxa"/>
            </w:tcMar>
            <w:vAlign w:val="center"/>
          </w:tcPr>
          <w:p w14:paraId="1101ED59">
            <w:pPr>
              <w:pStyle w:val="14"/>
              <w:keepNext w:val="0"/>
              <w:keepLines w:val="0"/>
              <w:pageBreakBefore w:val="0"/>
              <w:widowControl/>
              <w:suppressLineNumbers w:val="0"/>
              <w:kinsoku/>
              <w:wordWrap/>
              <w:overflowPunct/>
              <w:topLinePunct w:val="0"/>
              <w:autoSpaceDE w:val="0"/>
              <w:autoSpaceDN/>
              <w:bidi w:val="0"/>
              <w:adjustRightInd/>
              <w:snapToGrid/>
              <w:spacing w:beforeAutospacing="0" w:afterAutospacing="0" w:line="240" w:lineRule="auto"/>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u w:val="none"/>
              </w:rPr>
              <w:t>从</w:t>
            </w:r>
            <w:r>
              <w:rPr>
                <w:rFonts w:hint="eastAsia" w:ascii="仿宋" w:hAnsi="仿宋" w:eastAsia="仿宋" w:cs="仿宋"/>
                <w:color w:val="auto"/>
                <w:sz w:val="24"/>
                <w:szCs w:val="24"/>
                <w:u w:val="none"/>
                <w:lang w:val="en-US" w:eastAsia="zh-CN"/>
              </w:rPr>
              <w:t>服务期开始</w:t>
            </w:r>
            <w:r>
              <w:rPr>
                <w:rFonts w:hint="eastAsia" w:ascii="仿宋" w:hAnsi="仿宋" w:eastAsia="仿宋" w:cs="仿宋"/>
                <w:color w:val="auto"/>
                <w:sz w:val="24"/>
                <w:szCs w:val="24"/>
                <w:u w:val="none"/>
              </w:rPr>
              <w:t>之日起，采购人</w:t>
            </w:r>
            <w:r>
              <w:rPr>
                <w:rStyle w:val="21"/>
                <w:rFonts w:hint="eastAsia" w:ascii="仿宋" w:hAnsi="仿宋" w:eastAsia="仿宋" w:cs="仿宋"/>
                <w:color w:val="auto"/>
                <w:sz w:val="24"/>
                <w:szCs w:val="24"/>
                <w:u w:val="none"/>
              </w:rPr>
              <w:t>每月</w:t>
            </w:r>
            <w:r>
              <w:rPr>
                <w:rFonts w:hint="eastAsia" w:ascii="仿宋" w:hAnsi="仿宋" w:eastAsia="仿宋" w:cs="仿宋"/>
                <w:color w:val="auto"/>
                <w:sz w:val="24"/>
                <w:szCs w:val="24"/>
                <w:u w:val="none"/>
              </w:rPr>
              <w:t>按照</w:t>
            </w:r>
            <w:r>
              <w:rPr>
                <w:rStyle w:val="21"/>
                <w:rFonts w:hint="eastAsia" w:ascii="仿宋" w:hAnsi="仿宋" w:eastAsia="仿宋" w:cs="仿宋"/>
                <w:color w:val="auto"/>
                <w:sz w:val="24"/>
                <w:szCs w:val="24"/>
                <w:u w:val="none"/>
              </w:rPr>
              <w:t>四川省人民医院供应商考核</w:t>
            </w:r>
            <w:r>
              <w:rPr>
                <w:rFonts w:hint="eastAsia" w:ascii="仿宋" w:hAnsi="仿宋" w:eastAsia="仿宋" w:cs="仿宋"/>
                <w:color w:val="auto"/>
                <w:sz w:val="24"/>
                <w:szCs w:val="24"/>
                <w:u w:val="none"/>
              </w:rPr>
              <w:t>指标对供应商行为进行评价考核，考核结果关联最终付款金额和履约保证金（如有履约保证金）。</w:t>
            </w:r>
          </w:p>
        </w:tc>
        <w:tc>
          <w:tcPr>
            <w:tcW w:w="1437" w:type="dxa"/>
            <w:vMerge w:val="continue"/>
            <w:shd w:val="clear" w:color="auto" w:fill="auto"/>
            <w:tcMar>
              <w:top w:w="0" w:type="dxa"/>
              <w:left w:w="105" w:type="dxa"/>
              <w:bottom w:w="0" w:type="dxa"/>
              <w:right w:w="105" w:type="dxa"/>
            </w:tcMar>
            <w:vAlign w:val="top"/>
          </w:tcPr>
          <w:p w14:paraId="08EC1872">
            <w:pPr>
              <w:pStyle w:val="14"/>
              <w:keepNext w:val="0"/>
              <w:keepLines w:val="0"/>
              <w:pageBreakBefore w:val="0"/>
              <w:widowControl/>
              <w:suppressLineNumbers w:val="0"/>
              <w:kinsoku/>
              <w:wordWrap/>
              <w:overflowPunct/>
              <w:topLinePunct w:val="0"/>
              <w:autoSpaceDE w:val="0"/>
              <w:autoSpaceDN/>
              <w:bidi w:val="0"/>
              <w:adjustRightInd/>
              <w:snapToGrid/>
              <w:spacing w:beforeAutospacing="0" w:afterAutospacing="0" w:line="240" w:lineRule="auto"/>
              <w:textAlignment w:val="auto"/>
              <w:rPr>
                <w:rFonts w:hint="eastAsia" w:ascii="仿宋" w:hAnsi="仿宋" w:eastAsia="仿宋" w:cs="仿宋"/>
                <w:color w:val="auto"/>
                <w:sz w:val="24"/>
                <w:szCs w:val="24"/>
              </w:rPr>
            </w:pPr>
          </w:p>
        </w:tc>
      </w:tr>
    </w:tbl>
    <w:p w14:paraId="6E1528B6">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482" w:leftChars="0" w:hanging="482" w:hangingChars="200"/>
        <w:textAlignment w:val="auto"/>
        <w:rPr>
          <w:rFonts w:hint="eastAsia" w:ascii="仿宋" w:hAnsi="仿宋" w:eastAsia="仿宋" w:cs="仿宋"/>
          <w:sz w:val="24"/>
          <w:szCs w:val="24"/>
          <w:lang w:val="en-US" w:eastAsia="zh-CN"/>
        </w:rPr>
      </w:pPr>
      <w:r>
        <w:rPr>
          <w:rFonts w:hint="eastAsia" w:ascii="仿宋" w:hAnsi="仿宋" w:eastAsia="仿宋" w:cs="仿宋"/>
          <w:b/>
          <w:bCs/>
          <w:sz w:val="24"/>
          <w:szCs w:val="24"/>
          <w:lang w:val="en-US" w:eastAsia="zh-CN"/>
        </w:rPr>
        <w:t>四</w:t>
      </w:r>
      <w:r>
        <w:rPr>
          <w:rFonts w:hint="eastAsia" w:ascii="仿宋" w:hAnsi="仿宋" w:eastAsia="仿宋" w:cs="仿宋"/>
          <w:b/>
          <w:bCs/>
          <w:sz w:val="24"/>
          <w:szCs w:val="24"/>
        </w:rPr>
        <w:t>、商务要求：</w:t>
      </w:r>
      <w:r>
        <w:rPr>
          <w:rFonts w:hint="eastAsia" w:ascii="仿宋" w:hAnsi="仿宋" w:eastAsia="仿宋" w:cs="仿宋"/>
          <w:sz w:val="24"/>
          <w:szCs w:val="24"/>
        </w:rPr>
        <w:cr/>
      </w:r>
      <w:r>
        <w:rPr>
          <w:rFonts w:hint="eastAsia" w:ascii="仿宋" w:hAnsi="仿宋" w:eastAsia="仿宋" w:cs="仿宋"/>
          <w:sz w:val="24"/>
          <w:szCs w:val="24"/>
          <w:lang w:val="en-US" w:eastAsia="zh-CN"/>
        </w:rPr>
        <w:t>1.实施时间：本项目合同签订生效后，供应商应在5个工作日内开始实施。</w:t>
      </w:r>
    </w:p>
    <w:p w14:paraId="1C6C618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2.实施周期</w:t>
      </w:r>
      <w:r>
        <w:rPr>
          <w:rFonts w:hint="eastAsia" w:ascii="仿宋" w:hAnsi="仿宋" w:eastAsia="仿宋" w:cs="仿宋"/>
          <w:sz w:val="24"/>
          <w:szCs w:val="24"/>
        </w:rPr>
        <w:t>：</w:t>
      </w:r>
      <w:r>
        <w:rPr>
          <w:rFonts w:hint="eastAsia" w:ascii="仿宋" w:hAnsi="仿宋" w:eastAsia="仿宋" w:cs="仿宋"/>
          <w:sz w:val="24"/>
          <w:szCs w:val="24"/>
          <w:lang w:val="en-US" w:eastAsia="zh-CN"/>
        </w:rPr>
        <w:t>本项目开始实施之日起60日内，完成本项目包含的所有软硬件功能的上线运行。未在实施周期内完成，视为供应商违约并自动放弃该项目，采购人有权终止合同，合同所有款项将不予支付（已缴纳的履约保证金，将不予退还），已支付款项，供应商应于7个工作日内退还采购人。</w:t>
      </w:r>
    </w:p>
    <w:p w14:paraId="4F991E55">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3.服务地点：本项目涉及的四川省人民医院所有院区。</w:t>
      </w:r>
    </w:p>
    <w:p w14:paraId="024B48D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w:t>
      </w:r>
      <w:r>
        <w:rPr>
          <w:rFonts w:hint="eastAsia" w:ascii="仿宋" w:hAnsi="仿宋" w:eastAsia="仿宋" w:cs="仿宋"/>
          <w:sz w:val="24"/>
          <w:szCs w:val="24"/>
        </w:rPr>
        <w:t>付款</w:t>
      </w:r>
      <w:r>
        <w:rPr>
          <w:rFonts w:hint="eastAsia" w:ascii="仿宋" w:hAnsi="仿宋" w:eastAsia="仿宋" w:cs="仿宋"/>
          <w:sz w:val="24"/>
          <w:szCs w:val="24"/>
          <w:lang w:val="en-US" w:eastAsia="zh-CN"/>
        </w:rPr>
        <w:t>条件</w:t>
      </w:r>
    </w:p>
    <w:p w14:paraId="54A2462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rPr>
      </w:pPr>
      <w:bookmarkStart w:id="15" w:name="_Toc18622"/>
      <w:bookmarkEnd w:id="15"/>
      <w:bookmarkStart w:id="16" w:name="_Toc153964904"/>
      <w:bookmarkEnd w:id="16"/>
      <w:r>
        <w:rPr>
          <w:rFonts w:hint="eastAsia" w:ascii="仿宋" w:hAnsi="仿宋" w:eastAsia="仿宋" w:cs="仿宋"/>
          <w:sz w:val="24"/>
          <w:szCs w:val="24"/>
          <w:lang w:val="en-US" w:eastAsia="zh-CN"/>
        </w:rPr>
        <w:t>总价包干，合同签订生效且项目验收合格后，供应商于5日内向采购人提供合法有效票据及其他相关请款资料，采购人于接到上述票据及资料以后的55日内，向供应商支付合同总价100%的金额（如有因考核等原因产生的扣款，应在支付前予以扣除）。</w:t>
      </w:r>
    </w:p>
    <w:p w14:paraId="4741AFEE">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5.履约验收方案</w:t>
      </w:r>
    </w:p>
    <w:p w14:paraId="38B6A9C4">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（1）验收主体：采购人</w:t>
      </w:r>
    </w:p>
    <w:p w14:paraId="57A51DC0">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（2）验收组织方式：自行验收</w:t>
      </w:r>
    </w:p>
    <w:p w14:paraId="6F002EC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（3）验收程序：一次性验收</w:t>
      </w:r>
    </w:p>
    <w:p w14:paraId="241065C9">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（4）验收方式：现场整体验收</w:t>
      </w:r>
    </w:p>
    <w:p w14:paraId="277E01D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（5）履约验收内容：按照基于本项目采购需求编制的采购文件要求及供应商响应文件情况，由供应商向采购人提供的全部服务或货物。</w:t>
      </w:r>
    </w:p>
    <w:p w14:paraId="5778B2C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（6）履约验收时间：系统上线运行后5日内通知采购人验收，采购人接供应商通知后10日内组织验收。</w:t>
      </w:r>
    </w:p>
    <w:p w14:paraId="63BC65D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（7）是否邀请本项目的其他供应商:否</w:t>
      </w:r>
    </w:p>
    <w:p w14:paraId="7E9B9656">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（8）是否邀请专家：否</w:t>
      </w:r>
    </w:p>
    <w:p w14:paraId="73A3D58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（9）是否邀请服务对象：否</w:t>
      </w:r>
    </w:p>
    <w:p w14:paraId="4E709A74">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（10）是否邀请第三方检测机构：否</w:t>
      </w:r>
    </w:p>
    <w:p w14:paraId="3B98E2EA">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（11）验收标准：</w:t>
      </w:r>
    </w:p>
    <w:p w14:paraId="7FD60C85">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1）国家相关法律法规、行业标准、技术规范。</w:t>
      </w:r>
    </w:p>
    <w:p w14:paraId="223244A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2）基于本项目采购需求编制的采购文件相关技术、服务要求、供应商响应文件相关响应内容。</w:t>
      </w:r>
    </w:p>
    <w:p w14:paraId="510B4B61">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3）产品生产厂家出具的产品说明书、技术白皮书等官方技术资料（如涉及）。</w:t>
      </w:r>
    </w:p>
    <w:p w14:paraId="3FBFD516">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4）如验收时，采购人与供应商认为本项目验收标准中的技术指标、质量要求等内容存在相互抵触或对其理解存在异议，应按照其中更严格的要求、标准等进行验收。</w:t>
      </w:r>
    </w:p>
    <w:p w14:paraId="408B22C7">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5）按照《财政部关于进一步加强政府采购需求和履约验收管理的指导意见》（财库〔2016〕205号）的要求进行验收。（如本项目不涉及政府采购，将参照此条款）</w:t>
      </w:r>
    </w:p>
    <w:p w14:paraId="0C116C8F">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6）如本项目验收方式为考核验收，则考核结果须为合格。</w:t>
      </w:r>
    </w:p>
    <w:p w14:paraId="5014D632">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7）其它标准：无。</w:t>
      </w:r>
    </w:p>
    <w:p w14:paraId="0BECA043">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（12）履约验收其它事项：无。</w:t>
      </w:r>
    </w:p>
    <w:p w14:paraId="4D7D959B">
      <w:pPr>
        <w:pStyle w:val="16"/>
        <w:keepNext w:val="0"/>
        <w:keepLines w:val="0"/>
        <w:pageBreakBefore w:val="0"/>
        <w:kinsoku/>
        <w:wordWrap/>
        <w:overflowPunct/>
        <w:topLinePunct w:val="0"/>
        <w:autoSpaceDN/>
        <w:bidi w:val="0"/>
        <w:adjustRightInd w:val="0"/>
        <w:snapToGrid w:val="0"/>
        <w:spacing w:before="0" w:beforeAutospacing="0" w:after="0" w:afterAutospacing="0" w:line="360" w:lineRule="auto"/>
        <w:ind w:left="0" w:leftChars="0" w:firstLine="480" w:firstLineChars="200"/>
        <w:textAlignment w:val="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6.知识产权归属：由采购人、供应商双方共同开发的项目：采购人、供应商双方共同研发的该系统软件产品，知识产权归采购人、供应商双方共同拥有，软件所有数据归采购人所有。</w:t>
      </w:r>
    </w:p>
    <w:p w14:paraId="108C78E3">
      <w:pPr>
        <w:keepNext w:val="0"/>
        <w:keepLines w:val="0"/>
        <w:pageBreakBefore w:val="0"/>
        <w:kinsoku/>
        <w:wordWrap/>
        <w:overflowPunct/>
        <w:topLinePunct w:val="0"/>
        <w:autoSpaceDN/>
        <w:bidi w:val="0"/>
        <w:adjustRightInd w:val="0"/>
        <w:snapToGrid w:val="0"/>
        <w:spacing w:beforeAutospacing="0" w:afterAutospacing="0" w:line="360" w:lineRule="auto"/>
        <w:ind w:left="0"/>
        <w:jc w:val="left"/>
        <w:textAlignment w:val="auto"/>
        <w:rPr>
          <w:rFonts w:hint="eastAsia" w:ascii="仿宋" w:hAnsi="仿宋" w:eastAsia="仿宋" w:cs="仿宋"/>
          <w:sz w:val="24"/>
          <w:szCs w:val="24"/>
        </w:rPr>
      </w:pPr>
    </w:p>
    <w:p w14:paraId="526E9291">
      <w:pPr>
        <w:pStyle w:val="16"/>
        <w:keepNext w:val="0"/>
        <w:keepLines w:val="0"/>
        <w:pageBreakBefore w:val="0"/>
        <w:kinsoku/>
        <w:wordWrap/>
        <w:overflowPunct/>
        <w:topLinePunct w:val="0"/>
        <w:autoSpaceDN/>
        <w:bidi w:val="0"/>
        <w:adjustRightInd w:val="0"/>
        <w:snapToGrid w:val="0"/>
        <w:spacing w:before="0" w:beforeAutospacing="0" w:after="0" w:afterAutospacing="0" w:line="360" w:lineRule="auto"/>
        <w:ind w:left="0" w:leftChars="0" w:firstLine="0"/>
        <w:textAlignment w:val="auto"/>
        <w:rPr>
          <w:rFonts w:hint="eastAsia" w:ascii="仿宋" w:hAnsi="仿宋" w:eastAsia="仿宋" w:cs="仿宋"/>
          <w:b/>
          <w:bCs/>
          <w:sz w:val="24"/>
          <w:szCs w:val="24"/>
        </w:rPr>
      </w:pPr>
      <w:r>
        <w:rPr>
          <w:rFonts w:hint="eastAsia" w:ascii="仿宋" w:hAnsi="仿宋" w:eastAsia="仿宋" w:cs="仿宋"/>
          <w:b/>
          <w:bCs/>
          <w:sz w:val="24"/>
          <w:szCs w:val="24"/>
        </w:rPr>
        <w:t>注：本章中</w:t>
      </w:r>
      <w:r>
        <w:rPr>
          <w:rFonts w:hint="eastAsia" w:ascii="仿宋" w:hAnsi="仿宋" w:eastAsia="仿宋" w:cs="仿宋"/>
          <w:b/>
          <w:bCs/>
          <w:sz w:val="24"/>
          <w:szCs w:val="24"/>
          <w:lang w:val="en-US" w:eastAsia="zh-CN"/>
        </w:rPr>
        <w:t>全部</w:t>
      </w:r>
      <w:r>
        <w:rPr>
          <w:rFonts w:hint="eastAsia" w:ascii="仿宋" w:hAnsi="仿宋" w:eastAsia="仿宋" w:cs="仿宋"/>
          <w:b/>
          <w:bCs/>
          <w:sz w:val="24"/>
          <w:szCs w:val="24"/>
        </w:rPr>
        <w:t>条款</w:t>
      </w:r>
      <w:r>
        <w:rPr>
          <w:rFonts w:hint="eastAsia" w:ascii="仿宋" w:hAnsi="仿宋" w:eastAsia="仿宋" w:cs="仿宋"/>
          <w:b/>
          <w:bCs/>
          <w:sz w:val="24"/>
          <w:szCs w:val="24"/>
          <w:lang w:val="en-US" w:eastAsia="zh-CN"/>
        </w:rPr>
        <w:t>均</w:t>
      </w:r>
      <w:r>
        <w:rPr>
          <w:rFonts w:hint="eastAsia" w:ascii="仿宋" w:hAnsi="仿宋" w:eastAsia="仿宋" w:cs="仿宋"/>
          <w:b/>
          <w:bCs/>
          <w:sz w:val="24"/>
          <w:szCs w:val="24"/>
        </w:rPr>
        <w:t>为实质性要求，不满足将被作为无效响应处理。</w:t>
      </w:r>
    </w:p>
    <w:p w14:paraId="3E1688CF">
      <w:pPr>
        <w:spacing w:line="360" w:lineRule="auto"/>
        <w:rPr>
          <w:rFonts w:hint="eastAsia" w:ascii="仿宋" w:hAnsi="仿宋" w:eastAsia="仿宋" w:cs="仿宋"/>
          <w:kern w:val="2"/>
          <w:sz w:val="24"/>
          <w:szCs w:val="24"/>
        </w:rPr>
      </w:pPr>
    </w:p>
    <w:p w14:paraId="35BC8A82">
      <w:pPr>
        <w:rPr>
          <w:rFonts w:hint="eastAsia" w:ascii="仿宋" w:hAnsi="仿宋" w:eastAsia="仿宋" w:cs="仿宋"/>
          <w:kern w:val="2"/>
          <w:sz w:val="24"/>
          <w:szCs w:val="24"/>
        </w:rPr>
      </w:pPr>
    </w:p>
    <w:p w14:paraId="5D7FB459">
      <w:pPr>
        <w:rPr>
          <w:rFonts w:hint="eastAsia" w:ascii="仿宋" w:hAnsi="仿宋" w:eastAsia="仿宋" w:cs="仿宋"/>
          <w:kern w:val="2"/>
          <w:sz w:val="24"/>
          <w:szCs w:val="24"/>
        </w:rPr>
      </w:pPr>
      <w:r>
        <w:rPr>
          <w:rFonts w:hint="eastAsia" w:ascii="仿宋" w:hAnsi="仿宋" w:eastAsia="仿宋" w:cs="仿宋"/>
          <w:kern w:val="2"/>
          <w:sz w:val="24"/>
          <w:szCs w:val="24"/>
        </w:rPr>
        <w:br w:type="page"/>
      </w:r>
    </w:p>
    <w:p w14:paraId="162AD0C7">
      <w:pPr>
        <w:pStyle w:val="3"/>
        <w:keepNext w:val="0"/>
        <w:keepLines w:val="0"/>
        <w:widowControl/>
        <w:numPr>
          <w:ilvl w:val="0"/>
          <w:numId w:val="0"/>
        </w:numPr>
        <w:suppressLineNumbers w:val="0"/>
        <w:spacing w:before="0" w:beforeAutospacing="0" w:after="0" w:afterAutospacing="0"/>
        <w:ind w:leftChars="0"/>
        <w:jc w:val="both"/>
        <w:rPr>
          <w:rFonts w:hint="eastAsia" w:ascii="仿宋" w:hAnsi="仿宋" w:eastAsia="仿宋" w:cs="仿宋"/>
          <w:b/>
          <w:bCs w:val="0"/>
          <w:sz w:val="24"/>
          <w:szCs w:val="24"/>
        </w:rPr>
      </w:pPr>
      <w:r>
        <w:rPr>
          <w:rStyle w:val="21"/>
          <w:rFonts w:hint="eastAsia" w:ascii="仿宋" w:hAnsi="仿宋" w:eastAsia="仿宋" w:cs="仿宋"/>
          <w:b/>
          <w:bCs w:val="0"/>
          <w:kern w:val="2"/>
          <w:sz w:val="24"/>
          <w:szCs w:val="24"/>
        </w:rPr>
        <w:t>供应商考核</w:t>
      </w:r>
    </w:p>
    <w:tbl>
      <w:tblPr>
        <w:tblStyle w:val="1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1262"/>
        <w:gridCol w:w="1558"/>
        <w:gridCol w:w="1731"/>
        <w:gridCol w:w="1367"/>
        <w:gridCol w:w="3150"/>
        <w:gridCol w:w="779"/>
      </w:tblGrid>
      <w:tr w14:paraId="7DAF51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8520" w:type="dxa"/>
            <w:gridSpan w:val="6"/>
            <w:shd w:val="clear" w:color="auto" w:fill="DBE3F4"/>
            <w:tcMar>
              <w:top w:w="0" w:type="dxa"/>
              <w:left w:w="105" w:type="dxa"/>
              <w:bottom w:w="0" w:type="dxa"/>
              <w:right w:w="105" w:type="dxa"/>
            </w:tcMar>
            <w:vAlign w:val="top"/>
          </w:tcPr>
          <w:p w14:paraId="699AA2ED">
            <w:pPr>
              <w:pStyle w:val="14"/>
              <w:keepNext w:val="0"/>
              <w:keepLines w:val="0"/>
              <w:widowControl/>
              <w:suppressLineNumbers w:val="0"/>
              <w:jc w:val="center"/>
              <w:rPr>
                <w:rFonts w:hint="eastAsia" w:ascii="仿宋" w:hAnsi="仿宋" w:eastAsia="仿宋" w:cs="仿宋"/>
                <w:sz w:val="24"/>
                <w:szCs w:val="24"/>
              </w:rPr>
            </w:pPr>
            <w:r>
              <w:rPr>
                <w:rStyle w:val="21"/>
                <w:rFonts w:hint="eastAsia" w:ascii="仿宋" w:hAnsi="仿宋" w:eastAsia="仿宋" w:cs="仿宋"/>
                <w:sz w:val="36"/>
                <w:szCs w:val="36"/>
              </w:rPr>
              <w:t>四川省人民医院供应商考核</w:t>
            </w:r>
          </w:p>
        </w:tc>
      </w:tr>
      <w:tr w14:paraId="7D950D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shd w:val="clear" w:color="auto" w:fill="DBE3F4"/>
            <w:tcMar>
              <w:top w:w="0" w:type="dxa"/>
              <w:left w:w="105" w:type="dxa"/>
              <w:bottom w:w="0" w:type="dxa"/>
              <w:right w:w="105" w:type="dxa"/>
            </w:tcMar>
            <w:vAlign w:val="center"/>
          </w:tcPr>
          <w:p w14:paraId="735C90FB">
            <w:pPr>
              <w:pStyle w:val="14"/>
              <w:keepNext w:val="0"/>
              <w:keepLines w:val="0"/>
              <w:widowControl/>
              <w:suppressLineNumbers w:val="0"/>
              <w:spacing w:line="360" w:lineRule="auto"/>
              <w:jc w:val="center"/>
              <w:rPr>
                <w:rFonts w:hint="eastAsia" w:ascii="仿宋" w:hAnsi="仿宋" w:eastAsia="仿宋" w:cs="仿宋"/>
                <w:sz w:val="24"/>
                <w:szCs w:val="24"/>
              </w:rPr>
            </w:pPr>
            <w:r>
              <w:rPr>
                <w:rStyle w:val="21"/>
                <w:rFonts w:hint="eastAsia" w:ascii="仿宋" w:hAnsi="仿宋" w:eastAsia="仿宋" w:cs="仿宋"/>
                <w:sz w:val="24"/>
                <w:szCs w:val="24"/>
              </w:rPr>
              <w:t>供应商</w:t>
            </w:r>
          </w:p>
        </w:tc>
        <w:tc>
          <w:tcPr>
            <w:tcW w:w="2850" w:type="dxa"/>
            <w:gridSpan w:val="2"/>
            <w:shd w:val="clear" w:color="auto" w:fill="DBE3F4"/>
            <w:tcMar>
              <w:top w:w="0" w:type="dxa"/>
              <w:left w:w="105" w:type="dxa"/>
              <w:bottom w:w="0" w:type="dxa"/>
              <w:right w:w="105" w:type="dxa"/>
            </w:tcMar>
            <w:vAlign w:val="center"/>
          </w:tcPr>
          <w:p w14:paraId="120F00BC">
            <w:pPr>
              <w:keepNext w:val="0"/>
              <w:keepLines w:val="0"/>
              <w:widowControl/>
              <w:suppressLineNumbers w:val="0"/>
              <w:jc w:val="left"/>
              <w:rPr>
                <w:rFonts w:hint="eastAsia" w:ascii="仿宋" w:hAnsi="仿宋" w:eastAsia="仿宋" w:cs="仿宋"/>
                <w:sz w:val="24"/>
                <w:szCs w:val="24"/>
              </w:rPr>
            </w:pPr>
          </w:p>
        </w:tc>
        <w:tc>
          <w:tcPr>
            <w:tcW w:w="1185" w:type="dxa"/>
            <w:shd w:val="clear" w:color="auto" w:fill="DBE3F4"/>
            <w:tcMar>
              <w:top w:w="0" w:type="dxa"/>
              <w:left w:w="105" w:type="dxa"/>
              <w:bottom w:w="0" w:type="dxa"/>
              <w:right w:w="105" w:type="dxa"/>
            </w:tcMar>
            <w:vAlign w:val="center"/>
          </w:tcPr>
          <w:p w14:paraId="05EFE62B">
            <w:pPr>
              <w:pStyle w:val="14"/>
              <w:keepNext w:val="0"/>
              <w:keepLines w:val="0"/>
              <w:widowControl/>
              <w:suppressLineNumbers w:val="0"/>
              <w:spacing w:line="360" w:lineRule="auto"/>
              <w:jc w:val="center"/>
              <w:rPr>
                <w:rFonts w:hint="eastAsia" w:ascii="仿宋" w:hAnsi="仿宋" w:eastAsia="仿宋" w:cs="仿宋"/>
                <w:sz w:val="24"/>
                <w:szCs w:val="24"/>
              </w:rPr>
            </w:pPr>
            <w:r>
              <w:rPr>
                <w:rStyle w:val="21"/>
                <w:rFonts w:hint="eastAsia" w:ascii="仿宋" w:hAnsi="仿宋" w:eastAsia="仿宋" w:cs="仿宋"/>
                <w:sz w:val="24"/>
                <w:szCs w:val="24"/>
              </w:rPr>
              <w:t>合同名</w:t>
            </w:r>
          </w:p>
        </w:tc>
        <w:tc>
          <w:tcPr>
            <w:tcW w:w="3390" w:type="dxa"/>
            <w:gridSpan w:val="2"/>
            <w:shd w:val="clear" w:color="auto" w:fill="DBE3F4"/>
            <w:tcMar>
              <w:top w:w="0" w:type="dxa"/>
              <w:left w:w="105" w:type="dxa"/>
              <w:bottom w:w="0" w:type="dxa"/>
              <w:right w:w="105" w:type="dxa"/>
            </w:tcMar>
            <w:vAlign w:val="top"/>
          </w:tcPr>
          <w:p w14:paraId="06E40446">
            <w:pPr>
              <w:keepNext w:val="0"/>
              <w:keepLines w:val="0"/>
              <w:widowControl/>
              <w:suppressLineNumbers w:val="0"/>
              <w:jc w:val="left"/>
              <w:rPr>
                <w:rFonts w:hint="eastAsia" w:ascii="仿宋" w:hAnsi="仿宋" w:eastAsia="仿宋" w:cs="仿宋"/>
                <w:sz w:val="24"/>
                <w:szCs w:val="24"/>
              </w:rPr>
            </w:pPr>
          </w:p>
        </w:tc>
      </w:tr>
      <w:tr w14:paraId="0D5AD0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shd w:val="clear" w:color="auto" w:fill="DBE3F4"/>
            <w:tcMar>
              <w:top w:w="0" w:type="dxa"/>
              <w:left w:w="105" w:type="dxa"/>
              <w:bottom w:w="0" w:type="dxa"/>
              <w:right w:w="105" w:type="dxa"/>
            </w:tcMar>
            <w:vAlign w:val="center"/>
          </w:tcPr>
          <w:p w14:paraId="0AC8A332">
            <w:pPr>
              <w:pStyle w:val="14"/>
              <w:keepNext w:val="0"/>
              <w:keepLines w:val="0"/>
              <w:widowControl/>
              <w:suppressLineNumbers w:val="0"/>
              <w:spacing w:line="360" w:lineRule="auto"/>
              <w:jc w:val="center"/>
              <w:rPr>
                <w:rFonts w:hint="eastAsia" w:ascii="仿宋" w:hAnsi="仿宋" w:eastAsia="仿宋" w:cs="仿宋"/>
                <w:sz w:val="24"/>
                <w:szCs w:val="24"/>
              </w:rPr>
            </w:pPr>
            <w:r>
              <w:rPr>
                <w:rStyle w:val="21"/>
                <w:rFonts w:hint="eastAsia" w:ascii="仿宋" w:hAnsi="仿宋" w:eastAsia="仿宋" w:cs="仿宋"/>
                <w:sz w:val="24"/>
                <w:szCs w:val="24"/>
              </w:rPr>
              <w:t>指标类别</w:t>
            </w:r>
          </w:p>
        </w:tc>
        <w:tc>
          <w:tcPr>
            <w:tcW w:w="1350" w:type="dxa"/>
            <w:shd w:val="clear" w:color="auto" w:fill="DBE3F4"/>
            <w:tcMar>
              <w:top w:w="0" w:type="dxa"/>
              <w:left w:w="105" w:type="dxa"/>
              <w:bottom w:w="0" w:type="dxa"/>
              <w:right w:w="105" w:type="dxa"/>
            </w:tcMar>
            <w:vAlign w:val="center"/>
          </w:tcPr>
          <w:p w14:paraId="0BC4AC3B">
            <w:pPr>
              <w:pStyle w:val="14"/>
              <w:keepNext w:val="0"/>
              <w:keepLines w:val="0"/>
              <w:widowControl/>
              <w:suppressLineNumbers w:val="0"/>
              <w:spacing w:line="360" w:lineRule="auto"/>
              <w:jc w:val="center"/>
              <w:rPr>
                <w:rFonts w:hint="eastAsia" w:ascii="仿宋" w:hAnsi="仿宋" w:eastAsia="仿宋" w:cs="仿宋"/>
                <w:sz w:val="24"/>
                <w:szCs w:val="24"/>
              </w:rPr>
            </w:pPr>
            <w:r>
              <w:rPr>
                <w:rStyle w:val="21"/>
                <w:rFonts w:hint="eastAsia" w:ascii="仿宋" w:hAnsi="仿宋" w:eastAsia="仿宋" w:cs="仿宋"/>
                <w:sz w:val="24"/>
                <w:szCs w:val="24"/>
              </w:rPr>
              <w:t>指标</w:t>
            </w:r>
          </w:p>
        </w:tc>
        <w:tc>
          <w:tcPr>
            <w:tcW w:w="5415" w:type="dxa"/>
            <w:gridSpan w:val="3"/>
            <w:shd w:val="clear" w:color="auto" w:fill="DBE3F4"/>
            <w:tcMar>
              <w:top w:w="0" w:type="dxa"/>
              <w:left w:w="105" w:type="dxa"/>
              <w:bottom w:w="0" w:type="dxa"/>
              <w:right w:w="105" w:type="dxa"/>
            </w:tcMar>
            <w:vAlign w:val="center"/>
          </w:tcPr>
          <w:p w14:paraId="153E45E0">
            <w:pPr>
              <w:pStyle w:val="14"/>
              <w:keepNext w:val="0"/>
              <w:keepLines w:val="0"/>
              <w:widowControl/>
              <w:suppressLineNumbers w:val="0"/>
              <w:spacing w:line="360" w:lineRule="auto"/>
              <w:jc w:val="center"/>
              <w:rPr>
                <w:rFonts w:hint="eastAsia" w:ascii="仿宋" w:hAnsi="仿宋" w:eastAsia="仿宋" w:cs="仿宋"/>
                <w:sz w:val="24"/>
                <w:szCs w:val="24"/>
              </w:rPr>
            </w:pPr>
            <w:r>
              <w:rPr>
                <w:rStyle w:val="21"/>
                <w:rFonts w:hint="eastAsia" w:ascii="仿宋" w:hAnsi="仿宋" w:eastAsia="仿宋" w:cs="仿宋"/>
                <w:sz w:val="24"/>
                <w:szCs w:val="24"/>
              </w:rPr>
              <w:t>考核内容</w:t>
            </w:r>
          </w:p>
        </w:tc>
        <w:tc>
          <w:tcPr>
            <w:tcW w:w="675" w:type="dxa"/>
            <w:shd w:val="clear" w:color="auto" w:fill="DBE3F4"/>
            <w:tcMar>
              <w:top w:w="0" w:type="dxa"/>
              <w:left w:w="105" w:type="dxa"/>
              <w:bottom w:w="0" w:type="dxa"/>
              <w:right w:w="105" w:type="dxa"/>
            </w:tcMar>
            <w:vAlign w:val="center"/>
          </w:tcPr>
          <w:p w14:paraId="502A6DCC">
            <w:pPr>
              <w:pStyle w:val="14"/>
              <w:keepNext w:val="0"/>
              <w:keepLines w:val="0"/>
              <w:widowControl/>
              <w:suppressLineNumbers w:val="0"/>
              <w:spacing w:line="360" w:lineRule="auto"/>
              <w:jc w:val="center"/>
              <w:rPr>
                <w:rFonts w:hint="eastAsia" w:ascii="仿宋" w:hAnsi="仿宋" w:eastAsia="仿宋" w:cs="仿宋"/>
                <w:sz w:val="24"/>
                <w:szCs w:val="24"/>
              </w:rPr>
            </w:pPr>
            <w:r>
              <w:rPr>
                <w:rStyle w:val="21"/>
                <w:rFonts w:hint="eastAsia" w:ascii="仿宋" w:hAnsi="仿宋" w:eastAsia="仿宋" w:cs="仿宋"/>
                <w:sz w:val="24"/>
                <w:szCs w:val="24"/>
              </w:rPr>
              <w:t>扣分</w:t>
            </w:r>
          </w:p>
        </w:tc>
      </w:tr>
      <w:tr w14:paraId="3CCBBA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vMerge w:val="restart"/>
            <w:shd w:val="clear" w:color="auto" w:fill="auto"/>
            <w:tcMar>
              <w:top w:w="0" w:type="dxa"/>
              <w:left w:w="105" w:type="dxa"/>
              <w:bottom w:w="0" w:type="dxa"/>
              <w:right w:w="105" w:type="dxa"/>
            </w:tcMar>
            <w:vAlign w:val="center"/>
          </w:tcPr>
          <w:p w14:paraId="218AD4F6">
            <w:pPr>
              <w:pStyle w:val="14"/>
              <w:keepNext w:val="0"/>
              <w:keepLines w:val="0"/>
              <w:widowControl/>
              <w:suppressLineNumbers w:val="0"/>
              <w:autoSpaceDE w:val="0"/>
              <w:autoSpaceDN/>
              <w:spacing w:after="195" w:afterAutospacing="0"/>
              <w:jc w:val="center"/>
              <w:rPr>
                <w:rFonts w:hint="eastAsia" w:ascii="仿宋" w:hAnsi="仿宋" w:eastAsia="仿宋" w:cs="仿宋"/>
                <w:sz w:val="24"/>
                <w:szCs w:val="24"/>
              </w:rPr>
            </w:pPr>
            <w:r>
              <w:rPr>
                <w:rStyle w:val="21"/>
                <w:rFonts w:hint="eastAsia" w:ascii="仿宋" w:hAnsi="仿宋" w:eastAsia="仿宋" w:cs="仿宋"/>
                <w:sz w:val="24"/>
                <w:szCs w:val="24"/>
              </w:rPr>
              <w:t>性能质</w:t>
            </w:r>
          </w:p>
          <w:p w14:paraId="126DC691">
            <w:pPr>
              <w:pStyle w:val="14"/>
              <w:keepNext w:val="0"/>
              <w:keepLines w:val="0"/>
              <w:widowControl/>
              <w:suppressLineNumbers w:val="0"/>
              <w:autoSpaceDE w:val="0"/>
              <w:autoSpaceDN/>
              <w:spacing w:after="195" w:afterAutospacing="0"/>
              <w:jc w:val="center"/>
              <w:rPr>
                <w:rFonts w:hint="eastAsia" w:ascii="仿宋" w:hAnsi="仿宋" w:eastAsia="仿宋" w:cs="仿宋"/>
                <w:sz w:val="24"/>
                <w:szCs w:val="24"/>
              </w:rPr>
            </w:pPr>
            <w:r>
              <w:rPr>
                <w:rStyle w:val="21"/>
                <w:rFonts w:hint="eastAsia" w:ascii="仿宋" w:hAnsi="仿宋" w:eastAsia="仿宋" w:cs="仿宋"/>
                <w:sz w:val="24"/>
                <w:szCs w:val="24"/>
              </w:rPr>
              <w:t>量评价</w:t>
            </w:r>
          </w:p>
        </w:tc>
        <w:tc>
          <w:tcPr>
            <w:tcW w:w="1350" w:type="dxa"/>
            <w:shd w:val="clear" w:color="auto" w:fill="auto"/>
            <w:tcMar>
              <w:top w:w="0" w:type="dxa"/>
              <w:left w:w="105" w:type="dxa"/>
              <w:bottom w:w="0" w:type="dxa"/>
              <w:right w:w="105" w:type="dxa"/>
            </w:tcMar>
            <w:vAlign w:val="center"/>
          </w:tcPr>
          <w:p w14:paraId="0F2DE69A">
            <w:pPr>
              <w:pStyle w:val="14"/>
              <w:keepNext w:val="0"/>
              <w:keepLines w:val="0"/>
              <w:widowControl/>
              <w:suppressLineNumbers w:val="0"/>
              <w:autoSpaceDE w:val="0"/>
              <w:autoSpaceDN/>
              <w:spacing w:line="405" w:lineRule="atLeast"/>
              <w:jc w:val="center"/>
              <w:rPr>
                <w:rFonts w:hint="eastAsia" w:ascii="仿宋" w:hAnsi="仿宋" w:eastAsia="仿宋" w:cs="仿宋"/>
                <w:sz w:val="24"/>
                <w:szCs w:val="24"/>
              </w:rPr>
            </w:pPr>
            <w:r>
              <w:rPr>
                <w:rStyle w:val="21"/>
                <w:rFonts w:hint="eastAsia" w:ascii="仿宋" w:hAnsi="仿宋" w:eastAsia="仿宋" w:cs="仿宋"/>
                <w:sz w:val="24"/>
                <w:szCs w:val="24"/>
              </w:rPr>
              <w:t>稳定性</w:t>
            </w:r>
          </w:p>
        </w:tc>
        <w:tc>
          <w:tcPr>
            <w:tcW w:w="5415" w:type="dxa"/>
            <w:gridSpan w:val="3"/>
            <w:shd w:val="clear" w:color="auto" w:fill="auto"/>
            <w:tcMar>
              <w:top w:w="0" w:type="dxa"/>
              <w:left w:w="105" w:type="dxa"/>
              <w:bottom w:w="0" w:type="dxa"/>
              <w:right w:w="105" w:type="dxa"/>
            </w:tcMar>
            <w:vAlign w:val="center"/>
          </w:tcPr>
          <w:p w14:paraId="0E3FFF8E">
            <w:pPr>
              <w:pStyle w:val="14"/>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出现故障，导致系统不稳定，影响医院业务：出现故障时间≤30分钟扣1分，30＜分钟且≤60分钟扣2分，&gt;60分钟扣5分；</w:t>
            </w:r>
          </w:p>
        </w:tc>
        <w:tc>
          <w:tcPr>
            <w:tcW w:w="675" w:type="dxa"/>
            <w:shd w:val="clear" w:color="auto" w:fill="auto"/>
            <w:tcMar>
              <w:top w:w="0" w:type="dxa"/>
              <w:left w:w="105" w:type="dxa"/>
              <w:bottom w:w="0" w:type="dxa"/>
              <w:right w:w="105" w:type="dxa"/>
            </w:tcMar>
            <w:vAlign w:val="top"/>
          </w:tcPr>
          <w:p w14:paraId="573CF71A">
            <w:pPr>
              <w:keepNext w:val="0"/>
              <w:keepLines w:val="0"/>
              <w:widowControl/>
              <w:suppressLineNumbers w:val="0"/>
              <w:jc w:val="left"/>
              <w:rPr>
                <w:rFonts w:hint="eastAsia" w:ascii="仿宋" w:hAnsi="仿宋" w:eastAsia="仿宋" w:cs="仿宋"/>
                <w:sz w:val="24"/>
                <w:szCs w:val="24"/>
              </w:rPr>
            </w:pPr>
          </w:p>
        </w:tc>
      </w:tr>
      <w:tr w14:paraId="196049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vMerge w:val="continue"/>
            <w:shd w:val="clear" w:color="auto" w:fill="auto"/>
            <w:tcMar>
              <w:top w:w="0" w:type="dxa"/>
              <w:left w:w="105" w:type="dxa"/>
              <w:bottom w:w="0" w:type="dxa"/>
              <w:right w:w="105" w:type="dxa"/>
            </w:tcMar>
            <w:vAlign w:val="center"/>
          </w:tcPr>
          <w:p w14:paraId="07F716A2">
            <w:pPr>
              <w:rPr>
                <w:rFonts w:hint="eastAsia" w:ascii="仿宋" w:hAnsi="仿宋" w:eastAsia="仿宋" w:cs="仿宋"/>
                <w:sz w:val="24"/>
                <w:szCs w:val="24"/>
              </w:rPr>
            </w:pPr>
          </w:p>
        </w:tc>
        <w:tc>
          <w:tcPr>
            <w:tcW w:w="1350" w:type="dxa"/>
            <w:shd w:val="clear" w:color="auto" w:fill="auto"/>
            <w:tcMar>
              <w:top w:w="0" w:type="dxa"/>
              <w:left w:w="105" w:type="dxa"/>
              <w:bottom w:w="0" w:type="dxa"/>
              <w:right w:w="105" w:type="dxa"/>
            </w:tcMar>
            <w:vAlign w:val="center"/>
          </w:tcPr>
          <w:p w14:paraId="7F014455">
            <w:pPr>
              <w:pStyle w:val="14"/>
              <w:keepNext w:val="0"/>
              <w:keepLines w:val="0"/>
              <w:widowControl/>
              <w:suppressLineNumbers w:val="0"/>
              <w:autoSpaceDE w:val="0"/>
              <w:autoSpaceDN/>
              <w:spacing w:line="405" w:lineRule="atLeast"/>
              <w:jc w:val="center"/>
              <w:rPr>
                <w:rFonts w:hint="eastAsia" w:ascii="仿宋" w:hAnsi="仿宋" w:eastAsia="仿宋" w:cs="仿宋"/>
                <w:sz w:val="24"/>
                <w:szCs w:val="24"/>
              </w:rPr>
            </w:pPr>
            <w:r>
              <w:rPr>
                <w:rStyle w:val="21"/>
                <w:rFonts w:hint="eastAsia" w:ascii="仿宋" w:hAnsi="仿宋" w:eastAsia="仿宋" w:cs="仿宋"/>
                <w:sz w:val="24"/>
                <w:szCs w:val="24"/>
              </w:rPr>
              <w:t>安全性</w:t>
            </w:r>
          </w:p>
        </w:tc>
        <w:tc>
          <w:tcPr>
            <w:tcW w:w="5415" w:type="dxa"/>
            <w:gridSpan w:val="3"/>
            <w:shd w:val="clear" w:color="auto" w:fill="auto"/>
            <w:tcMar>
              <w:top w:w="0" w:type="dxa"/>
              <w:left w:w="105" w:type="dxa"/>
              <w:bottom w:w="0" w:type="dxa"/>
              <w:right w:w="105" w:type="dxa"/>
            </w:tcMar>
            <w:vAlign w:val="center"/>
          </w:tcPr>
          <w:p w14:paraId="6CDA60FE">
            <w:pPr>
              <w:pStyle w:val="14"/>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未具备完善的安全防护机制，存在数据丢失或泄漏的风险，发现一次扣2分；采购方有权对现有程序和数据保留备份，供应商违规操作导致采购方机器硬盘中的任何数据和程序损坏或丢失一次扣5分；备份维护不合理，备份数据损坏导致在需要时无法恢复，每次扣5分；</w:t>
            </w:r>
          </w:p>
        </w:tc>
        <w:tc>
          <w:tcPr>
            <w:tcW w:w="675" w:type="dxa"/>
            <w:shd w:val="clear" w:color="auto" w:fill="auto"/>
            <w:tcMar>
              <w:top w:w="0" w:type="dxa"/>
              <w:left w:w="105" w:type="dxa"/>
              <w:bottom w:w="0" w:type="dxa"/>
              <w:right w:w="105" w:type="dxa"/>
            </w:tcMar>
            <w:vAlign w:val="top"/>
          </w:tcPr>
          <w:p w14:paraId="1F15F27F">
            <w:pPr>
              <w:keepNext w:val="0"/>
              <w:keepLines w:val="0"/>
              <w:widowControl/>
              <w:suppressLineNumbers w:val="0"/>
              <w:jc w:val="left"/>
              <w:rPr>
                <w:rFonts w:hint="eastAsia" w:ascii="仿宋" w:hAnsi="仿宋" w:eastAsia="仿宋" w:cs="仿宋"/>
                <w:sz w:val="24"/>
                <w:szCs w:val="24"/>
              </w:rPr>
            </w:pPr>
          </w:p>
        </w:tc>
      </w:tr>
      <w:tr w14:paraId="660A36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vMerge w:val="continue"/>
            <w:shd w:val="clear" w:color="auto" w:fill="auto"/>
            <w:tcMar>
              <w:top w:w="0" w:type="dxa"/>
              <w:left w:w="105" w:type="dxa"/>
              <w:bottom w:w="0" w:type="dxa"/>
              <w:right w:w="105" w:type="dxa"/>
            </w:tcMar>
            <w:vAlign w:val="center"/>
          </w:tcPr>
          <w:p w14:paraId="56924DB9">
            <w:pPr>
              <w:rPr>
                <w:rFonts w:hint="eastAsia" w:ascii="仿宋" w:hAnsi="仿宋" w:eastAsia="仿宋" w:cs="仿宋"/>
                <w:sz w:val="24"/>
                <w:szCs w:val="24"/>
              </w:rPr>
            </w:pPr>
          </w:p>
        </w:tc>
        <w:tc>
          <w:tcPr>
            <w:tcW w:w="1350" w:type="dxa"/>
            <w:shd w:val="clear" w:color="auto" w:fill="auto"/>
            <w:tcMar>
              <w:top w:w="0" w:type="dxa"/>
              <w:left w:w="105" w:type="dxa"/>
              <w:bottom w:w="0" w:type="dxa"/>
              <w:right w:w="105" w:type="dxa"/>
            </w:tcMar>
            <w:vAlign w:val="center"/>
          </w:tcPr>
          <w:p w14:paraId="68F55495">
            <w:pPr>
              <w:pStyle w:val="14"/>
              <w:keepNext w:val="0"/>
              <w:keepLines w:val="0"/>
              <w:widowControl/>
              <w:suppressLineNumbers w:val="0"/>
              <w:autoSpaceDE w:val="0"/>
              <w:autoSpaceDN/>
              <w:spacing w:line="405" w:lineRule="atLeast"/>
              <w:jc w:val="center"/>
              <w:rPr>
                <w:rFonts w:hint="eastAsia" w:ascii="仿宋" w:hAnsi="仿宋" w:eastAsia="仿宋" w:cs="仿宋"/>
                <w:sz w:val="24"/>
                <w:szCs w:val="24"/>
              </w:rPr>
            </w:pPr>
            <w:r>
              <w:rPr>
                <w:rStyle w:val="21"/>
                <w:rFonts w:hint="eastAsia" w:ascii="仿宋" w:hAnsi="仿宋" w:eastAsia="仿宋" w:cs="仿宋"/>
                <w:sz w:val="24"/>
                <w:szCs w:val="24"/>
              </w:rPr>
              <w:t>用户满意度</w:t>
            </w:r>
          </w:p>
        </w:tc>
        <w:tc>
          <w:tcPr>
            <w:tcW w:w="5415" w:type="dxa"/>
            <w:gridSpan w:val="3"/>
            <w:shd w:val="clear" w:color="auto" w:fill="auto"/>
            <w:tcMar>
              <w:top w:w="0" w:type="dxa"/>
              <w:left w:w="105" w:type="dxa"/>
              <w:bottom w:w="0" w:type="dxa"/>
              <w:right w:w="105" w:type="dxa"/>
            </w:tcMar>
            <w:vAlign w:val="center"/>
          </w:tcPr>
          <w:p w14:paraId="74E86DF0">
            <w:pPr>
              <w:pStyle w:val="14"/>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接到投诉时，一次扣1分；出现整改和处理后仍然不满足要求的情况，每5日为一个周期追扣2分，不满一个周期的算一个周期；</w:t>
            </w:r>
          </w:p>
        </w:tc>
        <w:tc>
          <w:tcPr>
            <w:tcW w:w="675" w:type="dxa"/>
            <w:shd w:val="clear" w:color="auto" w:fill="auto"/>
            <w:tcMar>
              <w:top w:w="0" w:type="dxa"/>
              <w:left w:w="105" w:type="dxa"/>
              <w:bottom w:w="0" w:type="dxa"/>
              <w:right w:w="105" w:type="dxa"/>
            </w:tcMar>
            <w:vAlign w:val="top"/>
          </w:tcPr>
          <w:p w14:paraId="64ED552D">
            <w:pPr>
              <w:keepNext w:val="0"/>
              <w:keepLines w:val="0"/>
              <w:widowControl/>
              <w:suppressLineNumbers w:val="0"/>
              <w:jc w:val="left"/>
              <w:rPr>
                <w:rFonts w:hint="eastAsia" w:ascii="仿宋" w:hAnsi="仿宋" w:eastAsia="仿宋" w:cs="仿宋"/>
                <w:sz w:val="24"/>
                <w:szCs w:val="24"/>
              </w:rPr>
            </w:pPr>
          </w:p>
        </w:tc>
      </w:tr>
      <w:tr w14:paraId="0CE67B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675" w:hRule="atLeast"/>
        </w:trPr>
        <w:tc>
          <w:tcPr>
            <w:tcW w:w="1095" w:type="dxa"/>
            <w:vMerge w:val="restart"/>
            <w:shd w:val="clear" w:color="auto" w:fill="auto"/>
            <w:tcMar>
              <w:top w:w="0" w:type="dxa"/>
              <w:left w:w="105" w:type="dxa"/>
              <w:bottom w:w="0" w:type="dxa"/>
              <w:right w:w="105" w:type="dxa"/>
            </w:tcMar>
            <w:vAlign w:val="center"/>
          </w:tcPr>
          <w:p w14:paraId="383627CC">
            <w:pPr>
              <w:pStyle w:val="14"/>
              <w:keepNext w:val="0"/>
              <w:keepLines w:val="0"/>
              <w:widowControl/>
              <w:suppressLineNumbers w:val="0"/>
              <w:autoSpaceDE w:val="0"/>
              <w:autoSpaceDN/>
              <w:spacing w:after="195" w:afterAutospacing="0"/>
              <w:jc w:val="center"/>
              <w:rPr>
                <w:rFonts w:hint="eastAsia" w:ascii="仿宋" w:hAnsi="仿宋" w:eastAsia="仿宋" w:cs="仿宋"/>
                <w:sz w:val="24"/>
                <w:szCs w:val="24"/>
              </w:rPr>
            </w:pPr>
            <w:r>
              <w:rPr>
                <w:rStyle w:val="21"/>
                <w:rFonts w:hint="eastAsia" w:ascii="仿宋" w:hAnsi="仿宋" w:eastAsia="仿宋" w:cs="仿宋"/>
                <w:sz w:val="24"/>
                <w:szCs w:val="24"/>
              </w:rPr>
              <w:t>使用支</w:t>
            </w:r>
          </w:p>
          <w:p w14:paraId="6635176A">
            <w:pPr>
              <w:pStyle w:val="14"/>
              <w:keepNext w:val="0"/>
              <w:keepLines w:val="0"/>
              <w:widowControl/>
              <w:suppressLineNumbers w:val="0"/>
              <w:autoSpaceDE w:val="0"/>
              <w:autoSpaceDN/>
              <w:spacing w:after="195" w:afterAutospacing="0"/>
              <w:jc w:val="center"/>
              <w:rPr>
                <w:rFonts w:hint="eastAsia" w:ascii="仿宋" w:hAnsi="仿宋" w:eastAsia="仿宋" w:cs="仿宋"/>
                <w:sz w:val="24"/>
                <w:szCs w:val="24"/>
              </w:rPr>
            </w:pPr>
            <w:r>
              <w:rPr>
                <w:rStyle w:val="21"/>
                <w:rFonts w:hint="eastAsia" w:ascii="仿宋" w:hAnsi="仿宋" w:eastAsia="仿宋" w:cs="仿宋"/>
                <w:sz w:val="24"/>
                <w:szCs w:val="24"/>
              </w:rPr>
              <w:t>持评价</w:t>
            </w:r>
          </w:p>
        </w:tc>
        <w:tc>
          <w:tcPr>
            <w:tcW w:w="1350" w:type="dxa"/>
            <w:shd w:val="clear" w:color="auto" w:fill="auto"/>
            <w:tcMar>
              <w:top w:w="0" w:type="dxa"/>
              <w:left w:w="105" w:type="dxa"/>
              <w:bottom w:w="0" w:type="dxa"/>
              <w:right w:w="105" w:type="dxa"/>
            </w:tcMar>
            <w:vAlign w:val="center"/>
          </w:tcPr>
          <w:p w14:paraId="356E1F80">
            <w:pPr>
              <w:pStyle w:val="14"/>
              <w:keepNext w:val="0"/>
              <w:keepLines w:val="0"/>
              <w:widowControl/>
              <w:suppressLineNumbers w:val="0"/>
              <w:autoSpaceDE w:val="0"/>
              <w:autoSpaceDN/>
              <w:spacing w:line="405" w:lineRule="atLeast"/>
              <w:jc w:val="center"/>
              <w:rPr>
                <w:rFonts w:hint="eastAsia" w:ascii="仿宋" w:hAnsi="仿宋" w:eastAsia="仿宋" w:cs="仿宋"/>
                <w:sz w:val="24"/>
                <w:szCs w:val="24"/>
              </w:rPr>
            </w:pPr>
            <w:r>
              <w:rPr>
                <w:rStyle w:val="21"/>
                <w:rFonts w:hint="eastAsia" w:ascii="仿宋" w:hAnsi="仿宋" w:eastAsia="仿宋" w:cs="仿宋"/>
                <w:sz w:val="24"/>
                <w:szCs w:val="24"/>
              </w:rPr>
              <w:t>考勤</w:t>
            </w:r>
          </w:p>
        </w:tc>
        <w:tc>
          <w:tcPr>
            <w:tcW w:w="5415" w:type="dxa"/>
            <w:gridSpan w:val="3"/>
            <w:shd w:val="clear" w:color="auto" w:fill="auto"/>
            <w:tcMar>
              <w:top w:w="0" w:type="dxa"/>
              <w:left w:w="105" w:type="dxa"/>
              <w:bottom w:w="0" w:type="dxa"/>
              <w:right w:w="105" w:type="dxa"/>
            </w:tcMar>
            <w:vAlign w:val="center"/>
          </w:tcPr>
          <w:p w14:paraId="358E7CFB">
            <w:pPr>
              <w:pStyle w:val="14"/>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驻场工程师每日签到，每次迟到一次扣0.5分；旷工或漏签一次扣1分；</w:t>
            </w:r>
          </w:p>
        </w:tc>
        <w:tc>
          <w:tcPr>
            <w:tcW w:w="675" w:type="dxa"/>
            <w:shd w:val="clear" w:color="auto" w:fill="auto"/>
            <w:tcMar>
              <w:top w:w="0" w:type="dxa"/>
              <w:left w:w="105" w:type="dxa"/>
              <w:bottom w:w="0" w:type="dxa"/>
              <w:right w:w="105" w:type="dxa"/>
            </w:tcMar>
            <w:vAlign w:val="top"/>
          </w:tcPr>
          <w:p w14:paraId="5A70681C">
            <w:pPr>
              <w:keepNext w:val="0"/>
              <w:keepLines w:val="0"/>
              <w:widowControl/>
              <w:suppressLineNumbers w:val="0"/>
              <w:jc w:val="left"/>
              <w:rPr>
                <w:rFonts w:hint="eastAsia" w:ascii="仿宋" w:hAnsi="仿宋" w:eastAsia="仿宋" w:cs="仿宋"/>
                <w:sz w:val="24"/>
                <w:szCs w:val="24"/>
              </w:rPr>
            </w:pPr>
          </w:p>
        </w:tc>
      </w:tr>
      <w:tr w14:paraId="231819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vMerge w:val="continue"/>
            <w:shd w:val="clear" w:color="auto" w:fill="auto"/>
            <w:tcMar>
              <w:top w:w="0" w:type="dxa"/>
              <w:left w:w="105" w:type="dxa"/>
              <w:bottom w:w="0" w:type="dxa"/>
              <w:right w:w="105" w:type="dxa"/>
            </w:tcMar>
            <w:vAlign w:val="center"/>
          </w:tcPr>
          <w:p w14:paraId="67142207">
            <w:pPr>
              <w:rPr>
                <w:rFonts w:hint="eastAsia" w:ascii="仿宋" w:hAnsi="仿宋" w:eastAsia="仿宋" w:cs="仿宋"/>
                <w:sz w:val="24"/>
                <w:szCs w:val="24"/>
              </w:rPr>
            </w:pPr>
          </w:p>
        </w:tc>
        <w:tc>
          <w:tcPr>
            <w:tcW w:w="1350" w:type="dxa"/>
            <w:shd w:val="clear" w:color="auto" w:fill="auto"/>
            <w:tcMar>
              <w:top w:w="0" w:type="dxa"/>
              <w:left w:w="105" w:type="dxa"/>
              <w:bottom w:w="0" w:type="dxa"/>
              <w:right w:w="105" w:type="dxa"/>
            </w:tcMar>
            <w:vAlign w:val="center"/>
          </w:tcPr>
          <w:p w14:paraId="1FF4C056">
            <w:pPr>
              <w:pStyle w:val="14"/>
              <w:keepNext w:val="0"/>
              <w:keepLines w:val="0"/>
              <w:widowControl/>
              <w:suppressLineNumbers w:val="0"/>
              <w:autoSpaceDE w:val="0"/>
              <w:autoSpaceDN/>
              <w:spacing w:line="405" w:lineRule="atLeast"/>
              <w:jc w:val="center"/>
              <w:rPr>
                <w:rFonts w:hint="eastAsia" w:ascii="仿宋" w:hAnsi="仿宋" w:eastAsia="仿宋" w:cs="仿宋"/>
                <w:sz w:val="24"/>
                <w:szCs w:val="24"/>
              </w:rPr>
            </w:pPr>
            <w:r>
              <w:rPr>
                <w:rStyle w:val="21"/>
                <w:rFonts w:hint="eastAsia" w:ascii="仿宋" w:hAnsi="仿宋" w:eastAsia="仿宋" w:cs="仿宋"/>
                <w:sz w:val="24"/>
                <w:szCs w:val="24"/>
              </w:rPr>
              <w:t>响应速度</w:t>
            </w:r>
          </w:p>
        </w:tc>
        <w:tc>
          <w:tcPr>
            <w:tcW w:w="5415" w:type="dxa"/>
            <w:gridSpan w:val="3"/>
            <w:shd w:val="clear" w:color="auto" w:fill="auto"/>
            <w:tcMar>
              <w:top w:w="0" w:type="dxa"/>
              <w:left w:w="105" w:type="dxa"/>
              <w:bottom w:w="0" w:type="dxa"/>
              <w:right w:w="105" w:type="dxa"/>
            </w:tcMar>
            <w:vAlign w:val="center"/>
          </w:tcPr>
          <w:p w14:paraId="43304F25">
            <w:pPr>
              <w:pStyle w:val="14"/>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若需要现场支持时，须及时响应，不响应扣1分；发现异常不处理或未向采购人及时汇报，扣0.5分；服务期内不接听电话，每次扣0.5分；微信群响应不及时或不按规定响应，每次扣0.1分；</w:t>
            </w:r>
          </w:p>
        </w:tc>
        <w:tc>
          <w:tcPr>
            <w:tcW w:w="675" w:type="dxa"/>
            <w:shd w:val="clear" w:color="auto" w:fill="auto"/>
            <w:tcMar>
              <w:top w:w="0" w:type="dxa"/>
              <w:left w:w="105" w:type="dxa"/>
              <w:bottom w:w="0" w:type="dxa"/>
              <w:right w:w="105" w:type="dxa"/>
            </w:tcMar>
            <w:vAlign w:val="top"/>
          </w:tcPr>
          <w:p w14:paraId="31B302DD">
            <w:pPr>
              <w:keepNext w:val="0"/>
              <w:keepLines w:val="0"/>
              <w:widowControl/>
              <w:suppressLineNumbers w:val="0"/>
              <w:jc w:val="left"/>
              <w:rPr>
                <w:rFonts w:hint="eastAsia" w:ascii="仿宋" w:hAnsi="仿宋" w:eastAsia="仿宋" w:cs="仿宋"/>
                <w:sz w:val="24"/>
                <w:szCs w:val="24"/>
              </w:rPr>
            </w:pPr>
          </w:p>
        </w:tc>
      </w:tr>
      <w:tr w14:paraId="460C84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vMerge w:val="continue"/>
            <w:shd w:val="clear" w:color="auto" w:fill="auto"/>
            <w:tcMar>
              <w:top w:w="0" w:type="dxa"/>
              <w:left w:w="105" w:type="dxa"/>
              <w:bottom w:w="0" w:type="dxa"/>
              <w:right w:w="105" w:type="dxa"/>
            </w:tcMar>
            <w:vAlign w:val="center"/>
          </w:tcPr>
          <w:p w14:paraId="49C00C51">
            <w:pPr>
              <w:rPr>
                <w:rFonts w:hint="eastAsia" w:ascii="仿宋" w:hAnsi="仿宋" w:eastAsia="仿宋" w:cs="仿宋"/>
                <w:sz w:val="24"/>
                <w:szCs w:val="24"/>
              </w:rPr>
            </w:pPr>
          </w:p>
        </w:tc>
        <w:tc>
          <w:tcPr>
            <w:tcW w:w="1350" w:type="dxa"/>
            <w:shd w:val="clear" w:color="auto" w:fill="auto"/>
            <w:tcMar>
              <w:top w:w="0" w:type="dxa"/>
              <w:left w:w="105" w:type="dxa"/>
              <w:bottom w:w="0" w:type="dxa"/>
              <w:right w:w="105" w:type="dxa"/>
            </w:tcMar>
            <w:vAlign w:val="center"/>
          </w:tcPr>
          <w:p w14:paraId="329F20A3">
            <w:pPr>
              <w:pStyle w:val="14"/>
              <w:keepNext w:val="0"/>
              <w:keepLines w:val="0"/>
              <w:widowControl/>
              <w:suppressLineNumbers w:val="0"/>
              <w:autoSpaceDE w:val="0"/>
              <w:autoSpaceDN/>
              <w:spacing w:line="405" w:lineRule="atLeast"/>
              <w:jc w:val="center"/>
              <w:rPr>
                <w:rFonts w:hint="eastAsia" w:ascii="仿宋" w:hAnsi="仿宋" w:eastAsia="仿宋" w:cs="仿宋"/>
                <w:sz w:val="24"/>
                <w:szCs w:val="24"/>
              </w:rPr>
            </w:pPr>
            <w:r>
              <w:rPr>
                <w:rStyle w:val="21"/>
                <w:rFonts w:hint="eastAsia" w:ascii="仿宋" w:hAnsi="仿宋" w:eastAsia="仿宋" w:cs="仿宋"/>
                <w:sz w:val="24"/>
                <w:szCs w:val="24"/>
              </w:rPr>
              <w:t>备件供应</w:t>
            </w:r>
          </w:p>
          <w:p w14:paraId="033A7DF5">
            <w:pPr>
              <w:pStyle w:val="14"/>
              <w:keepNext w:val="0"/>
              <w:keepLines w:val="0"/>
              <w:widowControl/>
              <w:suppressLineNumbers w:val="0"/>
              <w:autoSpaceDE w:val="0"/>
              <w:autoSpaceDN/>
              <w:spacing w:line="405" w:lineRule="atLeast"/>
              <w:jc w:val="center"/>
              <w:rPr>
                <w:rFonts w:hint="eastAsia" w:ascii="仿宋" w:hAnsi="仿宋" w:eastAsia="仿宋" w:cs="仿宋"/>
                <w:sz w:val="24"/>
                <w:szCs w:val="24"/>
              </w:rPr>
            </w:pPr>
            <w:r>
              <w:rPr>
                <w:rFonts w:hint="eastAsia" w:ascii="仿宋" w:hAnsi="仿宋" w:eastAsia="仿宋" w:cs="仿宋"/>
                <w:sz w:val="24"/>
                <w:szCs w:val="24"/>
              </w:rPr>
              <w:t>(本项仅涉</w:t>
            </w:r>
          </w:p>
          <w:p w14:paraId="1BB6C1CB">
            <w:pPr>
              <w:pStyle w:val="14"/>
              <w:keepNext w:val="0"/>
              <w:keepLines w:val="0"/>
              <w:widowControl/>
              <w:suppressLineNumbers w:val="0"/>
              <w:autoSpaceDE w:val="0"/>
              <w:autoSpaceDN/>
              <w:spacing w:line="405" w:lineRule="atLeast"/>
              <w:jc w:val="center"/>
              <w:rPr>
                <w:rFonts w:hint="eastAsia" w:ascii="仿宋" w:hAnsi="仿宋" w:eastAsia="仿宋" w:cs="仿宋"/>
                <w:sz w:val="24"/>
                <w:szCs w:val="24"/>
              </w:rPr>
            </w:pPr>
            <w:r>
              <w:rPr>
                <w:rFonts w:hint="eastAsia" w:ascii="仿宋" w:hAnsi="仿宋" w:eastAsia="仿宋" w:cs="仿宋"/>
                <w:sz w:val="24"/>
                <w:szCs w:val="24"/>
              </w:rPr>
              <w:t>及提供硬件</w:t>
            </w:r>
          </w:p>
          <w:p w14:paraId="58C45B10">
            <w:pPr>
              <w:pStyle w:val="14"/>
              <w:keepNext w:val="0"/>
              <w:keepLines w:val="0"/>
              <w:widowControl/>
              <w:suppressLineNumbers w:val="0"/>
              <w:autoSpaceDE w:val="0"/>
              <w:autoSpaceDN/>
              <w:spacing w:line="405" w:lineRule="atLeast"/>
              <w:jc w:val="center"/>
              <w:rPr>
                <w:rFonts w:hint="eastAsia" w:ascii="仿宋" w:hAnsi="仿宋" w:eastAsia="仿宋" w:cs="仿宋"/>
                <w:sz w:val="24"/>
                <w:szCs w:val="24"/>
              </w:rPr>
            </w:pPr>
            <w:r>
              <w:rPr>
                <w:rFonts w:hint="eastAsia" w:ascii="仿宋" w:hAnsi="仿宋" w:eastAsia="仿宋" w:cs="仿宋"/>
                <w:sz w:val="24"/>
                <w:szCs w:val="24"/>
              </w:rPr>
              <w:t>的供应商)</w:t>
            </w:r>
          </w:p>
        </w:tc>
        <w:tc>
          <w:tcPr>
            <w:tcW w:w="5415" w:type="dxa"/>
            <w:gridSpan w:val="3"/>
            <w:shd w:val="clear" w:color="auto" w:fill="auto"/>
            <w:tcMar>
              <w:top w:w="0" w:type="dxa"/>
              <w:left w:w="105" w:type="dxa"/>
              <w:bottom w:w="0" w:type="dxa"/>
              <w:right w:w="105" w:type="dxa"/>
            </w:tcMar>
            <w:vAlign w:val="center"/>
          </w:tcPr>
          <w:p w14:paraId="13A39F0D">
            <w:pPr>
              <w:pStyle w:val="14"/>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不能及时按要求提供所需备件（服务期内设备故障并经排查，明确2小时内无法恢复，应当在4小时内提供相同类型和性能的可用机器恢复业务工作，直至故障排除，超过规定时间无法提供备件一次扣5分；未按规定进行机房基础维护每次扣0.5分；</w:t>
            </w:r>
          </w:p>
        </w:tc>
        <w:tc>
          <w:tcPr>
            <w:tcW w:w="675" w:type="dxa"/>
            <w:shd w:val="clear" w:color="auto" w:fill="auto"/>
            <w:tcMar>
              <w:top w:w="0" w:type="dxa"/>
              <w:left w:w="105" w:type="dxa"/>
              <w:bottom w:w="0" w:type="dxa"/>
              <w:right w:w="105" w:type="dxa"/>
            </w:tcMar>
            <w:vAlign w:val="top"/>
          </w:tcPr>
          <w:p w14:paraId="195A7569">
            <w:pPr>
              <w:keepNext w:val="0"/>
              <w:keepLines w:val="0"/>
              <w:widowControl/>
              <w:suppressLineNumbers w:val="0"/>
              <w:jc w:val="left"/>
              <w:rPr>
                <w:rFonts w:hint="eastAsia" w:ascii="仿宋" w:hAnsi="仿宋" w:eastAsia="仿宋" w:cs="仿宋"/>
                <w:sz w:val="24"/>
                <w:szCs w:val="24"/>
              </w:rPr>
            </w:pPr>
          </w:p>
        </w:tc>
      </w:tr>
      <w:tr w14:paraId="786474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vMerge w:val="continue"/>
            <w:shd w:val="clear" w:color="auto" w:fill="auto"/>
            <w:tcMar>
              <w:top w:w="0" w:type="dxa"/>
              <w:left w:w="105" w:type="dxa"/>
              <w:bottom w:w="0" w:type="dxa"/>
              <w:right w:w="105" w:type="dxa"/>
            </w:tcMar>
            <w:vAlign w:val="center"/>
          </w:tcPr>
          <w:p w14:paraId="16D062CD">
            <w:pPr>
              <w:rPr>
                <w:rFonts w:hint="eastAsia" w:ascii="仿宋" w:hAnsi="仿宋" w:eastAsia="仿宋" w:cs="仿宋"/>
                <w:sz w:val="24"/>
                <w:szCs w:val="24"/>
              </w:rPr>
            </w:pPr>
          </w:p>
        </w:tc>
        <w:tc>
          <w:tcPr>
            <w:tcW w:w="1350" w:type="dxa"/>
            <w:shd w:val="clear" w:color="auto" w:fill="auto"/>
            <w:tcMar>
              <w:top w:w="0" w:type="dxa"/>
              <w:left w:w="105" w:type="dxa"/>
              <w:bottom w:w="0" w:type="dxa"/>
              <w:right w:w="105" w:type="dxa"/>
            </w:tcMar>
            <w:vAlign w:val="center"/>
          </w:tcPr>
          <w:p w14:paraId="47D9DD33">
            <w:pPr>
              <w:pStyle w:val="14"/>
              <w:keepNext w:val="0"/>
              <w:keepLines w:val="0"/>
              <w:widowControl/>
              <w:suppressLineNumbers w:val="0"/>
              <w:autoSpaceDE w:val="0"/>
              <w:autoSpaceDN/>
              <w:spacing w:line="405" w:lineRule="atLeast"/>
              <w:jc w:val="center"/>
              <w:rPr>
                <w:rFonts w:hint="eastAsia" w:ascii="仿宋" w:hAnsi="仿宋" w:eastAsia="仿宋" w:cs="仿宋"/>
                <w:sz w:val="24"/>
                <w:szCs w:val="24"/>
              </w:rPr>
            </w:pPr>
            <w:r>
              <w:rPr>
                <w:rStyle w:val="21"/>
                <w:rFonts w:hint="eastAsia" w:ascii="仿宋" w:hAnsi="仿宋" w:eastAsia="仿宋" w:cs="仿宋"/>
                <w:sz w:val="24"/>
                <w:szCs w:val="24"/>
              </w:rPr>
              <w:t>定期巡检</w:t>
            </w:r>
          </w:p>
        </w:tc>
        <w:tc>
          <w:tcPr>
            <w:tcW w:w="5415" w:type="dxa"/>
            <w:gridSpan w:val="3"/>
            <w:shd w:val="clear" w:color="auto" w:fill="auto"/>
            <w:tcMar>
              <w:top w:w="0" w:type="dxa"/>
              <w:left w:w="105" w:type="dxa"/>
              <w:bottom w:w="0" w:type="dxa"/>
              <w:right w:w="105" w:type="dxa"/>
            </w:tcMar>
            <w:vAlign w:val="center"/>
          </w:tcPr>
          <w:p w14:paraId="67BE2960">
            <w:pPr>
              <w:pStyle w:val="14"/>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每月定期巡检服务，缺少一次扣1分；没有按要求提供巡检报告的，缺少一次扣1分；</w:t>
            </w:r>
          </w:p>
        </w:tc>
        <w:tc>
          <w:tcPr>
            <w:tcW w:w="675" w:type="dxa"/>
            <w:shd w:val="clear" w:color="auto" w:fill="auto"/>
            <w:tcMar>
              <w:top w:w="0" w:type="dxa"/>
              <w:left w:w="105" w:type="dxa"/>
              <w:bottom w:w="0" w:type="dxa"/>
              <w:right w:w="105" w:type="dxa"/>
            </w:tcMar>
            <w:vAlign w:val="top"/>
          </w:tcPr>
          <w:p w14:paraId="35133632">
            <w:pPr>
              <w:keepNext w:val="0"/>
              <w:keepLines w:val="0"/>
              <w:widowControl/>
              <w:suppressLineNumbers w:val="0"/>
              <w:jc w:val="left"/>
              <w:rPr>
                <w:rFonts w:hint="eastAsia" w:ascii="仿宋" w:hAnsi="仿宋" w:eastAsia="仿宋" w:cs="仿宋"/>
                <w:sz w:val="24"/>
                <w:szCs w:val="24"/>
              </w:rPr>
            </w:pPr>
          </w:p>
        </w:tc>
      </w:tr>
      <w:tr w14:paraId="03ADA8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vMerge w:val="continue"/>
            <w:shd w:val="clear" w:color="auto" w:fill="auto"/>
            <w:tcMar>
              <w:top w:w="0" w:type="dxa"/>
              <w:left w:w="105" w:type="dxa"/>
              <w:bottom w:w="0" w:type="dxa"/>
              <w:right w:w="105" w:type="dxa"/>
            </w:tcMar>
            <w:vAlign w:val="center"/>
          </w:tcPr>
          <w:p w14:paraId="39A96F24">
            <w:pPr>
              <w:rPr>
                <w:rFonts w:hint="eastAsia" w:ascii="仿宋" w:hAnsi="仿宋" w:eastAsia="仿宋" w:cs="仿宋"/>
                <w:sz w:val="24"/>
                <w:szCs w:val="24"/>
              </w:rPr>
            </w:pPr>
          </w:p>
        </w:tc>
        <w:tc>
          <w:tcPr>
            <w:tcW w:w="1350" w:type="dxa"/>
            <w:shd w:val="clear" w:color="auto" w:fill="auto"/>
            <w:tcMar>
              <w:top w:w="0" w:type="dxa"/>
              <w:left w:w="105" w:type="dxa"/>
              <w:bottom w:w="0" w:type="dxa"/>
              <w:right w:w="105" w:type="dxa"/>
            </w:tcMar>
            <w:vAlign w:val="center"/>
          </w:tcPr>
          <w:p w14:paraId="07088D36">
            <w:pPr>
              <w:pStyle w:val="14"/>
              <w:keepNext w:val="0"/>
              <w:keepLines w:val="0"/>
              <w:widowControl/>
              <w:suppressLineNumbers w:val="0"/>
              <w:autoSpaceDE w:val="0"/>
              <w:autoSpaceDN/>
              <w:spacing w:line="405" w:lineRule="atLeast"/>
              <w:jc w:val="center"/>
              <w:rPr>
                <w:rFonts w:hint="eastAsia" w:ascii="仿宋" w:hAnsi="仿宋" w:eastAsia="仿宋" w:cs="仿宋"/>
                <w:sz w:val="24"/>
                <w:szCs w:val="24"/>
              </w:rPr>
            </w:pPr>
            <w:r>
              <w:rPr>
                <w:rStyle w:val="21"/>
                <w:rFonts w:hint="eastAsia" w:ascii="仿宋" w:hAnsi="仿宋" w:eastAsia="仿宋" w:cs="仿宋"/>
                <w:sz w:val="24"/>
                <w:szCs w:val="24"/>
              </w:rPr>
              <w:t>培训服务</w:t>
            </w:r>
          </w:p>
        </w:tc>
        <w:tc>
          <w:tcPr>
            <w:tcW w:w="5415" w:type="dxa"/>
            <w:gridSpan w:val="3"/>
            <w:shd w:val="clear" w:color="auto" w:fill="auto"/>
            <w:tcMar>
              <w:top w:w="0" w:type="dxa"/>
              <w:left w:w="105" w:type="dxa"/>
              <w:bottom w:w="0" w:type="dxa"/>
              <w:right w:w="105" w:type="dxa"/>
            </w:tcMar>
            <w:vAlign w:val="center"/>
          </w:tcPr>
          <w:p w14:paraId="71F61A82">
            <w:pPr>
              <w:pStyle w:val="14"/>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没有按要求派专业技术人员对医院相关人员进行使用操作、设备维修、保养等技术的培训（不少于2次/年，并提供培训方案和培训签到表），缺少一次扣1分；</w:t>
            </w:r>
          </w:p>
        </w:tc>
        <w:tc>
          <w:tcPr>
            <w:tcW w:w="675" w:type="dxa"/>
            <w:shd w:val="clear" w:color="auto" w:fill="auto"/>
            <w:tcMar>
              <w:top w:w="0" w:type="dxa"/>
              <w:left w:w="105" w:type="dxa"/>
              <w:bottom w:w="0" w:type="dxa"/>
              <w:right w:w="105" w:type="dxa"/>
            </w:tcMar>
            <w:vAlign w:val="top"/>
          </w:tcPr>
          <w:p w14:paraId="3D4927AB">
            <w:pPr>
              <w:keepNext w:val="0"/>
              <w:keepLines w:val="0"/>
              <w:widowControl/>
              <w:suppressLineNumbers w:val="0"/>
              <w:jc w:val="left"/>
              <w:rPr>
                <w:rFonts w:hint="eastAsia" w:ascii="仿宋" w:hAnsi="仿宋" w:eastAsia="仿宋" w:cs="仿宋"/>
                <w:sz w:val="24"/>
                <w:szCs w:val="24"/>
              </w:rPr>
            </w:pPr>
          </w:p>
        </w:tc>
      </w:tr>
      <w:tr w14:paraId="4CAC50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vMerge w:val="continue"/>
            <w:shd w:val="clear" w:color="auto" w:fill="auto"/>
            <w:tcMar>
              <w:top w:w="0" w:type="dxa"/>
              <w:left w:w="105" w:type="dxa"/>
              <w:bottom w:w="0" w:type="dxa"/>
              <w:right w:w="105" w:type="dxa"/>
            </w:tcMar>
            <w:vAlign w:val="center"/>
          </w:tcPr>
          <w:p w14:paraId="470C946A">
            <w:pPr>
              <w:rPr>
                <w:rFonts w:hint="eastAsia" w:ascii="仿宋" w:hAnsi="仿宋" w:eastAsia="仿宋" w:cs="仿宋"/>
                <w:sz w:val="24"/>
                <w:szCs w:val="24"/>
              </w:rPr>
            </w:pPr>
          </w:p>
        </w:tc>
        <w:tc>
          <w:tcPr>
            <w:tcW w:w="1350" w:type="dxa"/>
            <w:shd w:val="clear" w:color="auto" w:fill="auto"/>
            <w:tcMar>
              <w:top w:w="0" w:type="dxa"/>
              <w:left w:w="105" w:type="dxa"/>
              <w:bottom w:w="0" w:type="dxa"/>
              <w:right w:w="105" w:type="dxa"/>
            </w:tcMar>
            <w:vAlign w:val="center"/>
          </w:tcPr>
          <w:p w14:paraId="1ED62657">
            <w:pPr>
              <w:pStyle w:val="14"/>
              <w:keepNext w:val="0"/>
              <w:keepLines w:val="0"/>
              <w:widowControl/>
              <w:suppressLineNumbers w:val="0"/>
              <w:autoSpaceDE w:val="0"/>
              <w:autoSpaceDN/>
              <w:spacing w:line="405" w:lineRule="atLeast"/>
              <w:jc w:val="center"/>
              <w:rPr>
                <w:rFonts w:hint="eastAsia" w:ascii="仿宋" w:hAnsi="仿宋" w:eastAsia="仿宋" w:cs="仿宋"/>
                <w:sz w:val="24"/>
                <w:szCs w:val="24"/>
              </w:rPr>
            </w:pPr>
            <w:r>
              <w:rPr>
                <w:rStyle w:val="21"/>
                <w:rFonts w:hint="eastAsia" w:ascii="仿宋" w:hAnsi="仿宋" w:eastAsia="仿宋" w:cs="仿宋"/>
                <w:sz w:val="24"/>
                <w:szCs w:val="24"/>
              </w:rPr>
              <w:t>技术文档</w:t>
            </w:r>
          </w:p>
        </w:tc>
        <w:tc>
          <w:tcPr>
            <w:tcW w:w="5415" w:type="dxa"/>
            <w:gridSpan w:val="3"/>
            <w:shd w:val="clear" w:color="auto" w:fill="auto"/>
            <w:tcMar>
              <w:top w:w="0" w:type="dxa"/>
              <w:left w:w="105" w:type="dxa"/>
              <w:bottom w:w="0" w:type="dxa"/>
              <w:right w:w="105" w:type="dxa"/>
            </w:tcMar>
            <w:vAlign w:val="center"/>
          </w:tcPr>
          <w:p w14:paraId="336A8FD8">
            <w:pPr>
              <w:pStyle w:val="14"/>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未能在规定时间内按要求提交文档，包括但不限于操作手册、业务数据结构表、运维记录、巡检记录等，缺少一项扣1分；</w:t>
            </w:r>
          </w:p>
        </w:tc>
        <w:tc>
          <w:tcPr>
            <w:tcW w:w="675" w:type="dxa"/>
            <w:shd w:val="clear" w:color="auto" w:fill="auto"/>
            <w:tcMar>
              <w:top w:w="0" w:type="dxa"/>
              <w:left w:w="105" w:type="dxa"/>
              <w:bottom w:w="0" w:type="dxa"/>
              <w:right w:w="105" w:type="dxa"/>
            </w:tcMar>
            <w:vAlign w:val="top"/>
          </w:tcPr>
          <w:p w14:paraId="5E91D455">
            <w:pPr>
              <w:keepNext w:val="0"/>
              <w:keepLines w:val="0"/>
              <w:widowControl/>
              <w:suppressLineNumbers w:val="0"/>
              <w:jc w:val="left"/>
              <w:rPr>
                <w:rFonts w:hint="eastAsia" w:ascii="仿宋" w:hAnsi="仿宋" w:eastAsia="仿宋" w:cs="仿宋"/>
                <w:sz w:val="24"/>
                <w:szCs w:val="24"/>
              </w:rPr>
            </w:pPr>
          </w:p>
        </w:tc>
      </w:tr>
      <w:tr w14:paraId="23C1B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870" w:hRule="atLeast"/>
        </w:trPr>
        <w:tc>
          <w:tcPr>
            <w:tcW w:w="1095" w:type="dxa"/>
            <w:vMerge w:val="restart"/>
            <w:shd w:val="clear" w:color="auto" w:fill="auto"/>
            <w:tcMar>
              <w:top w:w="0" w:type="dxa"/>
              <w:left w:w="105" w:type="dxa"/>
              <w:bottom w:w="0" w:type="dxa"/>
              <w:right w:w="105" w:type="dxa"/>
            </w:tcMar>
            <w:vAlign w:val="center"/>
          </w:tcPr>
          <w:p w14:paraId="58EF537E">
            <w:pPr>
              <w:pStyle w:val="14"/>
              <w:keepNext w:val="0"/>
              <w:keepLines w:val="0"/>
              <w:widowControl/>
              <w:suppressLineNumbers w:val="0"/>
              <w:autoSpaceDE w:val="0"/>
              <w:autoSpaceDN/>
              <w:spacing w:after="195" w:afterAutospacing="0"/>
              <w:jc w:val="center"/>
              <w:rPr>
                <w:rFonts w:hint="eastAsia" w:ascii="仿宋" w:hAnsi="仿宋" w:eastAsia="仿宋" w:cs="仿宋"/>
                <w:sz w:val="24"/>
                <w:szCs w:val="24"/>
              </w:rPr>
            </w:pPr>
            <w:r>
              <w:rPr>
                <w:rStyle w:val="21"/>
                <w:rFonts w:hint="eastAsia" w:ascii="仿宋" w:hAnsi="仿宋" w:eastAsia="仿宋" w:cs="仿宋"/>
                <w:sz w:val="24"/>
                <w:szCs w:val="24"/>
              </w:rPr>
              <w:t>违规违</w:t>
            </w:r>
          </w:p>
          <w:p w14:paraId="08421497">
            <w:pPr>
              <w:pStyle w:val="14"/>
              <w:keepNext w:val="0"/>
              <w:keepLines w:val="0"/>
              <w:widowControl/>
              <w:suppressLineNumbers w:val="0"/>
              <w:autoSpaceDE w:val="0"/>
              <w:autoSpaceDN/>
              <w:spacing w:after="195" w:afterAutospacing="0"/>
              <w:jc w:val="center"/>
              <w:rPr>
                <w:rFonts w:hint="eastAsia" w:ascii="仿宋" w:hAnsi="仿宋" w:eastAsia="仿宋" w:cs="仿宋"/>
                <w:sz w:val="24"/>
                <w:szCs w:val="24"/>
              </w:rPr>
            </w:pPr>
            <w:r>
              <w:rPr>
                <w:rStyle w:val="21"/>
                <w:rFonts w:hint="eastAsia" w:ascii="仿宋" w:hAnsi="仿宋" w:eastAsia="仿宋" w:cs="仿宋"/>
                <w:sz w:val="24"/>
                <w:szCs w:val="24"/>
              </w:rPr>
              <w:t>纪评价</w:t>
            </w:r>
          </w:p>
        </w:tc>
        <w:tc>
          <w:tcPr>
            <w:tcW w:w="1350" w:type="dxa"/>
            <w:shd w:val="clear" w:color="auto" w:fill="auto"/>
            <w:tcMar>
              <w:top w:w="0" w:type="dxa"/>
              <w:left w:w="105" w:type="dxa"/>
              <w:bottom w:w="0" w:type="dxa"/>
              <w:right w:w="105" w:type="dxa"/>
            </w:tcMar>
            <w:vAlign w:val="center"/>
          </w:tcPr>
          <w:p w14:paraId="22663915">
            <w:pPr>
              <w:pStyle w:val="14"/>
              <w:keepNext w:val="0"/>
              <w:keepLines w:val="0"/>
              <w:widowControl/>
              <w:suppressLineNumbers w:val="0"/>
              <w:autoSpaceDE w:val="0"/>
              <w:autoSpaceDN/>
              <w:spacing w:after="195" w:afterAutospacing="0" w:line="405" w:lineRule="atLeast"/>
              <w:jc w:val="center"/>
              <w:rPr>
                <w:rFonts w:hint="eastAsia" w:ascii="仿宋" w:hAnsi="仿宋" w:eastAsia="仿宋" w:cs="仿宋"/>
                <w:sz w:val="24"/>
                <w:szCs w:val="24"/>
              </w:rPr>
            </w:pPr>
            <w:r>
              <w:rPr>
                <w:rStyle w:val="21"/>
                <w:rFonts w:hint="eastAsia" w:ascii="仿宋" w:hAnsi="仿宋" w:eastAsia="仿宋" w:cs="仿宋"/>
                <w:sz w:val="24"/>
                <w:szCs w:val="24"/>
              </w:rPr>
              <w:t>廉洁从业</w:t>
            </w:r>
          </w:p>
        </w:tc>
        <w:tc>
          <w:tcPr>
            <w:tcW w:w="5415" w:type="dxa"/>
            <w:gridSpan w:val="3"/>
            <w:shd w:val="clear" w:color="auto" w:fill="auto"/>
            <w:tcMar>
              <w:top w:w="0" w:type="dxa"/>
              <w:left w:w="105" w:type="dxa"/>
              <w:bottom w:w="0" w:type="dxa"/>
              <w:right w:w="105" w:type="dxa"/>
            </w:tcMar>
            <w:vAlign w:val="center"/>
          </w:tcPr>
          <w:p w14:paraId="4014550B">
            <w:pPr>
              <w:pStyle w:val="14"/>
              <w:keepNext w:val="0"/>
              <w:keepLines w:val="0"/>
              <w:widowControl/>
              <w:suppressLineNumbers w:val="0"/>
              <w:rPr>
                <w:rFonts w:hint="eastAsia" w:ascii="仿宋" w:hAnsi="仿宋" w:eastAsia="仿宋" w:cs="仿宋"/>
                <w:sz w:val="24"/>
                <w:szCs w:val="24"/>
              </w:rPr>
            </w:pPr>
            <w:r>
              <w:rPr>
                <w:rStyle w:val="21"/>
                <w:rFonts w:hint="eastAsia" w:ascii="仿宋" w:hAnsi="仿宋" w:eastAsia="仿宋" w:cs="仿宋"/>
                <w:sz w:val="24"/>
                <w:szCs w:val="24"/>
              </w:rPr>
              <w:t>违反行业廉洁要求或违法违纪行为，一旦查实，一票否决</w:t>
            </w:r>
          </w:p>
        </w:tc>
        <w:tc>
          <w:tcPr>
            <w:tcW w:w="675" w:type="dxa"/>
            <w:shd w:val="clear" w:color="auto" w:fill="auto"/>
            <w:tcMar>
              <w:top w:w="0" w:type="dxa"/>
              <w:left w:w="105" w:type="dxa"/>
              <w:bottom w:w="0" w:type="dxa"/>
              <w:right w:w="105" w:type="dxa"/>
            </w:tcMar>
            <w:vAlign w:val="center"/>
          </w:tcPr>
          <w:p w14:paraId="2171659C">
            <w:pPr>
              <w:pStyle w:val="14"/>
              <w:keepNext w:val="0"/>
              <w:keepLines w:val="0"/>
              <w:widowControl/>
              <w:suppressLineNumbers w:val="0"/>
              <w:autoSpaceDE w:val="0"/>
              <w:autoSpaceDN/>
              <w:spacing w:line="405" w:lineRule="atLeast"/>
              <w:jc w:val="center"/>
              <w:rPr>
                <w:rFonts w:hint="eastAsia" w:ascii="仿宋" w:hAnsi="仿宋" w:eastAsia="仿宋" w:cs="仿宋"/>
                <w:sz w:val="24"/>
                <w:szCs w:val="24"/>
              </w:rPr>
            </w:pPr>
            <w:r>
              <w:rPr>
                <w:rStyle w:val="21"/>
                <w:rFonts w:hint="eastAsia" w:ascii="仿宋" w:hAnsi="仿宋" w:eastAsia="仿宋" w:cs="仿宋"/>
                <w:sz w:val="24"/>
                <w:szCs w:val="24"/>
              </w:rPr>
              <w:t>一票否决</w:t>
            </w:r>
          </w:p>
        </w:tc>
      </w:tr>
      <w:tr w14:paraId="554253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vMerge w:val="continue"/>
            <w:shd w:val="clear" w:color="auto" w:fill="auto"/>
            <w:tcMar>
              <w:top w:w="0" w:type="dxa"/>
              <w:left w:w="105" w:type="dxa"/>
              <w:bottom w:w="0" w:type="dxa"/>
              <w:right w:w="105" w:type="dxa"/>
            </w:tcMar>
            <w:vAlign w:val="center"/>
          </w:tcPr>
          <w:p w14:paraId="2F812A9D">
            <w:pPr>
              <w:rPr>
                <w:rFonts w:hint="eastAsia" w:ascii="仿宋" w:hAnsi="仿宋" w:eastAsia="仿宋" w:cs="仿宋"/>
                <w:sz w:val="24"/>
                <w:szCs w:val="24"/>
              </w:rPr>
            </w:pPr>
          </w:p>
        </w:tc>
        <w:tc>
          <w:tcPr>
            <w:tcW w:w="1350" w:type="dxa"/>
            <w:shd w:val="clear" w:color="auto" w:fill="auto"/>
            <w:tcMar>
              <w:top w:w="0" w:type="dxa"/>
              <w:left w:w="105" w:type="dxa"/>
              <w:bottom w:w="0" w:type="dxa"/>
              <w:right w:w="105" w:type="dxa"/>
            </w:tcMar>
            <w:vAlign w:val="center"/>
          </w:tcPr>
          <w:p w14:paraId="154DAE3B">
            <w:pPr>
              <w:pStyle w:val="14"/>
              <w:keepNext w:val="0"/>
              <w:keepLines w:val="0"/>
              <w:widowControl/>
              <w:suppressLineNumbers w:val="0"/>
              <w:autoSpaceDE w:val="0"/>
              <w:autoSpaceDN/>
              <w:spacing w:line="405" w:lineRule="atLeast"/>
              <w:jc w:val="center"/>
              <w:rPr>
                <w:rFonts w:hint="eastAsia" w:ascii="仿宋" w:hAnsi="仿宋" w:eastAsia="仿宋" w:cs="仿宋"/>
                <w:sz w:val="24"/>
                <w:szCs w:val="24"/>
              </w:rPr>
            </w:pPr>
            <w:r>
              <w:rPr>
                <w:rStyle w:val="21"/>
                <w:rFonts w:hint="eastAsia" w:ascii="仿宋" w:hAnsi="仿宋" w:eastAsia="仿宋" w:cs="仿宋"/>
                <w:sz w:val="24"/>
                <w:szCs w:val="24"/>
              </w:rPr>
              <w:t>安全规范</w:t>
            </w:r>
          </w:p>
        </w:tc>
        <w:tc>
          <w:tcPr>
            <w:tcW w:w="5415" w:type="dxa"/>
            <w:gridSpan w:val="3"/>
            <w:shd w:val="clear" w:color="auto" w:fill="auto"/>
            <w:tcMar>
              <w:top w:w="0" w:type="dxa"/>
              <w:left w:w="105" w:type="dxa"/>
              <w:bottom w:w="0" w:type="dxa"/>
              <w:right w:w="105" w:type="dxa"/>
            </w:tcMar>
            <w:vAlign w:val="center"/>
          </w:tcPr>
          <w:p w14:paraId="1B6A206E">
            <w:pPr>
              <w:pStyle w:val="14"/>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不遵守安全生产规范，每次扣2分；</w:t>
            </w:r>
          </w:p>
        </w:tc>
        <w:tc>
          <w:tcPr>
            <w:tcW w:w="675" w:type="dxa"/>
            <w:shd w:val="clear" w:color="auto" w:fill="auto"/>
            <w:tcMar>
              <w:top w:w="0" w:type="dxa"/>
              <w:left w:w="105" w:type="dxa"/>
              <w:bottom w:w="0" w:type="dxa"/>
              <w:right w:w="105" w:type="dxa"/>
            </w:tcMar>
            <w:vAlign w:val="center"/>
          </w:tcPr>
          <w:p w14:paraId="5C6C8E7C">
            <w:pPr>
              <w:keepNext w:val="0"/>
              <w:keepLines w:val="0"/>
              <w:widowControl/>
              <w:suppressLineNumbers w:val="0"/>
              <w:jc w:val="left"/>
              <w:rPr>
                <w:rFonts w:hint="eastAsia" w:ascii="仿宋" w:hAnsi="仿宋" w:eastAsia="仿宋" w:cs="仿宋"/>
                <w:sz w:val="24"/>
                <w:szCs w:val="24"/>
              </w:rPr>
            </w:pPr>
          </w:p>
        </w:tc>
      </w:tr>
      <w:tr w14:paraId="548BD2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vMerge w:val="continue"/>
            <w:shd w:val="clear" w:color="auto" w:fill="auto"/>
            <w:tcMar>
              <w:top w:w="0" w:type="dxa"/>
              <w:left w:w="105" w:type="dxa"/>
              <w:bottom w:w="0" w:type="dxa"/>
              <w:right w:w="105" w:type="dxa"/>
            </w:tcMar>
            <w:vAlign w:val="center"/>
          </w:tcPr>
          <w:p w14:paraId="54C3AC34">
            <w:pPr>
              <w:rPr>
                <w:rFonts w:hint="eastAsia" w:ascii="仿宋" w:hAnsi="仿宋" w:eastAsia="仿宋" w:cs="仿宋"/>
                <w:sz w:val="24"/>
                <w:szCs w:val="24"/>
              </w:rPr>
            </w:pPr>
          </w:p>
        </w:tc>
        <w:tc>
          <w:tcPr>
            <w:tcW w:w="1350" w:type="dxa"/>
            <w:shd w:val="clear" w:color="auto" w:fill="auto"/>
            <w:tcMar>
              <w:top w:w="0" w:type="dxa"/>
              <w:left w:w="105" w:type="dxa"/>
              <w:bottom w:w="0" w:type="dxa"/>
              <w:right w:w="105" w:type="dxa"/>
            </w:tcMar>
            <w:vAlign w:val="center"/>
          </w:tcPr>
          <w:p w14:paraId="41F01344">
            <w:pPr>
              <w:pStyle w:val="14"/>
              <w:keepNext w:val="0"/>
              <w:keepLines w:val="0"/>
              <w:widowControl/>
              <w:suppressLineNumbers w:val="0"/>
              <w:autoSpaceDE w:val="0"/>
              <w:autoSpaceDN/>
              <w:spacing w:line="405" w:lineRule="atLeast"/>
              <w:jc w:val="center"/>
              <w:rPr>
                <w:rFonts w:hint="eastAsia" w:ascii="仿宋" w:hAnsi="仿宋" w:eastAsia="仿宋" w:cs="仿宋"/>
                <w:sz w:val="24"/>
                <w:szCs w:val="24"/>
              </w:rPr>
            </w:pPr>
            <w:r>
              <w:rPr>
                <w:rStyle w:val="21"/>
                <w:rFonts w:hint="eastAsia" w:ascii="仿宋" w:hAnsi="仿宋" w:eastAsia="仿宋" w:cs="仿宋"/>
                <w:sz w:val="24"/>
                <w:szCs w:val="24"/>
              </w:rPr>
              <w:t>其他违纪违规</w:t>
            </w:r>
          </w:p>
        </w:tc>
        <w:tc>
          <w:tcPr>
            <w:tcW w:w="5415" w:type="dxa"/>
            <w:gridSpan w:val="3"/>
            <w:shd w:val="clear" w:color="auto" w:fill="auto"/>
            <w:tcMar>
              <w:top w:w="0" w:type="dxa"/>
              <w:left w:w="105" w:type="dxa"/>
              <w:bottom w:w="0" w:type="dxa"/>
              <w:right w:w="105" w:type="dxa"/>
            </w:tcMar>
            <w:vAlign w:val="center"/>
          </w:tcPr>
          <w:p w14:paraId="1A8C3A9E">
            <w:pPr>
              <w:pStyle w:val="14"/>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其它不利于医院信息化建设相关行为，视情节严重程度，经采购人讨论酌情扣分</w:t>
            </w:r>
          </w:p>
        </w:tc>
        <w:tc>
          <w:tcPr>
            <w:tcW w:w="675" w:type="dxa"/>
            <w:shd w:val="clear" w:color="auto" w:fill="auto"/>
            <w:tcMar>
              <w:top w:w="0" w:type="dxa"/>
              <w:left w:w="105" w:type="dxa"/>
              <w:bottom w:w="0" w:type="dxa"/>
              <w:right w:w="105" w:type="dxa"/>
            </w:tcMar>
            <w:vAlign w:val="center"/>
          </w:tcPr>
          <w:p w14:paraId="5411855A">
            <w:pPr>
              <w:keepNext w:val="0"/>
              <w:keepLines w:val="0"/>
              <w:widowControl/>
              <w:suppressLineNumbers w:val="0"/>
              <w:jc w:val="left"/>
              <w:rPr>
                <w:rFonts w:hint="eastAsia" w:ascii="仿宋" w:hAnsi="仿宋" w:eastAsia="仿宋" w:cs="仿宋"/>
                <w:sz w:val="24"/>
                <w:szCs w:val="24"/>
              </w:rPr>
            </w:pPr>
          </w:p>
        </w:tc>
      </w:tr>
      <w:tr w14:paraId="489E60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shd w:val="clear" w:color="auto" w:fill="auto"/>
            <w:tcMar>
              <w:top w:w="0" w:type="dxa"/>
              <w:left w:w="105" w:type="dxa"/>
              <w:bottom w:w="0" w:type="dxa"/>
              <w:right w:w="105" w:type="dxa"/>
            </w:tcMar>
            <w:vAlign w:val="center"/>
          </w:tcPr>
          <w:p w14:paraId="4CD2830D">
            <w:pPr>
              <w:pStyle w:val="14"/>
              <w:keepNext w:val="0"/>
              <w:keepLines w:val="0"/>
              <w:widowControl/>
              <w:suppressLineNumbers w:val="0"/>
              <w:spacing w:line="360" w:lineRule="auto"/>
              <w:jc w:val="center"/>
              <w:rPr>
                <w:rFonts w:hint="eastAsia" w:ascii="仿宋" w:hAnsi="仿宋" w:eastAsia="仿宋" w:cs="仿宋"/>
                <w:sz w:val="24"/>
                <w:szCs w:val="24"/>
              </w:rPr>
            </w:pPr>
            <w:r>
              <w:rPr>
                <w:rStyle w:val="21"/>
                <w:rFonts w:hint="eastAsia" w:ascii="仿宋" w:hAnsi="仿宋" w:eastAsia="仿宋" w:cs="仿宋"/>
                <w:sz w:val="24"/>
                <w:szCs w:val="24"/>
              </w:rPr>
              <w:t>扣分合计</w:t>
            </w:r>
          </w:p>
        </w:tc>
        <w:tc>
          <w:tcPr>
            <w:tcW w:w="7425" w:type="dxa"/>
            <w:gridSpan w:val="5"/>
            <w:shd w:val="clear" w:color="auto" w:fill="auto"/>
            <w:tcMar>
              <w:top w:w="0" w:type="dxa"/>
              <w:left w:w="105" w:type="dxa"/>
              <w:bottom w:w="0" w:type="dxa"/>
              <w:right w:w="105" w:type="dxa"/>
            </w:tcMar>
            <w:vAlign w:val="center"/>
          </w:tcPr>
          <w:p w14:paraId="554FD3DC">
            <w:pPr>
              <w:keepNext w:val="0"/>
              <w:keepLines w:val="0"/>
              <w:widowControl/>
              <w:suppressLineNumbers w:val="0"/>
              <w:jc w:val="left"/>
              <w:rPr>
                <w:rFonts w:hint="eastAsia" w:ascii="仿宋" w:hAnsi="仿宋" w:eastAsia="仿宋" w:cs="仿宋"/>
                <w:sz w:val="24"/>
                <w:szCs w:val="24"/>
              </w:rPr>
            </w:pPr>
          </w:p>
        </w:tc>
      </w:tr>
      <w:tr w14:paraId="1C4ED0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shd w:val="clear" w:color="auto" w:fill="auto"/>
            <w:tcMar>
              <w:top w:w="0" w:type="dxa"/>
              <w:left w:w="105" w:type="dxa"/>
              <w:bottom w:w="0" w:type="dxa"/>
              <w:right w:w="105" w:type="dxa"/>
            </w:tcMar>
            <w:vAlign w:val="center"/>
          </w:tcPr>
          <w:p w14:paraId="3E633725">
            <w:pPr>
              <w:pStyle w:val="14"/>
              <w:keepNext w:val="0"/>
              <w:keepLines w:val="0"/>
              <w:widowControl/>
              <w:suppressLineNumbers w:val="0"/>
              <w:spacing w:line="360" w:lineRule="auto"/>
              <w:jc w:val="center"/>
              <w:rPr>
                <w:rFonts w:hint="eastAsia" w:ascii="仿宋" w:hAnsi="仿宋" w:eastAsia="仿宋" w:cs="仿宋"/>
                <w:sz w:val="24"/>
                <w:szCs w:val="24"/>
              </w:rPr>
            </w:pPr>
            <w:r>
              <w:rPr>
                <w:rStyle w:val="21"/>
                <w:rFonts w:hint="eastAsia" w:ascii="仿宋" w:hAnsi="仿宋" w:eastAsia="仿宋" w:cs="仿宋"/>
                <w:sz w:val="24"/>
                <w:szCs w:val="24"/>
              </w:rPr>
              <w:t>考核人</w:t>
            </w:r>
          </w:p>
        </w:tc>
        <w:tc>
          <w:tcPr>
            <w:tcW w:w="7425" w:type="dxa"/>
            <w:gridSpan w:val="5"/>
            <w:shd w:val="clear" w:color="auto" w:fill="auto"/>
            <w:tcMar>
              <w:top w:w="0" w:type="dxa"/>
              <w:left w:w="105" w:type="dxa"/>
              <w:bottom w:w="0" w:type="dxa"/>
              <w:right w:w="105" w:type="dxa"/>
            </w:tcMar>
            <w:vAlign w:val="center"/>
          </w:tcPr>
          <w:p w14:paraId="0A56C4D6">
            <w:pPr>
              <w:pStyle w:val="14"/>
              <w:keepNext w:val="0"/>
              <w:keepLines w:val="0"/>
              <w:widowControl/>
              <w:suppressLineNumbers w:val="0"/>
              <w:spacing w:line="360" w:lineRule="auto"/>
              <w:rPr>
                <w:rFonts w:hint="eastAsia" w:ascii="仿宋" w:hAnsi="仿宋" w:eastAsia="仿宋" w:cs="仿宋"/>
                <w:sz w:val="24"/>
                <w:szCs w:val="24"/>
              </w:rPr>
            </w:pPr>
          </w:p>
          <w:p w14:paraId="0AF4416F">
            <w:pPr>
              <w:pStyle w:val="14"/>
              <w:keepNext w:val="0"/>
              <w:keepLines w:val="0"/>
              <w:widowControl/>
              <w:suppressLineNumbers w:val="0"/>
              <w:spacing w:line="360" w:lineRule="auto"/>
              <w:rPr>
                <w:rFonts w:hint="eastAsia" w:ascii="仿宋" w:hAnsi="仿宋" w:eastAsia="仿宋" w:cs="仿宋"/>
                <w:sz w:val="24"/>
                <w:szCs w:val="24"/>
              </w:rPr>
            </w:pPr>
            <w:r>
              <w:rPr>
                <w:rFonts w:hint="eastAsia" w:ascii="仿宋" w:hAnsi="仿宋" w:eastAsia="仿宋" w:cs="仿宋"/>
                <w:sz w:val="24"/>
                <w:szCs w:val="24"/>
              </w:rPr>
              <w:t>                                                               年    月    日</w:t>
            </w:r>
          </w:p>
        </w:tc>
      </w:tr>
    </w:tbl>
    <w:p w14:paraId="2E2D6553">
      <w:pPr>
        <w:pStyle w:val="14"/>
        <w:keepNext w:val="0"/>
        <w:keepLines w:val="0"/>
        <w:pageBreakBefore w:val="0"/>
        <w:widowControl/>
        <w:suppressLineNumbers w:val="0"/>
        <w:kinsoku/>
        <w:wordWrap/>
        <w:overflowPunct/>
        <w:topLinePunct w:val="0"/>
        <w:autoSpaceDE/>
        <w:autoSpaceDN/>
        <w:bidi w:val="0"/>
        <w:adjustRightInd/>
        <w:snapToGrid/>
        <w:spacing w:beforeAutospacing="0" w:after="0" w:afterAutospacing="0" w:line="240" w:lineRule="auto"/>
        <w:textAlignment w:val="auto"/>
        <w:rPr>
          <w:rFonts w:hint="eastAsia" w:ascii="仿宋" w:hAnsi="仿宋" w:eastAsia="仿宋" w:cs="仿宋"/>
          <w:sz w:val="24"/>
          <w:szCs w:val="24"/>
        </w:rPr>
      </w:pPr>
      <w:r>
        <w:rPr>
          <w:rStyle w:val="21"/>
          <w:rFonts w:hint="eastAsia" w:ascii="仿宋" w:hAnsi="仿宋" w:eastAsia="仿宋" w:cs="仿宋"/>
          <w:kern w:val="2"/>
          <w:sz w:val="24"/>
          <w:szCs w:val="24"/>
        </w:rPr>
        <w:t>备注：</w:t>
      </w:r>
    </w:p>
    <w:p w14:paraId="6035762D">
      <w:pPr>
        <w:pStyle w:val="14"/>
        <w:keepNext w:val="0"/>
        <w:keepLines w:val="0"/>
        <w:pageBreakBefore w:val="0"/>
        <w:widowControl/>
        <w:suppressLineNumbers w:val="0"/>
        <w:kinsoku/>
        <w:wordWrap/>
        <w:overflowPunct/>
        <w:topLinePunct w:val="0"/>
        <w:autoSpaceDE/>
        <w:autoSpaceDN/>
        <w:bidi w:val="0"/>
        <w:adjustRightInd/>
        <w:snapToGrid/>
        <w:spacing w:beforeAutospacing="0" w:after="0" w:afterAutospacing="0" w:line="24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kern w:val="2"/>
          <w:sz w:val="24"/>
          <w:szCs w:val="24"/>
        </w:rPr>
        <w:t>1.服务期内，采购人可按照本项目采购需求内容对应的考核指标对供应商进行考核，具体指标以采购人要求为准；</w:t>
      </w:r>
    </w:p>
    <w:p w14:paraId="1EB65E9A">
      <w:pPr>
        <w:pStyle w:val="14"/>
        <w:keepNext w:val="0"/>
        <w:keepLines w:val="0"/>
        <w:pageBreakBefore w:val="0"/>
        <w:widowControl/>
        <w:suppressLineNumbers w:val="0"/>
        <w:kinsoku/>
        <w:wordWrap/>
        <w:overflowPunct/>
        <w:topLinePunct w:val="0"/>
        <w:autoSpaceDE/>
        <w:autoSpaceDN/>
        <w:bidi w:val="0"/>
        <w:adjustRightInd/>
        <w:snapToGrid/>
        <w:spacing w:beforeAutospacing="0" w:after="0" w:afterAutospacing="0" w:line="240" w:lineRule="auto"/>
        <w:ind w:left="0" w:firstLine="480" w:firstLineChars="200"/>
        <w:textAlignment w:val="auto"/>
        <w:rPr>
          <w:rFonts w:hint="eastAsia" w:ascii="仿宋" w:hAnsi="仿宋" w:eastAsia="仿宋" w:cs="仿宋"/>
          <w:sz w:val="24"/>
          <w:szCs w:val="24"/>
          <w:u w:val="none"/>
        </w:rPr>
      </w:pPr>
      <w:r>
        <w:rPr>
          <w:rFonts w:hint="eastAsia" w:ascii="仿宋" w:hAnsi="仿宋" w:eastAsia="仿宋" w:cs="仿宋"/>
          <w:kern w:val="2"/>
          <w:sz w:val="24"/>
          <w:szCs w:val="24"/>
          <w:u w:val="none"/>
        </w:rPr>
        <w:t>2.考核关联最终付款金额，具体计算规则如下：</w:t>
      </w:r>
    </w:p>
    <w:p w14:paraId="61B6686E">
      <w:pPr>
        <w:pStyle w:val="14"/>
        <w:keepNext w:val="0"/>
        <w:keepLines w:val="0"/>
        <w:pageBreakBefore w:val="0"/>
        <w:widowControl/>
        <w:suppressLineNumbers w:val="0"/>
        <w:kinsoku/>
        <w:wordWrap/>
        <w:overflowPunct/>
        <w:topLinePunct w:val="0"/>
        <w:autoSpaceDE/>
        <w:autoSpaceDN/>
        <w:bidi w:val="0"/>
        <w:adjustRightInd/>
        <w:snapToGrid/>
        <w:spacing w:beforeAutospacing="0" w:after="0" w:afterAutospacing="0" w:line="240" w:lineRule="auto"/>
        <w:ind w:left="0" w:firstLine="480" w:firstLineChars="200"/>
        <w:textAlignment w:val="auto"/>
        <w:rPr>
          <w:rFonts w:hint="eastAsia" w:ascii="仿宋" w:hAnsi="仿宋" w:eastAsia="仿宋" w:cs="仿宋"/>
          <w:sz w:val="24"/>
          <w:szCs w:val="24"/>
          <w:u w:val="none"/>
          <w:lang w:eastAsia="zh-CN"/>
        </w:rPr>
      </w:pPr>
      <w:r>
        <w:rPr>
          <w:rStyle w:val="21"/>
          <w:rFonts w:hint="eastAsia" w:ascii="仿宋" w:hAnsi="仿宋" w:eastAsia="仿宋" w:cs="仿宋"/>
          <w:b w:val="0"/>
          <w:bCs/>
          <w:kern w:val="2"/>
          <w:sz w:val="24"/>
          <w:szCs w:val="24"/>
          <w:u w:val="none"/>
          <w:lang w:val="en-US" w:eastAsia="zh-CN"/>
        </w:rPr>
        <w:t>1）</w:t>
      </w:r>
      <w:r>
        <w:rPr>
          <w:rStyle w:val="21"/>
          <w:rFonts w:hint="eastAsia" w:ascii="仿宋" w:hAnsi="仿宋" w:eastAsia="仿宋" w:cs="仿宋"/>
          <w:kern w:val="2"/>
          <w:sz w:val="24"/>
          <w:szCs w:val="24"/>
          <w:u w:val="none"/>
        </w:rPr>
        <w:t>平均扣分</w:t>
      </w:r>
      <w:r>
        <w:rPr>
          <w:rFonts w:hint="eastAsia" w:ascii="仿宋" w:hAnsi="仿宋" w:eastAsia="仿宋" w:cs="仿宋"/>
          <w:kern w:val="2"/>
          <w:sz w:val="24"/>
          <w:szCs w:val="24"/>
          <w:u w:val="none"/>
        </w:rPr>
        <w:t>=服务期汇总考核扣分之和÷服务期内考核次数</w:t>
      </w:r>
      <w:r>
        <w:rPr>
          <w:rFonts w:hint="eastAsia" w:ascii="仿宋" w:hAnsi="仿宋" w:eastAsia="仿宋" w:cs="仿宋"/>
          <w:kern w:val="2"/>
          <w:sz w:val="24"/>
          <w:szCs w:val="24"/>
          <w:u w:val="none"/>
          <w:lang w:eastAsia="zh-CN"/>
        </w:rPr>
        <w:t>；</w:t>
      </w:r>
    </w:p>
    <w:p w14:paraId="66A030C0">
      <w:pPr>
        <w:pStyle w:val="14"/>
        <w:keepNext w:val="0"/>
        <w:keepLines w:val="0"/>
        <w:pageBreakBefore w:val="0"/>
        <w:widowControl/>
        <w:suppressLineNumbers w:val="0"/>
        <w:kinsoku/>
        <w:wordWrap/>
        <w:overflowPunct/>
        <w:topLinePunct w:val="0"/>
        <w:autoSpaceDE/>
        <w:autoSpaceDN/>
        <w:bidi w:val="0"/>
        <w:adjustRightInd/>
        <w:snapToGrid/>
        <w:spacing w:beforeAutospacing="0" w:after="0" w:afterAutospacing="0" w:line="240" w:lineRule="auto"/>
        <w:ind w:left="0" w:firstLine="480" w:firstLineChars="200"/>
        <w:textAlignment w:val="auto"/>
        <w:rPr>
          <w:rFonts w:hint="eastAsia" w:ascii="仿宋" w:hAnsi="仿宋" w:eastAsia="仿宋" w:cs="仿宋"/>
          <w:sz w:val="24"/>
          <w:szCs w:val="24"/>
          <w:u w:val="none"/>
        </w:rPr>
      </w:pPr>
      <w:r>
        <w:rPr>
          <w:rFonts w:hint="eastAsia" w:ascii="仿宋" w:hAnsi="仿宋" w:eastAsia="仿宋" w:cs="仿宋"/>
          <w:kern w:val="2"/>
          <w:sz w:val="24"/>
          <w:szCs w:val="24"/>
          <w:u w:val="none"/>
        </w:rPr>
        <w:t>2）0分&lt;</w:t>
      </w:r>
      <w:r>
        <w:rPr>
          <w:rStyle w:val="21"/>
          <w:rFonts w:hint="eastAsia" w:ascii="仿宋" w:hAnsi="仿宋" w:eastAsia="仿宋" w:cs="仿宋"/>
          <w:kern w:val="2"/>
          <w:sz w:val="24"/>
          <w:szCs w:val="24"/>
          <w:u w:val="none"/>
        </w:rPr>
        <w:t>平均扣分</w:t>
      </w:r>
      <w:r>
        <w:rPr>
          <w:rFonts w:hint="eastAsia" w:ascii="仿宋" w:hAnsi="仿宋" w:eastAsia="仿宋" w:cs="仿宋"/>
          <w:kern w:val="2"/>
          <w:sz w:val="24"/>
          <w:szCs w:val="24"/>
          <w:u w:val="none"/>
        </w:rPr>
        <w:t>≤3分，将对供应商进行诫勉谈话；</w:t>
      </w:r>
    </w:p>
    <w:p w14:paraId="0BE2C2C9">
      <w:pPr>
        <w:pStyle w:val="14"/>
        <w:keepNext w:val="0"/>
        <w:keepLines w:val="0"/>
        <w:pageBreakBefore w:val="0"/>
        <w:widowControl/>
        <w:suppressLineNumbers w:val="0"/>
        <w:kinsoku/>
        <w:wordWrap/>
        <w:overflowPunct/>
        <w:topLinePunct w:val="0"/>
        <w:autoSpaceDE/>
        <w:autoSpaceDN/>
        <w:bidi w:val="0"/>
        <w:adjustRightInd/>
        <w:snapToGrid/>
        <w:spacing w:beforeAutospacing="0" w:after="0" w:afterAutospacing="0" w:line="240" w:lineRule="auto"/>
        <w:ind w:left="0" w:firstLine="480" w:firstLineChars="200"/>
        <w:textAlignment w:val="auto"/>
        <w:rPr>
          <w:rFonts w:hint="eastAsia" w:ascii="仿宋" w:hAnsi="仿宋" w:eastAsia="仿宋" w:cs="仿宋"/>
          <w:sz w:val="24"/>
          <w:szCs w:val="24"/>
          <w:u w:val="none"/>
        </w:rPr>
      </w:pPr>
      <w:r>
        <w:rPr>
          <w:rFonts w:hint="eastAsia" w:ascii="仿宋" w:hAnsi="仿宋" w:eastAsia="仿宋" w:cs="仿宋"/>
          <w:kern w:val="2"/>
          <w:sz w:val="24"/>
          <w:szCs w:val="24"/>
          <w:u w:val="none"/>
        </w:rPr>
        <w:t>3）3分&lt;</w:t>
      </w:r>
      <w:r>
        <w:rPr>
          <w:rStyle w:val="21"/>
          <w:rFonts w:hint="eastAsia" w:ascii="仿宋" w:hAnsi="仿宋" w:eastAsia="仿宋" w:cs="仿宋"/>
          <w:kern w:val="2"/>
          <w:sz w:val="24"/>
          <w:szCs w:val="24"/>
          <w:u w:val="none"/>
        </w:rPr>
        <w:t>平均扣分</w:t>
      </w:r>
      <w:r>
        <w:rPr>
          <w:rFonts w:hint="eastAsia" w:ascii="仿宋" w:hAnsi="仿宋" w:eastAsia="仿宋" w:cs="仿宋"/>
          <w:kern w:val="2"/>
          <w:sz w:val="24"/>
          <w:szCs w:val="24"/>
          <w:u w:val="none"/>
        </w:rPr>
        <w:t>≤5分，对供应商提出警告，从合同待支付金额中或履约保证金中扣除合同</w:t>
      </w:r>
      <w:r>
        <w:rPr>
          <w:rFonts w:hint="eastAsia" w:ascii="仿宋" w:hAnsi="仿宋" w:eastAsia="仿宋" w:cs="仿宋"/>
          <w:kern w:val="2"/>
          <w:sz w:val="24"/>
          <w:szCs w:val="24"/>
          <w:u w:val="none"/>
          <w:lang w:val="en-US" w:eastAsia="zh-CN"/>
        </w:rPr>
        <w:t>总</w:t>
      </w:r>
      <w:r>
        <w:rPr>
          <w:rFonts w:hint="eastAsia" w:ascii="仿宋" w:hAnsi="仿宋" w:eastAsia="仿宋" w:cs="仿宋"/>
          <w:kern w:val="2"/>
          <w:sz w:val="24"/>
          <w:szCs w:val="24"/>
          <w:u w:val="none"/>
        </w:rPr>
        <w:t>金额5%费用，扣完为止；</w:t>
      </w:r>
    </w:p>
    <w:p w14:paraId="5145405D">
      <w:pPr>
        <w:pStyle w:val="14"/>
        <w:keepNext w:val="0"/>
        <w:keepLines w:val="0"/>
        <w:pageBreakBefore w:val="0"/>
        <w:widowControl/>
        <w:suppressLineNumbers w:val="0"/>
        <w:kinsoku/>
        <w:wordWrap/>
        <w:overflowPunct/>
        <w:topLinePunct w:val="0"/>
        <w:autoSpaceDE/>
        <w:autoSpaceDN/>
        <w:bidi w:val="0"/>
        <w:adjustRightInd/>
        <w:snapToGrid/>
        <w:spacing w:beforeAutospacing="0" w:after="0" w:afterAutospacing="0" w:line="240" w:lineRule="auto"/>
        <w:ind w:left="0" w:firstLine="480" w:firstLineChars="200"/>
        <w:textAlignment w:val="auto"/>
        <w:rPr>
          <w:rFonts w:hint="eastAsia" w:ascii="仿宋" w:hAnsi="仿宋" w:eastAsia="仿宋" w:cs="仿宋"/>
          <w:sz w:val="24"/>
          <w:szCs w:val="24"/>
          <w:u w:val="none"/>
        </w:rPr>
      </w:pPr>
      <w:r>
        <w:rPr>
          <w:rFonts w:hint="eastAsia" w:ascii="仿宋" w:hAnsi="仿宋" w:eastAsia="仿宋" w:cs="仿宋"/>
          <w:kern w:val="2"/>
          <w:sz w:val="24"/>
          <w:szCs w:val="24"/>
          <w:u w:val="none"/>
        </w:rPr>
        <w:t>4）5分&lt;</w:t>
      </w:r>
      <w:r>
        <w:rPr>
          <w:rStyle w:val="21"/>
          <w:rFonts w:hint="eastAsia" w:ascii="仿宋" w:hAnsi="仿宋" w:eastAsia="仿宋" w:cs="仿宋"/>
          <w:kern w:val="2"/>
          <w:sz w:val="24"/>
          <w:szCs w:val="24"/>
          <w:u w:val="none"/>
        </w:rPr>
        <w:t>平均扣分</w:t>
      </w:r>
      <w:r>
        <w:rPr>
          <w:rFonts w:hint="eastAsia" w:ascii="仿宋" w:hAnsi="仿宋" w:eastAsia="仿宋" w:cs="仿宋"/>
          <w:kern w:val="2"/>
          <w:sz w:val="24"/>
          <w:szCs w:val="24"/>
          <w:u w:val="none"/>
        </w:rPr>
        <w:t>≤10分，对供应商提出严重警告，从合同待支付金额中或履约保证金中扣除合同</w:t>
      </w:r>
      <w:r>
        <w:rPr>
          <w:rFonts w:hint="eastAsia" w:ascii="仿宋" w:hAnsi="仿宋" w:eastAsia="仿宋" w:cs="仿宋"/>
          <w:kern w:val="2"/>
          <w:sz w:val="24"/>
          <w:szCs w:val="24"/>
          <w:u w:val="none"/>
          <w:lang w:val="en-US" w:eastAsia="zh-CN"/>
        </w:rPr>
        <w:t>总</w:t>
      </w:r>
      <w:r>
        <w:rPr>
          <w:rFonts w:hint="eastAsia" w:ascii="仿宋" w:hAnsi="仿宋" w:eastAsia="仿宋" w:cs="仿宋"/>
          <w:kern w:val="2"/>
          <w:sz w:val="24"/>
          <w:szCs w:val="24"/>
          <w:u w:val="none"/>
        </w:rPr>
        <w:t>金额10%费用，扣完为止；</w:t>
      </w:r>
    </w:p>
    <w:p w14:paraId="7D946043">
      <w:pPr>
        <w:pStyle w:val="14"/>
        <w:keepNext w:val="0"/>
        <w:keepLines w:val="0"/>
        <w:pageBreakBefore w:val="0"/>
        <w:widowControl/>
        <w:suppressLineNumbers w:val="0"/>
        <w:kinsoku/>
        <w:wordWrap/>
        <w:overflowPunct/>
        <w:topLinePunct w:val="0"/>
        <w:autoSpaceDE/>
        <w:autoSpaceDN/>
        <w:bidi w:val="0"/>
        <w:adjustRightInd/>
        <w:snapToGrid/>
        <w:spacing w:beforeAutospacing="0" w:after="0" w:afterAutospacing="0" w:line="240" w:lineRule="auto"/>
        <w:ind w:left="0" w:firstLine="480" w:firstLineChars="200"/>
        <w:textAlignment w:val="auto"/>
        <w:rPr>
          <w:rFonts w:hint="eastAsia" w:ascii="仿宋" w:hAnsi="仿宋" w:eastAsia="仿宋" w:cs="仿宋"/>
          <w:sz w:val="24"/>
          <w:szCs w:val="24"/>
          <w:u w:val="none"/>
        </w:rPr>
      </w:pPr>
      <w:r>
        <w:rPr>
          <w:rFonts w:hint="eastAsia" w:ascii="仿宋" w:hAnsi="仿宋" w:eastAsia="仿宋" w:cs="仿宋"/>
          <w:kern w:val="2"/>
          <w:sz w:val="24"/>
          <w:szCs w:val="24"/>
          <w:u w:val="none"/>
          <w:lang w:val="en-US" w:eastAsia="zh-CN"/>
        </w:rPr>
        <w:t>5</w:t>
      </w:r>
      <w:r>
        <w:rPr>
          <w:rFonts w:hint="eastAsia" w:ascii="仿宋" w:hAnsi="仿宋" w:eastAsia="仿宋" w:cs="仿宋"/>
          <w:kern w:val="2"/>
          <w:sz w:val="24"/>
          <w:szCs w:val="24"/>
          <w:u w:val="none"/>
        </w:rPr>
        <w:t>）10分&lt;</w:t>
      </w:r>
      <w:r>
        <w:rPr>
          <w:rStyle w:val="21"/>
          <w:rFonts w:hint="eastAsia" w:ascii="仿宋" w:hAnsi="仿宋" w:eastAsia="仿宋" w:cs="仿宋"/>
          <w:kern w:val="2"/>
          <w:sz w:val="24"/>
          <w:szCs w:val="24"/>
          <w:u w:val="none"/>
        </w:rPr>
        <w:t>平均扣分</w:t>
      </w:r>
      <w:r>
        <w:rPr>
          <w:rFonts w:hint="eastAsia" w:ascii="仿宋" w:hAnsi="仿宋" w:eastAsia="仿宋" w:cs="仿宋"/>
          <w:kern w:val="2"/>
          <w:sz w:val="24"/>
          <w:szCs w:val="24"/>
          <w:u w:val="none"/>
        </w:rPr>
        <w:t>，视为</w:t>
      </w:r>
      <w:r>
        <w:rPr>
          <w:rStyle w:val="21"/>
          <w:rFonts w:hint="eastAsia" w:ascii="仿宋" w:hAnsi="仿宋" w:eastAsia="仿宋" w:cs="仿宋"/>
          <w:kern w:val="2"/>
          <w:sz w:val="24"/>
          <w:szCs w:val="24"/>
          <w:u w:val="none"/>
        </w:rPr>
        <w:t>不合格</w:t>
      </w:r>
      <w:r>
        <w:rPr>
          <w:rFonts w:hint="eastAsia" w:ascii="仿宋" w:hAnsi="仿宋" w:eastAsia="仿宋" w:cs="仿宋"/>
          <w:kern w:val="2"/>
          <w:sz w:val="24"/>
          <w:szCs w:val="24"/>
          <w:u w:val="none"/>
        </w:rPr>
        <w:t>，终止合同，合同待支付金额和履约保金（如有履约保证金）不予退还；</w:t>
      </w:r>
    </w:p>
    <w:p w14:paraId="670F9441">
      <w:pPr>
        <w:pStyle w:val="14"/>
        <w:keepNext w:val="0"/>
        <w:keepLines w:val="0"/>
        <w:pageBreakBefore w:val="0"/>
        <w:widowControl/>
        <w:suppressLineNumbers w:val="0"/>
        <w:kinsoku/>
        <w:wordWrap/>
        <w:overflowPunct/>
        <w:topLinePunct w:val="0"/>
        <w:autoSpaceDE/>
        <w:autoSpaceDN/>
        <w:bidi w:val="0"/>
        <w:adjustRightInd/>
        <w:snapToGrid/>
        <w:spacing w:beforeAutospacing="0" w:after="0" w:afterAutospacing="0" w:line="24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kern w:val="2"/>
          <w:sz w:val="24"/>
          <w:szCs w:val="24"/>
          <w:u w:val="none"/>
        </w:rPr>
        <w:t>3.供应商出现一票否决时，将对其违法违纪的相关情况汇报院纪委，同时按供应商违约情况取消本次合作，扣除所有剩</w:t>
      </w:r>
      <w:r>
        <w:rPr>
          <w:rFonts w:hint="eastAsia" w:ascii="仿宋" w:hAnsi="仿宋" w:eastAsia="仿宋" w:cs="仿宋"/>
          <w:kern w:val="2"/>
          <w:sz w:val="24"/>
          <w:szCs w:val="24"/>
        </w:rPr>
        <w:t>余款项，履约保证金不予退还（如本项目要求缴纳履约保证金），并保留后续追究供应商责任的权利。</w:t>
      </w:r>
    </w:p>
    <w:p w14:paraId="4B3CC8D2">
      <w:pPr>
        <w:pStyle w:val="2"/>
        <w:keepNext w:val="0"/>
        <w:keepLines w:val="0"/>
        <w:pageBreakBefore w:val="0"/>
        <w:kinsoku/>
        <w:wordWrap/>
        <w:overflowPunct/>
        <w:topLinePunct w:val="0"/>
        <w:autoSpaceDE/>
        <w:autoSpaceDN/>
        <w:bidi w:val="0"/>
        <w:adjustRightInd/>
        <w:snapToGrid/>
        <w:spacing w:beforeAutospacing="0" w:after="0" w:afterAutospacing="0" w:line="24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kern w:val="2"/>
          <w:sz w:val="24"/>
          <w:szCs w:val="24"/>
        </w:rPr>
        <w:t>4.本考核指标最终解释权归四川省医学科学院·四川省人民医院。</w:t>
      </w:r>
    </w:p>
    <w:p w14:paraId="1FB01B2A">
      <w:pPr>
        <w:rPr>
          <w:rFonts w:hint="eastAsia" w:ascii="Times New Roman" w:hAnsi="Times New Roman" w:eastAsia="黑体" w:cs="Times New Roman"/>
          <w:b/>
          <w:kern w:val="44"/>
          <w:sz w:val="36"/>
          <w:szCs w:val="22"/>
          <w:lang w:val="zh-CN" w:eastAsia="zh-CN" w:bidi="ar-SA"/>
        </w:rPr>
      </w:pPr>
      <w:bookmarkStart w:id="17" w:name="_Toc3094"/>
      <w:bookmarkStart w:id="18" w:name="_Toc22827"/>
      <w:bookmarkStart w:id="19" w:name="_Toc192583770"/>
      <w:r>
        <w:rPr>
          <w:rFonts w:hint="eastAsia" w:ascii="Times New Roman" w:hAnsi="Times New Roman" w:eastAsia="黑体" w:cs="Times New Roman"/>
          <w:b/>
          <w:kern w:val="44"/>
          <w:sz w:val="36"/>
          <w:szCs w:val="22"/>
          <w:lang w:val="zh-CN" w:eastAsia="zh-CN" w:bidi="ar-SA"/>
        </w:rPr>
        <w:br w:type="page"/>
      </w:r>
    </w:p>
    <w:p w14:paraId="58682A99">
      <w:pPr>
        <w:pStyle w:val="3"/>
        <w:numPr>
          <w:ilvl w:val="0"/>
          <w:numId w:val="0"/>
        </w:numPr>
        <w:ind w:left="0" w:leftChars="0" w:firstLine="0" w:firstLineChars="0"/>
        <w:rPr>
          <w:rFonts w:ascii="Times New Roman" w:hAnsi="Times New Roman" w:cs="Times New Roman"/>
        </w:rPr>
      </w:pPr>
      <w:r>
        <w:rPr>
          <w:rFonts w:hint="eastAsia" w:ascii="Times New Roman" w:hAnsi="Times New Roman" w:eastAsia="黑体" w:cs="Times New Roman"/>
          <w:b/>
          <w:kern w:val="44"/>
          <w:sz w:val="36"/>
          <w:szCs w:val="22"/>
          <w:lang w:val="zh-CN" w:eastAsia="zh-CN" w:bidi="ar-SA"/>
        </w:rPr>
        <w:t xml:space="preserve">第五章 </w:t>
      </w:r>
      <w:r>
        <w:rPr>
          <w:rFonts w:ascii="Times New Roman" w:hAnsi="Times New Roman" w:cs="Times New Roman"/>
        </w:rPr>
        <w:t>响应文件格式</w:t>
      </w:r>
      <w:bookmarkEnd w:id="17"/>
      <w:bookmarkEnd w:id="18"/>
      <w:bookmarkEnd w:id="19"/>
    </w:p>
    <w:p w14:paraId="2F37267F">
      <w:pPr>
        <w:spacing w:line="700" w:lineRule="exact"/>
        <w:rPr>
          <w:rFonts w:ascii="Times New Roman" w:hAnsi="Times New Roman" w:eastAsia="仿宋" w:cs="Times New Roman"/>
          <w:b/>
          <w:bCs/>
          <w:sz w:val="32"/>
          <w:szCs w:val="32"/>
        </w:rPr>
      </w:pPr>
    </w:p>
    <w:p w14:paraId="71CC93BA">
      <w:pPr>
        <w:jc w:val="left"/>
        <w:rPr>
          <w:rFonts w:ascii="Times New Roman" w:hAnsi="Times New Roman" w:eastAsia="仿宋" w:cs="Times New Roman"/>
          <w:sz w:val="28"/>
          <w:szCs w:val="24"/>
        </w:rPr>
      </w:pPr>
      <w:bookmarkStart w:id="20" w:name="_Toc5913"/>
      <w:bookmarkStart w:id="21" w:name="_Toc29819"/>
      <w:bookmarkStart w:id="22" w:name="_Toc4960"/>
      <w:r>
        <w:rPr>
          <w:rFonts w:ascii="Times New Roman" w:hAnsi="Times New Roman" w:eastAsia="仿宋" w:cs="Times New Roman"/>
          <w:sz w:val="28"/>
          <w:szCs w:val="24"/>
        </w:rPr>
        <w:t>（响应文件封面）</w:t>
      </w:r>
      <w:bookmarkEnd w:id="20"/>
      <w:bookmarkEnd w:id="21"/>
      <w:bookmarkEnd w:id="22"/>
    </w:p>
    <w:p w14:paraId="504C2C3F">
      <w:pPr>
        <w:rPr>
          <w:rFonts w:ascii="Times New Roman" w:hAnsi="Times New Roman" w:eastAsia="仿宋" w:cs="Times New Roman"/>
          <w:sz w:val="28"/>
          <w:szCs w:val="28"/>
        </w:rPr>
      </w:pPr>
    </w:p>
    <w:p w14:paraId="154A5976">
      <w:pPr>
        <w:jc w:val="left"/>
        <w:rPr>
          <w:rFonts w:ascii="Times New Roman" w:hAnsi="Times New Roman" w:eastAsia="仿宋" w:cs="Times New Roman"/>
          <w:sz w:val="24"/>
          <w:szCs w:val="24"/>
        </w:rPr>
      </w:pPr>
      <w:bookmarkStart w:id="23" w:name="_Toc9428"/>
      <w:bookmarkStart w:id="24" w:name="_Toc19851"/>
      <w:bookmarkStart w:id="25" w:name="_Toc30609"/>
      <w:r>
        <w:rPr>
          <w:rFonts w:ascii="Times New Roman" w:hAnsi="Times New Roman" w:eastAsia="仿宋" w:cs="Times New Roman"/>
          <w:sz w:val="24"/>
          <w:szCs w:val="24"/>
        </w:rPr>
        <w:t>项目名称：</w:t>
      </w:r>
      <w:bookmarkEnd w:id="23"/>
      <w:bookmarkEnd w:id="24"/>
      <w:bookmarkEnd w:id="25"/>
    </w:p>
    <w:p w14:paraId="6056BEE9">
      <w:pPr>
        <w:jc w:val="left"/>
        <w:rPr>
          <w:rFonts w:ascii="Times New Roman" w:hAnsi="Times New Roman" w:eastAsia="仿宋" w:cs="Times New Roman"/>
          <w:sz w:val="24"/>
          <w:szCs w:val="24"/>
        </w:rPr>
      </w:pPr>
      <w:bookmarkStart w:id="26" w:name="_Toc9041"/>
      <w:bookmarkStart w:id="27" w:name="_Toc1544"/>
      <w:bookmarkStart w:id="28" w:name="_Toc32352"/>
      <w:r>
        <w:rPr>
          <w:rFonts w:ascii="Times New Roman" w:hAnsi="Times New Roman" w:eastAsia="仿宋" w:cs="Times New Roman"/>
          <w:sz w:val="24"/>
          <w:szCs w:val="24"/>
        </w:rPr>
        <w:t>项目编号：</w:t>
      </w:r>
      <w:bookmarkEnd w:id="26"/>
      <w:bookmarkEnd w:id="27"/>
      <w:bookmarkEnd w:id="28"/>
    </w:p>
    <w:p w14:paraId="7AE6CF93">
      <w:pPr>
        <w:rPr>
          <w:rFonts w:ascii="Times New Roman" w:hAnsi="Times New Roman" w:eastAsia="仿宋" w:cs="Times New Roman"/>
        </w:rPr>
      </w:pPr>
    </w:p>
    <w:p w14:paraId="03B63FEE">
      <w:pPr>
        <w:rPr>
          <w:rFonts w:ascii="Times New Roman" w:hAnsi="Times New Roman" w:eastAsia="仿宋" w:cs="Times New Roman"/>
        </w:rPr>
      </w:pPr>
    </w:p>
    <w:p w14:paraId="01BF34CD">
      <w:pPr>
        <w:rPr>
          <w:rFonts w:ascii="Times New Roman" w:hAnsi="Times New Roman" w:eastAsia="仿宋" w:cs="Times New Roman"/>
        </w:rPr>
      </w:pPr>
    </w:p>
    <w:p w14:paraId="1F595DD0">
      <w:pPr>
        <w:jc w:val="left"/>
        <w:rPr>
          <w:rFonts w:ascii="Times New Roman" w:hAnsi="Times New Roman" w:eastAsia="仿宋" w:cs="Times New Roman"/>
          <w:sz w:val="84"/>
          <w:szCs w:val="24"/>
        </w:rPr>
      </w:pPr>
      <w:bookmarkStart w:id="29" w:name="_Toc21472"/>
      <w:bookmarkStart w:id="30" w:name="_Toc24097"/>
    </w:p>
    <w:bookmarkEnd w:id="29"/>
    <w:bookmarkEnd w:id="30"/>
    <w:p w14:paraId="4270B707">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792A5670">
      <w:pPr>
        <w:rPr>
          <w:rFonts w:ascii="Times New Roman" w:hAnsi="Times New Roman" w:eastAsia="仿宋" w:cs="Times New Roman"/>
        </w:rPr>
      </w:pPr>
    </w:p>
    <w:p w14:paraId="68431127">
      <w:pPr>
        <w:rPr>
          <w:rFonts w:ascii="Times New Roman" w:hAnsi="Times New Roman" w:eastAsia="仿宋" w:cs="Times New Roman"/>
        </w:rPr>
      </w:pPr>
    </w:p>
    <w:p w14:paraId="6FF5F8C8">
      <w:pPr>
        <w:rPr>
          <w:rFonts w:ascii="Times New Roman" w:hAnsi="Times New Roman" w:eastAsia="仿宋" w:cs="Times New Roman"/>
        </w:rPr>
      </w:pPr>
    </w:p>
    <w:p w14:paraId="4A55F4E9">
      <w:pPr>
        <w:rPr>
          <w:rFonts w:ascii="Times New Roman" w:hAnsi="Times New Roman" w:eastAsia="仿宋" w:cs="Times New Roman"/>
        </w:rPr>
      </w:pPr>
    </w:p>
    <w:p w14:paraId="5EA169D5">
      <w:pPr>
        <w:rPr>
          <w:rFonts w:ascii="Times New Roman" w:hAnsi="Times New Roman" w:eastAsia="仿宋" w:cs="Times New Roman"/>
        </w:rPr>
      </w:pPr>
    </w:p>
    <w:p w14:paraId="7165EC63">
      <w:pPr>
        <w:rPr>
          <w:rFonts w:ascii="Times New Roman" w:hAnsi="Times New Roman" w:eastAsia="仿宋" w:cs="Times New Roman"/>
        </w:rPr>
      </w:pPr>
    </w:p>
    <w:p w14:paraId="6E2A9443">
      <w:pPr>
        <w:jc w:val="left"/>
        <w:rPr>
          <w:rFonts w:ascii="Times New Roman" w:hAnsi="Times New Roman" w:eastAsia="仿宋" w:cs="Times New Roman"/>
          <w:sz w:val="28"/>
          <w:szCs w:val="24"/>
        </w:rPr>
      </w:pPr>
      <w:bookmarkStart w:id="31" w:name="_Toc24859"/>
      <w:bookmarkStart w:id="32" w:name="_Toc32749"/>
      <w:bookmarkStart w:id="33" w:name="_Toc17163"/>
      <w:bookmarkStart w:id="34" w:name="_Toc1690"/>
      <w:r>
        <w:rPr>
          <w:rFonts w:ascii="Times New Roman" w:hAnsi="Times New Roman" w:eastAsia="仿宋" w:cs="Times New Roman"/>
          <w:sz w:val="28"/>
          <w:szCs w:val="24"/>
        </w:rPr>
        <w:t>供应商名称（公章）：</w:t>
      </w:r>
      <w:bookmarkEnd w:id="31"/>
      <w:bookmarkEnd w:id="32"/>
      <w:bookmarkEnd w:id="33"/>
      <w:bookmarkEnd w:id="34"/>
    </w:p>
    <w:p w14:paraId="7286C9BE">
      <w:pPr>
        <w:jc w:val="left"/>
        <w:rPr>
          <w:rFonts w:ascii="Times New Roman" w:hAnsi="Times New Roman" w:eastAsia="仿宋" w:cs="Times New Roman"/>
          <w:sz w:val="28"/>
          <w:szCs w:val="24"/>
        </w:rPr>
      </w:pPr>
      <w:bookmarkStart w:id="35" w:name="_Toc24123"/>
      <w:bookmarkStart w:id="36" w:name="_Toc17905"/>
      <w:bookmarkStart w:id="37" w:name="_Toc6803"/>
      <w:bookmarkStart w:id="38" w:name="_Toc3558"/>
      <w:r>
        <w:rPr>
          <w:rFonts w:ascii="Times New Roman" w:hAnsi="Times New Roman" w:eastAsia="仿宋" w:cs="Times New Roman"/>
          <w:sz w:val="28"/>
          <w:szCs w:val="24"/>
        </w:rPr>
        <w:t>法定代表人或授权代理人（签字）：</w:t>
      </w:r>
      <w:bookmarkEnd w:id="35"/>
      <w:bookmarkEnd w:id="36"/>
      <w:bookmarkEnd w:id="37"/>
      <w:bookmarkEnd w:id="38"/>
    </w:p>
    <w:p w14:paraId="37F68485">
      <w:pPr>
        <w:jc w:val="left"/>
        <w:rPr>
          <w:rFonts w:ascii="Times New Roman" w:hAnsi="Times New Roman" w:eastAsia="仿宋" w:cs="Times New Roman"/>
          <w:sz w:val="28"/>
          <w:szCs w:val="24"/>
        </w:rPr>
      </w:pPr>
      <w:bookmarkStart w:id="39" w:name="_Toc2989"/>
      <w:bookmarkStart w:id="40" w:name="_Toc5996"/>
      <w:bookmarkStart w:id="41" w:name="_Toc27526"/>
      <w:bookmarkStart w:id="42" w:name="_Toc27135"/>
      <w:r>
        <w:rPr>
          <w:rFonts w:ascii="Times New Roman" w:hAnsi="Times New Roman" w:eastAsia="仿宋" w:cs="Times New Roman"/>
          <w:sz w:val="28"/>
          <w:szCs w:val="24"/>
        </w:rPr>
        <w:t>联系方式（移动电话）：</w:t>
      </w:r>
      <w:bookmarkEnd w:id="39"/>
      <w:bookmarkEnd w:id="40"/>
      <w:bookmarkEnd w:id="41"/>
      <w:bookmarkEnd w:id="42"/>
    </w:p>
    <w:p w14:paraId="0746BDF5">
      <w:pPr>
        <w:jc w:val="left"/>
        <w:rPr>
          <w:rFonts w:ascii="Times New Roman" w:hAnsi="Times New Roman" w:eastAsia="仿宋" w:cs="Times New Roman"/>
          <w:sz w:val="28"/>
          <w:szCs w:val="24"/>
        </w:rPr>
      </w:pPr>
      <w:bookmarkStart w:id="43" w:name="_Toc5056"/>
      <w:bookmarkStart w:id="44" w:name="_Toc19987"/>
      <w:bookmarkStart w:id="45" w:name="_Toc7233"/>
      <w:bookmarkStart w:id="46" w:name="_Toc2031"/>
      <w:r>
        <w:rPr>
          <w:rFonts w:ascii="Times New Roman" w:hAnsi="Times New Roman" w:eastAsia="仿宋" w:cs="Times New Roman"/>
          <w:sz w:val="28"/>
          <w:szCs w:val="24"/>
        </w:rPr>
        <w:t>日期：     年    月     日</w:t>
      </w:r>
      <w:bookmarkEnd w:id="43"/>
      <w:bookmarkEnd w:id="44"/>
      <w:bookmarkEnd w:id="45"/>
      <w:bookmarkEnd w:id="46"/>
    </w:p>
    <w:p w14:paraId="3FF21919">
      <w:pPr>
        <w:jc w:val="center"/>
        <w:rPr>
          <w:rFonts w:ascii="Times New Roman" w:hAnsi="Times New Roman" w:eastAsia="仿宋" w:cs="Times New Roman"/>
          <w:sz w:val="32"/>
          <w:szCs w:val="40"/>
        </w:rPr>
      </w:pPr>
      <w:bookmarkStart w:id="47" w:name="_Toc14829"/>
      <w:bookmarkStart w:id="48" w:name="_Toc11352"/>
      <w:bookmarkStart w:id="49" w:name="_Toc16029"/>
      <w:bookmarkStart w:id="50" w:name="_Toc21519"/>
      <w:bookmarkStart w:id="51" w:name="_Toc6482"/>
      <w:bookmarkStart w:id="52" w:name="_Toc3023"/>
    </w:p>
    <w:p w14:paraId="45B9BDA8">
      <w:pPr>
        <w:rPr>
          <w:rStyle w:val="33"/>
          <w:rFonts w:ascii="Times New Roman" w:hAnsi="Times New Roman" w:eastAsia="仿宋" w:cs="Times New Roman"/>
          <w:b/>
          <w:bCs/>
          <w:sz w:val="32"/>
          <w:szCs w:val="28"/>
        </w:rPr>
      </w:pPr>
      <w:r>
        <w:rPr>
          <w:rStyle w:val="33"/>
          <w:rFonts w:ascii="Times New Roman" w:hAnsi="Times New Roman" w:eastAsia="仿宋" w:cs="Times New Roman"/>
          <w:b/>
          <w:bCs/>
          <w:sz w:val="32"/>
          <w:szCs w:val="28"/>
        </w:rPr>
        <w:br w:type="page"/>
      </w:r>
    </w:p>
    <w:p w14:paraId="01ADAD40">
      <w:pPr>
        <w:pStyle w:val="4"/>
        <w:ind w:firstLine="0"/>
      </w:pPr>
      <w:r>
        <w:t>承诺函</w:t>
      </w:r>
      <w:bookmarkEnd w:id="47"/>
      <w:bookmarkEnd w:id="48"/>
      <w:bookmarkEnd w:id="49"/>
      <w:bookmarkEnd w:id="50"/>
      <w:bookmarkEnd w:id="51"/>
      <w:bookmarkEnd w:id="52"/>
    </w:p>
    <w:p w14:paraId="7EDC3435">
      <w:pPr>
        <w:pStyle w:val="2"/>
        <w:rPr>
          <w:rFonts w:ascii="Times New Roman" w:hAnsi="Times New Roman" w:eastAsia="仿宋" w:cs="Times New Roman"/>
        </w:rPr>
      </w:pPr>
    </w:p>
    <w:p w14:paraId="60CBCBCB">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055602CA">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4FB5C344">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0B10F746">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24EAFDAA">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612364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63BA161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74EF572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1CF0A18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5672AB9C">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082E7683">
      <w:pPr>
        <w:pStyle w:val="2"/>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79853636">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2.我方已认真阅读并接受本项目采购文件的全部实质性要求，如对采购文件有异议，已依法进行维权救济，不存在对采购文件有异议的同时又参加谈判以求侥幸成交或者为实现其他非法目的的行为。</w:t>
      </w:r>
    </w:p>
    <w:p w14:paraId="067D9F6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C5991A2">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3334AB7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过程中需要提供样品，则我方提供的样品即为成交后将要提供的成交产品，我方对提供样品的性能和质量负责，因样品存在缺陷或者不符合采购文件要求导致未能成交的，我方愿意承担相应不利后果。</w:t>
      </w:r>
    </w:p>
    <w:p w14:paraId="06A22C1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681B1D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7.参加本次采购活动，我方完全同意采购文件“合同分包”、“合同转包”的实质性要求，并承诺严格按照采购文件要求履行。</w:t>
      </w:r>
    </w:p>
    <w:p w14:paraId="088F5B6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EB1FB9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9.我方自愿按照采购文件规定的各项要求向采购人提供所需货物和服务。</w:t>
      </w:r>
    </w:p>
    <w:p w14:paraId="0D0CEDA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4404E80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B45D9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11C6A907">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0D4F270C">
      <w:pPr>
        <w:adjustRightInd w:val="0"/>
        <w:spacing w:line="360" w:lineRule="auto"/>
        <w:rPr>
          <w:rFonts w:ascii="Times New Roman" w:hAnsi="Times New Roman" w:eastAsia="仿宋" w:cs="Times New Roman"/>
          <w:bCs/>
          <w:sz w:val="24"/>
        </w:rPr>
      </w:pPr>
    </w:p>
    <w:p w14:paraId="30999EFF">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7579DA">
      <w:pPr>
        <w:pStyle w:val="2"/>
        <w:jc w:val="left"/>
        <w:rPr>
          <w:rFonts w:ascii="Times New Roman" w:hAnsi="Times New Roman" w:eastAsia="仿宋" w:cs="Times New Roman"/>
          <w:sz w:val="24"/>
        </w:rPr>
      </w:pPr>
      <w:r>
        <w:rPr>
          <w:rFonts w:ascii="Times New Roman" w:hAnsi="Times New Roman" w:eastAsia="仿宋" w:cs="Times New Roman"/>
          <w:bCs/>
          <w:sz w:val="24"/>
        </w:rPr>
        <w:t>时间：</w:t>
      </w:r>
    </w:p>
    <w:p w14:paraId="05D0522D">
      <w:pPr>
        <w:rPr>
          <w:rFonts w:ascii="Times New Roman" w:hAnsi="Times New Roman" w:cs="Times New Roman"/>
        </w:rPr>
      </w:pPr>
      <w:bookmarkStart w:id="53" w:name="_Toc30971"/>
      <w:bookmarkStart w:id="54" w:name="_Toc31838"/>
      <w:bookmarkStart w:id="55" w:name="_Toc22676"/>
      <w:bookmarkStart w:id="56" w:name="_Toc17857"/>
      <w:bookmarkStart w:id="57" w:name="_Toc4305"/>
      <w:r>
        <w:rPr>
          <w:rFonts w:ascii="Times New Roman" w:hAnsi="Times New Roman" w:cs="Times New Roman"/>
        </w:rPr>
        <w:br w:type="page"/>
      </w:r>
    </w:p>
    <w:p w14:paraId="23ED41BF">
      <w:pPr>
        <w:pStyle w:val="4"/>
        <w:ind w:firstLine="0"/>
      </w:pPr>
      <w:r>
        <w:t>具有独立承担民事责任的能力</w:t>
      </w:r>
      <w:bookmarkEnd w:id="53"/>
      <w:bookmarkEnd w:id="54"/>
      <w:bookmarkEnd w:id="55"/>
      <w:bookmarkEnd w:id="56"/>
      <w:bookmarkEnd w:id="57"/>
    </w:p>
    <w:p w14:paraId="5FFFF51B">
      <w:pPr>
        <w:pStyle w:val="2"/>
        <w:jc w:val="center"/>
        <w:rPr>
          <w:rFonts w:ascii="Times New Roman" w:hAnsi="Times New Roman" w:eastAsia="仿宋" w:cs="Times New Roman"/>
          <w:b/>
          <w:bCs/>
        </w:rPr>
      </w:pPr>
    </w:p>
    <w:p w14:paraId="796AF9E7">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1801FEBE">
      <w:pPr>
        <w:pStyle w:val="4"/>
        <w:ind w:firstLine="0"/>
        <w:rPr>
          <w:rStyle w:val="33"/>
          <w:szCs w:val="28"/>
        </w:rPr>
      </w:pPr>
      <w:r>
        <w:rPr>
          <w:bCs/>
        </w:rPr>
        <w:br w:type="page"/>
      </w:r>
      <w:bookmarkStart w:id="58" w:name="_Toc27186"/>
      <w:bookmarkStart w:id="59" w:name="_Toc15613"/>
      <w:bookmarkStart w:id="60" w:name="_Toc30158"/>
      <w:r>
        <w:t>具有健全的财务会计制度的证明材料</w:t>
      </w:r>
    </w:p>
    <w:p w14:paraId="1F968130">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8"/>
      <w:bookmarkEnd w:id="59"/>
      <w:bookmarkStart w:id="61" w:name="_Toc13706"/>
      <w:bookmarkStart w:id="62" w:name="_Toc25357"/>
      <w:bookmarkStart w:id="63" w:name="_Toc13904"/>
    </w:p>
    <w:p w14:paraId="6BE6D0D2">
      <w:pPr>
        <w:pStyle w:val="4"/>
        <w:ind w:firstLine="0"/>
        <w:rPr>
          <w:szCs w:val="32"/>
        </w:rPr>
      </w:pPr>
      <w:bookmarkStart w:id="64" w:name="_Toc15508"/>
      <w:bookmarkStart w:id="65" w:name="_Toc23146"/>
      <w:r>
        <w:t>本项目其他资格条件提供的证明材料</w:t>
      </w:r>
      <w:bookmarkEnd w:id="60"/>
      <w:bookmarkEnd w:id="61"/>
      <w:bookmarkEnd w:id="62"/>
      <w:bookmarkEnd w:id="63"/>
      <w:bookmarkEnd w:id="64"/>
      <w:bookmarkEnd w:id="65"/>
    </w:p>
    <w:p w14:paraId="10E605F2">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37EDFEA">
      <w:pPr>
        <w:pStyle w:val="32"/>
        <w:ind w:left="420" w:leftChars="200"/>
        <w:jc w:val="both"/>
        <w:rPr>
          <w:rFonts w:ascii="Times New Roman" w:hAnsi="Times New Roman" w:eastAsia="仿宋" w:cs="Times New Roman"/>
          <w:color w:val="auto"/>
        </w:rPr>
      </w:pPr>
    </w:p>
    <w:p w14:paraId="15610D65">
      <w:pPr>
        <w:pStyle w:val="32"/>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474B990F">
      <w:pPr>
        <w:pStyle w:val="4"/>
        <w:ind w:firstLine="0"/>
        <w:rPr>
          <w:szCs w:val="32"/>
        </w:rPr>
      </w:pPr>
      <w:r>
        <w:rPr>
          <w:szCs w:val="32"/>
        </w:rPr>
        <w:br w:type="page"/>
      </w:r>
      <w:bookmarkStart w:id="66" w:name="_Toc20589"/>
      <w:bookmarkStart w:id="67" w:name="_Toc27661"/>
      <w:bookmarkStart w:id="68" w:name="_Toc25638"/>
      <w:bookmarkStart w:id="69" w:name="_Toc15526"/>
      <w:bookmarkStart w:id="70" w:name="_Toc11351"/>
      <w:bookmarkStart w:id="71" w:name="_Toc12015"/>
      <w:r>
        <w:rPr>
          <w:rStyle w:val="41"/>
          <w:b/>
        </w:rPr>
        <w:t>法定代表人身份证明书</w:t>
      </w:r>
      <w:bookmarkEnd w:id="66"/>
      <w:bookmarkEnd w:id="67"/>
      <w:bookmarkEnd w:id="68"/>
      <w:bookmarkEnd w:id="69"/>
      <w:bookmarkEnd w:id="70"/>
      <w:bookmarkEnd w:id="71"/>
    </w:p>
    <w:p w14:paraId="3A3BA539">
      <w:pPr>
        <w:pStyle w:val="32"/>
        <w:jc w:val="center"/>
        <w:rPr>
          <w:rFonts w:ascii="Times New Roman" w:hAnsi="Times New Roman" w:eastAsia="仿宋" w:cs="Times New Roman"/>
          <w:color w:val="auto"/>
        </w:rPr>
      </w:pPr>
    </w:p>
    <w:p w14:paraId="1D3E4E35">
      <w:pPr>
        <w:pStyle w:val="32"/>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7A4AFA34">
      <w:pPr>
        <w:pStyle w:val="32"/>
        <w:jc w:val="center"/>
        <w:rPr>
          <w:rFonts w:ascii="Times New Roman" w:hAnsi="Times New Roman" w:eastAsia="仿宋" w:cs="Times New Roman"/>
          <w:color w:val="auto"/>
        </w:rPr>
      </w:pPr>
    </w:p>
    <w:p w14:paraId="296D8A83">
      <w:pPr>
        <w:pStyle w:val="32"/>
        <w:jc w:val="center"/>
        <w:rPr>
          <w:rFonts w:ascii="Times New Roman" w:hAnsi="Times New Roman" w:eastAsia="仿宋" w:cs="Times New Roman"/>
          <w:color w:val="auto"/>
        </w:rPr>
      </w:pPr>
    </w:p>
    <w:p w14:paraId="6A679389">
      <w:pPr>
        <w:pStyle w:val="32"/>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2293E7B5">
      <w:pPr>
        <w:pStyle w:val="32"/>
        <w:rPr>
          <w:rFonts w:ascii="Times New Roman" w:hAnsi="Times New Roman" w:eastAsia="仿宋" w:cs="Times New Roman"/>
          <w:color w:val="auto"/>
        </w:rPr>
      </w:pPr>
      <w:r>
        <w:rPr>
          <w:rFonts w:ascii="Times New Roman" w:hAnsi="Times New Roman" w:eastAsia="仿宋" w:cs="Times New Roman"/>
          <w:color w:val="auto"/>
        </w:rPr>
        <w:t>特此证明。</w:t>
      </w:r>
    </w:p>
    <w:p w14:paraId="1F2CC4AD">
      <w:pPr>
        <w:pStyle w:val="32"/>
        <w:jc w:val="both"/>
        <w:rPr>
          <w:rFonts w:ascii="Times New Roman" w:hAnsi="Times New Roman" w:eastAsia="仿宋" w:cs="Times New Roman"/>
          <w:color w:val="auto"/>
        </w:rPr>
      </w:pPr>
    </w:p>
    <w:p w14:paraId="1381E3FD">
      <w:pPr>
        <w:pStyle w:val="32"/>
        <w:jc w:val="both"/>
        <w:rPr>
          <w:rFonts w:ascii="Times New Roman" w:hAnsi="Times New Roman" w:eastAsia="仿宋" w:cs="Times New Roman"/>
          <w:color w:val="auto"/>
        </w:rPr>
      </w:pPr>
    </w:p>
    <w:p w14:paraId="79140ACB">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EEFC32">
      <w:pPr>
        <w:pStyle w:val="2"/>
        <w:jc w:val="left"/>
        <w:rPr>
          <w:rFonts w:ascii="Times New Roman" w:hAnsi="Times New Roman" w:eastAsia="仿宋" w:cs="Times New Roman"/>
          <w:sz w:val="24"/>
        </w:rPr>
      </w:pPr>
      <w:r>
        <w:rPr>
          <w:rFonts w:ascii="Times New Roman" w:hAnsi="Times New Roman" w:eastAsia="仿宋" w:cs="Times New Roman"/>
          <w:bCs/>
          <w:sz w:val="24"/>
        </w:rPr>
        <w:t>时间：</w:t>
      </w:r>
    </w:p>
    <w:p w14:paraId="3B4DB39A">
      <w:pPr>
        <w:pStyle w:val="32"/>
        <w:jc w:val="center"/>
        <w:rPr>
          <w:rFonts w:ascii="Times New Roman" w:hAnsi="Times New Roman" w:eastAsia="仿宋" w:cs="Times New Roman"/>
          <w:color w:val="auto"/>
        </w:rPr>
      </w:pPr>
    </w:p>
    <w:p w14:paraId="2EEFDF95">
      <w:pPr>
        <w:pStyle w:val="32"/>
        <w:jc w:val="center"/>
        <w:rPr>
          <w:rFonts w:ascii="Times New Roman" w:hAnsi="Times New Roman" w:eastAsia="仿宋" w:cs="Times New Roman"/>
          <w:color w:val="auto"/>
        </w:rPr>
      </w:pPr>
    </w:p>
    <w:p w14:paraId="4361194A">
      <w:pPr>
        <w:pStyle w:val="32"/>
        <w:rPr>
          <w:rFonts w:ascii="Times New Roman" w:hAnsi="Times New Roman" w:eastAsia="仿宋" w:cs="Times New Roman"/>
          <w:color w:val="auto"/>
        </w:rPr>
      </w:pPr>
      <w:r>
        <w:rPr>
          <w:rFonts w:ascii="Times New Roman" w:hAnsi="Times New Roman" w:eastAsia="仿宋" w:cs="Times New Roman"/>
          <w:color w:val="auto"/>
        </w:rPr>
        <w:t>注：</w:t>
      </w:r>
    </w:p>
    <w:p w14:paraId="7F1414A1">
      <w:pPr>
        <w:pStyle w:val="32"/>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40686225">
      <w:pPr>
        <w:pStyle w:val="32"/>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7F89F071">
      <w:pPr>
        <w:pStyle w:val="32"/>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69DA186F">
      <w:pPr>
        <w:pStyle w:val="32"/>
        <w:jc w:val="both"/>
        <w:rPr>
          <w:rFonts w:ascii="Times New Roman" w:hAnsi="Times New Roman" w:eastAsia="仿宋" w:cs="Times New Roman"/>
          <w:color w:val="auto"/>
          <w:sz w:val="32"/>
          <w:szCs w:val="32"/>
        </w:rPr>
      </w:pPr>
    </w:p>
    <w:p w14:paraId="6EE83E0D">
      <w:pPr>
        <w:pStyle w:val="32"/>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3"/>
          <w:rFonts w:ascii="Times New Roman" w:hAnsi="Times New Roman" w:eastAsia="仿宋" w:cs="Times New Roman"/>
          <w:b/>
          <w:bCs/>
          <w:color w:val="auto"/>
          <w:kern w:val="2"/>
          <w:sz w:val="32"/>
          <w:szCs w:val="28"/>
        </w:rPr>
        <w:t>法定代表人授权委托书</w:t>
      </w:r>
    </w:p>
    <w:p w14:paraId="5EA16FDB">
      <w:pPr>
        <w:pStyle w:val="32"/>
        <w:jc w:val="center"/>
        <w:rPr>
          <w:rFonts w:ascii="Times New Roman" w:hAnsi="Times New Roman" w:eastAsia="仿宋" w:cs="Times New Roman"/>
          <w:b/>
          <w:bCs/>
          <w:color w:val="auto"/>
        </w:rPr>
      </w:pPr>
    </w:p>
    <w:p w14:paraId="724D1D6A">
      <w:pPr>
        <w:pStyle w:val="32"/>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136E6B30">
      <w:pPr>
        <w:pStyle w:val="32"/>
        <w:jc w:val="center"/>
        <w:rPr>
          <w:rFonts w:ascii="Times New Roman" w:hAnsi="Times New Roman" w:eastAsia="仿宋" w:cs="Times New Roman"/>
          <w:color w:val="auto"/>
        </w:rPr>
      </w:pPr>
    </w:p>
    <w:p w14:paraId="0E12D7B3">
      <w:pPr>
        <w:pStyle w:val="2"/>
        <w:snapToGrid w:val="0"/>
        <w:spacing w:after="0" w:line="500" w:lineRule="exact"/>
        <w:ind w:firstLine="480" w:firstLineChars="200"/>
        <w:rPr>
          <w:rFonts w:ascii="Times New Roman" w:hAnsi="Times New Roman" w:eastAsia="仿宋" w:cs="Times New Roman"/>
          <w:sz w:val="24"/>
        </w:rPr>
      </w:pPr>
    </w:p>
    <w:p w14:paraId="03E9978B">
      <w:pPr>
        <w:pStyle w:val="2"/>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336754BD">
      <w:pPr>
        <w:pStyle w:val="2"/>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1E2A94B4">
      <w:pPr>
        <w:snapToGrid w:val="0"/>
        <w:spacing w:line="560" w:lineRule="exact"/>
        <w:ind w:firstLine="480" w:firstLineChars="200"/>
        <w:rPr>
          <w:rFonts w:ascii="Times New Roman" w:hAnsi="Times New Roman" w:eastAsia="仿宋" w:cs="Times New Roman"/>
          <w:sz w:val="24"/>
        </w:rPr>
      </w:pPr>
    </w:p>
    <w:p w14:paraId="62978026">
      <w:pPr>
        <w:snapToGrid w:val="0"/>
        <w:spacing w:line="560" w:lineRule="exact"/>
        <w:ind w:firstLine="480" w:firstLineChars="200"/>
        <w:rPr>
          <w:rFonts w:ascii="Times New Roman" w:hAnsi="Times New Roman" w:eastAsia="仿宋" w:cs="Times New Roman"/>
          <w:sz w:val="24"/>
        </w:rPr>
      </w:pPr>
    </w:p>
    <w:p w14:paraId="691C2BF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8CE72D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2319C94D">
      <w:pPr>
        <w:snapToGrid w:val="0"/>
        <w:spacing w:line="560" w:lineRule="exact"/>
        <w:rPr>
          <w:rFonts w:ascii="Times New Roman" w:hAnsi="Times New Roman" w:eastAsia="仿宋" w:cs="Times New Roman"/>
          <w:sz w:val="24"/>
        </w:rPr>
      </w:pPr>
    </w:p>
    <w:p w14:paraId="2F4C6537">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20D3CB72">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8308D6E">
      <w:pPr>
        <w:pStyle w:val="2"/>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79AEBDED">
      <w:pPr>
        <w:pStyle w:val="4"/>
        <w:ind w:firstLine="0"/>
        <w:rPr>
          <w:szCs w:val="32"/>
        </w:rPr>
      </w:pPr>
      <w:r>
        <w:rPr>
          <w:szCs w:val="32"/>
        </w:rPr>
        <w:br w:type="page"/>
      </w:r>
      <w:bookmarkStart w:id="72" w:name="_Toc23967"/>
      <w:bookmarkStart w:id="73" w:name="_Toc2041"/>
      <w:bookmarkStart w:id="74" w:name="_Toc12967"/>
      <w:bookmarkStart w:id="75" w:name="_Toc26969"/>
      <w:bookmarkStart w:id="76" w:name="_Toc16435"/>
      <w:bookmarkStart w:id="77" w:name="_Toc1074"/>
      <w:r>
        <w:rPr>
          <w:rStyle w:val="41"/>
          <w:b/>
        </w:rPr>
        <w:t>采购需求偏离表</w:t>
      </w:r>
      <w:bookmarkEnd w:id="72"/>
      <w:bookmarkEnd w:id="73"/>
      <w:bookmarkEnd w:id="74"/>
      <w:bookmarkEnd w:id="75"/>
      <w:bookmarkEnd w:id="76"/>
      <w:bookmarkEnd w:id="77"/>
    </w:p>
    <w:p w14:paraId="3FB92ECD">
      <w:pPr>
        <w:pStyle w:val="2"/>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auto"/>
        <w:tblLayout w:type="fixed"/>
        <w:tblCellMar>
          <w:top w:w="0" w:type="dxa"/>
          <w:left w:w="108" w:type="dxa"/>
          <w:bottom w:w="0" w:type="dxa"/>
          <w:right w:w="108" w:type="dxa"/>
        </w:tblCellMar>
      </w:tblPr>
      <w:tblGrid>
        <w:gridCol w:w="1135"/>
        <w:gridCol w:w="2144"/>
        <w:gridCol w:w="2655"/>
        <w:gridCol w:w="1154"/>
        <w:gridCol w:w="2083"/>
      </w:tblGrid>
      <w:tr w14:paraId="1303B4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auto"/>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E453222">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FA11D03">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E2F40C">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B96938">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0662A8">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2F26F6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363A8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B70B21A">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D4D7C">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542772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1E2A6D4">
            <w:pPr>
              <w:rPr>
                <w:rFonts w:ascii="Times New Roman" w:hAnsi="Times New Roman" w:eastAsia="仿宋" w:cs="Times New Roman"/>
                <w:sz w:val="24"/>
              </w:rPr>
            </w:pPr>
          </w:p>
        </w:tc>
      </w:tr>
      <w:tr w14:paraId="74776D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1EE4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AF6381">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788FE70">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D95FFD4">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E844C7F">
            <w:pPr>
              <w:rPr>
                <w:rFonts w:ascii="Times New Roman" w:hAnsi="Times New Roman" w:eastAsia="仿宋" w:cs="Times New Roman"/>
                <w:sz w:val="24"/>
              </w:rPr>
            </w:pPr>
          </w:p>
        </w:tc>
      </w:tr>
      <w:tr w14:paraId="74EEEB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BEAD4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B19BF">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EE785C2">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303475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FD54CC5">
            <w:pPr>
              <w:rPr>
                <w:rFonts w:ascii="Times New Roman" w:hAnsi="Times New Roman" w:eastAsia="仿宋" w:cs="Times New Roman"/>
                <w:sz w:val="24"/>
              </w:rPr>
            </w:pPr>
          </w:p>
        </w:tc>
      </w:tr>
    </w:tbl>
    <w:p w14:paraId="0CD9B15B">
      <w:pPr>
        <w:spacing w:line="360" w:lineRule="auto"/>
        <w:jc w:val="left"/>
        <w:rPr>
          <w:rFonts w:ascii="Times New Roman" w:hAnsi="Times New Roman" w:eastAsia="仿宋" w:cs="Times New Roman"/>
          <w:bCs/>
          <w:sz w:val="24"/>
        </w:rPr>
      </w:pPr>
    </w:p>
    <w:p w14:paraId="1675B046">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3BF83A75">
      <w:pPr>
        <w:pStyle w:val="16"/>
        <w:ind w:firstLine="0"/>
        <w:rPr>
          <w:rFonts w:ascii="Times New Roman" w:hAnsi="Times New Roman" w:eastAsia="仿宋" w:cs="Times New Roman"/>
          <w:lang w:val="zh-TW" w:eastAsia="zh-TW"/>
        </w:rPr>
      </w:pPr>
    </w:p>
    <w:p w14:paraId="3CE769DA">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4B7C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3F99F546">
      <w:pPr>
        <w:pStyle w:val="32"/>
        <w:jc w:val="center"/>
        <w:rPr>
          <w:rFonts w:ascii="Times New Roman" w:hAnsi="Times New Roman" w:eastAsia="仿宋" w:cs="Times New Roman"/>
          <w:color w:val="auto"/>
          <w:sz w:val="32"/>
          <w:szCs w:val="32"/>
        </w:rPr>
      </w:pPr>
    </w:p>
    <w:p w14:paraId="106364EF">
      <w:pPr>
        <w:pStyle w:val="4"/>
        <w:ind w:firstLine="0"/>
        <w:rPr>
          <w:bCs/>
          <w:szCs w:val="32"/>
        </w:rPr>
      </w:pPr>
      <w:r>
        <w:rPr>
          <w:szCs w:val="32"/>
        </w:rPr>
        <w:br w:type="page"/>
      </w:r>
      <w:bookmarkStart w:id="78" w:name="_Toc26839"/>
      <w:bookmarkStart w:id="79" w:name="_Toc21082"/>
      <w:bookmarkStart w:id="80" w:name="_Toc24806"/>
      <w:bookmarkStart w:id="81" w:name="_Toc28634"/>
      <w:bookmarkStart w:id="82" w:name="_Toc31686"/>
      <w:bookmarkStart w:id="83" w:name="_Toc1369"/>
      <w:r>
        <w:rPr>
          <w:rStyle w:val="41"/>
          <w:b/>
        </w:rPr>
        <w:t>评分需要提供的证明材料</w:t>
      </w:r>
      <w:bookmarkEnd w:id="78"/>
      <w:bookmarkEnd w:id="79"/>
      <w:bookmarkEnd w:id="80"/>
      <w:bookmarkEnd w:id="81"/>
      <w:bookmarkEnd w:id="82"/>
      <w:bookmarkEnd w:id="83"/>
    </w:p>
    <w:p w14:paraId="5023EAE2">
      <w:pPr>
        <w:pStyle w:val="32"/>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0CF6B393">
      <w:pPr>
        <w:pStyle w:val="32"/>
        <w:jc w:val="center"/>
        <w:rPr>
          <w:rFonts w:ascii="Times New Roman" w:hAnsi="Times New Roman" w:eastAsia="仿宋" w:cs="Times New Roman"/>
          <w:b/>
          <w:bCs/>
          <w:color w:val="auto"/>
        </w:rPr>
      </w:pPr>
    </w:p>
    <w:p w14:paraId="6F53CF36">
      <w:pPr>
        <w:rPr>
          <w:rFonts w:ascii="Times New Roman" w:hAnsi="Times New Roman" w:eastAsia="仿宋" w:cs="Times New Roman"/>
          <w:sz w:val="24"/>
          <w:szCs w:val="24"/>
        </w:rPr>
      </w:pPr>
      <w:r>
        <w:rPr>
          <w:rFonts w:ascii="Times New Roman" w:hAnsi="Times New Roman" w:eastAsia="仿宋" w:cs="Times New Roman"/>
          <w:sz w:val="24"/>
          <w:szCs w:val="24"/>
        </w:rPr>
        <w:t>（一）暂用评审因素一代替：</w:t>
      </w:r>
    </w:p>
    <w:p w14:paraId="7D414F63">
      <w:pPr>
        <w:rPr>
          <w:rFonts w:ascii="Times New Roman" w:hAnsi="Times New Roman" w:eastAsia="仿宋" w:cs="Times New Roman"/>
          <w:sz w:val="24"/>
          <w:szCs w:val="24"/>
        </w:rPr>
      </w:pPr>
      <w:r>
        <w:rPr>
          <w:rFonts w:ascii="Times New Roman" w:hAnsi="Times New Roman" w:eastAsia="仿宋" w:cs="Times New Roman"/>
          <w:sz w:val="24"/>
          <w:szCs w:val="24"/>
        </w:rPr>
        <w:t>(......)</w:t>
      </w:r>
    </w:p>
    <w:p w14:paraId="4D8F8412">
      <w:pPr>
        <w:rPr>
          <w:rFonts w:ascii="Times New Roman" w:hAnsi="Times New Roman" w:eastAsia="仿宋" w:cs="Times New Roman"/>
          <w:sz w:val="24"/>
          <w:szCs w:val="24"/>
        </w:rPr>
      </w:pPr>
    </w:p>
    <w:p w14:paraId="15CA912A">
      <w:pPr>
        <w:rPr>
          <w:rFonts w:ascii="Times New Roman" w:hAnsi="Times New Roman" w:eastAsia="仿宋" w:cs="Times New Roman"/>
          <w:sz w:val="24"/>
          <w:szCs w:val="24"/>
        </w:rPr>
      </w:pPr>
      <w:r>
        <w:rPr>
          <w:rFonts w:ascii="Times New Roman" w:hAnsi="Times New Roman" w:eastAsia="仿宋" w:cs="Times New Roman"/>
          <w:sz w:val="24"/>
          <w:szCs w:val="24"/>
        </w:rPr>
        <w:t>（二）暂用评审因素二代替：</w:t>
      </w:r>
    </w:p>
    <w:p w14:paraId="172FBDF2">
      <w:pPr>
        <w:rPr>
          <w:rFonts w:ascii="Times New Roman" w:hAnsi="Times New Roman" w:eastAsia="仿宋" w:cs="Times New Roman"/>
          <w:sz w:val="24"/>
          <w:szCs w:val="24"/>
        </w:rPr>
      </w:pPr>
      <w:r>
        <w:rPr>
          <w:rFonts w:ascii="Times New Roman" w:hAnsi="Times New Roman" w:eastAsia="仿宋" w:cs="Times New Roman"/>
          <w:sz w:val="24"/>
          <w:szCs w:val="24"/>
        </w:rPr>
        <w:t>(......)</w:t>
      </w:r>
    </w:p>
    <w:p w14:paraId="1D969D8C">
      <w:pPr>
        <w:rPr>
          <w:rFonts w:ascii="Times New Roman" w:hAnsi="Times New Roman" w:eastAsia="仿宋" w:cs="Times New Roman"/>
          <w:sz w:val="24"/>
          <w:szCs w:val="24"/>
        </w:rPr>
      </w:pPr>
    </w:p>
    <w:p w14:paraId="3626B2EA">
      <w:pPr>
        <w:rPr>
          <w:rFonts w:ascii="Times New Roman" w:hAnsi="Times New Roman" w:eastAsia="仿宋" w:cs="Times New Roman"/>
          <w:sz w:val="24"/>
          <w:szCs w:val="24"/>
        </w:rPr>
      </w:pPr>
      <w:r>
        <w:rPr>
          <w:rFonts w:ascii="Times New Roman" w:hAnsi="Times New Roman" w:eastAsia="仿宋" w:cs="Times New Roman"/>
          <w:sz w:val="24"/>
          <w:szCs w:val="24"/>
        </w:rPr>
        <w:t>（三）暂用评审因素三代替：</w:t>
      </w:r>
    </w:p>
    <w:p w14:paraId="05AA978C">
      <w:pPr>
        <w:rPr>
          <w:rFonts w:ascii="Times New Roman" w:hAnsi="Times New Roman" w:eastAsia="仿宋" w:cs="Times New Roman"/>
          <w:sz w:val="24"/>
          <w:szCs w:val="24"/>
        </w:rPr>
      </w:pPr>
      <w:r>
        <w:rPr>
          <w:rFonts w:ascii="Times New Roman" w:hAnsi="Times New Roman" w:eastAsia="仿宋" w:cs="Times New Roman"/>
          <w:sz w:val="24"/>
          <w:szCs w:val="24"/>
        </w:rPr>
        <w:t>(......)</w:t>
      </w:r>
    </w:p>
    <w:p w14:paraId="7C8495D8">
      <w:pPr>
        <w:spacing w:line="700" w:lineRule="exact"/>
        <w:jc w:val="center"/>
        <w:rPr>
          <w:rStyle w:val="33"/>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4" w:name="_Toc3871"/>
      <w:bookmarkStart w:id="85" w:name="_Toc32605"/>
      <w:bookmarkStart w:id="86" w:name="_Toc24494"/>
    </w:p>
    <w:p w14:paraId="05758452">
      <w:pPr>
        <w:pStyle w:val="4"/>
        <w:ind w:firstLine="0"/>
      </w:pPr>
      <w:bookmarkStart w:id="87" w:name="_Toc15065"/>
      <w:r>
        <w:t>报价单</w:t>
      </w:r>
      <w:bookmarkEnd w:id="87"/>
    </w:p>
    <w:p w14:paraId="0861F337">
      <w:pPr>
        <w:ind w:firstLine="660"/>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我单位作为</w:t>
      </w:r>
      <w:r>
        <w:rPr>
          <w:rFonts w:ascii="Times New Roman" w:hAnsi="Times New Roman" w:eastAsia="仿宋" w:cs="Times New Roman"/>
          <w:sz w:val="24"/>
          <w:szCs w:val="24"/>
          <w:lang w:val="zh-TW"/>
        </w:rPr>
        <w:t>供应商</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对</w:t>
      </w:r>
      <w:r>
        <w:rPr>
          <w:rFonts w:hint="eastAsia" w:ascii="Times New Roman" w:hAnsi="Times New Roman" w:eastAsia="仿宋" w:cs="Times New Roman"/>
          <w:sz w:val="24"/>
          <w:szCs w:val="24"/>
          <w:lang w:val="zh-TW" w:eastAsia="zh-TW"/>
        </w:rPr>
        <w:t>本次谈判</w:t>
      </w:r>
      <w:r>
        <w:rPr>
          <w:rFonts w:ascii="Times New Roman" w:hAnsi="Times New Roman" w:eastAsia="仿宋" w:cs="Times New Roman"/>
          <w:sz w:val="24"/>
          <w:szCs w:val="24"/>
          <w:lang w:val="zh-TW" w:eastAsia="zh-TW"/>
        </w:rPr>
        <w:t>中我方所承诺的条款已经完全明确</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也</w:t>
      </w:r>
      <w:r>
        <w:rPr>
          <w:rFonts w:hint="eastAsia" w:ascii="Times New Roman" w:hAnsi="Times New Roman" w:eastAsia="仿宋" w:cs="Times New Roman"/>
          <w:sz w:val="24"/>
          <w:szCs w:val="24"/>
          <w:lang w:val="zh-TW" w:eastAsia="zh-TW"/>
        </w:rPr>
        <w:t>知晓</w:t>
      </w:r>
      <w:r>
        <w:rPr>
          <w:rFonts w:ascii="Times New Roman" w:hAnsi="Times New Roman" w:eastAsia="仿宋" w:cs="Times New Roman"/>
          <w:sz w:val="24"/>
          <w:szCs w:val="24"/>
          <w:lang w:val="zh-TW" w:eastAsia="zh-TW"/>
        </w:rPr>
        <w:t>所承诺的事项和作出的报价可能给我方带来的风险和后果。如果我方在</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中有弄虚作假等违法违规行为，以及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后因报价低或不执行承诺条款而不履约</w:t>
      </w:r>
      <w:r>
        <w:rPr>
          <w:rFonts w:ascii="Times New Roman" w:hAnsi="Times New Roman" w:eastAsia="仿宋" w:cs="Times New Roman"/>
          <w:sz w:val="24"/>
          <w:szCs w:val="24"/>
        </w:rPr>
        <w:t>,</w:t>
      </w:r>
      <w:r>
        <w:rPr>
          <w:rFonts w:hint="eastAsia" w:ascii="Times New Roman" w:hAnsi="Times New Roman" w:eastAsia="仿宋" w:cs="Times New Roman"/>
          <w:sz w:val="24"/>
          <w:szCs w:val="24"/>
        </w:rPr>
        <w:t>我方</w:t>
      </w:r>
      <w:r>
        <w:rPr>
          <w:rFonts w:ascii="Times New Roman" w:hAnsi="Times New Roman" w:eastAsia="仿宋" w:cs="Times New Roman"/>
          <w:sz w:val="24"/>
          <w:szCs w:val="24"/>
          <w:lang w:val="zh-TW" w:eastAsia="zh-TW"/>
        </w:rPr>
        <w:t>愿承担一切责任（包括赔偿损失、取消</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资格等），我</w:t>
      </w:r>
      <w:r>
        <w:rPr>
          <w:rFonts w:hint="eastAsia" w:ascii="Times New Roman" w:hAnsi="Times New Roman" w:eastAsia="仿宋" w:cs="Times New Roman"/>
          <w:sz w:val="24"/>
          <w:szCs w:val="24"/>
          <w:lang w:val="zh-TW" w:eastAsia="zh-TW"/>
        </w:rPr>
        <w:t>方</w:t>
      </w:r>
      <w:r>
        <w:rPr>
          <w:rFonts w:ascii="Times New Roman" w:hAnsi="Times New Roman" w:eastAsia="仿宋" w:cs="Times New Roman"/>
          <w:sz w:val="24"/>
          <w:szCs w:val="24"/>
          <w:lang w:val="zh-TW" w:eastAsia="zh-TW"/>
        </w:rPr>
        <w:t>本次报价为：</w:t>
      </w:r>
    </w:p>
    <w:p w14:paraId="30BC4C04">
      <w:pPr>
        <w:pStyle w:val="2"/>
        <w:rPr>
          <w:rFonts w:ascii="宋体" w:hAnsi="宋体" w:eastAsia="宋体" w:cs="Times New Roman"/>
          <w:b/>
          <w:bCs/>
          <w:szCs w:val="21"/>
          <w:lang w:val="zh-TW"/>
        </w:rPr>
      </w:pPr>
      <w:r>
        <w:rPr>
          <w:rFonts w:ascii="宋体" w:hAnsi="宋体" w:eastAsia="宋体" w:cs="Times New Roman"/>
          <w:b/>
          <w:bCs/>
          <w:szCs w:val="21"/>
          <w:lang w:val="zh-TW" w:eastAsia="zh-TW"/>
        </w:rPr>
        <w:t>注意事项</w:t>
      </w:r>
      <w:r>
        <w:rPr>
          <w:rFonts w:ascii="宋体" w:hAnsi="宋体" w:eastAsia="宋体" w:cs="Times New Roman"/>
          <w:b/>
          <w:bCs/>
          <w:szCs w:val="21"/>
          <w:lang w:val="zh-TW"/>
        </w:rPr>
        <w:t>：</w:t>
      </w:r>
    </w:p>
    <w:p w14:paraId="42BCF06C">
      <w:pPr>
        <w:pStyle w:val="2"/>
        <w:rPr>
          <w:rFonts w:ascii="宋体" w:hAnsi="宋体" w:eastAsia="宋体" w:cs="Times New Roman"/>
          <w:b/>
          <w:bCs/>
          <w:szCs w:val="21"/>
          <w:lang w:val="zh-TW"/>
        </w:rPr>
      </w:pPr>
      <w:r>
        <w:rPr>
          <w:rFonts w:ascii="宋体" w:hAnsi="宋体" w:eastAsia="宋体" w:cs="Times New Roman"/>
          <w:b/>
          <w:bCs/>
          <w:szCs w:val="21"/>
          <w:lang w:val="zh-TW"/>
        </w:rPr>
        <w:t>1</w:t>
      </w:r>
      <w:r>
        <w:rPr>
          <w:rFonts w:ascii="宋体" w:hAnsi="宋体" w:eastAsia="宋体" w:cs="Times New Roman"/>
          <w:b/>
          <w:bCs/>
          <w:szCs w:val="21"/>
          <w:lang w:val="zh-TW" w:eastAsia="zh-TW"/>
        </w:rPr>
        <w:t>.</w:t>
      </w:r>
      <w:r>
        <w:rPr>
          <w:rFonts w:hint="eastAsia" w:ascii="宋体" w:hAnsi="宋体" w:eastAsia="宋体" w:cs="Times New Roman"/>
          <w:b/>
          <w:bCs/>
          <w:szCs w:val="21"/>
          <w:lang w:val="zh-TW" w:eastAsia="zh-TW"/>
        </w:rPr>
        <w:t>如本次采购标的为货物</w:t>
      </w:r>
      <w:r>
        <w:rPr>
          <w:rFonts w:hint="eastAsia" w:ascii="宋体" w:hAnsi="宋体" w:eastAsia="宋体" w:cs="Times New Roman"/>
          <w:b/>
          <w:bCs/>
          <w:szCs w:val="21"/>
          <w:lang w:val="zh-TW"/>
        </w:rPr>
        <w:t>，</w:t>
      </w:r>
      <w:r>
        <w:rPr>
          <w:rFonts w:ascii="宋体" w:hAnsi="宋体" w:eastAsia="宋体" w:cs="Times New Roman"/>
          <w:b/>
          <w:bCs/>
          <w:szCs w:val="21"/>
          <w:lang w:val="zh-TW"/>
        </w:rPr>
        <w:t>下表中</w:t>
      </w:r>
      <w:r>
        <w:rPr>
          <w:rFonts w:hint="eastAsia" w:ascii="宋体" w:hAnsi="宋体" w:eastAsia="宋体" w:cs="Times New Roman"/>
          <w:b/>
          <w:bCs/>
          <w:szCs w:val="21"/>
          <w:lang w:val="zh-TW"/>
        </w:rPr>
        <w:t>响应的</w:t>
      </w:r>
      <w:r>
        <w:rPr>
          <w:rFonts w:ascii="宋体" w:hAnsi="宋体" w:eastAsia="宋体" w:cs="Times New Roman"/>
          <w:b/>
          <w:bCs/>
          <w:szCs w:val="21"/>
          <w:lang w:val="zh-TW"/>
        </w:rPr>
        <w:t>产品名称、生产厂家、规格型号等信息</w:t>
      </w:r>
      <w:r>
        <w:rPr>
          <w:rFonts w:hint="eastAsia" w:ascii="宋体" w:hAnsi="宋体" w:eastAsia="宋体" w:cs="Times New Roman"/>
          <w:b/>
          <w:bCs/>
          <w:szCs w:val="21"/>
          <w:lang w:val="zh-TW"/>
        </w:rPr>
        <w:t>应</w:t>
      </w:r>
      <w:r>
        <w:rPr>
          <w:rFonts w:ascii="宋体" w:hAnsi="宋体" w:eastAsia="宋体" w:cs="Times New Roman"/>
          <w:b/>
          <w:bCs/>
          <w:szCs w:val="21"/>
          <w:lang w:val="zh-TW"/>
        </w:rPr>
        <w:t>与产品医疗器械注册证或备案凭证对应信息保持一致</w:t>
      </w:r>
      <w:r>
        <w:rPr>
          <w:rFonts w:hint="eastAsia" w:ascii="宋体" w:hAnsi="宋体" w:eastAsia="宋体" w:cs="Times New Roman"/>
          <w:b/>
          <w:bCs/>
          <w:szCs w:val="21"/>
          <w:lang w:val="zh-TW"/>
        </w:rPr>
        <w:t>，不作为医疗器械管理的，应与货物的说明书等官方技术文档对应信息保持一致</w:t>
      </w:r>
      <w:r>
        <w:rPr>
          <w:rFonts w:ascii="宋体" w:hAnsi="宋体" w:eastAsia="宋体" w:cs="Times New Roman"/>
          <w:b/>
          <w:bCs/>
          <w:szCs w:val="21"/>
          <w:lang w:val="zh-TW"/>
        </w:rPr>
        <w:t>。</w:t>
      </w:r>
    </w:p>
    <w:p w14:paraId="65603733">
      <w:pPr>
        <w:pStyle w:val="2"/>
        <w:rPr>
          <w:rFonts w:ascii="宋体" w:hAnsi="宋体" w:eastAsia="宋体" w:cs="Times New Roman"/>
          <w:b/>
          <w:bCs/>
          <w:szCs w:val="21"/>
          <w:lang w:val="zh-TW"/>
        </w:rPr>
      </w:pPr>
      <w:r>
        <w:rPr>
          <w:rFonts w:hint="eastAsia" w:ascii="宋体" w:hAnsi="宋体" w:eastAsia="宋体" w:cs="Times New Roman"/>
          <w:b/>
          <w:bCs/>
          <w:szCs w:val="21"/>
          <w:lang w:val="zh-TW"/>
        </w:rPr>
        <w:t>2</w:t>
      </w:r>
      <w:r>
        <w:rPr>
          <w:rFonts w:ascii="宋体" w:hAnsi="宋体" w:eastAsia="宋体" w:cs="Times New Roman"/>
          <w:b/>
          <w:bCs/>
          <w:szCs w:val="21"/>
          <w:lang w:val="zh-TW" w:eastAsia="zh-TW"/>
        </w:rPr>
        <w:t>.所有报价均用人民币表示。运输、安装、调试、检验、培训、调换、税金和保险等费用以及采购文件规定的其他费用均应包含在报价中。</w:t>
      </w:r>
    </w:p>
    <w:p w14:paraId="373282CF">
      <w:pPr>
        <w:rPr>
          <w:lang w:val="zh-TW"/>
        </w:rPr>
      </w:pPr>
    </w:p>
    <w:p w14:paraId="27D10C87">
      <w:pPr>
        <w:pStyle w:val="2"/>
        <w:rPr>
          <w:rFonts w:hint="eastAsia" w:ascii="仿宋" w:hAnsi="仿宋" w:eastAsia="仿宋" w:cs="仿宋"/>
          <w:b/>
          <w:bCs/>
          <w:sz w:val="24"/>
          <w:szCs w:val="24"/>
        </w:rPr>
      </w:pPr>
      <w:r>
        <w:rPr>
          <w:rFonts w:hint="eastAsia" w:ascii="仿宋" w:hAnsi="仿宋" w:eastAsia="仿宋" w:cs="仿宋"/>
          <w:b/>
          <w:bCs/>
          <w:sz w:val="24"/>
          <w:szCs w:val="24"/>
        </w:rPr>
        <w:t>1.报价一览表</w:t>
      </w:r>
    </w:p>
    <w:tbl>
      <w:tblPr>
        <w:tblStyle w:val="19"/>
        <w:tblW w:w="96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61"/>
        <w:gridCol w:w="1600"/>
        <w:gridCol w:w="2737"/>
        <w:gridCol w:w="490"/>
        <w:gridCol w:w="361"/>
        <w:gridCol w:w="861"/>
        <w:gridCol w:w="639"/>
        <w:gridCol w:w="952"/>
        <w:gridCol w:w="1174"/>
        <w:gridCol w:w="472"/>
      </w:tblGrid>
      <w:tr w14:paraId="7BD84C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2" w:hRule="atLeast"/>
          <w:jc w:val="center"/>
        </w:trPr>
        <w:tc>
          <w:tcPr>
            <w:tcW w:w="0" w:type="auto"/>
            <w:vAlign w:val="center"/>
          </w:tcPr>
          <w:p w14:paraId="2CF60CA8">
            <w:pPr>
              <w:spacing w:line="240" w:lineRule="auto"/>
              <w:jc w:val="center"/>
              <w:rPr>
                <w:rFonts w:hint="eastAsia" w:ascii="仿宋" w:hAnsi="仿宋" w:eastAsia="仿宋" w:cs="仿宋"/>
                <w:b w:val="0"/>
                <w:bCs w:val="0"/>
                <w:kern w:val="0"/>
                <w:sz w:val="24"/>
                <w:szCs w:val="24"/>
                <w:lang w:val="en-US" w:eastAsia="zh-CN"/>
              </w:rPr>
            </w:pPr>
            <w:r>
              <w:rPr>
                <w:rFonts w:hint="eastAsia" w:ascii="仿宋" w:hAnsi="仿宋" w:eastAsia="仿宋" w:cs="仿宋"/>
                <w:b w:val="0"/>
                <w:bCs w:val="0"/>
                <w:kern w:val="0"/>
                <w:sz w:val="24"/>
                <w:szCs w:val="24"/>
                <w:lang w:val="en-US" w:eastAsia="zh-CN"/>
              </w:rPr>
              <w:t>序号</w:t>
            </w:r>
          </w:p>
        </w:tc>
        <w:tc>
          <w:tcPr>
            <w:tcW w:w="0" w:type="auto"/>
            <w:vAlign w:val="center"/>
          </w:tcPr>
          <w:p w14:paraId="76504FC3">
            <w:pPr>
              <w:spacing w:line="240" w:lineRule="auto"/>
              <w:jc w:val="center"/>
              <w:rPr>
                <w:rFonts w:hint="eastAsia" w:ascii="仿宋" w:hAnsi="仿宋" w:eastAsia="仿宋" w:cs="仿宋"/>
                <w:b w:val="0"/>
                <w:bCs w:val="0"/>
                <w:kern w:val="0"/>
                <w:sz w:val="24"/>
                <w:szCs w:val="24"/>
                <w:lang w:val="en-US" w:eastAsia="zh-CN"/>
              </w:rPr>
            </w:pPr>
            <w:r>
              <w:rPr>
                <w:rFonts w:hint="eastAsia" w:ascii="仿宋" w:hAnsi="仿宋" w:eastAsia="仿宋" w:cs="仿宋"/>
                <w:b w:val="0"/>
                <w:bCs w:val="0"/>
                <w:kern w:val="0"/>
                <w:sz w:val="24"/>
                <w:szCs w:val="24"/>
                <w:lang w:val="en-US" w:eastAsia="zh-CN"/>
              </w:rPr>
              <w:t>品名</w:t>
            </w:r>
          </w:p>
        </w:tc>
        <w:tc>
          <w:tcPr>
            <w:tcW w:w="0" w:type="auto"/>
            <w:vAlign w:val="center"/>
          </w:tcPr>
          <w:p w14:paraId="5B00B061">
            <w:pPr>
              <w:pStyle w:val="14"/>
              <w:keepNext w:val="0"/>
              <w:keepLines w:val="0"/>
              <w:widowControl/>
              <w:suppressLineNumbers w:val="0"/>
              <w:autoSpaceDE w:val="0"/>
              <w:autoSpaceDN/>
              <w:ind w:left="0" w:leftChars="0" w:right="0" w:rightChars="0"/>
              <w:jc w:val="center"/>
              <w:rPr>
                <w:rFonts w:hint="eastAsia" w:ascii="仿宋" w:hAnsi="仿宋" w:eastAsia="仿宋" w:cs="仿宋"/>
                <w:b w:val="0"/>
                <w:bCs w:val="0"/>
                <w:kern w:val="0"/>
                <w:sz w:val="24"/>
                <w:szCs w:val="24"/>
                <w:lang w:val="en-US" w:eastAsia="zh-CN"/>
              </w:rPr>
            </w:pPr>
            <w:r>
              <w:rPr>
                <w:rStyle w:val="21"/>
                <w:rFonts w:hint="eastAsia" w:ascii="仿宋" w:hAnsi="仿宋" w:eastAsia="仿宋" w:cs="仿宋"/>
                <w:b w:val="0"/>
                <w:bCs w:val="0"/>
                <w:sz w:val="24"/>
                <w:szCs w:val="24"/>
              </w:rPr>
              <w:t>详细描述</w:t>
            </w:r>
          </w:p>
        </w:tc>
        <w:tc>
          <w:tcPr>
            <w:tcW w:w="0" w:type="auto"/>
            <w:vAlign w:val="center"/>
          </w:tcPr>
          <w:p w14:paraId="0210D7AA">
            <w:pPr>
              <w:pStyle w:val="14"/>
              <w:keepNext w:val="0"/>
              <w:keepLines w:val="0"/>
              <w:widowControl/>
              <w:suppressLineNumbers w:val="0"/>
              <w:autoSpaceDE w:val="0"/>
              <w:autoSpaceDN/>
              <w:spacing w:line="240" w:lineRule="auto"/>
              <w:ind w:left="0" w:leftChars="0" w:right="0" w:rightChars="0"/>
              <w:jc w:val="center"/>
              <w:rPr>
                <w:rFonts w:hint="eastAsia" w:ascii="仿宋" w:hAnsi="仿宋" w:eastAsia="仿宋" w:cs="仿宋"/>
                <w:b w:val="0"/>
                <w:bCs w:val="0"/>
                <w:kern w:val="0"/>
                <w:sz w:val="24"/>
                <w:szCs w:val="24"/>
                <w:lang w:val="zh-TW" w:eastAsia="zh-TW"/>
              </w:rPr>
            </w:pPr>
            <w:r>
              <w:rPr>
                <w:rStyle w:val="21"/>
                <w:rFonts w:hint="eastAsia" w:ascii="仿宋" w:hAnsi="仿宋" w:eastAsia="仿宋" w:cs="仿宋"/>
                <w:b w:val="0"/>
                <w:bCs w:val="0"/>
                <w:sz w:val="24"/>
                <w:szCs w:val="24"/>
              </w:rPr>
              <w:t>数量</w:t>
            </w:r>
          </w:p>
        </w:tc>
        <w:tc>
          <w:tcPr>
            <w:tcW w:w="0" w:type="auto"/>
            <w:vAlign w:val="center"/>
          </w:tcPr>
          <w:p w14:paraId="5B2E56EB">
            <w:pPr>
              <w:pStyle w:val="14"/>
              <w:keepNext w:val="0"/>
              <w:keepLines w:val="0"/>
              <w:widowControl/>
              <w:suppressLineNumbers w:val="0"/>
              <w:autoSpaceDE w:val="0"/>
              <w:autoSpaceDN/>
              <w:spacing w:line="240" w:lineRule="auto"/>
              <w:ind w:left="0" w:leftChars="0" w:right="0" w:rightChars="0"/>
              <w:jc w:val="center"/>
              <w:rPr>
                <w:rFonts w:hint="eastAsia" w:ascii="仿宋" w:hAnsi="仿宋" w:eastAsia="仿宋" w:cs="仿宋"/>
                <w:b w:val="0"/>
                <w:bCs w:val="0"/>
                <w:kern w:val="0"/>
                <w:sz w:val="24"/>
                <w:szCs w:val="24"/>
                <w:lang w:val="zh-TW" w:eastAsia="zh-TW"/>
              </w:rPr>
            </w:pPr>
            <w:r>
              <w:rPr>
                <w:rStyle w:val="21"/>
                <w:rFonts w:hint="eastAsia" w:ascii="仿宋" w:hAnsi="仿宋" w:eastAsia="仿宋" w:cs="仿宋"/>
                <w:b w:val="0"/>
                <w:bCs w:val="0"/>
                <w:sz w:val="24"/>
                <w:szCs w:val="24"/>
              </w:rPr>
              <w:t>单位</w:t>
            </w:r>
          </w:p>
        </w:tc>
        <w:tc>
          <w:tcPr>
            <w:tcW w:w="861" w:type="dxa"/>
            <w:vAlign w:val="center"/>
          </w:tcPr>
          <w:p w14:paraId="350BBE3A">
            <w:pPr>
              <w:pStyle w:val="14"/>
              <w:keepNext w:val="0"/>
              <w:keepLines w:val="0"/>
              <w:widowControl/>
              <w:suppressLineNumbers w:val="0"/>
              <w:autoSpaceDE w:val="0"/>
              <w:autoSpaceDN/>
              <w:spacing w:line="240" w:lineRule="auto"/>
              <w:ind w:left="0" w:leftChars="0" w:right="0" w:rightChars="0"/>
              <w:jc w:val="both"/>
              <w:rPr>
                <w:rStyle w:val="21"/>
                <w:rFonts w:hint="default" w:ascii="仿宋" w:hAnsi="仿宋" w:eastAsia="仿宋" w:cs="仿宋"/>
                <w:b w:val="0"/>
                <w:bCs w:val="0"/>
                <w:sz w:val="24"/>
                <w:szCs w:val="24"/>
                <w:lang w:val="en-US" w:eastAsia="zh-CN"/>
              </w:rPr>
            </w:pPr>
            <w:r>
              <w:rPr>
                <w:rStyle w:val="21"/>
                <w:rFonts w:hint="eastAsia" w:ascii="仿宋" w:hAnsi="仿宋" w:eastAsia="仿宋" w:cs="仿宋"/>
                <w:b w:val="0"/>
                <w:bCs w:val="0"/>
                <w:sz w:val="24"/>
                <w:szCs w:val="24"/>
                <w:lang w:val="en-US" w:eastAsia="zh-CN"/>
              </w:rPr>
              <w:t>生产厂家/品牌</w:t>
            </w:r>
          </w:p>
        </w:tc>
        <w:tc>
          <w:tcPr>
            <w:tcW w:w="639" w:type="dxa"/>
            <w:vAlign w:val="center"/>
          </w:tcPr>
          <w:p w14:paraId="77E78038">
            <w:pPr>
              <w:pStyle w:val="14"/>
              <w:keepNext w:val="0"/>
              <w:keepLines w:val="0"/>
              <w:widowControl/>
              <w:suppressLineNumbers w:val="0"/>
              <w:autoSpaceDE w:val="0"/>
              <w:autoSpaceDN/>
              <w:spacing w:line="240" w:lineRule="auto"/>
              <w:ind w:left="0" w:leftChars="0" w:right="0" w:rightChars="0"/>
              <w:jc w:val="center"/>
              <w:rPr>
                <w:rStyle w:val="21"/>
                <w:rFonts w:hint="default" w:ascii="仿宋" w:hAnsi="仿宋" w:eastAsia="仿宋" w:cs="仿宋"/>
                <w:b w:val="0"/>
                <w:bCs w:val="0"/>
                <w:sz w:val="24"/>
                <w:szCs w:val="24"/>
                <w:lang w:val="en-US" w:eastAsia="zh-CN"/>
              </w:rPr>
            </w:pPr>
            <w:r>
              <w:rPr>
                <w:rStyle w:val="21"/>
                <w:rFonts w:hint="eastAsia" w:ascii="仿宋" w:hAnsi="仿宋" w:eastAsia="仿宋" w:cs="仿宋"/>
                <w:b w:val="0"/>
                <w:bCs w:val="0"/>
                <w:sz w:val="24"/>
                <w:szCs w:val="24"/>
                <w:lang w:val="en-US" w:eastAsia="zh-CN"/>
              </w:rPr>
              <w:t>规格/型号</w:t>
            </w:r>
          </w:p>
        </w:tc>
        <w:tc>
          <w:tcPr>
            <w:tcW w:w="0" w:type="auto"/>
            <w:vAlign w:val="center"/>
          </w:tcPr>
          <w:p w14:paraId="1BC95E20">
            <w:pPr>
              <w:spacing w:line="240" w:lineRule="auto"/>
              <w:jc w:val="center"/>
              <w:rPr>
                <w:rFonts w:hint="eastAsia" w:ascii="仿宋" w:hAnsi="仿宋" w:eastAsia="仿宋" w:cs="仿宋"/>
                <w:b w:val="0"/>
                <w:bCs w:val="0"/>
                <w:kern w:val="0"/>
                <w:sz w:val="24"/>
                <w:szCs w:val="24"/>
                <w:lang w:val="en-US" w:eastAsia="zh-CN"/>
              </w:rPr>
            </w:pPr>
            <w:r>
              <w:rPr>
                <w:rFonts w:hint="eastAsia" w:ascii="仿宋" w:hAnsi="仿宋" w:eastAsia="仿宋" w:cs="仿宋"/>
                <w:b w:val="0"/>
                <w:bCs w:val="0"/>
                <w:kern w:val="0"/>
                <w:sz w:val="24"/>
                <w:szCs w:val="24"/>
                <w:lang w:val="en-US" w:eastAsia="zh-CN"/>
              </w:rPr>
              <w:t>单价（元）</w:t>
            </w:r>
          </w:p>
        </w:tc>
        <w:tc>
          <w:tcPr>
            <w:tcW w:w="0" w:type="auto"/>
            <w:vAlign w:val="center"/>
          </w:tcPr>
          <w:p w14:paraId="5EA12DDC">
            <w:pPr>
              <w:spacing w:line="240" w:lineRule="auto"/>
              <w:jc w:val="center"/>
              <w:rPr>
                <w:rFonts w:hint="eastAsia" w:ascii="仿宋" w:hAnsi="仿宋" w:eastAsia="仿宋" w:cs="仿宋"/>
                <w:b w:val="0"/>
                <w:bCs w:val="0"/>
                <w:kern w:val="0"/>
                <w:sz w:val="24"/>
                <w:szCs w:val="24"/>
                <w:lang w:val="en-US" w:eastAsia="zh-CN"/>
              </w:rPr>
            </w:pPr>
            <w:r>
              <w:rPr>
                <w:rFonts w:hint="eastAsia" w:ascii="仿宋" w:hAnsi="仿宋" w:eastAsia="仿宋" w:cs="仿宋"/>
                <w:b w:val="0"/>
                <w:bCs w:val="0"/>
                <w:kern w:val="0"/>
                <w:sz w:val="24"/>
                <w:szCs w:val="24"/>
                <w:lang w:val="en-US" w:eastAsia="zh-CN"/>
              </w:rPr>
              <w:t>分项总价（元）</w:t>
            </w:r>
          </w:p>
        </w:tc>
        <w:tc>
          <w:tcPr>
            <w:tcW w:w="0" w:type="auto"/>
            <w:vAlign w:val="center"/>
          </w:tcPr>
          <w:p w14:paraId="29D764D0">
            <w:pPr>
              <w:spacing w:line="240" w:lineRule="auto"/>
              <w:jc w:val="center"/>
              <w:rPr>
                <w:rFonts w:hint="eastAsia" w:ascii="仿宋" w:hAnsi="仿宋" w:eastAsia="仿宋" w:cs="仿宋"/>
                <w:b w:val="0"/>
                <w:bCs w:val="0"/>
                <w:kern w:val="0"/>
                <w:sz w:val="24"/>
                <w:szCs w:val="24"/>
                <w:lang w:val="en-US" w:eastAsia="zh-CN"/>
              </w:rPr>
            </w:pPr>
            <w:r>
              <w:rPr>
                <w:rFonts w:hint="eastAsia" w:ascii="仿宋" w:hAnsi="仿宋" w:eastAsia="仿宋" w:cs="仿宋"/>
                <w:b w:val="0"/>
                <w:bCs w:val="0"/>
                <w:kern w:val="0"/>
                <w:sz w:val="24"/>
                <w:szCs w:val="24"/>
                <w:lang w:val="en-US" w:eastAsia="zh-CN"/>
              </w:rPr>
              <w:t>服务期</w:t>
            </w:r>
          </w:p>
        </w:tc>
      </w:tr>
      <w:tr w14:paraId="44384C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0" w:type="auto"/>
            <w:vAlign w:val="center"/>
          </w:tcPr>
          <w:p w14:paraId="33FA3AA9">
            <w:pPr>
              <w:pStyle w:val="2"/>
              <w:spacing w:line="240" w:lineRule="auto"/>
              <w:jc w:val="center"/>
              <w:rPr>
                <w:rFonts w:hint="eastAsia" w:ascii="仿宋" w:hAnsi="仿宋" w:eastAsia="仿宋" w:cs="仿宋"/>
                <w:b w:val="0"/>
                <w:bCs w:val="0"/>
                <w:sz w:val="24"/>
                <w:szCs w:val="24"/>
              </w:rPr>
            </w:pPr>
            <w:r>
              <w:rPr>
                <w:rFonts w:hint="eastAsia" w:ascii="仿宋" w:hAnsi="仿宋" w:eastAsia="仿宋" w:cs="仿宋"/>
                <w:b w:val="0"/>
                <w:bCs w:val="0"/>
                <w:sz w:val="24"/>
                <w:szCs w:val="24"/>
              </w:rPr>
              <w:t>1</w:t>
            </w:r>
          </w:p>
        </w:tc>
        <w:tc>
          <w:tcPr>
            <w:tcW w:w="0" w:type="auto"/>
            <w:vAlign w:val="center"/>
          </w:tcPr>
          <w:p w14:paraId="21A93F89">
            <w:pPr>
              <w:pStyle w:val="14"/>
              <w:keepNext w:val="0"/>
              <w:keepLines w:val="0"/>
              <w:widowControl/>
              <w:suppressLineNumbers w:val="0"/>
              <w:autoSpaceDE w:val="0"/>
              <w:autoSpaceDN/>
              <w:ind w:left="0" w:leftChars="0" w:right="0" w:rightChars="0"/>
              <w:jc w:val="center"/>
              <w:rPr>
                <w:rFonts w:hint="eastAsia" w:ascii="仿宋" w:hAnsi="仿宋" w:eastAsia="仿宋" w:cs="仿宋"/>
                <w:b w:val="0"/>
                <w:bCs w:val="0"/>
                <w:sz w:val="24"/>
                <w:szCs w:val="24"/>
              </w:rPr>
            </w:pPr>
            <w:r>
              <w:rPr>
                <w:rFonts w:hint="eastAsia" w:ascii="仿宋" w:hAnsi="仿宋" w:eastAsia="仿宋" w:cs="仿宋"/>
                <w:b w:val="0"/>
                <w:bCs w:val="0"/>
                <w:sz w:val="24"/>
                <w:szCs w:val="24"/>
              </w:rPr>
              <w:t>CSSD质量管理平台</w:t>
            </w:r>
          </w:p>
        </w:tc>
        <w:tc>
          <w:tcPr>
            <w:tcW w:w="0" w:type="auto"/>
            <w:shd w:val="clear" w:color="auto" w:fill="auto"/>
            <w:vAlign w:val="center"/>
          </w:tcPr>
          <w:p w14:paraId="547A7A2B">
            <w:pPr>
              <w:pStyle w:val="14"/>
              <w:keepNext w:val="0"/>
              <w:keepLines w:val="0"/>
              <w:widowControl/>
              <w:suppressLineNumbers w:val="0"/>
              <w:autoSpaceDE w:val="0"/>
              <w:autoSpaceDN/>
              <w:ind w:left="0" w:leftChars="0" w:right="0" w:rightChars="0"/>
              <w:jc w:val="center"/>
              <w:rPr>
                <w:rFonts w:hint="eastAsia" w:ascii="仿宋" w:hAnsi="仿宋" w:eastAsia="仿宋" w:cs="仿宋"/>
                <w:b w:val="0"/>
                <w:bCs w:val="0"/>
                <w:sz w:val="24"/>
                <w:szCs w:val="24"/>
              </w:rPr>
            </w:pPr>
            <w:r>
              <w:rPr>
                <w:rFonts w:hint="eastAsia" w:ascii="仿宋" w:hAnsi="仿宋" w:eastAsia="仿宋" w:cs="仿宋"/>
                <w:b w:val="0"/>
                <w:bCs w:val="0"/>
                <w:sz w:val="24"/>
                <w:szCs w:val="24"/>
              </w:rPr>
              <w:t>蓝鹰追溯区域化消毒供应中心云平台V3.0升级改造</w:t>
            </w:r>
          </w:p>
        </w:tc>
        <w:tc>
          <w:tcPr>
            <w:tcW w:w="0" w:type="auto"/>
            <w:shd w:val="clear" w:color="auto" w:fill="auto"/>
            <w:vAlign w:val="center"/>
          </w:tcPr>
          <w:p w14:paraId="74F731F3">
            <w:pPr>
              <w:pStyle w:val="14"/>
              <w:keepNext w:val="0"/>
              <w:keepLines w:val="0"/>
              <w:widowControl/>
              <w:suppressLineNumbers w:val="0"/>
              <w:autoSpaceDE w:val="0"/>
              <w:autoSpaceDN/>
              <w:ind w:left="0" w:leftChars="0" w:right="0" w:rightChars="0"/>
              <w:jc w:val="center"/>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sz w:val="24"/>
                <w:szCs w:val="24"/>
              </w:rPr>
              <w:t>1</w:t>
            </w:r>
          </w:p>
        </w:tc>
        <w:tc>
          <w:tcPr>
            <w:tcW w:w="0" w:type="auto"/>
            <w:shd w:val="clear" w:color="auto" w:fill="auto"/>
            <w:vAlign w:val="center"/>
          </w:tcPr>
          <w:p w14:paraId="4A44268C">
            <w:pPr>
              <w:pStyle w:val="14"/>
              <w:keepNext w:val="0"/>
              <w:keepLines w:val="0"/>
              <w:widowControl/>
              <w:suppressLineNumbers w:val="0"/>
              <w:autoSpaceDE w:val="0"/>
              <w:autoSpaceDN/>
              <w:ind w:left="0" w:leftChars="0" w:right="0" w:rightChars="0"/>
              <w:jc w:val="center"/>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sz w:val="24"/>
                <w:szCs w:val="24"/>
              </w:rPr>
              <w:t>套</w:t>
            </w:r>
          </w:p>
        </w:tc>
        <w:tc>
          <w:tcPr>
            <w:tcW w:w="861" w:type="dxa"/>
            <w:vAlign w:val="center"/>
          </w:tcPr>
          <w:p w14:paraId="6DF6313B">
            <w:pPr>
              <w:pStyle w:val="14"/>
              <w:keepNext w:val="0"/>
              <w:keepLines w:val="0"/>
              <w:widowControl/>
              <w:suppressLineNumbers w:val="0"/>
              <w:autoSpaceDE w:val="0"/>
              <w:autoSpaceDN/>
              <w:ind w:left="0" w:leftChars="0" w:right="0" w:rightChars="0"/>
              <w:jc w:val="center"/>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w:t>
            </w:r>
          </w:p>
        </w:tc>
        <w:tc>
          <w:tcPr>
            <w:tcW w:w="639" w:type="dxa"/>
            <w:vAlign w:val="center"/>
          </w:tcPr>
          <w:p w14:paraId="2AE516D6">
            <w:pPr>
              <w:pStyle w:val="14"/>
              <w:keepNext w:val="0"/>
              <w:keepLines w:val="0"/>
              <w:widowControl/>
              <w:suppressLineNumbers w:val="0"/>
              <w:autoSpaceDE w:val="0"/>
              <w:autoSpaceDN/>
              <w:ind w:left="0" w:leftChars="0" w:right="0" w:rightChars="0"/>
              <w:jc w:val="center"/>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w:t>
            </w:r>
          </w:p>
        </w:tc>
        <w:tc>
          <w:tcPr>
            <w:tcW w:w="0" w:type="auto"/>
            <w:vAlign w:val="center"/>
          </w:tcPr>
          <w:p w14:paraId="3974E1E2">
            <w:pPr>
              <w:pStyle w:val="16"/>
              <w:numPr>
                <w:ilvl w:val="0"/>
                <w:numId w:val="0"/>
              </w:numPr>
              <w:ind w:left="480" w:leftChars="0" w:hanging="480" w:hangingChars="200"/>
              <w:jc w:val="center"/>
              <w:rPr>
                <w:rFonts w:hint="eastAsia" w:ascii="仿宋" w:hAnsi="仿宋" w:eastAsia="仿宋" w:cs="仿宋"/>
                <w:b w:val="0"/>
                <w:bCs w:val="0"/>
                <w:sz w:val="24"/>
                <w:szCs w:val="24"/>
              </w:rPr>
            </w:pPr>
          </w:p>
        </w:tc>
        <w:tc>
          <w:tcPr>
            <w:tcW w:w="0" w:type="auto"/>
            <w:vAlign w:val="center"/>
          </w:tcPr>
          <w:p w14:paraId="10993AE6">
            <w:pPr>
              <w:pStyle w:val="16"/>
              <w:numPr>
                <w:ilvl w:val="0"/>
                <w:numId w:val="0"/>
              </w:numPr>
              <w:ind w:left="480" w:leftChars="0" w:hanging="480" w:hangingChars="200"/>
              <w:jc w:val="center"/>
              <w:rPr>
                <w:rFonts w:hint="eastAsia" w:ascii="仿宋" w:hAnsi="仿宋" w:eastAsia="仿宋" w:cs="仿宋"/>
                <w:b w:val="0"/>
                <w:bCs w:val="0"/>
                <w:sz w:val="24"/>
                <w:szCs w:val="24"/>
              </w:rPr>
            </w:pPr>
          </w:p>
        </w:tc>
        <w:tc>
          <w:tcPr>
            <w:tcW w:w="0" w:type="auto"/>
            <w:vAlign w:val="center"/>
          </w:tcPr>
          <w:p w14:paraId="3E621C09">
            <w:pPr>
              <w:pStyle w:val="2"/>
              <w:spacing w:line="240" w:lineRule="auto"/>
              <w:jc w:val="center"/>
              <w:rPr>
                <w:rFonts w:hint="eastAsia" w:ascii="仿宋" w:hAnsi="仿宋" w:eastAsia="仿宋" w:cs="仿宋"/>
                <w:b w:val="0"/>
                <w:bCs w:val="0"/>
                <w:sz w:val="24"/>
                <w:szCs w:val="24"/>
              </w:rPr>
            </w:pPr>
          </w:p>
        </w:tc>
      </w:tr>
      <w:tr w14:paraId="3C243A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76" w:hRule="atLeast"/>
          <w:jc w:val="center"/>
        </w:trPr>
        <w:tc>
          <w:tcPr>
            <w:tcW w:w="0" w:type="auto"/>
            <w:vAlign w:val="center"/>
          </w:tcPr>
          <w:p w14:paraId="1492EBFA">
            <w:pPr>
              <w:pStyle w:val="2"/>
              <w:spacing w:line="240" w:lineRule="auto"/>
              <w:jc w:val="center"/>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2</w:t>
            </w:r>
          </w:p>
        </w:tc>
        <w:tc>
          <w:tcPr>
            <w:tcW w:w="0" w:type="auto"/>
            <w:vAlign w:val="center"/>
          </w:tcPr>
          <w:p w14:paraId="7721EA27">
            <w:pPr>
              <w:pStyle w:val="14"/>
              <w:keepNext w:val="0"/>
              <w:keepLines w:val="0"/>
              <w:widowControl/>
              <w:suppressLineNumbers w:val="0"/>
              <w:autoSpaceDE w:val="0"/>
              <w:autoSpaceDN/>
              <w:ind w:left="0" w:leftChars="0" w:right="0" w:rightChars="0" w:firstLine="0" w:firstLineChars="0"/>
              <w:jc w:val="center"/>
              <w:rPr>
                <w:rFonts w:hint="eastAsia" w:ascii="仿宋" w:hAnsi="仿宋" w:eastAsia="仿宋" w:cs="仿宋"/>
                <w:b w:val="0"/>
                <w:bCs w:val="0"/>
                <w:sz w:val="24"/>
                <w:szCs w:val="24"/>
              </w:rPr>
            </w:pPr>
            <w:r>
              <w:rPr>
                <w:rFonts w:hint="eastAsia" w:ascii="仿宋" w:hAnsi="仿宋" w:eastAsia="仿宋" w:cs="仿宋"/>
                <w:b w:val="0"/>
                <w:bCs w:val="0"/>
                <w:sz w:val="24"/>
                <w:szCs w:val="24"/>
              </w:rPr>
              <w:t>CSSD质量管理平台配套设备</w:t>
            </w:r>
          </w:p>
        </w:tc>
        <w:tc>
          <w:tcPr>
            <w:tcW w:w="0" w:type="auto"/>
            <w:shd w:val="clear" w:color="auto" w:fill="auto"/>
            <w:vAlign w:val="center"/>
          </w:tcPr>
          <w:p w14:paraId="63B73024">
            <w:pPr>
              <w:pStyle w:val="14"/>
              <w:keepNext w:val="0"/>
              <w:keepLines w:val="0"/>
              <w:widowControl/>
              <w:suppressLineNumbers w:val="0"/>
              <w:autoSpaceDE w:val="0"/>
              <w:autoSpaceDN/>
              <w:ind w:left="0" w:leftChars="0" w:right="0" w:rightChars="0" w:firstLine="0" w:firstLineChars="0"/>
              <w:jc w:val="center"/>
              <w:rPr>
                <w:rFonts w:hint="eastAsia" w:ascii="仿宋" w:hAnsi="仿宋" w:eastAsia="仿宋" w:cs="仿宋"/>
                <w:b w:val="0"/>
                <w:bCs w:val="0"/>
                <w:sz w:val="24"/>
                <w:szCs w:val="24"/>
              </w:rPr>
            </w:pPr>
            <w:r>
              <w:rPr>
                <w:rFonts w:hint="eastAsia" w:ascii="仿宋" w:hAnsi="仿宋" w:eastAsia="仿宋" w:cs="仿宋"/>
                <w:b w:val="0"/>
                <w:bCs w:val="0"/>
                <w:sz w:val="24"/>
                <w:szCs w:val="24"/>
              </w:rPr>
              <w:t>器械包内信息定制卡</w:t>
            </w:r>
          </w:p>
        </w:tc>
        <w:tc>
          <w:tcPr>
            <w:tcW w:w="0" w:type="auto"/>
            <w:shd w:val="clear" w:color="auto" w:fill="auto"/>
            <w:vAlign w:val="center"/>
          </w:tcPr>
          <w:p w14:paraId="3E70AE3D">
            <w:pPr>
              <w:pStyle w:val="14"/>
              <w:keepNext w:val="0"/>
              <w:keepLines w:val="0"/>
              <w:widowControl/>
              <w:suppressLineNumbers w:val="0"/>
              <w:autoSpaceDE w:val="0"/>
              <w:autoSpaceDN/>
              <w:ind w:left="0" w:leftChars="0" w:right="0" w:rightChars="0" w:firstLine="0" w:firstLineChars="0"/>
              <w:jc w:val="center"/>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sz w:val="24"/>
                <w:szCs w:val="24"/>
              </w:rPr>
              <w:t>2000</w:t>
            </w:r>
          </w:p>
        </w:tc>
        <w:tc>
          <w:tcPr>
            <w:tcW w:w="0" w:type="auto"/>
            <w:shd w:val="clear" w:color="auto" w:fill="auto"/>
            <w:vAlign w:val="center"/>
          </w:tcPr>
          <w:p w14:paraId="18F76C68">
            <w:pPr>
              <w:pStyle w:val="14"/>
              <w:keepNext w:val="0"/>
              <w:keepLines w:val="0"/>
              <w:widowControl/>
              <w:suppressLineNumbers w:val="0"/>
              <w:autoSpaceDE w:val="0"/>
              <w:autoSpaceDN/>
              <w:ind w:left="0" w:leftChars="0" w:right="0" w:rightChars="0" w:firstLine="0" w:firstLineChars="0"/>
              <w:jc w:val="center"/>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rPr>
              <w:t>个</w:t>
            </w:r>
          </w:p>
        </w:tc>
        <w:tc>
          <w:tcPr>
            <w:tcW w:w="861" w:type="dxa"/>
            <w:vAlign w:val="center"/>
          </w:tcPr>
          <w:p w14:paraId="727C5F7F">
            <w:pPr>
              <w:pStyle w:val="14"/>
              <w:keepNext w:val="0"/>
              <w:keepLines w:val="0"/>
              <w:widowControl/>
              <w:suppressLineNumbers w:val="0"/>
              <w:autoSpaceDE w:val="0"/>
              <w:autoSpaceDN/>
              <w:ind w:left="0" w:leftChars="0" w:right="0" w:rightChars="0" w:firstLine="0" w:firstLineChars="0"/>
              <w:jc w:val="center"/>
              <w:rPr>
                <w:rFonts w:hint="eastAsia" w:ascii="仿宋" w:hAnsi="仿宋" w:eastAsia="仿宋" w:cs="仿宋"/>
                <w:b w:val="0"/>
                <w:bCs w:val="0"/>
                <w:sz w:val="24"/>
                <w:szCs w:val="24"/>
              </w:rPr>
            </w:pPr>
          </w:p>
        </w:tc>
        <w:tc>
          <w:tcPr>
            <w:tcW w:w="639" w:type="dxa"/>
            <w:vAlign w:val="center"/>
          </w:tcPr>
          <w:p w14:paraId="01067557">
            <w:pPr>
              <w:pStyle w:val="14"/>
              <w:keepNext w:val="0"/>
              <w:keepLines w:val="0"/>
              <w:widowControl/>
              <w:suppressLineNumbers w:val="0"/>
              <w:autoSpaceDE w:val="0"/>
              <w:autoSpaceDN/>
              <w:ind w:left="0" w:leftChars="0" w:right="0" w:rightChars="0" w:firstLine="0" w:firstLineChars="0"/>
              <w:jc w:val="center"/>
              <w:rPr>
                <w:rFonts w:hint="eastAsia" w:ascii="仿宋" w:hAnsi="仿宋" w:eastAsia="仿宋" w:cs="仿宋"/>
                <w:b w:val="0"/>
                <w:bCs w:val="0"/>
                <w:sz w:val="24"/>
                <w:szCs w:val="24"/>
              </w:rPr>
            </w:pPr>
          </w:p>
        </w:tc>
        <w:tc>
          <w:tcPr>
            <w:tcW w:w="0" w:type="auto"/>
            <w:vAlign w:val="center"/>
          </w:tcPr>
          <w:p w14:paraId="7B14B969">
            <w:pPr>
              <w:pStyle w:val="16"/>
              <w:numPr>
                <w:ilvl w:val="0"/>
                <w:numId w:val="0"/>
              </w:numPr>
              <w:ind w:left="480" w:leftChars="0" w:hanging="480" w:hangingChars="200"/>
              <w:jc w:val="center"/>
              <w:rPr>
                <w:rFonts w:hint="eastAsia" w:ascii="仿宋" w:hAnsi="仿宋" w:eastAsia="仿宋" w:cs="仿宋"/>
                <w:b w:val="0"/>
                <w:bCs w:val="0"/>
                <w:sz w:val="24"/>
                <w:szCs w:val="24"/>
              </w:rPr>
            </w:pPr>
          </w:p>
        </w:tc>
        <w:tc>
          <w:tcPr>
            <w:tcW w:w="0" w:type="auto"/>
            <w:vAlign w:val="center"/>
          </w:tcPr>
          <w:p w14:paraId="0DDB5EC9">
            <w:pPr>
              <w:pStyle w:val="16"/>
              <w:numPr>
                <w:ilvl w:val="0"/>
                <w:numId w:val="0"/>
              </w:numPr>
              <w:ind w:left="480" w:leftChars="0" w:hanging="480" w:hangingChars="200"/>
              <w:jc w:val="center"/>
              <w:rPr>
                <w:rFonts w:hint="eastAsia" w:ascii="仿宋" w:hAnsi="仿宋" w:eastAsia="仿宋" w:cs="仿宋"/>
                <w:b w:val="0"/>
                <w:bCs w:val="0"/>
                <w:sz w:val="24"/>
                <w:szCs w:val="24"/>
              </w:rPr>
            </w:pPr>
          </w:p>
        </w:tc>
        <w:tc>
          <w:tcPr>
            <w:tcW w:w="0" w:type="auto"/>
            <w:vAlign w:val="center"/>
          </w:tcPr>
          <w:p w14:paraId="33B93E00">
            <w:pPr>
              <w:pStyle w:val="2"/>
              <w:spacing w:line="240" w:lineRule="auto"/>
              <w:jc w:val="center"/>
              <w:rPr>
                <w:rFonts w:hint="eastAsia" w:ascii="仿宋" w:hAnsi="仿宋" w:eastAsia="仿宋" w:cs="仿宋"/>
                <w:b w:val="0"/>
                <w:bCs w:val="0"/>
                <w:sz w:val="24"/>
                <w:szCs w:val="24"/>
              </w:rPr>
            </w:pPr>
          </w:p>
        </w:tc>
      </w:tr>
      <w:tr w14:paraId="13C71C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2" w:hRule="atLeast"/>
          <w:jc w:val="center"/>
        </w:trPr>
        <w:tc>
          <w:tcPr>
            <w:tcW w:w="0" w:type="auto"/>
            <w:gridSpan w:val="3"/>
            <w:vAlign w:val="center"/>
          </w:tcPr>
          <w:p w14:paraId="526C308F">
            <w:pPr>
              <w:spacing w:line="240" w:lineRule="auto"/>
              <w:jc w:val="center"/>
              <w:rPr>
                <w:rFonts w:hint="eastAsia" w:ascii="仿宋" w:hAnsi="仿宋" w:eastAsia="仿宋" w:cs="仿宋"/>
                <w:b w:val="0"/>
                <w:bCs w:val="0"/>
                <w:kern w:val="0"/>
                <w:sz w:val="24"/>
                <w:szCs w:val="24"/>
                <w:lang w:val="zh-TW" w:eastAsia="zh-TW"/>
              </w:rPr>
            </w:pPr>
            <w:r>
              <w:rPr>
                <w:rFonts w:hint="eastAsia" w:ascii="仿宋" w:hAnsi="仿宋" w:eastAsia="仿宋" w:cs="仿宋"/>
                <w:b w:val="0"/>
                <w:bCs w:val="0"/>
                <w:kern w:val="0"/>
                <w:sz w:val="24"/>
                <w:szCs w:val="24"/>
                <w:lang w:val="zh-TW" w:eastAsia="zh-TW"/>
              </w:rPr>
              <w:t>报价合计</w:t>
            </w:r>
          </w:p>
        </w:tc>
        <w:tc>
          <w:tcPr>
            <w:tcW w:w="0" w:type="auto"/>
            <w:gridSpan w:val="7"/>
            <w:vAlign w:val="center"/>
          </w:tcPr>
          <w:p w14:paraId="793D53FF">
            <w:pPr>
              <w:spacing w:line="240" w:lineRule="auto"/>
              <w:ind w:firstLine="120" w:firstLineChars="50"/>
              <w:jc w:val="left"/>
              <w:rPr>
                <w:rFonts w:hint="eastAsia" w:ascii="仿宋" w:hAnsi="仿宋" w:eastAsia="仿宋" w:cs="仿宋"/>
                <w:b w:val="0"/>
                <w:bCs w:val="0"/>
                <w:kern w:val="0"/>
                <w:sz w:val="24"/>
                <w:szCs w:val="24"/>
                <w:lang w:val="zh-TW" w:eastAsia="zh-TW"/>
              </w:rPr>
            </w:pPr>
            <w:r>
              <w:rPr>
                <w:rFonts w:hint="eastAsia" w:ascii="仿宋" w:hAnsi="仿宋" w:eastAsia="仿宋" w:cs="仿宋"/>
                <w:b w:val="0"/>
                <w:bCs w:val="0"/>
                <w:kern w:val="0"/>
                <w:sz w:val="24"/>
                <w:szCs w:val="24"/>
                <w:lang w:val="zh-TW" w:eastAsia="zh-TW"/>
              </w:rPr>
              <w:t xml:space="preserve">大写：       </w:t>
            </w:r>
            <w:r>
              <w:rPr>
                <w:rFonts w:hint="eastAsia" w:ascii="仿宋" w:hAnsi="仿宋" w:eastAsia="仿宋" w:cs="仿宋"/>
                <w:b w:val="0"/>
                <w:bCs w:val="0"/>
                <w:kern w:val="0"/>
                <w:sz w:val="24"/>
                <w:szCs w:val="24"/>
                <w:lang w:val="zh-TW"/>
              </w:rPr>
              <w:t xml:space="preserve">    </w:t>
            </w:r>
            <w:r>
              <w:rPr>
                <w:rFonts w:hint="eastAsia" w:ascii="仿宋" w:hAnsi="仿宋" w:eastAsia="仿宋" w:cs="仿宋"/>
                <w:b w:val="0"/>
                <w:bCs w:val="0"/>
                <w:kern w:val="0"/>
                <w:sz w:val="24"/>
                <w:szCs w:val="24"/>
                <w:lang w:val="zh-TW" w:eastAsia="zh-TW"/>
              </w:rPr>
              <w:t>小写：</w:t>
            </w:r>
          </w:p>
        </w:tc>
      </w:tr>
    </w:tbl>
    <w:p w14:paraId="555DA5A6">
      <w:pPr>
        <w:widowControl/>
        <w:jc w:val="left"/>
        <w:rPr>
          <w:rFonts w:ascii="Times New Roman" w:hAnsi="Times New Roman" w:eastAsia="仿宋" w:cs="Times New Roman"/>
          <w:szCs w:val="21"/>
          <w:lang w:val="zh-TW"/>
        </w:rPr>
      </w:pPr>
    </w:p>
    <w:p w14:paraId="108C256F">
      <w:pPr>
        <w:pStyle w:val="2"/>
        <w:rPr>
          <w:lang w:val="zh-TW"/>
        </w:rPr>
      </w:pPr>
    </w:p>
    <w:p w14:paraId="210B062D">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14:paraId="3EF8B328">
      <w:pPr>
        <w:pStyle w:val="2"/>
        <w:rPr>
          <w:rFonts w:ascii="Times New Roman" w:hAnsi="Times New Roman" w:eastAsia="仿宋" w:cs="Times New Roman"/>
          <w:szCs w:val="21"/>
          <w:lang w:val="zh-TW" w:eastAsia="zh-TW"/>
        </w:rPr>
      </w:pPr>
    </w:p>
    <w:p w14:paraId="65FDD1F5">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法定代表（负责人）或授权代表人</w:t>
      </w:r>
    </w:p>
    <w:p w14:paraId="556C8855">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14:paraId="3FB70709">
      <w:pPr>
        <w:jc w:val="left"/>
        <w:rPr>
          <w:rFonts w:hint="eastAsia" w:ascii="Times New Roman" w:hAnsi="Times New Roman" w:eastAsia="仿宋" w:cs="Times New Roman"/>
          <w:sz w:val="24"/>
          <w:szCs w:val="24"/>
          <w:u w:val="single"/>
          <w:lang w:val="en-US" w:eastAsia="zh-CN"/>
        </w:rPr>
      </w:pPr>
      <w:r>
        <w:rPr>
          <w:rFonts w:ascii="Times New Roman" w:hAnsi="Times New Roman" w:eastAsia="仿宋" w:cs="Times New Roman"/>
          <w:sz w:val="24"/>
          <w:szCs w:val="24"/>
        </w:rPr>
        <w:t>____</w:t>
      </w:r>
      <w:r>
        <w:rPr>
          <w:rFonts w:ascii="Times New Roman" w:hAnsi="Times New Roman" w:eastAsia="仿宋" w:cs="Times New Roman"/>
          <w:sz w:val="24"/>
          <w:szCs w:val="24"/>
          <w:lang w:val="zh-TW" w:eastAsia="zh-TW"/>
        </w:rPr>
        <w:t>年</w:t>
      </w:r>
      <w:r>
        <w:rPr>
          <w:rFonts w:ascii="Times New Roman" w:hAnsi="Times New Roman" w:eastAsia="仿宋" w:cs="Times New Roman"/>
          <w:sz w:val="24"/>
          <w:szCs w:val="24"/>
          <w:u w:val="single"/>
        </w:rPr>
        <w:t xml:space="preserve"> </w:t>
      </w:r>
      <w:r>
        <w:rPr>
          <w:rFonts w:hint="eastAsia" w:ascii="Times New Roman" w:hAnsi="Times New Roman" w:eastAsia="仿宋" w:cs="Times New Roman"/>
          <w:sz w:val="24"/>
          <w:szCs w:val="24"/>
          <w:u w:val="single"/>
          <w:lang w:val="en-US" w:eastAsia="zh-CN"/>
        </w:rPr>
        <w:t xml:space="preserve"> </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r>
        <w:rPr>
          <w:rFonts w:hint="eastAsia" w:ascii="Times New Roman" w:hAnsi="Times New Roman" w:eastAsia="仿宋" w:cs="Times New Roman"/>
          <w:sz w:val="24"/>
          <w:szCs w:val="24"/>
          <w:u w:val="single"/>
          <w:lang w:val="en-US" w:eastAsia="zh-CN"/>
        </w:rPr>
        <w:t xml:space="preserve"> </w:t>
      </w:r>
      <w:r>
        <w:rPr>
          <w:rFonts w:ascii="Times New Roman" w:hAnsi="Times New Roman" w:eastAsia="仿宋" w:cs="Times New Roman"/>
          <w:sz w:val="24"/>
          <w:szCs w:val="24"/>
          <w:u w:val="single"/>
        </w:rPr>
        <w:t xml:space="preserve"> </w:t>
      </w:r>
      <w:bookmarkStart w:id="88" w:name="_Toc29032"/>
      <w:bookmarkStart w:id="89" w:name="_Toc30002"/>
      <w:bookmarkStart w:id="90" w:name="_Toc14685"/>
      <w:r>
        <w:rPr>
          <w:rFonts w:hint="eastAsia" w:ascii="Times New Roman" w:hAnsi="Times New Roman" w:eastAsia="仿宋" w:cs="Times New Roman"/>
          <w:sz w:val="24"/>
          <w:szCs w:val="24"/>
          <w:u w:val="none"/>
          <w:lang w:val="en-US" w:eastAsia="zh-CN"/>
        </w:rPr>
        <w:t>日</w:t>
      </w:r>
    </w:p>
    <w:p w14:paraId="6B95BC28">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A604D34">
      <w:pPr>
        <w:pStyle w:val="4"/>
        <w:ind w:firstLine="0"/>
      </w:pPr>
      <w:r>
        <w:t>供应商认为需要提供的其他材料</w:t>
      </w:r>
      <w:bookmarkEnd w:id="84"/>
      <w:bookmarkEnd w:id="85"/>
      <w:bookmarkEnd w:id="86"/>
      <w:bookmarkEnd w:id="88"/>
      <w:bookmarkEnd w:id="89"/>
      <w:bookmarkEnd w:id="90"/>
    </w:p>
    <w:p w14:paraId="0B7EBBB4">
      <w:pPr>
        <w:pStyle w:val="2"/>
        <w:jc w:val="center"/>
        <w:rPr>
          <w:rFonts w:ascii="Times New Roman" w:hAnsi="Times New Roman" w:eastAsia="仿宋" w:cs="Times New Roman"/>
        </w:rPr>
      </w:pPr>
    </w:p>
    <w:p w14:paraId="17F3ACE1">
      <w:pPr>
        <w:pStyle w:val="2"/>
        <w:jc w:val="center"/>
        <w:rPr>
          <w:rFonts w:ascii="Times New Roman" w:hAnsi="Times New Roman" w:eastAsia="仿宋" w:cs="Times New Roman"/>
        </w:rPr>
      </w:pPr>
    </w:p>
    <w:p w14:paraId="7A3BE7F6">
      <w:pPr>
        <w:pStyle w:val="2"/>
        <w:jc w:val="center"/>
        <w:rPr>
          <w:rFonts w:ascii="Times New Roman" w:hAnsi="Times New Roman" w:eastAsia="仿宋" w:cs="Times New Roman"/>
        </w:rPr>
      </w:pPr>
    </w:p>
    <w:p w14:paraId="673EB95B">
      <w:pPr>
        <w:pStyle w:val="2"/>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6C59D4F6">
      <w:pPr>
        <w:rPr>
          <w:rFonts w:ascii="Times New Roman" w:hAnsi="Times New Roman" w:eastAsia="黑体" w:cs="Times New Roman"/>
          <w:b/>
          <w:sz w:val="36"/>
          <w:szCs w:val="32"/>
        </w:rPr>
      </w:pPr>
      <w:bookmarkStart w:id="91" w:name="_Toc5447"/>
      <w:bookmarkStart w:id="92" w:name="_Toc20691"/>
      <w:r>
        <w:rPr>
          <w:rFonts w:ascii="Times New Roman" w:hAnsi="Times New Roman" w:eastAsia="黑体" w:cs="Times New Roman"/>
          <w:b/>
          <w:sz w:val="36"/>
          <w:szCs w:val="32"/>
        </w:rPr>
        <w:br w:type="page"/>
      </w:r>
    </w:p>
    <w:p w14:paraId="4D4BD9B4">
      <w:pPr>
        <w:pStyle w:val="3"/>
        <w:numPr>
          <w:ilvl w:val="0"/>
          <w:numId w:val="0"/>
        </w:numPr>
        <w:ind w:left="0" w:leftChars="0" w:firstLine="0" w:firstLineChars="0"/>
        <w:rPr>
          <w:rFonts w:ascii="Times New Roman" w:hAnsi="Times New Roman" w:cs="Times New Roman"/>
        </w:rPr>
      </w:pPr>
      <w:bookmarkStart w:id="93" w:name="_Toc192583771"/>
      <w:r>
        <w:rPr>
          <w:rFonts w:hint="eastAsia" w:ascii="Times New Roman" w:hAnsi="Times New Roman" w:eastAsia="黑体" w:cs="Times New Roman"/>
          <w:b/>
          <w:kern w:val="44"/>
          <w:sz w:val="36"/>
          <w:szCs w:val="22"/>
          <w:lang w:val="zh-CN" w:eastAsia="zh-CN" w:bidi="ar-SA"/>
        </w:rPr>
        <w:t xml:space="preserve">第六章 </w:t>
      </w:r>
      <w:r>
        <w:rPr>
          <w:rFonts w:ascii="Times New Roman" w:hAnsi="Times New Roman" w:cs="Times New Roman"/>
        </w:rPr>
        <w:t>合同条款（仅成交后使用）</w:t>
      </w:r>
      <w:bookmarkEnd w:id="91"/>
      <w:bookmarkEnd w:id="92"/>
      <w:bookmarkEnd w:id="93"/>
    </w:p>
    <w:p w14:paraId="71EB9D4A">
      <w:pPr>
        <w:pStyle w:val="2"/>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76FE03FC">
      <w:pPr>
        <w:pStyle w:val="12"/>
        <w:spacing w:line="360" w:lineRule="auto"/>
        <w:jc w:val="left"/>
        <w:rPr>
          <w:rFonts w:ascii="Times New Roman" w:hAnsi="Times New Roman" w:eastAsia="仿宋" w:cs="Times New Roman"/>
          <w:sz w:val="16"/>
          <w:szCs w:val="20"/>
          <w:highlight w:val="none"/>
        </w:rPr>
      </w:pPr>
    </w:p>
    <w:p w14:paraId="70856B6A">
      <w:pPr>
        <w:jc w:val="center"/>
        <w:rPr>
          <w:rFonts w:ascii="黑体" w:hAnsi="黑体" w:eastAsia="黑体"/>
          <w:b/>
          <w:bCs/>
          <w:sz w:val="48"/>
          <w:szCs w:val="48"/>
        </w:rPr>
      </w:pPr>
      <w:r>
        <w:rPr>
          <w:rFonts w:hint="eastAsia" w:ascii="黑体" w:hAnsi="黑体" w:eastAsia="黑体"/>
          <w:b/>
          <w:bCs/>
          <w:sz w:val="48"/>
          <w:szCs w:val="48"/>
        </w:rPr>
        <w:t>软 件</w:t>
      </w:r>
      <w:r>
        <w:rPr>
          <w:rFonts w:ascii="黑体" w:hAnsi="黑体" w:eastAsia="黑体"/>
          <w:b/>
          <w:bCs/>
          <w:sz w:val="48"/>
          <w:szCs w:val="48"/>
        </w:rPr>
        <w:t xml:space="preserve"> </w:t>
      </w:r>
      <w:r>
        <w:rPr>
          <w:rFonts w:hint="eastAsia" w:ascii="黑体" w:hAnsi="黑体" w:eastAsia="黑体"/>
          <w:b/>
          <w:bCs/>
          <w:sz w:val="48"/>
          <w:szCs w:val="48"/>
        </w:rPr>
        <w:t xml:space="preserve">开 发 </w:t>
      </w:r>
      <w:r>
        <w:rPr>
          <w:rFonts w:ascii="黑体" w:hAnsi="黑体" w:eastAsia="黑体"/>
          <w:b/>
          <w:bCs/>
          <w:sz w:val="48"/>
          <w:szCs w:val="48"/>
        </w:rPr>
        <w:t>合 同</w:t>
      </w:r>
    </w:p>
    <w:p w14:paraId="648C3820">
      <w:pPr>
        <w:contextualSpacing/>
        <w:rPr>
          <w:rFonts w:hint="eastAsia" w:ascii="Times New Roman" w:hAnsi="Times New Roman"/>
          <w:szCs w:val="21"/>
          <w:highlight w:val="none"/>
        </w:rPr>
      </w:pPr>
    </w:p>
    <w:tbl>
      <w:tblPr>
        <w:tblStyle w:val="18"/>
        <w:tblW w:w="5000" w:type="pct"/>
        <w:jc w:val="center"/>
        <w:tblLayout w:type="autofit"/>
        <w:tblCellMar>
          <w:top w:w="0" w:type="dxa"/>
          <w:left w:w="0" w:type="dxa"/>
          <w:bottom w:w="0" w:type="dxa"/>
          <w:right w:w="0" w:type="dxa"/>
        </w:tblCellMar>
      </w:tblPr>
      <w:tblGrid>
        <w:gridCol w:w="4687"/>
        <w:gridCol w:w="4950"/>
      </w:tblGrid>
      <w:tr w14:paraId="64661DB7">
        <w:tblPrEx>
          <w:tblCellMar>
            <w:top w:w="0" w:type="dxa"/>
            <w:left w:w="0" w:type="dxa"/>
            <w:bottom w:w="0" w:type="dxa"/>
            <w:right w:w="0" w:type="dxa"/>
          </w:tblCellMar>
        </w:tblPrEx>
        <w:trPr>
          <w:trHeight w:val="767" w:hRule="atLeast"/>
          <w:jc w:val="center"/>
        </w:trPr>
        <w:tc>
          <w:tcPr>
            <w:tcW w:w="10204" w:type="dxa"/>
            <w:gridSpan w:val="2"/>
            <w:noWrap w:val="0"/>
            <w:vAlign w:val="top"/>
          </w:tcPr>
          <w:p w14:paraId="19598F0C">
            <w:pPr>
              <w:contextualSpacing/>
              <w:rPr>
                <w:rFonts w:ascii="Times New Roman" w:hAnsi="Times New Roman"/>
                <w:color w:val="000000"/>
                <w:szCs w:val="21"/>
                <w:highlight w:val="none"/>
              </w:rPr>
            </w:pPr>
            <w:r>
              <w:rPr>
                <w:rFonts w:ascii="Times New Roman" w:hAnsi="Times New Roman"/>
                <w:b/>
                <w:bCs/>
                <w:color w:val="000000"/>
                <w:szCs w:val="21"/>
                <w:highlight w:val="none"/>
              </w:rPr>
              <w:t>合同编号</w:t>
            </w:r>
            <w:r>
              <w:rPr>
                <w:rFonts w:ascii="Times New Roman" w:hAnsi="Times New Roman"/>
                <w:color w:val="000000"/>
                <w:szCs w:val="21"/>
                <w:highlight w:val="none"/>
              </w:rPr>
              <w:t>：</w:t>
            </w:r>
            <w:r>
              <w:rPr>
                <w:rFonts w:hint="eastAsia" w:ascii="Times New Roman" w:hAnsi="Times New Roman"/>
                <w:color w:val="000000"/>
                <w:szCs w:val="21"/>
                <w:highlight w:val="none"/>
              </w:rPr>
              <w:t>CGZX</w:t>
            </w:r>
            <w:r>
              <w:rPr>
                <w:rFonts w:ascii="Times New Roman" w:hAnsi="Times New Roman"/>
                <w:color w:val="000000"/>
                <w:szCs w:val="21"/>
                <w:highlight w:val="none"/>
              </w:rPr>
              <w:t>-***</w:t>
            </w:r>
          </w:p>
          <w:p w14:paraId="74F1DA41">
            <w:pPr>
              <w:contextualSpacing/>
              <w:rPr>
                <w:rFonts w:hint="eastAsia" w:ascii="Times New Roman" w:hAnsi="Times New Roman"/>
                <w:color w:val="000000"/>
                <w:szCs w:val="21"/>
                <w:highlight w:val="none"/>
              </w:rPr>
            </w:pPr>
            <w:r>
              <w:rPr>
                <w:rFonts w:ascii="Times New Roman" w:hAnsi="Times New Roman"/>
                <w:b/>
                <w:bCs/>
                <w:color w:val="000000"/>
                <w:szCs w:val="21"/>
                <w:highlight w:val="none"/>
              </w:rPr>
              <w:t>签订地点</w:t>
            </w:r>
            <w:r>
              <w:rPr>
                <w:rFonts w:ascii="Times New Roman" w:hAnsi="Times New Roman"/>
                <w:color w:val="000000"/>
                <w:szCs w:val="21"/>
                <w:highlight w:val="none"/>
              </w:rPr>
              <w:t>：四川省人民医院</w:t>
            </w:r>
          </w:p>
        </w:tc>
      </w:tr>
      <w:tr w14:paraId="58934090">
        <w:tblPrEx>
          <w:tblCellMar>
            <w:top w:w="0" w:type="dxa"/>
            <w:left w:w="0" w:type="dxa"/>
            <w:bottom w:w="0" w:type="dxa"/>
            <w:right w:w="0" w:type="dxa"/>
          </w:tblCellMar>
        </w:tblPrEx>
        <w:trPr>
          <w:jc w:val="center"/>
        </w:trPr>
        <w:tc>
          <w:tcPr>
            <w:tcW w:w="4962" w:type="dxa"/>
            <w:noWrap w:val="0"/>
            <w:vAlign w:val="top"/>
          </w:tcPr>
          <w:p w14:paraId="780C3882">
            <w:pPr>
              <w:rPr>
                <w:rFonts w:ascii="Times New Roman" w:hAnsi="Times New Roman"/>
                <w:szCs w:val="21"/>
                <w:highlight w:val="none"/>
              </w:rPr>
            </w:pPr>
            <w:r>
              <w:rPr>
                <w:rFonts w:ascii="Times New Roman" w:hAnsi="Times New Roman"/>
                <w:b/>
                <w:bCs/>
                <w:szCs w:val="21"/>
                <w:highlight w:val="none"/>
              </w:rPr>
              <w:t>采购人（以下简称甲方）</w:t>
            </w:r>
            <w:r>
              <w:rPr>
                <w:rFonts w:ascii="Times New Roman" w:hAnsi="Times New Roman"/>
                <w:szCs w:val="21"/>
                <w:highlight w:val="none"/>
              </w:rPr>
              <w:t>：四川省人民医院</w:t>
            </w:r>
          </w:p>
          <w:p w14:paraId="6D751869">
            <w:pPr>
              <w:rPr>
                <w:rFonts w:ascii="Times New Roman" w:hAnsi="Times New Roman"/>
                <w:szCs w:val="21"/>
                <w:highlight w:val="none"/>
              </w:rPr>
            </w:pPr>
            <w:r>
              <w:rPr>
                <w:rFonts w:ascii="Times New Roman" w:hAnsi="Times New Roman"/>
                <w:b/>
                <w:bCs/>
                <w:szCs w:val="21"/>
                <w:highlight w:val="none"/>
              </w:rPr>
              <w:t>地址</w:t>
            </w:r>
            <w:r>
              <w:rPr>
                <w:rFonts w:ascii="Times New Roman" w:hAnsi="Times New Roman"/>
                <w:szCs w:val="21"/>
                <w:highlight w:val="none"/>
              </w:rPr>
              <w:t>：四川省成都市一环路西二段32号</w:t>
            </w:r>
          </w:p>
          <w:p w14:paraId="45B34E08">
            <w:pPr>
              <w:rPr>
                <w:rFonts w:hint="eastAsia" w:ascii="Times New Roman" w:hAnsi="Times New Roman"/>
                <w:szCs w:val="21"/>
                <w:highlight w:val="none"/>
              </w:rPr>
            </w:pPr>
            <w:r>
              <w:rPr>
                <w:rFonts w:ascii="Times New Roman" w:hAnsi="Times New Roman"/>
                <w:b/>
                <w:bCs/>
                <w:szCs w:val="21"/>
                <w:highlight w:val="none"/>
              </w:rPr>
              <w:t>项目联系人</w:t>
            </w:r>
            <w:r>
              <w:rPr>
                <w:rFonts w:ascii="Times New Roman" w:hAnsi="Times New Roman"/>
                <w:szCs w:val="21"/>
                <w:highlight w:val="none"/>
              </w:rPr>
              <w:t xml:space="preserve">：*** </w:t>
            </w:r>
            <w:r>
              <w:rPr>
                <w:rFonts w:ascii="Times New Roman" w:hAnsi="Times New Roman"/>
                <w:b/>
                <w:bCs/>
                <w:szCs w:val="21"/>
                <w:highlight w:val="none"/>
              </w:rPr>
              <w:t>电话</w:t>
            </w:r>
            <w:r>
              <w:rPr>
                <w:rFonts w:ascii="Times New Roman" w:hAnsi="Times New Roman"/>
                <w:szCs w:val="21"/>
                <w:highlight w:val="none"/>
              </w:rPr>
              <w:t>：***</w:t>
            </w:r>
          </w:p>
        </w:tc>
        <w:tc>
          <w:tcPr>
            <w:tcW w:w="5242" w:type="dxa"/>
            <w:noWrap w:val="0"/>
            <w:vAlign w:val="top"/>
          </w:tcPr>
          <w:p w14:paraId="1C4A7191">
            <w:pPr>
              <w:rPr>
                <w:rFonts w:ascii="Times New Roman" w:hAnsi="Times New Roman"/>
                <w:szCs w:val="21"/>
                <w:highlight w:val="none"/>
              </w:rPr>
            </w:pPr>
            <w:r>
              <w:rPr>
                <w:rFonts w:ascii="Times New Roman" w:hAnsi="Times New Roman"/>
                <w:b/>
                <w:bCs/>
                <w:szCs w:val="21"/>
                <w:highlight w:val="none"/>
              </w:rPr>
              <w:t>供应商（以下简称乙方）</w:t>
            </w:r>
            <w:r>
              <w:rPr>
                <w:rFonts w:ascii="Times New Roman" w:hAnsi="Times New Roman"/>
                <w:szCs w:val="21"/>
                <w:highlight w:val="none"/>
              </w:rPr>
              <w:t>：***</w:t>
            </w:r>
          </w:p>
          <w:p w14:paraId="0218E7F6">
            <w:pPr>
              <w:rPr>
                <w:rFonts w:ascii="Times New Roman" w:hAnsi="Times New Roman"/>
                <w:szCs w:val="21"/>
                <w:highlight w:val="none"/>
              </w:rPr>
            </w:pPr>
            <w:r>
              <w:rPr>
                <w:rFonts w:ascii="Times New Roman" w:hAnsi="Times New Roman"/>
                <w:b/>
                <w:bCs/>
                <w:szCs w:val="21"/>
                <w:highlight w:val="none"/>
              </w:rPr>
              <w:t>地址</w:t>
            </w:r>
            <w:r>
              <w:rPr>
                <w:rFonts w:ascii="Times New Roman" w:hAnsi="Times New Roman"/>
                <w:szCs w:val="21"/>
                <w:highlight w:val="none"/>
              </w:rPr>
              <w:t>：***</w:t>
            </w:r>
          </w:p>
          <w:p w14:paraId="12D9A448">
            <w:pPr>
              <w:rPr>
                <w:rFonts w:ascii="Times New Roman" w:hAnsi="Times New Roman"/>
                <w:szCs w:val="21"/>
                <w:highlight w:val="none"/>
              </w:rPr>
            </w:pPr>
            <w:r>
              <w:rPr>
                <w:rFonts w:ascii="Times New Roman" w:hAnsi="Times New Roman"/>
                <w:b/>
                <w:bCs/>
                <w:szCs w:val="21"/>
                <w:highlight w:val="none"/>
              </w:rPr>
              <w:t>移动电话</w:t>
            </w:r>
            <w:r>
              <w:rPr>
                <w:rFonts w:ascii="Times New Roman" w:hAnsi="Times New Roman"/>
                <w:szCs w:val="21"/>
                <w:highlight w:val="none"/>
              </w:rPr>
              <w:t>：***</w:t>
            </w:r>
          </w:p>
          <w:p w14:paraId="7753D83E">
            <w:pPr>
              <w:contextualSpacing/>
              <w:rPr>
                <w:rFonts w:hint="eastAsia" w:ascii="Times New Roman" w:hAnsi="Times New Roman"/>
                <w:szCs w:val="21"/>
                <w:highlight w:val="none"/>
              </w:rPr>
            </w:pPr>
            <w:r>
              <w:rPr>
                <w:rFonts w:ascii="Times New Roman" w:hAnsi="Times New Roman"/>
                <w:b/>
                <w:bCs/>
                <w:szCs w:val="21"/>
                <w:highlight w:val="none"/>
              </w:rPr>
              <w:t>联系人</w:t>
            </w:r>
            <w:r>
              <w:rPr>
                <w:rFonts w:ascii="Times New Roman" w:hAnsi="Times New Roman"/>
                <w:szCs w:val="21"/>
                <w:highlight w:val="none"/>
              </w:rPr>
              <w:t>：***</w:t>
            </w:r>
          </w:p>
        </w:tc>
      </w:tr>
    </w:tbl>
    <w:p w14:paraId="0FAA34A8">
      <w:pPr>
        <w:adjustRightInd w:val="0"/>
        <w:snapToGrid w:val="0"/>
        <w:spacing w:before="312" w:beforeLines="100" w:after="312" w:afterLines="100"/>
        <w:contextualSpacing/>
        <w:jc w:val="left"/>
        <w:rPr>
          <w:rFonts w:ascii="Times New Roman" w:hAnsi="Times New Roman"/>
          <w:color w:val="000000"/>
          <w:szCs w:val="21"/>
          <w:highlight w:val="none"/>
        </w:rPr>
      </w:pPr>
      <w:bookmarkStart w:id="94" w:name="OLE_LINK6"/>
      <w:bookmarkStart w:id="95" w:name="OLE_LINK5"/>
    </w:p>
    <w:p w14:paraId="43B005BB">
      <w:pPr>
        <w:adjustRightInd w:val="0"/>
        <w:snapToGrid w:val="0"/>
        <w:spacing w:before="312" w:beforeLines="100" w:after="312" w:afterLines="100"/>
        <w:ind w:firstLine="420" w:firstLineChars="200"/>
        <w:contextualSpacing/>
        <w:jc w:val="left"/>
        <w:rPr>
          <w:rFonts w:ascii="Times New Roman" w:hAnsi="Times New Roman"/>
          <w:b/>
          <w:szCs w:val="21"/>
          <w:highlight w:val="none"/>
        </w:rPr>
      </w:pPr>
      <w:r>
        <w:rPr>
          <w:rFonts w:ascii="Times New Roman" w:hAnsi="Times New Roman"/>
          <w:color w:val="000000"/>
          <w:szCs w:val="21"/>
          <w:highlight w:val="none"/>
        </w:rPr>
        <w:t>根据《中华人民共和国民法典》及甲方</w:t>
      </w:r>
      <w:r>
        <w:rPr>
          <w:rFonts w:hint="eastAsia" w:ascii="Times New Roman" w:hAnsi="Times New Roman"/>
          <w:color w:val="000000"/>
          <w:szCs w:val="21"/>
          <w:highlight w:val="none"/>
        </w:rPr>
        <w:t>发布</w:t>
      </w:r>
      <w:r>
        <w:rPr>
          <w:rFonts w:ascii="Times New Roman" w:hAnsi="Times New Roman"/>
          <w:color w:val="000000"/>
          <w:szCs w:val="21"/>
          <w:highlight w:val="none"/>
        </w:rPr>
        <w:t>的</w:t>
      </w:r>
      <w:r>
        <w:rPr>
          <w:rFonts w:hint="eastAsia" w:ascii="Times New Roman" w:hAnsi="Times New Roman"/>
          <w:color w:val="000000"/>
          <w:szCs w:val="21"/>
          <w:highlight w:val="none"/>
        </w:rPr>
        <w:t>*</w:t>
      </w:r>
      <w:r>
        <w:rPr>
          <w:rFonts w:ascii="Times New Roman" w:hAnsi="Times New Roman"/>
          <w:color w:val="000000"/>
          <w:szCs w:val="21"/>
          <w:highlight w:val="none"/>
        </w:rPr>
        <w:t>**项目（项目编号：</w:t>
      </w:r>
      <w:r>
        <w:rPr>
          <w:rFonts w:ascii="Times New Roman" w:hAnsi="Times New Roman"/>
          <w:szCs w:val="21"/>
          <w:highlight w:val="none"/>
        </w:rPr>
        <w:t>***</w:t>
      </w:r>
      <w:r>
        <w:rPr>
          <w:rFonts w:ascii="Times New Roman" w:hAnsi="Times New Roman"/>
          <w:color w:val="000000"/>
          <w:szCs w:val="21"/>
          <w:highlight w:val="none"/>
        </w:rPr>
        <w:t>）《采购文件》、乙方的《</w:t>
      </w:r>
      <w:r>
        <w:rPr>
          <w:rFonts w:hint="eastAsia" w:ascii="Times New Roman" w:hAnsi="Times New Roman"/>
          <w:color w:val="000000"/>
          <w:szCs w:val="21"/>
          <w:highlight w:val="none"/>
        </w:rPr>
        <w:t>响应</w:t>
      </w:r>
      <w:r>
        <w:rPr>
          <w:rFonts w:ascii="Times New Roman" w:hAnsi="Times New Roman"/>
          <w:color w:val="000000"/>
          <w:szCs w:val="21"/>
          <w:highlight w:val="none"/>
        </w:rPr>
        <w:t>文件》，甲、乙双方同意签订本合同。详细技术说明及其他有关合同项目的特定信息</w:t>
      </w:r>
      <w:r>
        <w:rPr>
          <w:rFonts w:hint="eastAsia" w:ascii="Times New Roman" w:hAnsi="Times New Roman"/>
          <w:color w:val="000000"/>
          <w:szCs w:val="21"/>
          <w:highlight w:val="none"/>
        </w:rPr>
        <w:t>可</w:t>
      </w:r>
      <w:r>
        <w:rPr>
          <w:rFonts w:ascii="Times New Roman" w:hAnsi="Times New Roman"/>
          <w:color w:val="000000"/>
          <w:szCs w:val="21"/>
          <w:highlight w:val="none"/>
        </w:rPr>
        <w:t>由合同附件予以说明，合同附件及本项目的《采购文件》、《</w:t>
      </w:r>
      <w:r>
        <w:rPr>
          <w:rFonts w:hint="eastAsia" w:ascii="Times New Roman" w:hAnsi="Times New Roman"/>
          <w:color w:val="000000"/>
          <w:szCs w:val="21"/>
          <w:highlight w:val="none"/>
        </w:rPr>
        <w:t>响应</w:t>
      </w:r>
      <w:r>
        <w:rPr>
          <w:rFonts w:ascii="Times New Roman" w:hAnsi="Times New Roman"/>
          <w:color w:val="000000"/>
          <w:szCs w:val="21"/>
          <w:highlight w:val="none"/>
        </w:rPr>
        <w:t>文件》等均为本合同不可分割的部分。双方同意共同遵守</w:t>
      </w:r>
      <w:r>
        <w:rPr>
          <w:rFonts w:hint="eastAsia" w:ascii="Times New Roman" w:hAnsi="Times New Roman"/>
          <w:color w:val="000000"/>
          <w:szCs w:val="21"/>
          <w:highlight w:val="none"/>
        </w:rPr>
        <w:t>以下</w:t>
      </w:r>
      <w:r>
        <w:rPr>
          <w:rFonts w:ascii="Times New Roman" w:hAnsi="Times New Roman"/>
          <w:color w:val="000000"/>
          <w:szCs w:val="21"/>
          <w:highlight w:val="none"/>
        </w:rPr>
        <w:t>条款：</w:t>
      </w:r>
    </w:p>
    <w:bookmarkEnd w:id="94"/>
    <w:bookmarkEnd w:id="95"/>
    <w:p w14:paraId="2050908D">
      <w:pPr>
        <w:ind w:firstLine="420" w:firstLineChars="200"/>
        <w:rPr>
          <w:rFonts w:ascii="Times New Roman" w:hAnsi="Times New Roman"/>
          <w:color w:val="000000"/>
          <w:szCs w:val="21"/>
          <w:highlight w:val="none"/>
        </w:rPr>
      </w:pPr>
    </w:p>
    <w:p w14:paraId="7D831B4E">
      <w:pPr>
        <w:pStyle w:val="30"/>
        <w:numPr>
          <w:ilvl w:val="0"/>
          <w:numId w:val="12"/>
        </w:numPr>
        <w:snapToGrid w:val="0"/>
        <w:ind w:firstLineChars="0"/>
        <w:rPr>
          <w:rFonts w:ascii="Times New Roman" w:hAnsi="Times New Roman"/>
          <w:b/>
          <w:bCs/>
          <w:szCs w:val="21"/>
          <w:highlight w:val="none"/>
        </w:rPr>
      </w:pPr>
      <w:r>
        <w:rPr>
          <w:rFonts w:hint="eastAsia" w:ascii="Times New Roman" w:hAnsi="Times New Roman"/>
          <w:b/>
          <w:bCs/>
          <w:szCs w:val="21"/>
          <w:highlight w:val="none"/>
        </w:rPr>
        <w:t>开发项目</w:t>
      </w:r>
      <w:r>
        <w:rPr>
          <w:rFonts w:ascii="Times New Roman" w:hAnsi="Times New Roman"/>
          <w:b/>
          <w:bCs/>
          <w:szCs w:val="21"/>
          <w:highlight w:val="none"/>
        </w:rPr>
        <w:t>信息</w:t>
      </w:r>
    </w:p>
    <w:p w14:paraId="222528CA">
      <w:pPr>
        <w:pStyle w:val="30"/>
        <w:numPr>
          <w:ilvl w:val="0"/>
          <w:numId w:val="13"/>
        </w:numPr>
        <w:ind w:left="0" w:firstLine="0" w:firstLineChars="0"/>
        <w:contextualSpacing/>
        <w:rPr>
          <w:rFonts w:ascii="Times New Roman" w:hAnsi="Times New Roman"/>
          <w:color w:val="000000"/>
          <w:szCs w:val="21"/>
          <w:highlight w:val="none"/>
        </w:rPr>
      </w:pPr>
      <w:r>
        <w:rPr>
          <w:rFonts w:hint="eastAsia" w:ascii="Times New Roman" w:hAnsi="Times New Roman"/>
          <w:color w:val="000000"/>
          <w:szCs w:val="21"/>
          <w:highlight w:val="none"/>
        </w:rPr>
        <w:t>软件名称：*</w:t>
      </w:r>
      <w:r>
        <w:rPr>
          <w:rFonts w:ascii="Times New Roman" w:hAnsi="Times New Roman"/>
          <w:color w:val="000000"/>
          <w:szCs w:val="21"/>
          <w:highlight w:val="none"/>
        </w:rPr>
        <w:t>**</w:t>
      </w:r>
      <w:r>
        <w:rPr>
          <w:rFonts w:hint="eastAsia" w:ascii="Times New Roman" w:hAnsi="Times New Roman"/>
          <w:color w:val="000000"/>
          <w:szCs w:val="21"/>
          <w:highlight w:val="none"/>
        </w:rPr>
        <w:t>。</w:t>
      </w:r>
    </w:p>
    <w:p w14:paraId="139453E7">
      <w:pPr>
        <w:pStyle w:val="30"/>
        <w:numPr>
          <w:ilvl w:val="0"/>
          <w:numId w:val="13"/>
        </w:numPr>
        <w:ind w:left="0" w:firstLine="0" w:firstLineChars="0"/>
        <w:contextualSpacing/>
        <w:rPr>
          <w:rFonts w:hint="eastAsia" w:ascii="Times New Roman" w:hAnsi="Times New Roman"/>
          <w:color w:val="000000"/>
          <w:szCs w:val="21"/>
          <w:highlight w:val="none"/>
        </w:rPr>
      </w:pPr>
      <w:r>
        <w:rPr>
          <w:rFonts w:hint="eastAsia" w:ascii="Times New Roman" w:hAnsi="Times New Roman"/>
          <w:color w:val="000000"/>
          <w:szCs w:val="21"/>
          <w:highlight w:val="none"/>
        </w:rPr>
        <w:t>软件的主要功能：</w:t>
      </w:r>
      <w:bookmarkStart w:id="96" w:name="OLE_LINK1"/>
      <w:r>
        <w:rPr>
          <w:rFonts w:hint="eastAsia" w:ascii="Times New Roman" w:hAnsi="Times New Roman"/>
          <w:color w:val="000000"/>
          <w:szCs w:val="21"/>
          <w:highlight w:val="none"/>
        </w:rPr>
        <w:t>*</w:t>
      </w:r>
      <w:r>
        <w:rPr>
          <w:rFonts w:ascii="Times New Roman" w:hAnsi="Times New Roman"/>
          <w:color w:val="000000"/>
          <w:szCs w:val="21"/>
          <w:highlight w:val="none"/>
        </w:rPr>
        <w:t>**</w:t>
      </w:r>
      <w:r>
        <w:rPr>
          <w:rFonts w:hint="eastAsia" w:ascii="Times New Roman" w:hAnsi="Times New Roman"/>
          <w:i/>
          <w:iCs/>
          <w:color w:val="000000"/>
          <w:szCs w:val="21"/>
          <w:highlight w:val="none"/>
        </w:rPr>
        <w:t>&lt;根据项目实际情况可附附件说明</w:t>
      </w:r>
      <w:bookmarkEnd w:id="96"/>
      <w:r>
        <w:rPr>
          <w:rFonts w:hint="eastAsia" w:ascii="Times New Roman" w:hAnsi="Times New Roman"/>
          <w:i/>
          <w:iCs/>
          <w:color w:val="000000"/>
          <w:szCs w:val="21"/>
          <w:highlight w:val="none"/>
        </w:rPr>
        <w:t>&gt;</w:t>
      </w:r>
    </w:p>
    <w:p w14:paraId="40AEFFFD">
      <w:pPr>
        <w:pStyle w:val="30"/>
        <w:numPr>
          <w:ilvl w:val="0"/>
          <w:numId w:val="13"/>
        </w:numPr>
        <w:ind w:left="0" w:firstLine="0" w:firstLineChars="0"/>
        <w:contextualSpacing/>
        <w:rPr>
          <w:rFonts w:ascii="Times New Roman" w:hAnsi="Times New Roman"/>
          <w:color w:val="000000"/>
          <w:szCs w:val="21"/>
          <w:highlight w:val="none"/>
        </w:rPr>
      </w:pPr>
      <w:r>
        <w:rPr>
          <w:rFonts w:ascii="Times New Roman" w:hAnsi="Times New Roman"/>
          <w:szCs w:val="21"/>
          <w:highlight w:val="none"/>
        </w:rPr>
        <w:t>软件的</w:t>
      </w:r>
      <w:r>
        <w:rPr>
          <w:rFonts w:hint="eastAsia" w:ascii="Times New Roman" w:hAnsi="Times New Roman"/>
          <w:szCs w:val="21"/>
          <w:highlight w:val="none"/>
        </w:rPr>
        <w:t>设计</w:t>
      </w:r>
      <w:r>
        <w:rPr>
          <w:rFonts w:ascii="Times New Roman" w:hAnsi="Times New Roman"/>
          <w:szCs w:val="21"/>
          <w:highlight w:val="none"/>
        </w:rPr>
        <w:t>要求：</w:t>
      </w:r>
      <w:r>
        <w:rPr>
          <w:rFonts w:hint="eastAsia" w:ascii="Times New Roman" w:hAnsi="Times New Roman"/>
          <w:szCs w:val="21"/>
          <w:highlight w:val="none"/>
        </w:rPr>
        <w:t>*</w:t>
      </w:r>
      <w:r>
        <w:rPr>
          <w:rFonts w:ascii="Times New Roman" w:hAnsi="Times New Roman"/>
          <w:szCs w:val="21"/>
          <w:highlight w:val="none"/>
        </w:rPr>
        <w:t>**</w:t>
      </w:r>
      <w:r>
        <w:rPr>
          <w:rFonts w:hint="eastAsia" w:ascii="Times New Roman" w:hAnsi="Times New Roman"/>
          <w:i/>
          <w:iCs/>
          <w:color w:val="000000"/>
          <w:szCs w:val="21"/>
          <w:highlight w:val="none"/>
        </w:rPr>
        <w:t>&lt;根据项目实际情况可附附件说明&gt;</w:t>
      </w:r>
    </w:p>
    <w:p w14:paraId="7446D5BA">
      <w:pPr>
        <w:pStyle w:val="30"/>
        <w:numPr>
          <w:ilvl w:val="0"/>
          <w:numId w:val="13"/>
        </w:numPr>
        <w:ind w:left="0" w:firstLine="0" w:firstLineChars="0"/>
        <w:rPr>
          <w:rFonts w:ascii="Times New Roman" w:hAnsi="Times New Roman"/>
          <w:color w:val="000000"/>
          <w:szCs w:val="21"/>
          <w:highlight w:val="none"/>
        </w:rPr>
      </w:pPr>
      <w:r>
        <w:rPr>
          <w:rFonts w:hint="eastAsia" w:ascii="Times New Roman" w:hAnsi="Times New Roman"/>
          <w:color w:val="000000"/>
          <w:szCs w:val="21"/>
          <w:highlight w:val="none"/>
        </w:rPr>
        <w:t>分项明细：</w:t>
      </w:r>
      <w:r>
        <w:rPr>
          <w:rFonts w:hint="eastAsia" w:ascii="Times New Roman" w:hAnsi="Times New Roman"/>
          <w:i/>
          <w:iCs/>
          <w:color w:val="000000"/>
          <w:szCs w:val="21"/>
          <w:highlight w:val="none"/>
        </w:rPr>
        <w:t>&lt;根据项目实际情况调整&gt;</w:t>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50"/>
        <w:gridCol w:w="2801"/>
        <w:gridCol w:w="3465"/>
        <w:gridCol w:w="929"/>
        <w:gridCol w:w="1902"/>
      </w:tblGrid>
      <w:tr w14:paraId="2F93D3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noWrap w:val="0"/>
            <w:vAlign w:val="center"/>
          </w:tcPr>
          <w:p w14:paraId="6A127F2A">
            <w:pPr>
              <w:pStyle w:val="30"/>
              <w:ind w:firstLine="0" w:firstLineChars="0"/>
              <w:jc w:val="center"/>
              <w:rPr>
                <w:rFonts w:ascii="Times New Roman" w:hAnsi="Times New Roman"/>
                <w:color w:val="000000"/>
                <w:szCs w:val="21"/>
                <w:highlight w:val="none"/>
              </w:rPr>
            </w:pPr>
            <w:r>
              <w:rPr>
                <w:rFonts w:ascii="Times New Roman" w:hAnsi="Times New Roman"/>
                <w:color w:val="000000"/>
                <w:szCs w:val="21"/>
                <w:highlight w:val="none"/>
              </w:rPr>
              <w:t>序号</w:t>
            </w:r>
          </w:p>
        </w:tc>
        <w:tc>
          <w:tcPr>
            <w:tcW w:w="2977" w:type="dxa"/>
            <w:noWrap w:val="0"/>
            <w:vAlign w:val="center"/>
          </w:tcPr>
          <w:p w14:paraId="61FFCAB5">
            <w:pPr>
              <w:pStyle w:val="30"/>
              <w:ind w:firstLine="0" w:firstLineChars="0"/>
              <w:jc w:val="center"/>
              <w:rPr>
                <w:rFonts w:ascii="Times New Roman" w:hAnsi="Times New Roman"/>
                <w:color w:val="000000"/>
                <w:szCs w:val="21"/>
                <w:highlight w:val="none"/>
              </w:rPr>
            </w:pPr>
            <w:r>
              <w:rPr>
                <w:rFonts w:ascii="Times New Roman" w:hAnsi="Times New Roman"/>
                <w:color w:val="000000"/>
                <w:szCs w:val="21"/>
                <w:highlight w:val="none"/>
              </w:rPr>
              <w:t>分项名称</w:t>
            </w:r>
          </w:p>
        </w:tc>
        <w:tc>
          <w:tcPr>
            <w:tcW w:w="3686" w:type="dxa"/>
            <w:noWrap w:val="0"/>
            <w:vAlign w:val="center"/>
          </w:tcPr>
          <w:p w14:paraId="347130F1">
            <w:pPr>
              <w:pStyle w:val="30"/>
              <w:ind w:firstLine="0" w:firstLineChars="0"/>
              <w:jc w:val="center"/>
              <w:rPr>
                <w:rFonts w:ascii="Times New Roman" w:hAnsi="Times New Roman"/>
                <w:color w:val="000000"/>
                <w:szCs w:val="21"/>
                <w:highlight w:val="none"/>
              </w:rPr>
            </w:pPr>
            <w:r>
              <w:rPr>
                <w:rFonts w:ascii="Times New Roman" w:hAnsi="Times New Roman"/>
                <w:color w:val="000000"/>
                <w:szCs w:val="21"/>
                <w:highlight w:val="none"/>
              </w:rPr>
              <w:t>具体内容</w:t>
            </w:r>
          </w:p>
        </w:tc>
        <w:tc>
          <w:tcPr>
            <w:tcW w:w="963" w:type="dxa"/>
            <w:noWrap w:val="0"/>
            <w:vAlign w:val="center"/>
          </w:tcPr>
          <w:p w14:paraId="1BC0820E">
            <w:pPr>
              <w:pStyle w:val="30"/>
              <w:ind w:firstLine="0" w:firstLineChars="0"/>
              <w:jc w:val="center"/>
              <w:rPr>
                <w:rFonts w:ascii="Times New Roman" w:hAnsi="Times New Roman"/>
                <w:color w:val="000000"/>
                <w:szCs w:val="21"/>
                <w:highlight w:val="none"/>
              </w:rPr>
            </w:pPr>
            <w:r>
              <w:rPr>
                <w:rFonts w:ascii="Times New Roman" w:hAnsi="Times New Roman"/>
                <w:color w:val="000000"/>
                <w:szCs w:val="21"/>
                <w:highlight w:val="none"/>
              </w:rPr>
              <w:t>分项价格（万元）</w:t>
            </w:r>
          </w:p>
        </w:tc>
        <w:tc>
          <w:tcPr>
            <w:tcW w:w="2016" w:type="dxa"/>
            <w:noWrap w:val="0"/>
            <w:vAlign w:val="top"/>
          </w:tcPr>
          <w:p w14:paraId="23220DE3">
            <w:pPr>
              <w:pStyle w:val="30"/>
              <w:ind w:firstLine="0" w:firstLineChars="0"/>
              <w:jc w:val="center"/>
              <w:rPr>
                <w:rFonts w:ascii="Times New Roman" w:hAnsi="Times New Roman"/>
                <w:color w:val="000000"/>
                <w:szCs w:val="21"/>
                <w:highlight w:val="none"/>
              </w:rPr>
            </w:pPr>
            <w:r>
              <w:rPr>
                <w:rFonts w:ascii="Times New Roman" w:hAnsi="Times New Roman"/>
                <w:color w:val="000000"/>
                <w:szCs w:val="21"/>
                <w:highlight w:val="none"/>
              </w:rPr>
              <w:t>备注</w:t>
            </w:r>
          </w:p>
        </w:tc>
      </w:tr>
      <w:tr w14:paraId="1B5D45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noWrap w:val="0"/>
            <w:vAlign w:val="center"/>
          </w:tcPr>
          <w:p w14:paraId="369C92CC">
            <w:pPr>
              <w:pStyle w:val="30"/>
              <w:ind w:firstLine="0" w:firstLineChars="0"/>
              <w:jc w:val="center"/>
              <w:rPr>
                <w:rFonts w:ascii="Times New Roman" w:hAnsi="Times New Roman"/>
                <w:color w:val="000000"/>
                <w:szCs w:val="21"/>
                <w:highlight w:val="none"/>
              </w:rPr>
            </w:pPr>
            <w:r>
              <w:rPr>
                <w:rFonts w:hint="eastAsia" w:ascii="Times New Roman" w:hAnsi="Times New Roman"/>
                <w:color w:val="000000"/>
                <w:szCs w:val="21"/>
                <w:highlight w:val="none"/>
              </w:rPr>
              <w:t>1</w:t>
            </w:r>
          </w:p>
        </w:tc>
        <w:tc>
          <w:tcPr>
            <w:tcW w:w="2977" w:type="dxa"/>
            <w:noWrap w:val="0"/>
            <w:vAlign w:val="center"/>
          </w:tcPr>
          <w:p w14:paraId="32E4BB43">
            <w:pPr>
              <w:pStyle w:val="30"/>
              <w:ind w:firstLine="0" w:firstLineChars="0"/>
              <w:rPr>
                <w:rFonts w:ascii="Times New Roman" w:hAnsi="Times New Roman"/>
                <w:color w:val="000000"/>
                <w:szCs w:val="21"/>
                <w:highlight w:val="none"/>
              </w:rPr>
            </w:pPr>
          </w:p>
        </w:tc>
        <w:tc>
          <w:tcPr>
            <w:tcW w:w="3686" w:type="dxa"/>
            <w:noWrap w:val="0"/>
            <w:vAlign w:val="center"/>
          </w:tcPr>
          <w:p w14:paraId="0A1BC8BC">
            <w:pPr>
              <w:pStyle w:val="30"/>
              <w:ind w:firstLine="0" w:firstLineChars="0"/>
              <w:rPr>
                <w:rFonts w:ascii="Times New Roman" w:hAnsi="Times New Roman"/>
                <w:color w:val="000000"/>
                <w:szCs w:val="21"/>
                <w:highlight w:val="none"/>
              </w:rPr>
            </w:pPr>
          </w:p>
        </w:tc>
        <w:tc>
          <w:tcPr>
            <w:tcW w:w="963" w:type="dxa"/>
            <w:noWrap w:val="0"/>
            <w:vAlign w:val="center"/>
          </w:tcPr>
          <w:p w14:paraId="22310E01">
            <w:pPr>
              <w:pStyle w:val="30"/>
              <w:ind w:firstLine="0" w:firstLineChars="0"/>
              <w:jc w:val="center"/>
              <w:rPr>
                <w:rFonts w:ascii="Times New Roman" w:hAnsi="Times New Roman"/>
                <w:color w:val="000000"/>
                <w:szCs w:val="21"/>
                <w:highlight w:val="none"/>
              </w:rPr>
            </w:pPr>
          </w:p>
        </w:tc>
        <w:tc>
          <w:tcPr>
            <w:tcW w:w="2016" w:type="dxa"/>
            <w:noWrap w:val="0"/>
            <w:vAlign w:val="top"/>
          </w:tcPr>
          <w:p w14:paraId="5537C4E1">
            <w:pPr>
              <w:pStyle w:val="30"/>
              <w:ind w:firstLine="0" w:firstLineChars="0"/>
              <w:rPr>
                <w:rFonts w:ascii="Times New Roman" w:hAnsi="Times New Roman"/>
                <w:color w:val="000000"/>
                <w:szCs w:val="21"/>
                <w:highlight w:val="none"/>
              </w:rPr>
            </w:pPr>
          </w:p>
        </w:tc>
      </w:tr>
      <w:tr w14:paraId="459D1E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noWrap w:val="0"/>
            <w:vAlign w:val="center"/>
          </w:tcPr>
          <w:p w14:paraId="6EEE1852">
            <w:pPr>
              <w:pStyle w:val="30"/>
              <w:ind w:firstLine="0" w:firstLineChars="0"/>
              <w:jc w:val="center"/>
              <w:rPr>
                <w:rFonts w:ascii="Times New Roman" w:hAnsi="Times New Roman"/>
                <w:color w:val="000000"/>
                <w:szCs w:val="21"/>
                <w:highlight w:val="none"/>
              </w:rPr>
            </w:pPr>
            <w:r>
              <w:rPr>
                <w:rFonts w:hint="eastAsia" w:ascii="Times New Roman" w:hAnsi="Times New Roman"/>
                <w:color w:val="000000"/>
                <w:szCs w:val="21"/>
                <w:highlight w:val="none"/>
              </w:rPr>
              <w:t>2</w:t>
            </w:r>
          </w:p>
        </w:tc>
        <w:tc>
          <w:tcPr>
            <w:tcW w:w="2977" w:type="dxa"/>
            <w:noWrap w:val="0"/>
            <w:vAlign w:val="center"/>
          </w:tcPr>
          <w:p w14:paraId="43730A6B">
            <w:pPr>
              <w:pStyle w:val="30"/>
              <w:ind w:firstLine="0" w:firstLineChars="0"/>
              <w:rPr>
                <w:rFonts w:ascii="Times New Roman" w:hAnsi="Times New Roman"/>
                <w:color w:val="000000"/>
                <w:szCs w:val="21"/>
                <w:highlight w:val="none"/>
              </w:rPr>
            </w:pPr>
          </w:p>
        </w:tc>
        <w:tc>
          <w:tcPr>
            <w:tcW w:w="3686" w:type="dxa"/>
            <w:noWrap w:val="0"/>
            <w:vAlign w:val="center"/>
          </w:tcPr>
          <w:p w14:paraId="2977E641">
            <w:pPr>
              <w:pStyle w:val="30"/>
              <w:ind w:firstLine="0" w:firstLineChars="0"/>
              <w:rPr>
                <w:rFonts w:ascii="Times New Roman" w:hAnsi="Times New Roman"/>
                <w:color w:val="000000"/>
                <w:szCs w:val="21"/>
                <w:highlight w:val="none"/>
              </w:rPr>
            </w:pPr>
          </w:p>
        </w:tc>
        <w:tc>
          <w:tcPr>
            <w:tcW w:w="963" w:type="dxa"/>
            <w:noWrap w:val="0"/>
            <w:vAlign w:val="center"/>
          </w:tcPr>
          <w:p w14:paraId="4E7F4030">
            <w:pPr>
              <w:pStyle w:val="30"/>
              <w:ind w:firstLine="0" w:firstLineChars="0"/>
              <w:jc w:val="center"/>
              <w:rPr>
                <w:rFonts w:ascii="Times New Roman" w:hAnsi="Times New Roman"/>
                <w:color w:val="000000"/>
                <w:szCs w:val="21"/>
                <w:highlight w:val="none"/>
              </w:rPr>
            </w:pPr>
          </w:p>
        </w:tc>
        <w:tc>
          <w:tcPr>
            <w:tcW w:w="2016" w:type="dxa"/>
            <w:noWrap w:val="0"/>
            <w:vAlign w:val="top"/>
          </w:tcPr>
          <w:p w14:paraId="2C52A933">
            <w:pPr>
              <w:pStyle w:val="30"/>
              <w:ind w:firstLine="0" w:firstLineChars="0"/>
              <w:rPr>
                <w:rFonts w:ascii="Times New Roman" w:hAnsi="Times New Roman"/>
                <w:color w:val="000000"/>
                <w:szCs w:val="21"/>
                <w:highlight w:val="none"/>
              </w:rPr>
            </w:pPr>
          </w:p>
        </w:tc>
      </w:tr>
      <w:tr w14:paraId="17826A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noWrap w:val="0"/>
            <w:vAlign w:val="center"/>
          </w:tcPr>
          <w:p w14:paraId="5C480E2A">
            <w:pPr>
              <w:pStyle w:val="30"/>
              <w:ind w:firstLine="0" w:firstLineChars="0"/>
              <w:jc w:val="center"/>
              <w:rPr>
                <w:rFonts w:ascii="Times New Roman" w:hAnsi="Times New Roman"/>
                <w:color w:val="000000"/>
                <w:szCs w:val="21"/>
                <w:highlight w:val="none"/>
              </w:rPr>
            </w:pPr>
            <w:r>
              <w:rPr>
                <w:rFonts w:hint="eastAsia" w:ascii="Times New Roman" w:hAnsi="Times New Roman"/>
                <w:color w:val="000000"/>
                <w:szCs w:val="21"/>
                <w:highlight w:val="none"/>
              </w:rPr>
              <w:t>3</w:t>
            </w:r>
          </w:p>
        </w:tc>
        <w:tc>
          <w:tcPr>
            <w:tcW w:w="2977" w:type="dxa"/>
            <w:noWrap w:val="0"/>
            <w:vAlign w:val="center"/>
          </w:tcPr>
          <w:p w14:paraId="538AF70B">
            <w:pPr>
              <w:pStyle w:val="30"/>
              <w:ind w:firstLine="0" w:firstLineChars="0"/>
              <w:rPr>
                <w:rFonts w:ascii="Times New Roman" w:hAnsi="Times New Roman"/>
                <w:color w:val="000000"/>
                <w:szCs w:val="21"/>
                <w:highlight w:val="none"/>
              </w:rPr>
            </w:pPr>
          </w:p>
        </w:tc>
        <w:tc>
          <w:tcPr>
            <w:tcW w:w="3686" w:type="dxa"/>
            <w:noWrap w:val="0"/>
            <w:vAlign w:val="center"/>
          </w:tcPr>
          <w:p w14:paraId="08F453D1">
            <w:pPr>
              <w:pStyle w:val="30"/>
              <w:ind w:firstLine="0" w:firstLineChars="0"/>
              <w:rPr>
                <w:rFonts w:ascii="Times New Roman" w:hAnsi="Times New Roman"/>
                <w:color w:val="000000"/>
                <w:szCs w:val="21"/>
                <w:highlight w:val="none"/>
              </w:rPr>
            </w:pPr>
          </w:p>
        </w:tc>
        <w:tc>
          <w:tcPr>
            <w:tcW w:w="963" w:type="dxa"/>
            <w:noWrap w:val="0"/>
            <w:vAlign w:val="center"/>
          </w:tcPr>
          <w:p w14:paraId="4CDADD64">
            <w:pPr>
              <w:pStyle w:val="30"/>
              <w:ind w:firstLine="0" w:firstLineChars="0"/>
              <w:jc w:val="center"/>
              <w:rPr>
                <w:rFonts w:ascii="Times New Roman" w:hAnsi="Times New Roman"/>
                <w:color w:val="000000"/>
                <w:szCs w:val="21"/>
                <w:highlight w:val="none"/>
              </w:rPr>
            </w:pPr>
          </w:p>
        </w:tc>
        <w:tc>
          <w:tcPr>
            <w:tcW w:w="2016" w:type="dxa"/>
            <w:noWrap w:val="0"/>
            <w:vAlign w:val="top"/>
          </w:tcPr>
          <w:p w14:paraId="0C316B2A">
            <w:pPr>
              <w:pStyle w:val="30"/>
              <w:ind w:firstLine="0" w:firstLineChars="0"/>
              <w:rPr>
                <w:rFonts w:ascii="Times New Roman" w:hAnsi="Times New Roman"/>
                <w:color w:val="000000"/>
                <w:szCs w:val="21"/>
                <w:highlight w:val="none"/>
              </w:rPr>
            </w:pPr>
          </w:p>
        </w:tc>
      </w:tr>
      <w:tr w14:paraId="25FB3D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noWrap w:val="0"/>
            <w:vAlign w:val="center"/>
          </w:tcPr>
          <w:p w14:paraId="19739B5F">
            <w:pPr>
              <w:pStyle w:val="30"/>
              <w:ind w:firstLine="0" w:firstLineChars="0"/>
              <w:jc w:val="center"/>
              <w:rPr>
                <w:rFonts w:hint="eastAsia" w:ascii="Times New Roman" w:hAnsi="Times New Roman"/>
                <w:color w:val="000000"/>
                <w:szCs w:val="21"/>
                <w:highlight w:val="none"/>
              </w:rPr>
            </w:pPr>
            <w:r>
              <w:rPr>
                <w:rFonts w:ascii="Times New Roman" w:hAnsi="Times New Roman"/>
                <w:color w:val="000000"/>
                <w:szCs w:val="21"/>
                <w:highlight w:val="none"/>
              </w:rPr>
              <w:t>…</w:t>
            </w:r>
          </w:p>
        </w:tc>
        <w:tc>
          <w:tcPr>
            <w:tcW w:w="2977" w:type="dxa"/>
            <w:noWrap w:val="0"/>
            <w:vAlign w:val="center"/>
          </w:tcPr>
          <w:p w14:paraId="7211251F">
            <w:pPr>
              <w:pStyle w:val="30"/>
              <w:ind w:firstLine="0" w:firstLineChars="0"/>
              <w:rPr>
                <w:rFonts w:ascii="Times New Roman" w:hAnsi="Times New Roman"/>
                <w:color w:val="000000"/>
                <w:szCs w:val="21"/>
                <w:highlight w:val="none"/>
              </w:rPr>
            </w:pPr>
          </w:p>
        </w:tc>
        <w:tc>
          <w:tcPr>
            <w:tcW w:w="3686" w:type="dxa"/>
            <w:noWrap w:val="0"/>
            <w:vAlign w:val="center"/>
          </w:tcPr>
          <w:p w14:paraId="29502AB3">
            <w:pPr>
              <w:pStyle w:val="30"/>
              <w:ind w:firstLine="0" w:firstLineChars="0"/>
              <w:rPr>
                <w:rFonts w:ascii="Times New Roman" w:hAnsi="Times New Roman"/>
                <w:color w:val="000000"/>
                <w:szCs w:val="21"/>
                <w:highlight w:val="none"/>
              </w:rPr>
            </w:pPr>
          </w:p>
        </w:tc>
        <w:tc>
          <w:tcPr>
            <w:tcW w:w="963" w:type="dxa"/>
            <w:noWrap w:val="0"/>
            <w:vAlign w:val="center"/>
          </w:tcPr>
          <w:p w14:paraId="6602BFF2">
            <w:pPr>
              <w:pStyle w:val="30"/>
              <w:ind w:firstLine="0" w:firstLineChars="0"/>
              <w:jc w:val="center"/>
              <w:rPr>
                <w:rFonts w:ascii="Times New Roman" w:hAnsi="Times New Roman"/>
                <w:color w:val="000000"/>
                <w:szCs w:val="21"/>
                <w:highlight w:val="none"/>
              </w:rPr>
            </w:pPr>
          </w:p>
        </w:tc>
        <w:tc>
          <w:tcPr>
            <w:tcW w:w="2016" w:type="dxa"/>
            <w:noWrap w:val="0"/>
            <w:vAlign w:val="top"/>
          </w:tcPr>
          <w:p w14:paraId="3D30EF14">
            <w:pPr>
              <w:pStyle w:val="30"/>
              <w:ind w:firstLine="0" w:firstLineChars="0"/>
              <w:rPr>
                <w:rFonts w:ascii="Times New Roman" w:hAnsi="Times New Roman"/>
                <w:color w:val="000000"/>
                <w:szCs w:val="21"/>
                <w:highlight w:val="none"/>
              </w:rPr>
            </w:pPr>
          </w:p>
        </w:tc>
      </w:tr>
    </w:tbl>
    <w:p w14:paraId="64CE4BE5">
      <w:pPr>
        <w:pStyle w:val="30"/>
        <w:numPr>
          <w:ilvl w:val="0"/>
          <w:numId w:val="12"/>
        </w:numPr>
        <w:snapToGrid w:val="0"/>
        <w:ind w:firstLineChars="0"/>
        <w:rPr>
          <w:rFonts w:ascii="Times New Roman" w:hAnsi="Times New Roman"/>
          <w:b/>
          <w:bCs/>
          <w:szCs w:val="21"/>
          <w:highlight w:val="none"/>
        </w:rPr>
      </w:pPr>
      <w:r>
        <w:rPr>
          <w:rFonts w:ascii="Times New Roman" w:hAnsi="Times New Roman"/>
          <w:b/>
          <w:bCs/>
          <w:szCs w:val="21"/>
          <w:highlight w:val="none"/>
        </w:rPr>
        <w:t>合同总价</w:t>
      </w:r>
    </w:p>
    <w:p w14:paraId="124EAF3A">
      <w:pPr>
        <w:pStyle w:val="30"/>
        <w:numPr>
          <w:ilvl w:val="3"/>
          <w:numId w:val="12"/>
        </w:numPr>
        <w:ind w:left="0" w:firstLine="0" w:firstLineChars="0"/>
        <w:contextualSpacing/>
        <w:jc w:val="left"/>
        <w:rPr>
          <w:rFonts w:hint="eastAsia" w:ascii="Times New Roman" w:hAnsi="Times New Roman"/>
          <w:szCs w:val="21"/>
          <w:highlight w:val="none"/>
        </w:rPr>
      </w:pPr>
      <w:r>
        <w:rPr>
          <w:rFonts w:hint="eastAsia" w:ascii="Times New Roman" w:hAnsi="Times New Roman"/>
          <w:szCs w:val="21"/>
          <w:highlight w:val="none"/>
        </w:rPr>
        <w:t>本</w:t>
      </w:r>
      <w:r>
        <w:rPr>
          <w:rFonts w:ascii="Times New Roman" w:hAnsi="Times New Roman"/>
          <w:szCs w:val="21"/>
          <w:highlight w:val="none"/>
        </w:rPr>
        <w:t>合同总价（含税）为人民币大写：*** 圆整，即RMB *** 元，该合同总价已包括</w:t>
      </w:r>
      <w:r>
        <w:rPr>
          <w:rFonts w:hint="eastAsia" w:ascii="Times New Roman" w:hAnsi="Times New Roman"/>
          <w:szCs w:val="21"/>
          <w:highlight w:val="none"/>
        </w:rPr>
        <w:t>软件</w:t>
      </w:r>
      <w:r>
        <w:rPr>
          <w:rFonts w:ascii="Times New Roman" w:hAnsi="Times New Roman"/>
          <w:szCs w:val="21"/>
          <w:highlight w:val="none"/>
        </w:rPr>
        <w:t>设计、</w:t>
      </w:r>
      <w:r>
        <w:rPr>
          <w:rFonts w:hint="eastAsia" w:ascii="Times New Roman" w:hAnsi="Times New Roman"/>
          <w:szCs w:val="21"/>
          <w:highlight w:val="none"/>
        </w:rPr>
        <w:t>开发、交付、培训等服务、与其它第三方软件的全部接口、技术支持</w:t>
      </w:r>
      <w:r>
        <w:rPr>
          <w:rFonts w:ascii="Times New Roman" w:hAnsi="Times New Roman"/>
          <w:szCs w:val="21"/>
          <w:highlight w:val="none"/>
        </w:rPr>
        <w:t>以及乙方为全面履行</w:t>
      </w:r>
      <w:r>
        <w:rPr>
          <w:rFonts w:hint="eastAsia" w:ascii="Times New Roman" w:hAnsi="Times New Roman"/>
          <w:szCs w:val="21"/>
          <w:highlight w:val="none"/>
        </w:rPr>
        <w:t>本</w:t>
      </w:r>
      <w:r>
        <w:rPr>
          <w:rFonts w:ascii="Times New Roman" w:hAnsi="Times New Roman"/>
          <w:szCs w:val="21"/>
          <w:highlight w:val="none"/>
        </w:rPr>
        <w:t>合同义务所完成的</w:t>
      </w:r>
      <w:r>
        <w:rPr>
          <w:rFonts w:hint="eastAsia" w:ascii="Times New Roman" w:hAnsi="Times New Roman"/>
          <w:szCs w:val="21"/>
          <w:highlight w:val="none"/>
        </w:rPr>
        <w:t>其它</w:t>
      </w:r>
      <w:r>
        <w:rPr>
          <w:rFonts w:ascii="Times New Roman" w:hAnsi="Times New Roman"/>
          <w:szCs w:val="21"/>
          <w:highlight w:val="none"/>
        </w:rPr>
        <w:t>所有事项的含税费用。</w:t>
      </w:r>
    </w:p>
    <w:p w14:paraId="246DA65C">
      <w:pPr>
        <w:pStyle w:val="30"/>
        <w:ind w:firstLine="0" w:firstLineChars="0"/>
        <w:rPr>
          <w:rFonts w:ascii="Times New Roman" w:hAnsi="Times New Roman"/>
          <w:szCs w:val="21"/>
          <w:highlight w:val="none"/>
        </w:rPr>
      </w:pPr>
      <w:r>
        <w:rPr>
          <w:rFonts w:ascii="Times New Roman" w:hAnsi="Times New Roman"/>
          <w:szCs w:val="21"/>
          <w:highlight w:val="none"/>
        </w:rPr>
        <w:t>2.本合同执行期间合同总价不变，甲方无须另向乙方支付本合同规定之外的其他任何费用。</w:t>
      </w:r>
    </w:p>
    <w:p w14:paraId="69D15C41">
      <w:pPr>
        <w:pStyle w:val="30"/>
        <w:numPr>
          <w:ilvl w:val="0"/>
          <w:numId w:val="12"/>
        </w:numPr>
        <w:snapToGrid w:val="0"/>
        <w:ind w:firstLineChars="0"/>
        <w:rPr>
          <w:rFonts w:ascii="Times New Roman" w:hAnsi="Times New Roman"/>
          <w:b/>
          <w:bCs/>
          <w:szCs w:val="21"/>
          <w:highlight w:val="none"/>
        </w:rPr>
      </w:pPr>
      <w:r>
        <w:rPr>
          <w:rFonts w:hint="eastAsia" w:ascii="Times New Roman" w:hAnsi="Times New Roman"/>
          <w:b/>
          <w:bCs/>
          <w:szCs w:val="21"/>
          <w:highlight w:val="none"/>
        </w:rPr>
        <w:t>工期</w:t>
      </w:r>
    </w:p>
    <w:p w14:paraId="2C123FD8">
      <w:pPr>
        <w:pStyle w:val="30"/>
        <w:numPr>
          <w:ilvl w:val="0"/>
          <w:numId w:val="14"/>
        </w:numPr>
        <w:ind w:left="0" w:firstLine="0" w:firstLineChars="0"/>
        <w:rPr>
          <w:rFonts w:ascii="Times New Roman" w:hAnsi="Times New Roman"/>
          <w:szCs w:val="21"/>
          <w:highlight w:val="none"/>
        </w:rPr>
      </w:pPr>
      <w:r>
        <w:rPr>
          <w:rFonts w:hint="eastAsia" w:ascii="Times New Roman" w:hAnsi="Times New Roman"/>
          <w:szCs w:val="21"/>
          <w:highlight w:val="none"/>
        </w:rPr>
        <w:t>工期：</w:t>
      </w:r>
    </w:p>
    <w:p w14:paraId="6D9CF1FD">
      <w:pPr>
        <w:pStyle w:val="30"/>
        <w:numPr>
          <w:ilvl w:val="0"/>
          <w:numId w:val="15"/>
        </w:numPr>
        <w:snapToGrid w:val="0"/>
        <w:ind w:firstLineChars="0"/>
        <w:rPr>
          <w:rFonts w:ascii="Times New Roman" w:hAnsi="Times New Roman"/>
          <w:szCs w:val="21"/>
          <w:highlight w:val="none"/>
        </w:rPr>
      </w:pPr>
      <w:r>
        <w:rPr>
          <w:rFonts w:hint="eastAsia"/>
          <w:highlight w:val="none"/>
        </w:rPr>
        <w:t>实施时间：</w:t>
      </w:r>
      <w:r>
        <w:rPr>
          <w:rFonts w:hint="eastAsia" w:ascii="宋体" w:hAnsi="宋体" w:cs="宋体"/>
          <w:szCs w:val="21"/>
          <w:highlight w:val="none"/>
        </w:rPr>
        <w:t>从合同签订生效之日起，需在</w:t>
      </w:r>
      <w:r>
        <w:rPr>
          <w:rFonts w:hint="eastAsia" w:ascii="宋体" w:hAnsi="宋体" w:cs="宋体"/>
          <w:szCs w:val="21"/>
          <w:highlight w:val="none"/>
          <w:u w:val="single"/>
        </w:rPr>
        <w:t xml:space="preserve">5 </w:t>
      </w:r>
      <w:r>
        <w:rPr>
          <w:rFonts w:hint="eastAsia" w:ascii="宋体" w:hAnsi="宋体" w:cs="宋体"/>
          <w:szCs w:val="21"/>
          <w:highlight w:val="none"/>
        </w:rPr>
        <w:t>个工作日内开始实施</w:t>
      </w:r>
      <w:r>
        <w:rPr>
          <w:rFonts w:hint="eastAsia" w:ascii="Times New Roman" w:hAnsi="Times New Roman"/>
          <w:szCs w:val="21"/>
          <w:highlight w:val="none"/>
        </w:rPr>
        <w:t>。</w:t>
      </w:r>
    </w:p>
    <w:p w14:paraId="31BEB244">
      <w:pPr>
        <w:pStyle w:val="30"/>
        <w:numPr>
          <w:ilvl w:val="0"/>
          <w:numId w:val="15"/>
        </w:numPr>
        <w:snapToGrid w:val="0"/>
        <w:ind w:firstLineChars="0"/>
        <w:rPr>
          <w:rFonts w:ascii="Times New Roman" w:hAnsi="Times New Roman"/>
          <w:szCs w:val="21"/>
          <w:highlight w:val="none"/>
        </w:rPr>
      </w:pPr>
      <w:r>
        <w:rPr>
          <w:rFonts w:hint="eastAsia" w:ascii="宋体" w:hAnsi="宋体" w:cs="宋体"/>
          <w:szCs w:val="21"/>
          <w:highlight w:val="none"/>
        </w:rPr>
        <w:t>实施周期：本项目开始实施之日起</w:t>
      </w:r>
      <w:r>
        <w:rPr>
          <w:rFonts w:hint="eastAsia" w:ascii="宋体" w:hAnsi="宋体" w:cs="宋体"/>
          <w:b/>
          <w:bCs/>
          <w:szCs w:val="21"/>
          <w:highlight w:val="none"/>
          <w:u w:val="single"/>
        </w:rPr>
        <w:t xml:space="preserve">  60 </w:t>
      </w:r>
      <w:r>
        <w:rPr>
          <w:rFonts w:hint="eastAsia" w:ascii="宋体" w:hAnsi="宋体" w:cs="宋体"/>
          <w:szCs w:val="21"/>
          <w:highlight w:val="none"/>
        </w:rPr>
        <w:t>日内，完成本项目包含的所有</w:t>
      </w:r>
      <w:r>
        <w:rPr>
          <w:rFonts w:hint="eastAsia" w:ascii="宋体" w:hAnsi="宋体" w:cs="宋体"/>
          <w:b/>
          <w:bCs/>
          <w:szCs w:val="21"/>
          <w:highlight w:val="none"/>
          <w:u w:val="single"/>
        </w:rPr>
        <w:t>软件</w:t>
      </w:r>
      <w:r>
        <w:rPr>
          <w:rFonts w:hint="eastAsia" w:ascii="宋体" w:hAnsi="宋体" w:cs="宋体"/>
          <w:szCs w:val="21"/>
          <w:highlight w:val="none"/>
        </w:rPr>
        <w:t>功能的上线运行，并通知甲方进行验收。未在实施周期内完成，视为乙方违约并自动放弃该项目，甲方有权终止合同，合同所有款项将不予支付</w:t>
      </w:r>
      <w:r>
        <w:rPr>
          <w:rFonts w:hint="eastAsia" w:ascii="宋体" w:hAnsi="宋体" w:cs="宋体"/>
          <w:bCs/>
          <w:color w:val="000000"/>
          <w:highlight w:val="none"/>
        </w:rPr>
        <w:t>（如有履约保证金，</w:t>
      </w:r>
      <w:r>
        <w:rPr>
          <w:rFonts w:hint="eastAsia" w:ascii="宋体" w:hAnsi="宋体" w:cs="宋体"/>
          <w:szCs w:val="21"/>
          <w:highlight w:val="none"/>
        </w:rPr>
        <w:t>将不予退还</w:t>
      </w:r>
      <w:r>
        <w:rPr>
          <w:rFonts w:hint="eastAsia" w:ascii="宋体" w:hAnsi="宋体" w:cs="宋体"/>
          <w:bCs/>
          <w:color w:val="000000"/>
          <w:highlight w:val="none"/>
        </w:rPr>
        <w:t>），</w:t>
      </w:r>
      <w:r>
        <w:rPr>
          <w:rFonts w:hint="eastAsia"/>
          <w:highlight w:val="none"/>
        </w:rPr>
        <w:t>已支付款项，供乙方应于7个工作日内退还甲方</w:t>
      </w:r>
      <w:r>
        <w:rPr>
          <w:rFonts w:hint="eastAsia" w:ascii="Times New Roman" w:hAnsi="Times New Roman"/>
          <w:szCs w:val="21"/>
          <w:highlight w:val="none"/>
        </w:rPr>
        <w:t>。</w:t>
      </w:r>
    </w:p>
    <w:p w14:paraId="16A794FE">
      <w:pPr>
        <w:pStyle w:val="30"/>
        <w:numPr>
          <w:ilvl w:val="0"/>
          <w:numId w:val="15"/>
        </w:numPr>
        <w:snapToGrid w:val="0"/>
        <w:ind w:firstLineChars="0"/>
        <w:rPr>
          <w:rFonts w:ascii="Times New Roman" w:hAnsi="Times New Roman"/>
          <w:szCs w:val="21"/>
          <w:highlight w:val="none"/>
        </w:rPr>
      </w:pPr>
      <w:r>
        <w:rPr>
          <w:rFonts w:hint="eastAsia" w:ascii="Times New Roman" w:hAnsi="Times New Roman"/>
          <w:szCs w:val="21"/>
          <w:highlight w:val="none"/>
        </w:rPr>
        <w:t>开发完成时间：</w:t>
      </w:r>
      <w:r>
        <w:rPr>
          <w:rFonts w:ascii="Times New Roman" w:hAnsi="Times New Roman"/>
          <w:szCs w:val="21"/>
          <w:highlight w:val="none"/>
        </w:rPr>
        <w:t>202*</w:t>
      </w:r>
      <w:r>
        <w:rPr>
          <w:rFonts w:hint="eastAsia" w:ascii="Times New Roman" w:hAnsi="Times New Roman"/>
          <w:szCs w:val="21"/>
          <w:highlight w:val="none"/>
        </w:rPr>
        <w:t>年*</w:t>
      </w:r>
      <w:r>
        <w:rPr>
          <w:rFonts w:ascii="Times New Roman" w:hAnsi="Times New Roman"/>
          <w:szCs w:val="21"/>
          <w:highlight w:val="none"/>
        </w:rPr>
        <w:t>**</w:t>
      </w:r>
      <w:r>
        <w:rPr>
          <w:rFonts w:hint="eastAsia" w:ascii="Times New Roman" w:hAnsi="Times New Roman"/>
          <w:szCs w:val="21"/>
          <w:highlight w:val="none"/>
        </w:rPr>
        <w:t>月*</w:t>
      </w:r>
      <w:r>
        <w:rPr>
          <w:rFonts w:ascii="Times New Roman" w:hAnsi="Times New Roman"/>
          <w:szCs w:val="21"/>
          <w:highlight w:val="none"/>
        </w:rPr>
        <w:t>**</w:t>
      </w:r>
      <w:r>
        <w:rPr>
          <w:rFonts w:hint="eastAsia" w:ascii="Times New Roman" w:hAnsi="Times New Roman"/>
          <w:szCs w:val="21"/>
          <w:highlight w:val="none"/>
        </w:rPr>
        <w:t>日。</w:t>
      </w:r>
    </w:p>
    <w:p w14:paraId="271D555D">
      <w:pPr>
        <w:pStyle w:val="30"/>
        <w:numPr>
          <w:ilvl w:val="0"/>
          <w:numId w:val="15"/>
        </w:numPr>
        <w:snapToGrid w:val="0"/>
        <w:ind w:firstLineChars="0"/>
        <w:rPr>
          <w:rFonts w:ascii="Times New Roman" w:hAnsi="Times New Roman"/>
          <w:szCs w:val="21"/>
          <w:highlight w:val="none"/>
          <w:u w:val="single"/>
        </w:rPr>
      </w:pPr>
      <w:r>
        <w:rPr>
          <w:rFonts w:hint="eastAsia" w:ascii="Times New Roman" w:hAnsi="Times New Roman"/>
          <w:szCs w:val="21"/>
          <w:highlight w:val="none"/>
          <w:u w:val="single"/>
        </w:rPr>
        <w:t>软件开发进度见附件：《开发进度表》</w:t>
      </w:r>
      <w:r>
        <w:rPr>
          <w:rFonts w:hint="eastAsia" w:ascii="Times New Roman" w:hAnsi="Times New Roman"/>
          <w:i/>
          <w:iCs/>
          <w:szCs w:val="21"/>
          <w:highlight w:val="none"/>
        </w:rPr>
        <w:t>&lt;根据项目实际情况编制&gt;</w:t>
      </w:r>
    </w:p>
    <w:p w14:paraId="4399E4E4">
      <w:pPr>
        <w:pStyle w:val="30"/>
        <w:numPr>
          <w:ilvl w:val="0"/>
          <w:numId w:val="14"/>
        </w:numPr>
        <w:ind w:left="0" w:firstLine="0" w:firstLineChars="0"/>
        <w:rPr>
          <w:rFonts w:hint="eastAsia" w:ascii="Times New Roman" w:hAnsi="Times New Roman"/>
          <w:szCs w:val="21"/>
          <w:highlight w:val="none"/>
        </w:rPr>
      </w:pPr>
      <w:r>
        <w:rPr>
          <w:rFonts w:hint="eastAsia" w:ascii="Times New Roman" w:hAnsi="Times New Roman"/>
          <w:szCs w:val="21"/>
          <w:highlight w:val="none"/>
        </w:rPr>
        <w:t>如甲方原因推迟开发，甲方应向乙方提供书面延期通知书，并在确定继续开发时提供开工通知书，同时计算工期时应扣除因甲方原因造成的延期时间。</w:t>
      </w:r>
    </w:p>
    <w:p w14:paraId="4B293F32">
      <w:pPr>
        <w:pStyle w:val="30"/>
        <w:numPr>
          <w:ilvl w:val="0"/>
          <w:numId w:val="12"/>
        </w:numPr>
        <w:snapToGrid w:val="0"/>
        <w:ind w:firstLineChars="0"/>
        <w:rPr>
          <w:rFonts w:ascii="Times New Roman" w:hAnsi="Times New Roman"/>
          <w:b/>
          <w:bCs/>
          <w:szCs w:val="21"/>
          <w:highlight w:val="none"/>
        </w:rPr>
      </w:pPr>
      <w:r>
        <w:rPr>
          <w:rFonts w:hint="eastAsia" w:ascii="Times New Roman" w:hAnsi="Times New Roman"/>
          <w:b/>
          <w:bCs/>
          <w:szCs w:val="21"/>
          <w:highlight w:val="none"/>
        </w:rPr>
        <w:t>交付</w:t>
      </w:r>
    </w:p>
    <w:p w14:paraId="53AEA55A">
      <w:pPr>
        <w:pStyle w:val="30"/>
        <w:numPr>
          <w:ilvl w:val="0"/>
          <w:numId w:val="16"/>
        </w:numPr>
        <w:ind w:left="0" w:firstLine="0" w:firstLineChars="0"/>
        <w:rPr>
          <w:rFonts w:ascii="Times New Roman" w:hAnsi="Times New Roman"/>
          <w:szCs w:val="21"/>
          <w:highlight w:val="none"/>
        </w:rPr>
      </w:pPr>
      <w:r>
        <w:rPr>
          <w:rFonts w:hint="eastAsia" w:ascii="Times New Roman" w:hAnsi="Times New Roman"/>
          <w:szCs w:val="21"/>
          <w:highlight w:val="none"/>
        </w:rPr>
        <w:t>交付的内容、形式及数量：</w:t>
      </w:r>
      <w:r>
        <w:rPr>
          <w:rFonts w:hint="eastAsia" w:ascii="Times New Roman" w:hAnsi="Times New Roman"/>
          <w:i/>
          <w:iCs/>
          <w:szCs w:val="21"/>
          <w:highlight w:val="none"/>
        </w:rPr>
        <w:t>&lt;</w:t>
      </w:r>
      <w:r>
        <w:rPr>
          <w:rFonts w:ascii="Times New Roman" w:hAnsi="Times New Roman"/>
          <w:i/>
          <w:iCs/>
          <w:szCs w:val="21"/>
          <w:highlight w:val="none"/>
        </w:rPr>
        <w:t>包括但不限于完成甲方功能要求的可执行软件、软件的设计文件、软件的测试报告、软件使用说明书及在开发过程中产生的其他文档</w:t>
      </w:r>
      <w:r>
        <w:rPr>
          <w:rFonts w:hint="eastAsia" w:ascii="Times New Roman" w:hAnsi="Times New Roman"/>
          <w:i/>
          <w:iCs/>
          <w:szCs w:val="21"/>
          <w:highlight w:val="none"/>
        </w:rPr>
        <w:t>，根据项目实际情况编制本条款具体内容，如内容较多可附附件&gt;</w:t>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42"/>
        <w:gridCol w:w="1711"/>
        <w:gridCol w:w="2532"/>
        <w:gridCol w:w="2001"/>
        <w:gridCol w:w="544"/>
        <w:gridCol w:w="545"/>
        <w:gridCol w:w="1872"/>
      </w:tblGrid>
      <w:tr w14:paraId="239133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458" w:type="dxa"/>
            <w:noWrap w:val="0"/>
            <w:vAlign w:val="center"/>
          </w:tcPr>
          <w:p w14:paraId="6F64BA67">
            <w:pPr>
              <w:pStyle w:val="30"/>
              <w:ind w:firstLine="0" w:firstLineChars="0"/>
              <w:jc w:val="center"/>
              <w:rPr>
                <w:rFonts w:ascii="Times New Roman" w:hAnsi="Times New Roman"/>
                <w:color w:val="000000"/>
                <w:szCs w:val="21"/>
                <w:highlight w:val="none"/>
              </w:rPr>
            </w:pPr>
            <w:r>
              <w:rPr>
                <w:rFonts w:ascii="Times New Roman" w:hAnsi="Times New Roman"/>
                <w:color w:val="000000"/>
                <w:szCs w:val="21"/>
                <w:highlight w:val="none"/>
              </w:rPr>
              <w:t>序号</w:t>
            </w:r>
          </w:p>
        </w:tc>
        <w:tc>
          <w:tcPr>
            <w:tcW w:w="1815" w:type="dxa"/>
            <w:noWrap w:val="0"/>
            <w:vAlign w:val="center"/>
          </w:tcPr>
          <w:p w14:paraId="54994B45">
            <w:pPr>
              <w:pStyle w:val="30"/>
              <w:ind w:firstLine="0" w:firstLineChars="0"/>
              <w:jc w:val="center"/>
              <w:rPr>
                <w:rFonts w:hint="eastAsia" w:ascii="Times New Roman" w:hAnsi="Times New Roman"/>
                <w:color w:val="000000"/>
                <w:szCs w:val="21"/>
                <w:highlight w:val="none"/>
              </w:rPr>
            </w:pPr>
            <w:r>
              <w:rPr>
                <w:rFonts w:hint="eastAsia" w:ascii="Times New Roman" w:hAnsi="Times New Roman"/>
                <w:color w:val="000000"/>
                <w:szCs w:val="21"/>
                <w:highlight w:val="none"/>
              </w:rPr>
              <w:t>交付事项</w:t>
            </w:r>
          </w:p>
        </w:tc>
        <w:tc>
          <w:tcPr>
            <w:tcW w:w="2694" w:type="dxa"/>
            <w:noWrap w:val="0"/>
            <w:vAlign w:val="center"/>
          </w:tcPr>
          <w:p w14:paraId="0B11BB58">
            <w:pPr>
              <w:pStyle w:val="30"/>
              <w:ind w:firstLine="0" w:firstLineChars="0"/>
              <w:jc w:val="center"/>
              <w:rPr>
                <w:rFonts w:hint="eastAsia" w:ascii="Times New Roman" w:hAnsi="Times New Roman"/>
                <w:color w:val="000000"/>
                <w:szCs w:val="21"/>
                <w:highlight w:val="none"/>
              </w:rPr>
            </w:pPr>
            <w:r>
              <w:rPr>
                <w:rFonts w:hint="eastAsia" w:ascii="Times New Roman" w:hAnsi="Times New Roman"/>
                <w:color w:val="000000"/>
                <w:szCs w:val="21"/>
                <w:highlight w:val="none"/>
              </w:rPr>
              <w:t>交付内容</w:t>
            </w:r>
          </w:p>
        </w:tc>
        <w:tc>
          <w:tcPr>
            <w:tcW w:w="2126" w:type="dxa"/>
            <w:noWrap w:val="0"/>
            <w:vAlign w:val="center"/>
          </w:tcPr>
          <w:p w14:paraId="28CDE84E">
            <w:pPr>
              <w:pStyle w:val="30"/>
              <w:ind w:firstLine="0" w:firstLineChars="0"/>
              <w:jc w:val="center"/>
              <w:rPr>
                <w:rFonts w:hint="eastAsia" w:ascii="Times New Roman" w:hAnsi="Times New Roman"/>
                <w:color w:val="000000"/>
                <w:szCs w:val="21"/>
                <w:highlight w:val="none"/>
              </w:rPr>
            </w:pPr>
            <w:r>
              <w:rPr>
                <w:rFonts w:hint="eastAsia" w:ascii="Times New Roman" w:hAnsi="Times New Roman"/>
                <w:color w:val="000000"/>
                <w:szCs w:val="21"/>
                <w:highlight w:val="none"/>
              </w:rPr>
              <w:t>交付形式</w:t>
            </w:r>
          </w:p>
        </w:tc>
        <w:tc>
          <w:tcPr>
            <w:tcW w:w="567" w:type="dxa"/>
            <w:noWrap w:val="0"/>
            <w:vAlign w:val="top"/>
          </w:tcPr>
          <w:p w14:paraId="441881D1">
            <w:pPr>
              <w:pStyle w:val="30"/>
              <w:ind w:firstLine="0" w:firstLineChars="0"/>
              <w:jc w:val="center"/>
              <w:rPr>
                <w:rFonts w:hint="eastAsia" w:ascii="Times New Roman" w:hAnsi="Times New Roman"/>
                <w:color w:val="000000"/>
                <w:szCs w:val="21"/>
                <w:highlight w:val="none"/>
              </w:rPr>
            </w:pPr>
            <w:r>
              <w:rPr>
                <w:rFonts w:hint="eastAsia" w:ascii="Times New Roman" w:hAnsi="Times New Roman"/>
                <w:color w:val="000000"/>
                <w:szCs w:val="21"/>
                <w:highlight w:val="none"/>
              </w:rPr>
              <w:t>单位</w:t>
            </w:r>
          </w:p>
        </w:tc>
        <w:tc>
          <w:tcPr>
            <w:tcW w:w="567" w:type="dxa"/>
            <w:noWrap w:val="0"/>
            <w:vAlign w:val="top"/>
          </w:tcPr>
          <w:p w14:paraId="22F634B1">
            <w:pPr>
              <w:pStyle w:val="30"/>
              <w:ind w:firstLine="0" w:firstLineChars="0"/>
              <w:jc w:val="center"/>
              <w:rPr>
                <w:rFonts w:hint="eastAsia" w:ascii="Times New Roman" w:hAnsi="Times New Roman"/>
                <w:color w:val="000000"/>
                <w:szCs w:val="21"/>
                <w:highlight w:val="none"/>
              </w:rPr>
            </w:pPr>
            <w:r>
              <w:rPr>
                <w:rFonts w:hint="eastAsia" w:ascii="Times New Roman" w:hAnsi="Times New Roman"/>
                <w:color w:val="000000"/>
                <w:szCs w:val="21"/>
                <w:highlight w:val="none"/>
              </w:rPr>
              <w:t>数量</w:t>
            </w:r>
          </w:p>
        </w:tc>
        <w:tc>
          <w:tcPr>
            <w:tcW w:w="1987" w:type="dxa"/>
            <w:noWrap w:val="0"/>
            <w:vAlign w:val="top"/>
          </w:tcPr>
          <w:p w14:paraId="649AB285">
            <w:pPr>
              <w:pStyle w:val="30"/>
              <w:ind w:firstLine="0" w:firstLineChars="0"/>
              <w:jc w:val="center"/>
              <w:rPr>
                <w:rFonts w:hint="eastAsia" w:ascii="Times New Roman" w:hAnsi="Times New Roman"/>
                <w:color w:val="000000"/>
                <w:szCs w:val="21"/>
                <w:highlight w:val="none"/>
              </w:rPr>
            </w:pPr>
            <w:r>
              <w:rPr>
                <w:rFonts w:hint="eastAsia" w:ascii="Times New Roman" w:hAnsi="Times New Roman"/>
                <w:color w:val="000000"/>
                <w:szCs w:val="21"/>
                <w:highlight w:val="none"/>
              </w:rPr>
              <w:t>备注</w:t>
            </w:r>
          </w:p>
        </w:tc>
      </w:tr>
      <w:tr w14:paraId="0678E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458" w:type="dxa"/>
            <w:noWrap w:val="0"/>
            <w:vAlign w:val="center"/>
          </w:tcPr>
          <w:p w14:paraId="4C6D8932">
            <w:pPr>
              <w:pStyle w:val="30"/>
              <w:ind w:firstLine="0" w:firstLineChars="0"/>
              <w:jc w:val="center"/>
              <w:rPr>
                <w:rFonts w:ascii="Times New Roman" w:hAnsi="Times New Roman"/>
                <w:color w:val="000000"/>
                <w:szCs w:val="21"/>
                <w:highlight w:val="none"/>
              </w:rPr>
            </w:pPr>
            <w:r>
              <w:rPr>
                <w:rFonts w:hint="eastAsia" w:ascii="Times New Roman" w:hAnsi="Times New Roman"/>
                <w:color w:val="000000"/>
                <w:szCs w:val="21"/>
                <w:highlight w:val="none"/>
              </w:rPr>
              <w:t>1</w:t>
            </w:r>
          </w:p>
        </w:tc>
        <w:tc>
          <w:tcPr>
            <w:tcW w:w="1815" w:type="dxa"/>
            <w:noWrap w:val="0"/>
            <w:vAlign w:val="center"/>
          </w:tcPr>
          <w:p w14:paraId="647126D3">
            <w:pPr>
              <w:pStyle w:val="30"/>
              <w:ind w:firstLine="0" w:firstLineChars="0"/>
              <w:rPr>
                <w:rFonts w:ascii="Times New Roman" w:hAnsi="Times New Roman"/>
                <w:color w:val="000000"/>
                <w:szCs w:val="21"/>
                <w:highlight w:val="none"/>
              </w:rPr>
            </w:pPr>
          </w:p>
        </w:tc>
        <w:tc>
          <w:tcPr>
            <w:tcW w:w="2694" w:type="dxa"/>
            <w:noWrap w:val="0"/>
            <w:vAlign w:val="center"/>
          </w:tcPr>
          <w:p w14:paraId="6B272942">
            <w:pPr>
              <w:pStyle w:val="30"/>
              <w:ind w:firstLine="0" w:firstLineChars="0"/>
              <w:rPr>
                <w:rFonts w:ascii="Times New Roman" w:hAnsi="Times New Roman"/>
                <w:color w:val="000000"/>
                <w:szCs w:val="21"/>
                <w:highlight w:val="none"/>
              </w:rPr>
            </w:pPr>
          </w:p>
        </w:tc>
        <w:tc>
          <w:tcPr>
            <w:tcW w:w="2126" w:type="dxa"/>
            <w:noWrap w:val="0"/>
            <w:vAlign w:val="center"/>
          </w:tcPr>
          <w:p w14:paraId="4096708B">
            <w:pPr>
              <w:pStyle w:val="30"/>
              <w:ind w:firstLine="0" w:firstLineChars="0"/>
              <w:rPr>
                <w:rFonts w:ascii="Times New Roman" w:hAnsi="Times New Roman"/>
                <w:color w:val="000000"/>
                <w:szCs w:val="21"/>
                <w:highlight w:val="none"/>
              </w:rPr>
            </w:pPr>
          </w:p>
        </w:tc>
        <w:tc>
          <w:tcPr>
            <w:tcW w:w="567" w:type="dxa"/>
            <w:noWrap w:val="0"/>
            <w:vAlign w:val="center"/>
          </w:tcPr>
          <w:p w14:paraId="32D8D303">
            <w:pPr>
              <w:pStyle w:val="30"/>
              <w:ind w:firstLine="0" w:firstLineChars="0"/>
              <w:jc w:val="center"/>
              <w:rPr>
                <w:rFonts w:ascii="Times New Roman" w:hAnsi="Times New Roman"/>
                <w:color w:val="000000"/>
                <w:szCs w:val="21"/>
                <w:highlight w:val="none"/>
              </w:rPr>
            </w:pPr>
          </w:p>
        </w:tc>
        <w:tc>
          <w:tcPr>
            <w:tcW w:w="567" w:type="dxa"/>
            <w:noWrap w:val="0"/>
            <w:vAlign w:val="center"/>
          </w:tcPr>
          <w:p w14:paraId="72AB66C7">
            <w:pPr>
              <w:pStyle w:val="30"/>
              <w:ind w:firstLine="0" w:firstLineChars="0"/>
              <w:jc w:val="center"/>
              <w:rPr>
                <w:rFonts w:ascii="Times New Roman" w:hAnsi="Times New Roman"/>
                <w:color w:val="000000"/>
                <w:szCs w:val="21"/>
                <w:highlight w:val="none"/>
              </w:rPr>
            </w:pPr>
          </w:p>
        </w:tc>
        <w:tc>
          <w:tcPr>
            <w:tcW w:w="1987" w:type="dxa"/>
            <w:noWrap w:val="0"/>
            <w:vAlign w:val="center"/>
          </w:tcPr>
          <w:p w14:paraId="63E61042">
            <w:pPr>
              <w:pStyle w:val="30"/>
              <w:ind w:firstLine="0" w:firstLineChars="0"/>
              <w:rPr>
                <w:rFonts w:ascii="Times New Roman" w:hAnsi="Times New Roman"/>
                <w:color w:val="000000"/>
                <w:szCs w:val="21"/>
                <w:highlight w:val="none"/>
              </w:rPr>
            </w:pPr>
          </w:p>
        </w:tc>
      </w:tr>
      <w:tr w14:paraId="136D15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458" w:type="dxa"/>
            <w:noWrap w:val="0"/>
            <w:vAlign w:val="center"/>
          </w:tcPr>
          <w:p w14:paraId="37F099BC">
            <w:pPr>
              <w:pStyle w:val="30"/>
              <w:ind w:firstLine="0" w:firstLineChars="0"/>
              <w:jc w:val="center"/>
              <w:rPr>
                <w:rFonts w:ascii="Times New Roman" w:hAnsi="Times New Roman"/>
                <w:color w:val="000000"/>
                <w:szCs w:val="21"/>
                <w:highlight w:val="none"/>
              </w:rPr>
            </w:pPr>
            <w:r>
              <w:rPr>
                <w:rFonts w:hint="eastAsia" w:ascii="Times New Roman" w:hAnsi="Times New Roman"/>
                <w:color w:val="000000"/>
                <w:szCs w:val="21"/>
                <w:highlight w:val="none"/>
              </w:rPr>
              <w:t>2</w:t>
            </w:r>
          </w:p>
        </w:tc>
        <w:tc>
          <w:tcPr>
            <w:tcW w:w="1815" w:type="dxa"/>
            <w:noWrap w:val="0"/>
            <w:vAlign w:val="center"/>
          </w:tcPr>
          <w:p w14:paraId="3F447841">
            <w:pPr>
              <w:pStyle w:val="30"/>
              <w:ind w:firstLine="0" w:firstLineChars="0"/>
              <w:rPr>
                <w:rFonts w:ascii="Times New Roman" w:hAnsi="Times New Roman"/>
                <w:color w:val="000000"/>
                <w:szCs w:val="21"/>
                <w:highlight w:val="none"/>
              </w:rPr>
            </w:pPr>
          </w:p>
        </w:tc>
        <w:tc>
          <w:tcPr>
            <w:tcW w:w="2694" w:type="dxa"/>
            <w:noWrap w:val="0"/>
            <w:vAlign w:val="center"/>
          </w:tcPr>
          <w:p w14:paraId="29EAA85C">
            <w:pPr>
              <w:pStyle w:val="30"/>
              <w:ind w:firstLine="0" w:firstLineChars="0"/>
              <w:rPr>
                <w:rFonts w:ascii="Times New Roman" w:hAnsi="Times New Roman"/>
                <w:color w:val="000000"/>
                <w:szCs w:val="21"/>
                <w:highlight w:val="none"/>
              </w:rPr>
            </w:pPr>
          </w:p>
        </w:tc>
        <w:tc>
          <w:tcPr>
            <w:tcW w:w="2126" w:type="dxa"/>
            <w:noWrap w:val="0"/>
            <w:vAlign w:val="center"/>
          </w:tcPr>
          <w:p w14:paraId="1740249B">
            <w:pPr>
              <w:pStyle w:val="30"/>
              <w:ind w:firstLine="0" w:firstLineChars="0"/>
              <w:rPr>
                <w:rFonts w:ascii="Times New Roman" w:hAnsi="Times New Roman"/>
                <w:color w:val="000000"/>
                <w:szCs w:val="21"/>
                <w:highlight w:val="none"/>
              </w:rPr>
            </w:pPr>
          </w:p>
        </w:tc>
        <w:tc>
          <w:tcPr>
            <w:tcW w:w="567" w:type="dxa"/>
            <w:noWrap w:val="0"/>
            <w:vAlign w:val="center"/>
          </w:tcPr>
          <w:p w14:paraId="50A0AE6C">
            <w:pPr>
              <w:pStyle w:val="30"/>
              <w:ind w:firstLine="0" w:firstLineChars="0"/>
              <w:jc w:val="center"/>
              <w:rPr>
                <w:rFonts w:ascii="Times New Roman" w:hAnsi="Times New Roman"/>
                <w:color w:val="000000"/>
                <w:szCs w:val="21"/>
                <w:highlight w:val="none"/>
              </w:rPr>
            </w:pPr>
          </w:p>
        </w:tc>
        <w:tc>
          <w:tcPr>
            <w:tcW w:w="567" w:type="dxa"/>
            <w:noWrap w:val="0"/>
            <w:vAlign w:val="center"/>
          </w:tcPr>
          <w:p w14:paraId="1A3D34C5">
            <w:pPr>
              <w:pStyle w:val="30"/>
              <w:ind w:firstLine="0" w:firstLineChars="0"/>
              <w:jc w:val="center"/>
              <w:rPr>
                <w:rFonts w:ascii="Times New Roman" w:hAnsi="Times New Roman"/>
                <w:color w:val="000000"/>
                <w:szCs w:val="21"/>
                <w:highlight w:val="none"/>
              </w:rPr>
            </w:pPr>
          </w:p>
        </w:tc>
        <w:tc>
          <w:tcPr>
            <w:tcW w:w="1987" w:type="dxa"/>
            <w:noWrap w:val="0"/>
            <w:vAlign w:val="center"/>
          </w:tcPr>
          <w:p w14:paraId="6579EAB4">
            <w:pPr>
              <w:pStyle w:val="30"/>
              <w:ind w:firstLine="0" w:firstLineChars="0"/>
              <w:rPr>
                <w:rFonts w:ascii="Times New Roman" w:hAnsi="Times New Roman"/>
                <w:color w:val="000000"/>
                <w:szCs w:val="21"/>
                <w:highlight w:val="none"/>
              </w:rPr>
            </w:pPr>
          </w:p>
        </w:tc>
      </w:tr>
      <w:tr w14:paraId="3F2DDF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458" w:type="dxa"/>
            <w:noWrap w:val="0"/>
            <w:vAlign w:val="center"/>
          </w:tcPr>
          <w:p w14:paraId="61E7AAC8">
            <w:pPr>
              <w:pStyle w:val="30"/>
              <w:ind w:firstLine="0" w:firstLineChars="0"/>
              <w:jc w:val="center"/>
              <w:rPr>
                <w:rFonts w:ascii="Times New Roman" w:hAnsi="Times New Roman"/>
                <w:color w:val="000000"/>
                <w:szCs w:val="21"/>
                <w:highlight w:val="none"/>
              </w:rPr>
            </w:pPr>
            <w:r>
              <w:rPr>
                <w:rFonts w:hint="eastAsia" w:ascii="Times New Roman" w:hAnsi="Times New Roman"/>
                <w:color w:val="000000"/>
                <w:szCs w:val="21"/>
                <w:highlight w:val="none"/>
              </w:rPr>
              <w:t>3</w:t>
            </w:r>
          </w:p>
        </w:tc>
        <w:tc>
          <w:tcPr>
            <w:tcW w:w="1815" w:type="dxa"/>
            <w:noWrap w:val="0"/>
            <w:vAlign w:val="center"/>
          </w:tcPr>
          <w:p w14:paraId="3EBD708F">
            <w:pPr>
              <w:pStyle w:val="30"/>
              <w:ind w:firstLine="0" w:firstLineChars="0"/>
              <w:rPr>
                <w:rFonts w:ascii="Times New Roman" w:hAnsi="Times New Roman"/>
                <w:color w:val="000000"/>
                <w:szCs w:val="21"/>
                <w:highlight w:val="none"/>
              </w:rPr>
            </w:pPr>
          </w:p>
        </w:tc>
        <w:tc>
          <w:tcPr>
            <w:tcW w:w="2694" w:type="dxa"/>
            <w:noWrap w:val="0"/>
            <w:vAlign w:val="center"/>
          </w:tcPr>
          <w:p w14:paraId="7B2148C7">
            <w:pPr>
              <w:pStyle w:val="30"/>
              <w:ind w:firstLine="0" w:firstLineChars="0"/>
              <w:rPr>
                <w:rFonts w:ascii="Times New Roman" w:hAnsi="Times New Roman"/>
                <w:color w:val="000000"/>
                <w:szCs w:val="21"/>
                <w:highlight w:val="none"/>
              </w:rPr>
            </w:pPr>
          </w:p>
        </w:tc>
        <w:tc>
          <w:tcPr>
            <w:tcW w:w="2126" w:type="dxa"/>
            <w:noWrap w:val="0"/>
            <w:vAlign w:val="center"/>
          </w:tcPr>
          <w:p w14:paraId="0FC1F2D7">
            <w:pPr>
              <w:pStyle w:val="30"/>
              <w:ind w:firstLine="0" w:firstLineChars="0"/>
              <w:rPr>
                <w:rFonts w:ascii="Times New Roman" w:hAnsi="Times New Roman"/>
                <w:color w:val="000000"/>
                <w:szCs w:val="21"/>
                <w:highlight w:val="none"/>
              </w:rPr>
            </w:pPr>
          </w:p>
        </w:tc>
        <w:tc>
          <w:tcPr>
            <w:tcW w:w="567" w:type="dxa"/>
            <w:noWrap w:val="0"/>
            <w:vAlign w:val="center"/>
          </w:tcPr>
          <w:p w14:paraId="3E98C929">
            <w:pPr>
              <w:pStyle w:val="30"/>
              <w:ind w:firstLine="0" w:firstLineChars="0"/>
              <w:jc w:val="center"/>
              <w:rPr>
                <w:rFonts w:ascii="Times New Roman" w:hAnsi="Times New Roman"/>
                <w:color w:val="000000"/>
                <w:szCs w:val="21"/>
                <w:highlight w:val="none"/>
              </w:rPr>
            </w:pPr>
          </w:p>
        </w:tc>
        <w:tc>
          <w:tcPr>
            <w:tcW w:w="567" w:type="dxa"/>
            <w:noWrap w:val="0"/>
            <w:vAlign w:val="center"/>
          </w:tcPr>
          <w:p w14:paraId="7A789141">
            <w:pPr>
              <w:pStyle w:val="30"/>
              <w:ind w:firstLine="0" w:firstLineChars="0"/>
              <w:jc w:val="center"/>
              <w:rPr>
                <w:rFonts w:ascii="Times New Roman" w:hAnsi="Times New Roman"/>
                <w:color w:val="000000"/>
                <w:szCs w:val="21"/>
                <w:highlight w:val="none"/>
              </w:rPr>
            </w:pPr>
          </w:p>
        </w:tc>
        <w:tc>
          <w:tcPr>
            <w:tcW w:w="1987" w:type="dxa"/>
            <w:noWrap w:val="0"/>
            <w:vAlign w:val="center"/>
          </w:tcPr>
          <w:p w14:paraId="3F0FA640">
            <w:pPr>
              <w:pStyle w:val="30"/>
              <w:ind w:firstLine="0" w:firstLineChars="0"/>
              <w:rPr>
                <w:rFonts w:ascii="Times New Roman" w:hAnsi="Times New Roman"/>
                <w:color w:val="000000"/>
                <w:szCs w:val="21"/>
                <w:highlight w:val="none"/>
              </w:rPr>
            </w:pPr>
          </w:p>
        </w:tc>
      </w:tr>
      <w:tr w14:paraId="6AC644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458" w:type="dxa"/>
            <w:noWrap w:val="0"/>
            <w:vAlign w:val="center"/>
          </w:tcPr>
          <w:p w14:paraId="611DB762">
            <w:pPr>
              <w:pStyle w:val="30"/>
              <w:ind w:firstLine="0" w:firstLineChars="0"/>
              <w:jc w:val="center"/>
              <w:rPr>
                <w:rFonts w:hint="eastAsia" w:ascii="Times New Roman" w:hAnsi="Times New Roman"/>
                <w:color w:val="000000"/>
                <w:szCs w:val="21"/>
                <w:highlight w:val="none"/>
              </w:rPr>
            </w:pPr>
            <w:r>
              <w:rPr>
                <w:rFonts w:ascii="Times New Roman" w:hAnsi="Times New Roman"/>
                <w:color w:val="000000"/>
                <w:szCs w:val="21"/>
                <w:highlight w:val="none"/>
              </w:rPr>
              <w:t>…</w:t>
            </w:r>
          </w:p>
        </w:tc>
        <w:tc>
          <w:tcPr>
            <w:tcW w:w="1815" w:type="dxa"/>
            <w:noWrap w:val="0"/>
            <w:vAlign w:val="center"/>
          </w:tcPr>
          <w:p w14:paraId="1A6D6EEC">
            <w:pPr>
              <w:pStyle w:val="30"/>
              <w:ind w:firstLine="0" w:firstLineChars="0"/>
              <w:rPr>
                <w:rFonts w:ascii="Times New Roman" w:hAnsi="Times New Roman"/>
                <w:color w:val="000000"/>
                <w:szCs w:val="21"/>
                <w:highlight w:val="none"/>
              </w:rPr>
            </w:pPr>
          </w:p>
        </w:tc>
        <w:tc>
          <w:tcPr>
            <w:tcW w:w="2694" w:type="dxa"/>
            <w:noWrap w:val="0"/>
            <w:vAlign w:val="center"/>
          </w:tcPr>
          <w:p w14:paraId="1B2AAFF1">
            <w:pPr>
              <w:pStyle w:val="30"/>
              <w:ind w:firstLine="0" w:firstLineChars="0"/>
              <w:rPr>
                <w:rFonts w:ascii="Times New Roman" w:hAnsi="Times New Roman"/>
                <w:color w:val="000000"/>
                <w:szCs w:val="21"/>
                <w:highlight w:val="none"/>
              </w:rPr>
            </w:pPr>
          </w:p>
        </w:tc>
        <w:tc>
          <w:tcPr>
            <w:tcW w:w="2126" w:type="dxa"/>
            <w:noWrap w:val="0"/>
            <w:vAlign w:val="center"/>
          </w:tcPr>
          <w:p w14:paraId="3581EE28">
            <w:pPr>
              <w:pStyle w:val="30"/>
              <w:ind w:firstLine="0" w:firstLineChars="0"/>
              <w:rPr>
                <w:rFonts w:ascii="Times New Roman" w:hAnsi="Times New Roman"/>
                <w:color w:val="000000"/>
                <w:szCs w:val="21"/>
                <w:highlight w:val="none"/>
              </w:rPr>
            </w:pPr>
          </w:p>
        </w:tc>
        <w:tc>
          <w:tcPr>
            <w:tcW w:w="567" w:type="dxa"/>
            <w:noWrap w:val="0"/>
            <w:vAlign w:val="center"/>
          </w:tcPr>
          <w:p w14:paraId="77B4F815">
            <w:pPr>
              <w:pStyle w:val="30"/>
              <w:ind w:firstLine="0" w:firstLineChars="0"/>
              <w:jc w:val="center"/>
              <w:rPr>
                <w:rFonts w:ascii="Times New Roman" w:hAnsi="Times New Roman"/>
                <w:color w:val="000000"/>
                <w:szCs w:val="21"/>
                <w:highlight w:val="none"/>
              </w:rPr>
            </w:pPr>
          </w:p>
        </w:tc>
        <w:tc>
          <w:tcPr>
            <w:tcW w:w="567" w:type="dxa"/>
            <w:noWrap w:val="0"/>
            <w:vAlign w:val="center"/>
          </w:tcPr>
          <w:p w14:paraId="10EF4BF3">
            <w:pPr>
              <w:pStyle w:val="30"/>
              <w:ind w:firstLine="0" w:firstLineChars="0"/>
              <w:jc w:val="center"/>
              <w:rPr>
                <w:rFonts w:ascii="Times New Roman" w:hAnsi="Times New Roman"/>
                <w:color w:val="000000"/>
                <w:szCs w:val="21"/>
                <w:highlight w:val="none"/>
              </w:rPr>
            </w:pPr>
          </w:p>
        </w:tc>
        <w:tc>
          <w:tcPr>
            <w:tcW w:w="1987" w:type="dxa"/>
            <w:noWrap w:val="0"/>
            <w:vAlign w:val="center"/>
          </w:tcPr>
          <w:p w14:paraId="449D47CC">
            <w:pPr>
              <w:pStyle w:val="30"/>
              <w:ind w:firstLine="0" w:firstLineChars="0"/>
              <w:rPr>
                <w:rFonts w:ascii="Times New Roman" w:hAnsi="Times New Roman"/>
                <w:color w:val="000000"/>
                <w:szCs w:val="21"/>
                <w:highlight w:val="none"/>
              </w:rPr>
            </w:pPr>
          </w:p>
        </w:tc>
      </w:tr>
    </w:tbl>
    <w:p w14:paraId="34F7272B">
      <w:pPr>
        <w:pStyle w:val="30"/>
        <w:numPr>
          <w:ilvl w:val="0"/>
          <w:numId w:val="16"/>
        </w:numPr>
        <w:ind w:left="0" w:firstLine="0" w:firstLineChars="0"/>
        <w:rPr>
          <w:rFonts w:ascii="Times New Roman" w:hAnsi="Times New Roman"/>
          <w:szCs w:val="21"/>
          <w:highlight w:val="none"/>
        </w:rPr>
      </w:pPr>
      <w:r>
        <w:rPr>
          <w:rFonts w:hint="eastAsia" w:ascii="宋体" w:hAnsi="宋体" w:cs="宋体"/>
          <w:szCs w:val="21"/>
          <w:highlight w:val="none"/>
        </w:rPr>
        <w:t>服务地点：本项目涉及的四川省人民医院所有院区</w:t>
      </w:r>
      <w:r>
        <w:rPr>
          <w:rFonts w:hint="eastAsia" w:ascii="Times New Roman" w:hAnsi="Times New Roman"/>
          <w:szCs w:val="21"/>
          <w:highlight w:val="none"/>
        </w:rPr>
        <w:t>。</w:t>
      </w:r>
    </w:p>
    <w:p w14:paraId="014ACE3C">
      <w:pPr>
        <w:pStyle w:val="30"/>
        <w:numPr>
          <w:ilvl w:val="0"/>
          <w:numId w:val="12"/>
        </w:numPr>
        <w:snapToGrid w:val="0"/>
        <w:ind w:firstLineChars="0"/>
        <w:rPr>
          <w:rFonts w:hint="eastAsia" w:ascii="Times New Roman" w:hAnsi="Times New Roman"/>
          <w:b/>
          <w:bCs/>
          <w:szCs w:val="21"/>
          <w:highlight w:val="none"/>
        </w:rPr>
      </w:pPr>
      <w:r>
        <w:rPr>
          <w:rFonts w:hint="eastAsia" w:ascii="Times New Roman" w:hAnsi="Times New Roman"/>
          <w:b/>
          <w:bCs/>
          <w:szCs w:val="21"/>
          <w:highlight w:val="none"/>
        </w:rPr>
        <w:t>验收</w:t>
      </w:r>
    </w:p>
    <w:p w14:paraId="3E20703C">
      <w:pPr>
        <w:pStyle w:val="30"/>
        <w:numPr>
          <w:ilvl w:val="0"/>
          <w:numId w:val="17"/>
        </w:numPr>
        <w:ind w:firstLineChars="0"/>
        <w:rPr>
          <w:rFonts w:ascii="Times New Roman" w:hAnsi="Times New Roman"/>
          <w:color w:val="000000"/>
          <w:szCs w:val="21"/>
          <w:highlight w:val="none"/>
        </w:rPr>
      </w:pPr>
      <w:r>
        <w:rPr>
          <w:rFonts w:hint="eastAsia" w:ascii="Times New Roman" w:hAnsi="Times New Roman"/>
          <w:color w:val="000000"/>
          <w:szCs w:val="21"/>
          <w:highlight w:val="none"/>
        </w:rPr>
        <w:t>甲、乙双方确定，按照本合同约定的验收方案对乙方交付的开发成果进行验收。</w:t>
      </w:r>
    </w:p>
    <w:p w14:paraId="3F797CFC">
      <w:pPr>
        <w:pStyle w:val="30"/>
        <w:numPr>
          <w:ilvl w:val="0"/>
          <w:numId w:val="17"/>
        </w:numPr>
        <w:ind w:firstLineChars="0"/>
        <w:rPr>
          <w:rFonts w:ascii="Times New Roman" w:hAnsi="Times New Roman"/>
          <w:color w:val="000000"/>
          <w:szCs w:val="21"/>
          <w:highlight w:val="none"/>
        </w:rPr>
      </w:pPr>
      <w:r>
        <w:rPr>
          <w:rFonts w:hint="eastAsia" w:ascii="Times New Roman" w:hAnsi="Times New Roman"/>
          <w:color w:val="000000"/>
          <w:szCs w:val="21"/>
          <w:highlight w:val="none"/>
        </w:rPr>
        <w:t>验收方案：</w:t>
      </w:r>
    </w:p>
    <w:p w14:paraId="027CADEA">
      <w:pPr>
        <w:pStyle w:val="30"/>
        <w:numPr>
          <w:ilvl w:val="0"/>
          <w:numId w:val="18"/>
        </w:numPr>
        <w:ind w:firstLineChars="0"/>
        <w:contextualSpacing/>
        <w:rPr>
          <w:color w:val="000000"/>
          <w:szCs w:val="21"/>
          <w:highlight w:val="none"/>
        </w:rPr>
      </w:pPr>
      <w:r>
        <w:rPr>
          <w:rFonts w:hint="eastAsia"/>
          <w:color w:val="000000"/>
          <w:szCs w:val="21"/>
          <w:highlight w:val="none"/>
        </w:rPr>
        <w:t>验收主体：甲方</w:t>
      </w:r>
    </w:p>
    <w:p w14:paraId="4287F683">
      <w:pPr>
        <w:pStyle w:val="30"/>
        <w:numPr>
          <w:ilvl w:val="0"/>
          <w:numId w:val="18"/>
        </w:numPr>
        <w:ind w:firstLineChars="0"/>
        <w:contextualSpacing/>
        <w:rPr>
          <w:color w:val="000000"/>
          <w:szCs w:val="21"/>
          <w:highlight w:val="none"/>
        </w:rPr>
      </w:pPr>
      <w:r>
        <w:rPr>
          <w:rFonts w:hint="eastAsia"/>
          <w:color w:val="000000"/>
          <w:szCs w:val="21"/>
          <w:highlight w:val="none"/>
        </w:rPr>
        <w:t>验收组织方式：自行验收</w:t>
      </w:r>
    </w:p>
    <w:p w14:paraId="6E2BDCDF">
      <w:pPr>
        <w:pStyle w:val="30"/>
        <w:numPr>
          <w:ilvl w:val="0"/>
          <w:numId w:val="18"/>
        </w:numPr>
        <w:ind w:firstLineChars="0"/>
        <w:contextualSpacing/>
        <w:rPr>
          <w:color w:val="000000"/>
          <w:szCs w:val="21"/>
          <w:highlight w:val="none"/>
        </w:rPr>
      </w:pPr>
      <w:r>
        <w:rPr>
          <w:color w:val="000000"/>
          <w:szCs w:val="21"/>
          <w:highlight w:val="none"/>
        </w:rPr>
        <w:t>验收程序：</w:t>
      </w:r>
      <w:r>
        <w:rPr>
          <w:highlight w:val="none"/>
        </w:rPr>
        <w:sym w:font="Wingdings 2" w:char="F052"/>
      </w:r>
      <w:r>
        <w:rPr>
          <w:rFonts w:hint="eastAsia"/>
          <w:color w:val="000000"/>
          <w:szCs w:val="21"/>
          <w:highlight w:val="none"/>
        </w:rPr>
        <w:t>一次性验收</w:t>
      </w:r>
      <w:r>
        <w:rPr>
          <w:color w:val="000000"/>
          <w:szCs w:val="21"/>
          <w:highlight w:val="none"/>
        </w:rPr>
        <w:t xml:space="preserve">   </w:t>
      </w:r>
      <w:r>
        <w:rPr>
          <w:highlight w:val="none"/>
        </w:rPr>
        <w:sym w:font="Wingdings" w:char="F0A8"/>
      </w:r>
      <w:r>
        <w:rPr>
          <w:rFonts w:hint="eastAsia"/>
          <w:color w:val="000000"/>
          <w:szCs w:val="21"/>
          <w:highlight w:val="none"/>
        </w:rPr>
        <w:t>分段</w:t>
      </w:r>
      <w:r>
        <w:rPr>
          <w:color w:val="000000"/>
          <w:szCs w:val="21"/>
          <w:highlight w:val="none"/>
        </w:rPr>
        <w:t>/</w:t>
      </w:r>
      <w:r>
        <w:rPr>
          <w:rFonts w:hint="eastAsia"/>
          <w:color w:val="000000"/>
          <w:szCs w:val="21"/>
          <w:highlight w:val="none"/>
        </w:rPr>
        <w:t>分期验收</w:t>
      </w:r>
    </w:p>
    <w:p w14:paraId="54F7DA1D">
      <w:pPr>
        <w:pStyle w:val="30"/>
        <w:numPr>
          <w:ilvl w:val="0"/>
          <w:numId w:val="18"/>
        </w:numPr>
        <w:ind w:firstLineChars="0"/>
        <w:contextualSpacing/>
        <w:rPr>
          <w:color w:val="000000"/>
          <w:szCs w:val="21"/>
          <w:highlight w:val="none"/>
        </w:rPr>
      </w:pPr>
      <w:r>
        <w:rPr>
          <w:color w:val="000000"/>
          <w:szCs w:val="21"/>
          <w:highlight w:val="none"/>
        </w:rPr>
        <w:t>验收方式：</w:t>
      </w:r>
      <w:r>
        <w:rPr>
          <w:color w:val="000000"/>
          <w:highlight w:val="none"/>
        </w:rPr>
        <w:sym w:font="Wingdings 2" w:char="F052"/>
      </w:r>
      <w:r>
        <w:rPr>
          <w:rFonts w:hint="eastAsia"/>
          <w:color w:val="000000"/>
          <w:highlight w:val="none"/>
        </w:rPr>
        <w:t>现场整体验收</w:t>
      </w:r>
      <w:r>
        <w:rPr>
          <w:color w:val="000000"/>
          <w:kern w:val="0"/>
          <w:szCs w:val="21"/>
          <w:highlight w:val="none"/>
          <w:shd w:val="clear" w:color="auto" w:fill="FFFFFF"/>
        </w:rPr>
        <w:t xml:space="preserve">   </w:t>
      </w:r>
      <w:r>
        <w:rPr>
          <w:color w:val="000000"/>
          <w:highlight w:val="none"/>
          <w:shd w:val="clear" w:color="auto" w:fill="FFFFFF"/>
        </w:rPr>
        <w:sym w:font="Wingdings" w:char="F0A8"/>
      </w:r>
      <w:r>
        <w:rPr>
          <w:rFonts w:hint="eastAsia"/>
          <w:color w:val="000000"/>
          <w:highlight w:val="none"/>
          <w:shd w:val="clear" w:color="auto" w:fill="FFFFFF"/>
        </w:rPr>
        <w:t>考核验收</w:t>
      </w:r>
      <w:r>
        <w:rPr>
          <w:color w:val="000000"/>
          <w:kern w:val="0"/>
          <w:szCs w:val="21"/>
          <w:highlight w:val="none"/>
          <w:shd w:val="clear" w:color="auto" w:fill="FFFFFF"/>
        </w:rPr>
        <w:t xml:space="preserve">   </w:t>
      </w:r>
      <w:r>
        <w:rPr>
          <w:color w:val="000000"/>
          <w:highlight w:val="none"/>
          <w:shd w:val="clear" w:color="auto" w:fill="FFFFFF"/>
        </w:rPr>
        <w:sym w:font="Wingdings" w:char="F0A8"/>
      </w:r>
      <w:r>
        <w:rPr>
          <w:rFonts w:hint="eastAsia"/>
          <w:color w:val="000000"/>
          <w:highlight w:val="none"/>
          <w:shd w:val="clear" w:color="auto" w:fill="FFFFFF"/>
        </w:rPr>
        <w:t>其它验收方式：</w:t>
      </w:r>
      <w:r>
        <w:rPr>
          <w:color w:val="000000"/>
          <w:highlight w:val="none"/>
          <w:u w:val="single"/>
          <w:shd w:val="clear" w:color="auto" w:fill="FFFFFF"/>
        </w:rPr>
        <w:t>***</w:t>
      </w:r>
    </w:p>
    <w:p w14:paraId="74BC38D6">
      <w:pPr>
        <w:pStyle w:val="30"/>
        <w:numPr>
          <w:ilvl w:val="0"/>
          <w:numId w:val="18"/>
        </w:numPr>
        <w:ind w:firstLineChars="0"/>
        <w:contextualSpacing/>
        <w:rPr>
          <w:szCs w:val="21"/>
          <w:highlight w:val="none"/>
        </w:rPr>
      </w:pPr>
      <w:r>
        <w:rPr>
          <w:rFonts w:hint="eastAsia"/>
          <w:szCs w:val="21"/>
          <w:highlight w:val="none"/>
        </w:rPr>
        <w:t>履约</w:t>
      </w:r>
      <w:r>
        <w:rPr>
          <w:szCs w:val="21"/>
          <w:highlight w:val="none"/>
        </w:rPr>
        <w:t>验收内容：</w:t>
      </w:r>
      <w:r>
        <w:rPr>
          <w:rFonts w:hint="eastAsia"/>
          <w:szCs w:val="21"/>
          <w:highlight w:val="none"/>
        </w:rPr>
        <w:t>按照甲方的采购文件要求及乙方响应文件响应情况，由乙方向甲方交付的</w:t>
      </w:r>
      <w:r>
        <w:rPr>
          <w:rFonts w:hint="eastAsia"/>
          <w:szCs w:val="21"/>
          <w:highlight w:val="none"/>
          <w:u w:val="single"/>
        </w:rPr>
        <w:t>全部内容</w:t>
      </w:r>
      <w:r>
        <w:rPr>
          <w:rFonts w:hint="eastAsia"/>
          <w:szCs w:val="21"/>
          <w:highlight w:val="none"/>
        </w:rPr>
        <w:t>。</w:t>
      </w:r>
    </w:p>
    <w:p w14:paraId="5BDB9CE6">
      <w:pPr>
        <w:pStyle w:val="30"/>
        <w:numPr>
          <w:ilvl w:val="0"/>
          <w:numId w:val="18"/>
        </w:numPr>
        <w:ind w:firstLineChars="0"/>
        <w:contextualSpacing/>
        <w:rPr>
          <w:color w:val="000000"/>
          <w:szCs w:val="21"/>
          <w:highlight w:val="none"/>
        </w:rPr>
      </w:pPr>
      <w:r>
        <w:rPr>
          <w:rFonts w:hint="eastAsia"/>
          <w:color w:val="000000"/>
          <w:szCs w:val="21"/>
          <w:highlight w:val="none"/>
        </w:rPr>
        <w:t>履约</w:t>
      </w:r>
      <w:r>
        <w:rPr>
          <w:color w:val="000000"/>
          <w:szCs w:val="21"/>
          <w:highlight w:val="none"/>
        </w:rPr>
        <w:t>验收时间：</w:t>
      </w:r>
    </w:p>
    <w:p w14:paraId="6B171901">
      <w:pPr>
        <w:pStyle w:val="30"/>
        <w:ind w:left="420" w:leftChars="200" w:firstLine="0" w:firstLineChars="0"/>
        <w:contextualSpacing/>
        <w:rPr>
          <w:rFonts w:hint="eastAsia"/>
          <w:color w:val="000000"/>
          <w:szCs w:val="21"/>
          <w:highlight w:val="none"/>
        </w:rPr>
      </w:pPr>
      <w:r>
        <w:rPr>
          <w:highlight w:val="none"/>
        </w:rPr>
        <w:sym w:font="Wingdings 2" w:char="F052"/>
      </w:r>
      <w:r>
        <w:rPr>
          <w:rFonts w:hint="eastAsia" w:ascii="Times New Roman" w:hAnsi="Times New Roman"/>
          <w:color w:val="000000"/>
          <w:szCs w:val="21"/>
          <w:highlight w:val="none"/>
        </w:rPr>
        <w:t>乙方</w:t>
      </w:r>
      <w:r>
        <w:rPr>
          <w:rFonts w:ascii="Times New Roman" w:hAnsi="Times New Roman"/>
          <w:color w:val="000000"/>
          <w:szCs w:val="21"/>
          <w:highlight w:val="none"/>
        </w:rPr>
        <w:t>完成</w:t>
      </w:r>
      <w:r>
        <w:rPr>
          <w:rFonts w:hint="eastAsia" w:ascii="Times New Roman" w:hAnsi="Times New Roman"/>
          <w:color w:val="000000"/>
          <w:szCs w:val="21"/>
          <w:highlight w:val="none"/>
        </w:rPr>
        <w:t>全部交付</w:t>
      </w:r>
      <w:r>
        <w:rPr>
          <w:rFonts w:ascii="Times New Roman" w:hAnsi="Times New Roman"/>
          <w:color w:val="000000"/>
          <w:szCs w:val="21"/>
          <w:highlight w:val="none"/>
        </w:rPr>
        <w:t>内容后X日内通知</w:t>
      </w:r>
      <w:r>
        <w:rPr>
          <w:rFonts w:hint="eastAsia" w:ascii="Times New Roman" w:hAnsi="Times New Roman"/>
          <w:color w:val="000000"/>
          <w:szCs w:val="21"/>
          <w:highlight w:val="none"/>
        </w:rPr>
        <w:t>甲方</w:t>
      </w:r>
      <w:r>
        <w:rPr>
          <w:rFonts w:ascii="Times New Roman" w:hAnsi="Times New Roman"/>
          <w:color w:val="000000"/>
          <w:szCs w:val="21"/>
          <w:highlight w:val="none"/>
        </w:rPr>
        <w:t>验收，</w:t>
      </w:r>
      <w:r>
        <w:rPr>
          <w:rFonts w:hint="eastAsia" w:ascii="Times New Roman" w:hAnsi="Times New Roman"/>
          <w:color w:val="000000"/>
          <w:szCs w:val="21"/>
          <w:highlight w:val="none"/>
        </w:rPr>
        <w:t>甲方</w:t>
      </w:r>
      <w:r>
        <w:rPr>
          <w:rFonts w:ascii="Times New Roman" w:hAnsi="Times New Roman"/>
          <w:color w:val="000000"/>
          <w:szCs w:val="21"/>
          <w:highlight w:val="none"/>
        </w:rPr>
        <w:t>接</w:t>
      </w:r>
      <w:r>
        <w:rPr>
          <w:rFonts w:hint="eastAsia" w:ascii="Times New Roman" w:hAnsi="Times New Roman"/>
          <w:color w:val="000000"/>
          <w:szCs w:val="21"/>
          <w:highlight w:val="none"/>
        </w:rPr>
        <w:t>乙方</w:t>
      </w:r>
      <w:r>
        <w:rPr>
          <w:rFonts w:ascii="Times New Roman" w:hAnsi="Times New Roman"/>
          <w:color w:val="000000"/>
          <w:szCs w:val="21"/>
          <w:highlight w:val="none"/>
        </w:rPr>
        <w:t>通知后X日内组织验收</w:t>
      </w:r>
    </w:p>
    <w:p w14:paraId="1C9462F7">
      <w:pPr>
        <w:pStyle w:val="16"/>
        <w:spacing w:after="0"/>
        <w:ind w:left="420" w:leftChars="200" w:firstLine="0" w:firstLineChars="0"/>
        <w:contextualSpacing/>
        <w:rPr>
          <w:rFonts w:ascii="Times New Roman" w:hAnsi="Times New Roman"/>
          <w:color w:val="000000"/>
          <w:szCs w:val="21"/>
          <w:highlight w:val="none"/>
        </w:rPr>
      </w:pPr>
      <w:r>
        <w:rPr>
          <w:rFonts w:ascii="Times New Roman" w:hAnsi="Times New Roman"/>
          <w:color w:val="000000"/>
          <w:szCs w:val="21"/>
          <w:highlight w:val="none"/>
        </w:rPr>
        <w:sym w:font="Wingdings 2" w:char="00A3"/>
      </w:r>
      <w:r>
        <w:rPr>
          <w:rFonts w:ascii="Times New Roman" w:hAnsi="Times New Roman"/>
          <w:color w:val="000000"/>
          <w:szCs w:val="21"/>
          <w:highlight w:val="none"/>
        </w:rPr>
        <w:t>服务期满且</w:t>
      </w:r>
      <w:r>
        <w:rPr>
          <w:rFonts w:hint="eastAsia" w:ascii="Times New Roman" w:hAnsi="Times New Roman"/>
          <w:color w:val="000000"/>
          <w:szCs w:val="21"/>
          <w:highlight w:val="none"/>
        </w:rPr>
        <w:t>乙方</w:t>
      </w:r>
      <w:r>
        <w:rPr>
          <w:rFonts w:ascii="Times New Roman" w:hAnsi="Times New Roman"/>
          <w:color w:val="000000"/>
          <w:szCs w:val="21"/>
          <w:highlight w:val="none"/>
        </w:rPr>
        <w:t>完成所有服务内容后X日内通知</w:t>
      </w:r>
      <w:r>
        <w:rPr>
          <w:rFonts w:hint="eastAsia" w:ascii="Times New Roman" w:hAnsi="Times New Roman"/>
          <w:color w:val="000000"/>
          <w:szCs w:val="21"/>
          <w:highlight w:val="none"/>
        </w:rPr>
        <w:t>甲方</w:t>
      </w:r>
      <w:r>
        <w:rPr>
          <w:rFonts w:ascii="Times New Roman" w:hAnsi="Times New Roman"/>
          <w:color w:val="000000"/>
          <w:szCs w:val="21"/>
          <w:highlight w:val="none"/>
        </w:rPr>
        <w:t>验收，</w:t>
      </w:r>
      <w:r>
        <w:rPr>
          <w:rFonts w:hint="eastAsia" w:ascii="Times New Roman" w:hAnsi="Times New Roman"/>
          <w:color w:val="000000"/>
          <w:szCs w:val="21"/>
          <w:highlight w:val="none"/>
        </w:rPr>
        <w:t>甲方</w:t>
      </w:r>
      <w:r>
        <w:rPr>
          <w:rFonts w:ascii="Times New Roman" w:hAnsi="Times New Roman"/>
          <w:color w:val="000000"/>
          <w:szCs w:val="21"/>
          <w:highlight w:val="none"/>
        </w:rPr>
        <w:t>接</w:t>
      </w:r>
      <w:r>
        <w:rPr>
          <w:rFonts w:hint="eastAsia" w:ascii="Times New Roman" w:hAnsi="Times New Roman"/>
          <w:color w:val="000000"/>
          <w:szCs w:val="21"/>
          <w:highlight w:val="none"/>
        </w:rPr>
        <w:t>乙方</w:t>
      </w:r>
      <w:r>
        <w:rPr>
          <w:rFonts w:ascii="Times New Roman" w:hAnsi="Times New Roman"/>
          <w:color w:val="000000"/>
          <w:szCs w:val="21"/>
          <w:highlight w:val="none"/>
        </w:rPr>
        <w:t>通知后X日内组织验收</w:t>
      </w:r>
    </w:p>
    <w:p w14:paraId="5D28C71D">
      <w:pPr>
        <w:pStyle w:val="16"/>
        <w:spacing w:after="0"/>
        <w:ind w:left="420" w:leftChars="200" w:firstLine="0" w:firstLineChars="0"/>
        <w:contextualSpacing/>
        <w:rPr>
          <w:rFonts w:ascii="Times New Roman" w:hAnsi="Times New Roman"/>
          <w:color w:val="000000"/>
          <w:szCs w:val="21"/>
          <w:highlight w:val="none"/>
        </w:rPr>
      </w:pPr>
      <w:r>
        <w:rPr>
          <w:rFonts w:ascii="Times New Roman" w:hAnsi="Times New Roman"/>
          <w:color w:val="000000"/>
          <w:szCs w:val="21"/>
          <w:highlight w:val="none"/>
        </w:rPr>
        <w:sym w:font="Wingdings" w:char="F0A8"/>
      </w:r>
      <w:r>
        <w:rPr>
          <w:rFonts w:hint="eastAsia" w:ascii="Times New Roman" w:hAnsi="Times New Roman"/>
          <w:color w:val="000000"/>
          <w:szCs w:val="21"/>
          <w:highlight w:val="none"/>
        </w:rPr>
        <w:t>乙方</w:t>
      </w:r>
      <w:r>
        <w:rPr>
          <w:rFonts w:ascii="Times New Roman" w:hAnsi="Times New Roman"/>
          <w:color w:val="000000"/>
          <w:szCs w:val="21"/>
          <w:highlight w:val="none"/>
        </w:rPr>
        <w:t>完成每一阶段或轮次服务内容后X日内通知</w:t>
      </w:r>
      <w:r>
        <w:rPr>
          <w:rFonts w:hint="eastAsia" w:ascii="Times New Roman" w:hAnsi="Times New Roman"/>
          <w:color w:val="000000"/>
          <w:szCs w:val="21"/>
          <w:highlight w:val="none"/>
        </w:rPr>
        <w:t>甲方</w:t>
      </w:r>
      <w:r>
        <w:rPr>
          <w:rFonts w:ascii="Times New Roman" w:hAnsi="Times New Roman"/>
          <w:color w:val="000000"/>
          <w:szCs w:val="21"/>
          <w:highlight w:val="none"/>
        </w:rPr>
        <w:t>验收，</w:t>
      </w:r>
      <w:r>
        <w:rPr>
          <w:rFonts w:hint="eastAsia" w:ascii="Times New Roman" w:hAnsi="Times New Roman"/>
          <w:color w:val="000000"/>
          <w:szCs w:val="21"/>
          <w:highlight w:val="none"/>
        </w:rPr>
        <w:t>甲方</w:t>
      </w:r>
      <w:r>
        <w:rPr>
          <w:rFonts w:ascii="Times New Roman" w:hAnsi="Times New Roman"/>
          <w:color w:val="000000"/>
          <w:szCs w:val="21"/>
          <w:highlight w:val="none"/>
        </w:rPr>
        <w:t>接</w:t>
      </w:r>
      <w:r>
        <w:rPr>
          <w:rFonts w:hint="eastAsia" w:ascii="Times New Roman" w:hAnsi="Times New Roman"/>
          <w:color w:val="000000"/>
          <w:szCs w:val="21"/>
          <w:highlight w:val="none"/>
        </w:rPr>
        <w:t>乙方</w:t>
      </w:r>
      <w:r>
        <w:rPr>
          <w:rFonts w:ascii="Times New Roman" w:hAnsi="Times New Roman"/>
          <w:color w:val="000000"/>
          <w:szCs w:val="21"/>
          <w:highlight w:val="none"/>
        </w:rPr>
        <w:t>通知后X日内组织验收</w:t>
      </w:r>
    </w:p>
    <w:p w14:paraId="1C721D4D">
      <w:pPr>
        <w:pStyle w:val="16"/>
        <w:spacing w:after="0"/>
        <w:ind w:left="420" w:leftChars="200" w:firstLine="0" w:firstLineChars="0"/>
        <w:contextualSpacing/>
        <w:rPr>
          <w:rFonts w:ascii="Times New Roman" w:hAnsi="Times New Roman"/>
          <w:color w:val="000000"/>
          <w:szCs w:val="21"/>
          <w:highlight w:val="none"/>
        </w:rPr>
      </w:pPr>
      <w:r>
        <w:rPr>
          <w:rFonts w:ascii="Times New Roman" w:hAnsi="Times New Roman"/>
          <w:color w:val="000000"/>
          <w:szCs w:val="21"/>
          <w:highlight w:val="none"/>
        </w:rPr>
        <w:sym w:font="Wingdings" w:char="F0A8"/>
      </w:r>
      <w:r>
        <w:rPr>
          <w:rFonts w:hint="eastAsia" w:ascii="Times New Roman" w:hAnsi="Times New Roman"/>
          <w:color w:val="000000"/>
          <w:szCs w:val="21"/>
          <w:highlight w:val="none"/>
        </w:rPr>
        <w:t>甲方</w:t>
      </w:r>
      <w:r>
        <w:rPr>
          <w:rFonts w:ascii="Times New Roman" w:hAnsi="Times New Roman"/>
          <w:color w:val="000000"/>
          <w:szCs w:val="21"/>
          <w:highlight w:val="none"/>
        </w:rPr>
        <w:t>完成考核后X日内组织验收</w:t>
      </w:r>
    </w:p>
    <w:p w14:paraId="2439F120">
      <w:pPr>
        <w:pStyle w:val="16"/>
        <w:spacing w:after="0"/>
        <w:ind w:left="420" w:leftChars="200" w:firstLine="0" w:firstLineChars="0"/>
        <w:contextualSpacing/>
        <w:rPr>
          <w:rFonts w:ascii="Times New Roman" w:hAnsi="Times New Roman"/>
          <w:color w:val="000000"/>
          <w:szCs w:val="21"/>
          <w:highlight w:val="none"/>
          <w:shd w:val="clear" w:color="auto" w:fill="FFFFFF"/>
        </w:rPr>
      </w:pPr>
      <w:r>
        <w:rPr>
          <w:rFonts w:ascii="Times New Roman" w:hAnsi="Times New Roman"/>
          <w:color w:val="000000"/>
          <w:szCs w:val="21"/>
          <w:highlight w:val="none"/>
        </w:rPr>
        <w:sym w:font="Wingdings" w:char="F0A8"/>
      </w:r>
      <w:r>
        <w:rPr>
          <w:rFonts w:ascii="Times New Roman" w:hAnsi="Times New Roman"/>
          <w:color w:val="000000"/>
          <w:szCs w:val="21"/>
          <w:highlight w:val="none"/>
        </w:rPr>
        <w:t xml:space="preserve">其它验收时间：            </w:t>
      </w:r>
    </w:p>
    <w:p w14:paraId="296E663B">
      <w:pPr>
        <w:pStyle w:val="30"/>
        <w:numPr>
          <w:ilvl w:val="0"/>
          <w:numId w:val="18"/>
        </w:numPr>
        <w:ind w:firstLineChars="0"/>
        <w:contextualSpacing/>
        <w:rPr>
          <w:szCs w:val="21"/>
          <w:highlight w:val="none"/>
        </w:rPr>
      </w:pPr>
      <w:r>
        <w:rPr>
          <w:rFonts w:hint="eastAsia"/>
          <w:szCs w:val="21"/>
          <w:highlight w:val="none"/>
        </w:rPr>
        <w:t xml:space="preserve">是否邀请本项目的其他供应商： </w:t>
      </w:r>
      <w:r>
        <w:rPr>
          <w:kern w:val="0"/>
          <w:highlight w:val="none"/>
          <w:shd w:val="clear" w:color="auto" w:fill="FFFFFF"/>
        </w:rPr>
        <w:sym w:font="Wingdings" w:char="F0A8"/>
      </w:r>
      <w:r>
        <w:rPr>
          <w:szCs w:val="21"/>
          <w:highlight w:val="none"/>
          <w:shd w:val="clear" w:color="auto" w:fill="FFFFFF"/>
        </w:rPr>
        <w:t xml:space="preserve">是   </w:t>
      </w:r>
      <w:r>
        <w:rPr>
          <w:kern w:val="0"/>
          <w:highlight w:val="none"/>
        </w:rPr>
        <w:sym w:font="Wingdings 2" w:char="F052"/>
      </w:r>
      <w:r>
        <w:rPr>
          <w:szCs w:val="21"/>
          <w:highlight w:val="none"/>
          <w:shd w:val="clear" w:color="auto" w:fill="FFFFFF"/>
        </w:rPr>
        <w:t>否</w:t>
      </w:r>
    </w:p>
    <w:p w14:paraId="128E8665">
      <w:pPr>
        <w:pStyle w:val="30"/>
        <w:numPr>
          <w:ilvl w:val="0"/>
          <w:numId w:val="18"/>
        </w:numPr>
        <w:ind w:firstLineChars="0"/>
        <w:contextualSpacing/>
        <w:rPr>
          <w:szCs w:val="21"/>
          <w:highlight w:val="none"/>
        </w:rPr>
      </w:pPr>
      <w:r>
        <w:rPr>
          <w:rFonts w:hint="eastAsia"/>
          <w:szCs w:val="21"/>
          <w:highlight w:val="none"/>
        </w:rPr>
        <w:t xml:space="preserve">是否邀请专家： </w:t>
      </w:r>
      <w:r>
        <w:rPr>
          <w:kern w:val="0"/>
          <w:highlight w:val="none"/>
          <w:shd w:val="clear" w:color="auto" w:fill="FFFFFF"/>
        </w:rPr>
        <w:sym w:font="Wingdings" w:char="F0A8"/>
      </w:r>
      <w:r>
        <w:rPr>
          <w:szCs w:val="21"/>
          <w:highlight w:val="none"/>
          <w:shd w:val="clear" w:color="auto" w:fill="FFFFFF"/>
        </w:rPr>
        <w:t xml:space="preserve">是   </w:t>
      </w:r>
      <w:r>
        <w:rPr>
          <w:kern w:val="0"/>
          <w:highlight w:val="none"/>
        </w:rPr>
        <w:sym w:font="Wingdings 2" w:char="F052"/>
      </w:r>
      <w:r>
        <w:rPr>
          <w:szCs w:val="21"/>
          <w:highlight w:val="none"/>
          <w:shd w:val="clear" w:color="auto" w:fill="FFFFFF"/>
        </w:rPr>
        <w:t>否</w:t>
      </w:r>
    </w:p>
    <w:p w14:paraId="732026EF">
      <w:pPr>
        <w:pStyle w:val="30"/>
        <w:numPr>
          <w:ilvl w:val="0"/>
          <w:numId w:val="18"/>
        </w:numPr>
        <w:ind w:firstLineChars="0"/>
        <w:contextualSpacing/>
        <w:rPr>
          <w:szCs w:val="21"/>
          <w:highlight w:val="none"/>
        </w:rPr>
      </w:pPr>
      <w:r>
        <w:rPr>
          <w:rFonts w:hint="eastAsia"/>
          <w:szCs w:val="21"/>
          <w:highlight w:val="none"/>
        </w:rPr>
        <w:t xml:space="preserve">是否邀请服务对象： </w:t>
      </w:r>
      <w:r>
        <w:rPr>
          <w:kern w:val="0"/>
          <w:highlight w:val="none"/>
          <w:shd w:val="clear" w:color="auto" w:fill="FFFFFF"/>
        </w:rPr>
        <w:sym w:font="Wingdings" w:char="F0A8"/>
      </w:r>
      <w:r>
        <w:rPr>
          <w:szCs w:val="21"/>
          <w:highlight w:val="none"/>
          <w:shd w:val="clear" w:color="auto" w:fill="FFFFFF"/>
        </w:rPr>
        <w:t xml:space="preserve">是   </w:t>
      </w:r>
      <w:r>
        <w:rPr>
          <w:kern w:val="0"/>
          <w:highlight w:val="none"/>
        </w:rPr>
        <w:sym w:font="Wingdings 2" w:char="F052"/>
      </w:r>
      <w:r>
        <w:rPr>
          <w:szCs w:val="21"/>
          <w:highlight w:val="none"/>
          <w:shd w:val="clear" w:color="auto" w:fill="FFFFFF"/>
        </w:rPr>
        <w:t>否</w:t>
      </w:r>
    </w:p>
    <w:p w14:paraId="2A59DB79">
      <w:pPr>
        <w:pStyle w:val="30"/>
        <w:numPr>
          <w:ilvl w:val="0"/>
          <w:numId w:val="18"/>
        </w:numPr>
        <w:ind w:firstLineChars="0"/>
        <w:contextualSpacing/>
        <w:rPr>
          <w:szCs w:val="21"/>
          <w:highlight w:val="none"/>
        </w:rPr>
      </w:pPr>
      <w:r>
        <w:rPr>
          <w:szCs w:val="21"/>
          <w:highlight w:val="none"/>
        </w:rPr>
        <w:t>是否</w:t>
      </w:r>
      <w:r>
        <w:rPr>
          <w:rFonts w:hint="eastAsia"/>
          <w:szCs w:val="21"/>
          <w:highlight w:val="none"/>
        </w:rPr>
        <w:t>邀请</w:t>
      </w:r>
      <w:r>
        <w:rPr>
          <w:szCs w:val="21"/>
          <w:highlight w:val="none"/>
        </w:rPr>
        <w:t>第三方检测机构：</w:t>
      </w:r>
      <w:r>
        <w:rPr>
          <w:kern w:val="0"/>
          <w:highlight w:val="none"/>
          <w:shd w:val="clear" w:color="auto" w:fill="FFFFFF"/>
        </w:rPr>
        <w:t xml:space="preserve"> </w:t>
      </w:r>
      <w:r>
        <w:rPr>
          <w:kern w:val="0"/>
          <w:highlight w:val="none"/>
          <w:shd w:val="clear" w:color="auto" w:fill="FFFFFF"/>
        </w:rPr>
        <w:sym w:font="Wingdings" w:char="F0A8"/>
      </w:r>
      <w:r>
        <w:rPr>
          <w:szCs w:val="21"/>
          <w:highlight w:val="none"/>
          <w:shd w:val="clear" w:color="auto" w:fill="FFFFFF"/>
        </w:rPr>
        <w:t xml:space="preserve">是   </w:t>
      </w:r>
      <w:r>
        <w:rPr>
          <w:kern w:val="0"/>
          <w:highlight w:val="none"/>
        </w:rPr>
        <w:sym w:font="Wingdings 2" w:char="F052"/>
      </w:r>
      <w:r>
        <w:rPr>
          <w:szCs w:val="21"/>
          <w:highlight w:val="none"/>
          <w:shd w:val="clear" w:color="auto" w:fill="FFFFFF"/>
        </w:rPr>
        <w:t>否</w:t>
      </w:r>
    </w:p>
    <w:p w14:paraId="4E8A4BFF">
      <w:pPr>
        <w:pStyle w:val="30"/>
        <w:numPr>
          <w:ilvl w:val="0"/>
          <w:numId w:val="18"/>
        </w:numPr>
        <w:ind w:firstLineChars="0"/>
        <w:contextualSpacing/>
        <w:rPr>
          <w:szCs w:val="21"/>
          <w:highlight w:val="none"/>
        </w:rPr>
      </w:pPr>
      <w:r>
        <w:rPr>
          <w:szCs w:val="21"/>
          <w:highlight w:val="none"/>
        </w:rPr>
        <w:t>验收标准：</w:t>
      </w:r>
    </w:p>
    <w:p w14:paraId="3C189ED7">
      <w:pPr>
        <w:pStyle w:val="16"/>
        <w:numPr>
          <w:ilvl w:val="0"/>
          <w:numId w:val="19"/>
        </w:numPr>
        <w:spacing w:after="0"/>
        <w:ind w:firstLineChars="0"/>
        <w:contextualSpacing/>
        <w:rPr>
          <w:rFonts w:ascii="Times New Roman" w:hAnsi="Times New Roman"/>
          <w:szCs w:val="21"/>
          <w:highlight w:val="none"/>
        </w:rPr>
      </w:pPr>
      <w:r>
        <w:rPr>
          <w:rFonts w:ascii="Times New Roman" w:hAnsi="Times New Roman"/>
          <w:szCs w:val="21"/>
          <w:highlight w:val="none"/>
          <w:shd w:val="clear" w:color="auto" w:fill="FFFFFF"/>
        </w:rPr>
        <w:t>国家相关法律法规、行业标准、技术规范。</w:t>
      </w:r>
    </w:p>
    <w:p w14:paraId="08251C84">
      <w:pPr>
        <w:pStyle w:val="16"/>
        <w:numPr>
          <w:ilvl w:val="0"/>
          <w:numId w:val="19"/>
        </w:numPr>
        <w:spacing w:after="0"/>
        <w:ind w:firstLineChars="0"/>
        <w:contextualSpacing/>
        <w:rPr>
          <w:rFonts w:ascii="Times New Roman" w:hAnsi="Times New Roman"/>
          <w:szCs w:val="21"/>
          <w:highlight w:val="none"/>
        </w:rPr>
      </w:pPr>
      <w:r>
        <w:rPr>
          <w:rFonts w:hint="eastAsia" w:ascii="Times New Roman" w:hAnsi="Times New Roman"/>
          <w:szCs w:val="21"/>
          <w:highlight w:val="none"/>
        </w:rPr>
        <w:t>甲方采购</w:t>
      </w:r>
      <w:r>
        <w:rPr>
          <w:rFonts w:ascii="Times New Roman" w:hAnsi="Times New Roman"/>
          <w:szCs w:val="21"/>
          <w:highlight w:val="none"/>
        </w:rPr>
        <w:t>文件相关技术、服务要求、</w:t>
      </w:r>
      <w:r>
        <w:rPr>
          <w:rFonts w:hint="eastAsia" w:ascii="Times New Roman" w:hAnsi="Times New Roman"/>
          <w:szCs w:val="21"/>
          <w:highlight w:val="none"/>
        </w:rPr>
        <w:t>乙方响应</w:t>
      </w:r>
      <w:r>
        <w:rPr>
          <w:rFonts w:ascii="Times New Roman" w:hAnsi="Times New Roman"/>
          <w:szCs w:val="21"/>
          <w:highlight w:val="none"/>
        </w:rPr>
        <w:t>文件相关响应内容。</w:t>
      </w:r>
    </w:p>
    <w:p w14:paraId="10329DD9">
      <w:pPr>
        <w:pStyle w:val="16"/>
        <w:numPr>
          <w:ilvl w:val="0"/>
          <w:numId w:val="19"/>
        </w:numPr>
        <w:spacing w:after="0"/>
        <w:ind w:firstLineChars="0"/>
        <w:contextualSpacing/>
        <w:rPr>
          <w:rFonts w:hint="eastAsia" w:ascii="Times New Roman" w:hAnsi="Times New Roman"/>
          <w:szCs w:val="21"/>
          <w:highlight w:val="none"/>
        </w:rPr>
      </w:pPr>
      <w:r>
        <w:rPr>
          <w:rFonts w:hint="eastAsia" w:ascii="Times New Roman" w:hAnsi="Times New Roman"/>
          <w:szCs w:val="21"/>
          <w:highlight w:val="none"/>
        </w:rPr>
        <w:t>产品生产厂家出具的产品说明书、技术白皮书等官方技术资料（如涉及）。</w:t>
      </w:r>
    </w:p>
    <w:p w14:paraId="574FB3D2">
      <w:pPr>
        <w:pStyle w:val="16"/>
        <w:numPr>
          <w:ilvl w:val="0"/>
          <w:numId w:val="19"/>
        </w:numPr>
        <w:spacing w:after="0"/>
        <w:ind w:firstLineChars="0"/>
        <w:contextualSpacing/>
        <w:rPr>
          <w:rFonts w:ascii="Times New Roman" w:hAnsi="Times New Roman"/>
          <w:szCs w:val="21"/>
          <w:highlight w:val="none"/>
        </w:rPr>
      </w:pPr>
      <w:r>
        <w:rPr>
          <w:rFonts w:ascii="Times New Roman" w:hAnsi="Times New Roman"/>
          <w:szCs w:val="21"/>
          <w:highlight w:val="none"/>
        </w:rPr>
        <w:t>如验收时，</w:t>
      </w:r>
      <w:r>
        <w:rPr>
          <w:rFonts w:hint="eastAsia" w:ascii="Times New Roman" w:hAnsi="Times New Roman"/>
          <w:szCs w:val="21"/>
          <w:highlight w:val="none"/>
        </w:rPr>
        <w:t>甲方</w:t>
      </w:r>
      <w:r>
        <w:rPr>
          <w:rFonts w:ascii="Times New Roman" w:hAnsi="Times New Roman"/>
          <w:szCs w:val="21"/>
          <w:highlight w:val="none"/>
        </w:rPr>
        <w:t>与</w:t>
      </w:r>
      <w:r>
        <w:rPr>
          <w:rFonts w:hint="eastAsia" w:ascii="Times New Roman" w:hAnsi="Times New Roman"/>
          <w:szCs w:val="21"/>
          <w:highlight w:val="none"/>
        </w:rPr>
        <w:t>乙方</w:t>
      </w:r>
      <w:r>
        <w:rPr>
          <w:rFonts w:ascii="Times New Roman" w:hAnsi="Times New Roman"/>
          <w:szCs w:val="21"/>
          <w:highlight w:val="none"/>
        </w:rPr>
        <w:t>认为本项目验收标准中的技术指标、质量要求等内容存在相互抵触或对其理解存在异议，应按照其中更严格的要求、标准等进行验收。</w:t>
      </w:r>
    </w:p>
    <w:p w14:paraId="7AB8CCF8">
      <w:pPr>
        <w:pStyle w:val="16"/>
        <w:numPr>
          <w:ilvl w:val="0"/>
          <w:numId w:val="19"/>
        </w:numPr>
        <w:spacing w:after="0"/>
        <w:ind w:firstLineChars="0"/>
        <w:contextualSpacing/>
        <w:rPr>
          <w:rFonts w:ascii="Times New Roman" w:hAnsi="Times New Roman"/>
          <w:szCs w:val="21"/>
          <w:highlight w:val="none"/>
        </w:rPr>
      </w:pPr>
      <w:r>
        <w:rPr>
          <w:rFonts w:hint="eastAsia" w:ascii="Times New Roman" w:hAnsi="Times New Roman"/>
          <w:szCs w:val="21"/>
          <w:highlight w:val="none"/>
        </w:rPr>
        <w:t>参照</w:t>
      </w:r>
      <w:r>
        <w:rPr>
          <w:rFonts w:ascii="Times New Roman" w:hAnsi="Times New Roman"/>
          <w:szCs w:val="21"/>
          <w:highlight w:val="none"/>
        </w:rPr>
        <w:t>《财政部关于进一步加强政府采购需求和履约验收管理的指导意见》（财库〔2016〕205号）的要求进行验收。</w:t>
      </w:r>
    </w:p>
    <w:p w14:paraId="031E2F6F">
      <w:pPr>
        <w:pStyle w:val="16"/>
        <w:numPr>
          <w:ilvl w:val="0"/>
          <w:numId w:val="19"/>
        </w:numPr>
        <w:spacing w:after="0"/>
        <w:ind w:firstLineChars="0"/>
        <w:contextualSpacing/>
        <w:rPr>
          <w:rFonts w:ascii="Times New Roman" w:hAnsi="Times New Roman"/>
          <w:szCs w:val="21"/>
          <w:highlight w:val="none"/>
        </w:rPr>
      </w:pPr>
      <w:r>
        <w:rPr>
          <w:rFonts w:ascii="Times New Roman" w:hAnsi="Times New Roman"/>
          <w:szCs w:val="21"/>
          <w:highlight w:val="none"/>
        </w:rPr>
        <w:t>如本项目验收方式为考核验收，则考核结果须为合格。</w:t>
      </w:r>
    </w:p>
    <w:p w14:paraId="78B33CCF">
      <w:pPr>
        <w:pStyle w:val="16"/>
        <w:numPr>
          <w:ilvl w:val="0"/>
          <w:numId w:val="19"/>
        </w:numPr>
        <w:spacing w:after="0"/>
        <w:ind w:firstLineChars="0"/>
        <w:contextualSpacing/>
        <w:rPr>
          <w:rFonts w:ascii="Times New Roman" w:hAnsi="Times New Roman"/>
          <w:szCs w:val="21"/>
          <w:highlight w:val="none"/>
        </w:rPr>
      </w:pPr>
      <w:r>
        <w:rPr>
          <w:rFonts w:hint="eastAsia" w:ascii="Times New Roman" w:hAnsi="Times New Roman"/>
          <w:szCs w:val="21"/>
          <w:highlight w:val="none"/>
        </w:rPr>
        <w:t>其它标准：</w:t>
      </w:r>
      <w:r>
        <w:rPr>
          <w:rFonts w:hint="eastAsia" w:ascii="Times New Roman" w:hAnsi="Times New Roman"/>
          <w:szCs w:val="21"/>
          <w:highlight w:val="none"/>
          <w:u w:val="single"/>
        </w:rPr>
        <w:t>无。</w:t>
      </w:r>
    </w:p>
    <w:p w14:paraId="193C028A">
      <w:pPr>
        <w:pStyle w:val="30"/>
        <w:numPr>
          <w:ilvl w:val="0"/>
          <w:numId w:val="18"/>
        </w:numPr>
        <w:ind w:firstLineChars="0"/>
        <w:contextualSpacing/>
        <w:rPr>
          <w:szCs w:val="21"/>
          <w:highlight w:val="none"/>
        </w:rPr>
      </w:pPr>
      <w:r>
        <w:rPr>
          <w:szCs w:val="21"/>
          <w:highlight w:val="none"/>
        </w:rPr>
        <w:t>其它验收要求：</w:t>
      </w:r>
      <w:r>
        <w:rPr>
          <w:color w:val="000000"/>
          <w:kern w:val="0"/>
          <w:szCs w:val="21"/>
          <w:highlight w:val="none"/>
          <w:u w:val="single"/>
        </w:rPr>
        <w:t>无</w:t>
      </w:r>
      <w:r>
        <w:rPr>
          <w:i/>
          <w:iCs/>
          <w:color w:val="000000"/>
          <w:kern w:val="0"/>
          <w:szCs w:val="21"/>
          <w:highlight w:val="none"/>
        </w:rPr>
        <w:t>&lt;如有请填写&gt;</w:t>
      </w:r>
    </w:p>
    <w:p w14:paraId="4FD314CB">
      <w:pPr>
        <w:pStyle w:val="30"/>
        <w:numPr>
          <w:ilvl w:val="0"/>
          <w:numId w:val="17"/>
        </w:numPr>
        <w:ind w:left="0" w:firstLine="0" w:firstLineChars="0"/>
        <w:contextualSpacing/>
        <w:rPr>
          <w:rFonts w:ascii="Times New Roman" w:hAnsi="Times New Roman"/>
          <w:szCs w:val="21"/>
          <w:highlight w:val="none"/>
        </w:rPr>
      </w:pPr>
      <w:r>
        <w:rPr>
          <w:rFonts w:hint="eastAsia" w:ascii="Times New Roman" w:hAnsi="Times New Roman"/>
          <w:szCs w:val="21"/>
          <w:highlight w:val="none"/>
        </w:rPr>
        <w:t>乙方按照本合同向甲方交付的软件：</w:t>
      </w:r>
      <w:bookmarkStart w:id="97" w:name="OLE_LINK3"/>
      <w:r>
        <w:rPr>
          <w:rFonts w:hint="eastAsia" w:ascii="Times New Roman" w:hAnsi="Times New Roman"/>
          <w:i/>
          <w:iCs/>
          <w:color w:val="000000"/>
          <w:szCs w:val="21"/>
          <w:highlight w:val="none"/>
        </w:rPr>
        <w:t>&lt;根据项目实际情况选择</w:t>
      </w:r>
      <w:bookmarkEnd w:id="97"/>
      <w:r>
        <w:rPr>
          <w:rFonts w:hint="eastAsia" w:ascii="Times New Roman" w:hAnsi="Times New Roman"/>
          <w:i/>
          <w:iCs/>
          <w:color w:val="000000"/>
          <w:szCs w:val="21"/>
          <w:highlight w:val="none"/>
        </w:rPr>
        <w:t>&gt;</w:t>
      </w:r>
    </w:p>
    <w:p w14:paraId="2347E7D6">
      <w:pPr>
        <w:pStyle w:val="30"/>
        <w:ind w:left="315" w:leftChars="150" w:firstLine="0" w:firstLineChars="0"/>
        <w:rPr>
          <w:rFonts w:ascii="Times New Roman" w:hAnsi="Times New Roman"/>
          <w:szCs w:val="21"/>
          <w:highlight w:val="none"/>
          <w:u w:val="single"/>
        </w:rPr>
      </w:pPr>
      <w:r>
        <w:rPr>
          <w:rFonts w:hint="eastAsia" w:ascii="Times New Roman" w:hAnsi="Times New Roman"/>
          <w:szCs w:val="21"/>
          <w:highlight w:val="none"/>
        </w:rPr>
        <w:sym w:font="Wingdings 2" w:char="00A3"/>
      </w:r>
      <w:r>
        <w:rPr>
          <w:rFonts w:hint="eastAsia" w:ascii="Times New Roman" w:hAnsi="Times New Roman"/>
          <w:szCs w:val="21"/>
          <w:highlight w:val="none"/>
          <w:u w:val="single"/>
        </w:rPr>
        <w:t>有试运行期</w:t>
      </w:r>
      <w:r>
        <w:rPr>
          <w:rFonts w:hint="eastAsia" w:ascii="Times New Roman" w:hAnsi="Times New Roman"/>
          <w:szCs w:val="21"/>
          <w:highlight w:val="none"/>
        </w:rPr>
        <w:t>，试运行期为*</w:t>
      </w:r>
      <w:r>
        <w:rPr>
          <w:rFonts w:ascii="Times New Roman" w:hAnsi="Times New Roman"/>
          <w:szCs w:val="21"/>
          <w:highlight w:val="none"/>
        </w:rPr>
        <w:t>**</w:t>
      </w:r>
      <w:r>
        <w:rPr>
          <w:rFonts w:hint="eastAsia" w:ascii="Times New Roman" w:hAnsi="Times New Roman"/>
          <w:szCs w:val="21"/>
          <w:highlight w:val="none"/>
        </w:rPr>
        <w:t>，</w:t>
      </w:r>
      <w:r>
        <w:rPr>
          <w:rFonts w:ascii="Times New Roman" w:hAnsi="Times New Roman"/>
          <w:szCs w:val="21"/>
          <w:highlight w:val="none"/>
        </w:rPr>
        <w:t>试运行期间，如发现软件有缺陷，或性能和质量不</w:t>
      </w:r>
      <w:r>
        <w:rPr>
          <w:rFonts w:hint="eastAsia" w:ascii="Times New Roman" w:hAnsi="Times New Roman"/>
          <w:szCs w:val="21"/>
          <w:highlight w:val="none"/>
        </w:rPr>
        <w:t>符合本项目</w:t>
      </w:r>
      <w:r>
        <w:rPr>
          <w:rFonts w:ascii="Times New Roman" w:hAnsi="Times New Roman"/>
          <w:szCs w:val="21"/>
          <w:highlight w:val="none"/>
        </w:rPr>
        <w:t>要求</w:t>
      </w:r>
      <w:r>
        <w:rPr>
          <w:rFonts w:hint="eastAsia" w:ascii="Times New Roman" w:hAnsi="Times New Roman"/>
          <w:szCs w:val="21"/>
          <w:highlight w:val="none"/>
        </w:rPr>
        <w:t>时</w:t>
      </w:r>
      <w:r>
        <w:rPr>
          <w:rFonts w:ascii="Times New Roman" w:hAnsi="Times New Roman"/>
          <w:szCs w:val="21"/>
          <w:highlight w:val="none"/>
        </w:rPr>
        <w:t>，</w:t>
      </w:r>
      <w:r>
        <w:rPr>
          <w:rFonts w:hint="eastAsia" w:ascii="Times New Roman" w:hAnsi="Times New Roman"/>
          <w:szCs w:val="21"/>
          <w:highlight w:val="none"/>
        </w:rPr>
        <w:t>乙方须对相关问题进行修改和更正，同时试运行期时限按照上述修改、更正期进行相应顺延。</w:t>
      </w:r>
    </w:p>
    <w:p w14:paraId="79F90D40">
      <w:pPr>
        <w:pStyle w:val="30"/>
        <w:ind w:left="315" w:leftChars="150" w:firstLine="0" w:firstLineChars="0"/>
        <w:rPr>
          <w:rFonts w:hint="eastAsia" w:ascii="Times New Roman" w:hAnsi="Times New Roman"/>
          <w:szCs w:val="21"/>
          <w:highlight w:val="none"/>
        </w:rPr>
      </w:pPr>
      <w:r>
        <w:rPr>
          <w:rFonts w:hint="eastAsia" w:ascii="Times New Roman" w:hAnsi="Times New Roman"/>
          <w:szCs w:val="21"/>
          <w:highlight w:val="none"/>
        </w:rPr>
        <w:sym w:font="Wingdings 2" w:char="0052"/>
      </w:r>
      <w:r>
        <w:rPr>
          <w:rFonts w:hint="eastAsia" w:ascii="Times New Roman" w:hAnsi="Times New Roman"/>
          <w:szCs w:val="21"/>
          <w:highlight w:val="none"/>
          <w:u w:val="single"/>
        </w:rPr>
        <w:t>无试运行期</w:t>
      </w:r>
    </w:p>
    <w:p w14:paraId="03DDBF59">
      <w:pPr>
        <w:pStyle w:val="30"/>
        <w:numPr>
          <w:ilvl w:val="0"/>
          <w:numId w:val="17"/>
        </w:numPr>
        <w:ind w:left="0" w:firstLine="0" w:firstLineChars="0"/>
        <w:rPr>
          <w:rFonts w:ascii="Times New Roman" w:hAnsi="Times New Roman"/>
          <w:szCs w:val="21"/>
          <w:highlight w:val="none"/>
        </w:rPr>
      </w:pPr>
      <w:r>
        <w:rPr>
          <w:rFonts w:hint="eastAsia" w:ascii="Times New Roman" w:hAnsi="Times New Roman"/>
          <w:szCs w:val="21"/>
          <w:highlight w:val="none"/>
        </w:rPr>
        <w:t>若验收交付内容涉及试运行的，经试运行达到设计使用要求、技术质量标准并经甲方认可后视为验收通过。</w:t>
      </w:r>
    </w:p>
    <w:p w14:paraId="6B43BE49">
      <w:pPr>
        <w:pStyle w:val="30"/>
        <w:numPr>
          <w:ilvl w:val="0"/>
          <w:numId w:val="17"/>
        </w:numPr>
        <w:ind w:left="0" w:firstLine="0" w:firstLineChars="0"/>
        <w:rPr>
          <w:rFonts w:ascii="Times New Roman" w:hAnsi="Times New Roman"/>
          <w:szCs w:val="21"/>
          <w:highlight w:val="none"/>
        </w:rPr>
      </w:pPr>
      <w:r>
        <w:rPr>
          <w:rFonts w:ascii="Times New Roman" w:hAnsi="Times New Roman"/>
          <w:szCs w:val="21"/>
          <w:highlight w:val="none"/>
        </w:rPr>
        <w:t>如验收合格，双方签署验收报告</w:t>
      </w:r>
      <w:r>
        <w:rPr>
          <w:rFonts w:hint="eastAsia" w:ascii="Times New Roman" w:hAnsi="Times New Roman"/>
          <w:szCs w:val="21"/>
          <w:highlight w:val="none"/>
        </w:rPr>
        <w:t>；</w:t>
      </w:r>
      <w:r>
        <w:rPr>
          <w:rFonts w:ascii="Times New Roman" w:hAnsi="Times New Roman"/>
          <w:szCs w:val="21"/>
          <w:highlight w:val="none"/>
        </w:rPr>
        <w:t>如</w:t>
      </w:r>
      <w:r>
        <w:rPr>
          <w:rFonts w:hint="eastAsia" w:ascii="Times New Roman" w:hAnsi="Times New Roman"/>
          <w:szCs w:val="21"/>
          <w:highlight w:val="none"/>
        </w:rPr>
        <w:t>验收不合格</w:t>
      </w:r>
      <w:r>
        <w:rPr>
          <w:rFonts w:ascii="Times New Roman" w:hAnsi="Times New Roman"/>
          <w:szCs w:val="21"/>
          <w:highlight w:val="none"/>
        </w:rPr>
        <w:t>，甲方应</w:t>
      </w:r>
      <w:r>
        <w:rPr>
          <w:rFonts w:hint="eastAsia" w:ascii="Times New Roman" w:hAnsi="Times New Roman"/>
          <w:szCs w:val="21"/>
          <w:highlight w:val="none"/>
        </w:rPr>
        <w:t>进行</w:t>
      </w:r>
      <w:r>
        <w:rPr>
          <w:rFonts w:ascii="Times New Roman" w:hAnsi="Times New Roman"/>
          <w:szCs w:val="21"/>
          <w:highlight w:val="none"/>
        </w:rPr>
        <w:t>详尽的</w:t>
      </w:r>
      <w:r>
        <w:rPr>
          <w:rFonts w:hint="eastAsia" w:ascii="Times New Roman" w:hAnsi="Times New Roman"/>
          <w:szCs w:val="21"/>
          <w:highlight w:val="none"/>
        </w:rPr>
        <w:t>现场</w:t>
      </w:r>
      <w:r>
        <w:rPr>
          <w:rFonts w:ascii="Times New Roman" w:hAnsi="Times New Roman"/>
          <w:szCs w:val="21"/>
          <w:highlight w:val="none"/>
        </w:rPr>
        <w:t>记录，或由甲乙双方签署备忘录，此现场记录或备忘录可用作</w:t>
      </w:r>
      <w:r>
        <w:rPr>
          <w:rFonts w:hint="eastAsia" w:ascii="Times New Roman" w:hAnsi="Times New Roman"/>
          <w:szCs w:val="21"/>
          <w:highlight w:val="none"/>
        </w:rPr>
        <w:t>修改和更正相关问题</w:t>
      </w:r>
      <w:r>
        <w:rPr>
          <w:rFonts w:ascii="Times New Roman" w:hAnsi="Times New Roman"/>
          <w:szCs w:val="21"/>
          <w:highlight w:val="none"/>
        </w:rPr>
        <w:t>的有效证据，由此产生的时间延误与</w:t>
      </w:r>
      <w:r>
        <w:rPr>
          <w:rFonts w:hint="eastAsia" w:ascii="Times New Roman" w:hAnsi="Times New Roman"/>
          <w:szCs w:val="21"/>
          <w:highlight w:val="none"/>
        </w:rPr>
        <w:t>经济损失</w:t>
      </w:r>
      <w:r>
        <w:rPr>
          <w:rFonts w:ascii="Times New Roman" w:hAnsi="Times New Roman"/>
          <w:szCs w:val="21"/>
          <w:highlight w:val="none"/>
        </w:rPr>
        <w:t>由乙方承担，验收期限相应顺延</w:t>
      </w:r>
      <w:r>
        <w:rPr>
          <w:rFonts w:hint="eastAsia" w:ascii="Times New Roman" w:hAnsi="Times New Roman"/>
          <w:szCs w:val="21"/>
          <w:highlight w:val="none"/>
        </w:rPr>
        <w:t>，且</w:t>
      </w:r>
      <w:r>
        <w:rPr>
          <w:rFonts w:ascii="Times New Roman" w:hAnsi="Times New Roman"/>
          <w:szCs w:val="21"/>
          <w:highlight w:val="none"/>
        </w:rPr>
        <w:t>甲方有权拒绝签署验收报告，</w:t>
      </w:r>
      <w:r>
        <w:rPr>
          <w:rFonts w:hint="eastAsia" w:ascii="Times New Roman" w:hAnsi="Times New Roman"/>
          <w:szCs w:val="21"/>
          <w:highlight w:val="none"/>
        </w:rPr>
        <w:t>并</w:t>
      </w:r>
      <w:r>
        <w:rPr>
          <w:rFonts w:ascii="Times New Roman" w:hAnsi="Times New Roman"/>
          <w:szCs w:val="21"/>
          <w:highlight w:val="none"/>
        </w:rPr>
        <w:t>要求乙方无条件</w:t>
      </w:r>
      <w:r>
        <w:rPr>
          <w:rFonts w:hint="eastAsia" w:ascii="Times New Roman" w:hAnsi="Times New Roman"/>
          <w:szCs w:val="21"/>
          <w:highlight w:val="none"/>
        </w:rPr>
        <w:t>修改和更正</w:t>
      </w:r>
      <w:r>
        <w:rPr>
          <w:rFonts w:ascii="Times New Roman" w:hAnsi="Times New Roman"/>
          <w:szCs w:val="21"/>
          <w:highlight w:val="none"/>
        </w:rPr>
        <w:t>，</w:t>
      </w:r>
      <w:r>
        <w:rPr>
          <w:rFonts w:hint="eastAsia" w:ascii="Times New Roman" w:hAnsi="Times New Roman"/>
          <w:szCs w:val="21"/>
          <w:highlight w:val="none"/>
        </w:rPr>
        <w:t>而后进行再次验收，乙方应承担因此额外产生的全部费用。如果仍不合格，甲方有权终止本合同并视作乙方不能交付而须支付合同总价10</w:t>
      </w:r>
      <w:r>
        <w:rPr>
          <w:rFonts w:ascii="Times New Roman" w:hAnsi="Times New Roman"/>
          <w:szCs w:val="21"/>
          <w:highlight w:val="none"/>
        </w:rPr>
        <w:t>%的</w:t>
      </w:r>
      <w:r>
        <w:rPr>
          <w:rFonts w:hint="eastAsia" w:ascii="Times New Roman" w:hAnsi="Times New Roman"/>
          <w:szCs w:val="21"/>
          <w:highlight w:val="none"/>
        </w:rPr>
        <w:t>违约金给甲方，违约金不能弥补甲方损失的，乙方应全额赔偿。</w:t>
      </w:r>
    </w:p>
    <w:p w14:paraId="0AE44062">
      <w:pPr>
        <w:pStyle w:val="30"/>
        <w:numPr>
          <w:ilvl w:val="0"/>
          <w:numId w:val="12"/>
        </w:numPr>
        <w:snapToGrid w:val="0"/>
        <w:ind w:firstLineChars="0"/>
        <w:rPr>
          <w:rFonts w:hint="eastAsia" w:ascii="Times New Roman" w:hAnsi="Times New Roman"/>
          <w:b/>
          <w:bCs/>
          <w:szCs w:val="21"/>
          <w:highlight w:val="none"/>
        </w:rPr>
      </w:pPr>
      <w:r>
        <w:rPr>
          <w:rFonts w:ascii="Times New Roman" w:hAnsi="Times New Roman"/>
          <w:b/>
          <w:bCs/>
          <w:szCs w:val="21"/>
          <w:highlight w:val="none"/>
        </w:rPr>
        <w:t>知识产权</w:t>
      </w:r>
      <w:r>
        <w:rPr>
          <w:rFonts w:hint="eastAsia" w:ascii="Times New Roman" w:hAnsi="Times New Roman"/>
          <w:b/>
          <w:bCs/>
          <w:szCs w:val="21"/>
          <w:highlight w:val="none"/>
        </w:rPr>
        <w:t>及保密</w:t>
      </w:r>
    </w:p>
    <w:p w14:paraId="46B5D561">
      <w:pPr>
        <w:pStyle w:val="30"/>
        <w:numPr>
          <w:ilvl w:val="0"/>
          <w:numId w:val="20"/>
        </w:numPr>
        <w:ind w:left="0" w:firstLine="0" w:firstLineChars="0"/>
        <w:rPr>
          <w:rFonts w:ascii="Times New Roman" w:hAnsi="Times New Roman"/>
          <w:szCs w:val="21"/>
          <w:highlight w:val="none"/>
        </w:rPr>
      </w:pPr>
      <w:r>
        <w:rPr>
          <w:rFonts w:hint="eastAsia" w:ascii="Times New Roman" w:hAnsi="Times New Roman"/>
          <w:szCs w:val="21"/>
          <w:highlight w:val="none"/>
        </w:rPr>
        <w:t>甲、乙双方确定，因履行本合同所产生的开发成果及其相关知识产权归属</w:t>
      </w:r>
      <w:r>
        <w:rPr>
          <w:rFonts w:hint="eastAsia" w:ascii="Times New Roman" w:hAnsi="Times New Roman"/>
          <w:szCs w:val="21"/>
          <w:highlight w:val="none"/>
          <w:u w:val="single"/>
        </w:rPr>
        <w:t>甲方所有</w:t>
      </w:r>
      <w:r>
        <w:rPr>
          <w:rFonts w:hint="eastAsia" w:ascii="Times New Roman" w:hAnsi="Times New Roman"/>
          <w:szCs w:val="21"/>
          <w:highlight w:val="none"/>
        </w:rPr>
        <w:t>。</w:t>
      </w:r>
    </w:p>
    <w:p w14:paraId="1AABD5A9">
      <w:pPr>
        <w:pStyle w:val="30"/>
        <w:numPr>
          <w:ilvl w:val="0"/>
          <w:numId w:val="20"/>
        </w:numPr>
        <w:ind w:left="0" w:firstLine="0" w:firstLineChars="0"/>
        <w:rPr>
          <w:rFonts w:ascii="Times New Roman" w:hAnsi="Times New Roman"/>
          <w:szCs w:val="21"/>
          <w:highlight w:val="none"/>
        </w:rPr>
      </w:pPr>
      <w:r>
        <w:rPr>
          <w:rFonts w:hint="eastAsia" w:ascii="Times New Roman" w:hAnsi="Times New Roman"/>
          <w:szCs w:val="21"/>
          <w:highlight w:val="none"/>
        </w:rPr>
        <w:t>乙方不得在向甲方交付开发成果之前，自行将开发成果转让给第三方。</w:t>
      </w:r>
    </w:p>
    <w:p w14:paraId="43D7EDC3">
      <w:pPr>
        <w:pStyle w:val="30"/>
        <w:numPr>
          <w:ilvl w:val="0"/>
          <w:numId w:val="20"/>
        </w:numPr>
        <w:ind w:left="0" w:firstLine="0" w:firstLineChars="0"/>
        <w:rPr>
          <w:rFonts w:hint="eastAsia" w:ascii="Times New Roman" w:hAnsi="Times New Roman"/>
          <w:szCs w:val="21"/>
          <w:highlight w:val="none"/>
        </w:rPr>
      </w:pPr>
      <w:r>
        <w:rPr>
          <w:rFonts w:hint="eastAsia" w:ascii="Times New Roman" w:hAnsi="Times New Roman"/>
          <w:szCs w:val="21"/>
          <w:highlight w:val="none"/>
        </w:rPr>
        <w:t>乙方须保证，对于其提供的软件系统拥有知识产权或已获得权利人的授权，甲方无需另行支付任何费用。本项目使用乙方提供的软件不会侵犯第三方的合法权益，否则乙方应当负责处理索赔或涉诉等各项事宜，造成甲方损失的，乙方还应当承担赔偿责任。</w:t>
      </w:r>
    </w:p>
    <w:p w14:paraId="71131571">
      <w:pPr>
        <w:pStyle w:val="30"/>
        <w:numPr>
          <w:ilvl w:val="0"/>
          <w:numId w:val="20"/>
        </w:numPr>
        <w:ind w:left="0" w:firstLine="0" w:firstLineChars="0"/>
        <w:rPr>
          <w:rFonts w:ascii="Times New Roman" w:hAnsi="Times New Roman"/>
          <w:szCs w:val="21"/>
          <w:highlight w:val="none"/>
        </w:rPr>
      </w:pPr>
      <w:r>
        <w:rPr>
          <w:rFonts w:hint="eastAsia" w:ascii="Times New Roman" w:hAnsi="Times New Roman"/>
          <w:szCs w:val="21"/>
          <w:highlight w:val="none"/>
        </w:rPr>
        <w:t>甲、乙双方确定，甲方有权利用乙方按照本合同约定提供的产品，进行后续改进，由此产生的具有实质性或创造性技术进步特征的新的技术成果及其权利归属，由甲方享有。</w:t>
      </w:r>
    </w:p>
    <w:p w14:paraId="0642D7A6">
      <w:pPr>
        <w:pStyle w:val="30"/>
        <w:numPr>
          <w:ilvl w:val="0"/>
          <w:numId w:val="20"/>
        </w:numPr>
        <w:ind w:left="0" w:firstLine="0" w:firstLineChars="0"/>
        <w:rPr>
          <w:rFonts w:ascii="Times New Roman" w:hAnsi="Times New Roman"/>
          <w:szCs w:val="21"/>
          <w:highlight w:val="none"/>
        </w:rPr>
      </w:pPr>
      <w:r>
        <w:rPr>
          <w:rFonts w:hint="eastAsia" w:ascii="Times New Roman" w:hAnsi="Times New Roman"/>
          <w:szCs w:val="21"/>
          <w:highlight w:val="none"/>
        </w:rPr>
        <w:t>甲、乙双方确定，本合同价格已</w:t>
      </w:r>
      <w:r>
        <w:rPr>
          <w:rFonts w:ascii="Times New Roman" w:hAnsi="Times New Roman"/>
          <w:szCs w:val="21"/>
          <w:highlight w:val="none"/>
        </w:rPr>
        <w:t>包含向</w:t>
      </w:r>
      <w:r>
        <w:rPr>
          <w:rFonts w:hint="eastAsia" w:ascii="Times New Roman" w:hAnsi="Times New Roman"/>
          <w:szCs w:val="21"/>
          <w:highlight w:val="none"/>
        </w:rPr>
        <w:t>本合同涉及的相关</w:t>
      </w:r>
      <w:r>
        <w:rPr>
          <w:rFonts w:ascii="Times New Roman" w:hAnsi="Times New Roman"/>
          <w:szCs w:val="21"/>
          <w:highlight w:val="none"/>
        </w:rPr>
        <w:t>所有权人支付的专利权、商标权或其他知识产权的有关费用及税费。</w:t>
      </w:r>
    </w:p>
    <w:p w14:paraId="29139D53">
      <w:pPr>
        <w:pStyle w:val="30"/>
        <w:numPr>
          <w:ilvl w:val="0"/>
          <w:numId w:val="20"/>
        </w:numPr>
        <w:ind w:left="0" w:firstLine="0" w:firstLineChars="0"/>
        <w:rPr>
          <w:rFonts w:ascii="Times New Roman" w:hAnsi="Times New Roman"/>
          <w:szCs w:val="21"/>
          <w:highlight w:val="none"/>
        </w:rPr>
      </w:pPr>
      <w:r>
        <w:rPr>
          <w:rFonts w:hint="eastAsia" w:ascii="Times New Roman" w:hAnsi="Times New Roman"/>
          <w:szCs w:val="21"/>
          <w:highlight w:val="none"/>
        </w:rPr>
        <w:t>甲乙双方均应对本合同内容，包括但不限于项目关键技术、实施方案等予以保密，非经双方一致同意，任何一方不得将协议内容泄露、提供给第三方或用作其他不正当用途。</w:t>
      </w:r>
    </w:p>
    <w:p w14:paraId="307BC427">
      <w:pPr>
        <w:pStyle w:val="30"/>
        <w:numPr>
          <w:ilvl w:val="0"/>
          <w:numId w:val="12"/>
        </w:numPr>
        <w:snapToGrid w:val="0"/>
        <w:ind w:left="0" w:firstLine="0" w:firstLineChars="0"/>
        <w:rPr>
          <w:rFonts w:ascii="Times New Roman" w:hAnsi="Times New Roman"/>
          <w:b/>
          <w:bCs/>
          <w:szCs w:val="21"/>
          <w:highlight w:val="none"/>
        </w:rPr>
      </w:pPr>
      <w:r>
        <w:rPr>
          <w:rFonts w:ascii="Times New Roman" w:hAnsi="Times New Roman"/>
          <w:b/>
          <w:bCs/>
          <w:szCs w:val="21"/>
          <w:highlight w:val="none"/>
        </w:rPr>
        <w:t>付款方式</w:t>
      </w:r>
    </w:p>
    <w:p w14:paraId="0F4B28C9">
      <w:pPr>
        <w:pStyle w:val="30"/>
        <w:numPr>
          <w:ilvl w:val="0"/>
          <w:numId w:val="21"/>
        </w:numPr>
        <w:ind w:firstLineChars="0"/>
        <w:rPr>
          <w:rFonts w:ascii="Times New Roman" w:hAnsi="Times New Roman"/>
          <w:szCs w:val="21"/>
          <w:highlight w:val="none"/>
        </w:rPr>
      </w:pPr>
      <w:r>
        <w:rPr>
          <w:rFonts w:hint="eastAsia" w:ascii="Times New Roman" w:hAnsi="Times New Roman"/>
          <w:szCs w:val="21"/>
          <w:highlight w:val="none"/>
        </w:rPr>
        <w:t>履约保证金：</w:t>
      </w:r>
    </w:p>
    <w:p w14:paraId="5819535B">
      <w:pPr>
        <w:pStyle w:val="16"/>
        <w:spacing w:after="0"/>
        <w:ind w:left="420" w:leftChars="200" w:firstLine="0" w:firstLineChars="0"/>
        <w:contextualSpacing/>
        <w:rPr>
          <w:rFonts w:hint="eastAsia" w:ascii="Times New Roman" w:hAnsi="Times New Roman"/>
          <w:color w:val="000000"/>
          <w:szCs w:val="21"/>
          <w:highlight w:val="none"/>
        </w:rPr>
      </w:pPr>
      <w:r>
        <w:rPr>
          <w:rFonts w:ascii="Times New Roman" w:hAnsi="Times New Roman"/>
          <w:color w:val="000000"/>
          <w:szCs w:val="21"/>
          <w:highlight w:val="none"/>
        </w:rPr>
        <w:sym w:font="Wingdings 2" w:char="F052"/>
      </w:r>
      <w:r>
        <w:rPr>
          <w:rFonts w:ascii="Times New Roman" w:hAnsi="Times New Roman"/>
          <w:color w:val="000000"/>
          <w:szCs w:val="21"/>
          <w:highlight w:val="none"/>
        </w:rPr>
        <w:t>乙方在合同签订生效之日起的***个工作日内，按合同总价***%支付履约保证金</w:t>
      </w:r>
      <w:r>
        <w:rPr>
          <w:rFonts w:hint="eastAsia" w:ascii="Times New Roman" w:hAnsi="Times New Roman"/>
          <w:color w:val="000000"/>
          <w:szCs w:val="21"/>
          <w:highlight w:val="none"/>
        </w:rPr>
        <w:t>；项目</w:t>
      </w:r>
      <w:r>
        <w:rPr>
          <w:rFonts w:ascii="Times New Roman" w:hAnsi="Times New Roman"/>
          <w:color w:val="000000"/>
          <w:szCs w:val="21"/>
          <w:highlight w:val="none"/>
        </w:rPr>
        <w:t>验收合格</w:t>
      </w:r>
      <w:r>
        <w:rPr>
          <w:rFonts w:hint="eastAsia" w:ascii="Times New Roman" w:hAnsi="Times New Roman"/>
          <w:color w:val="000000"/>
          <w:szCs w:val="21"/>
          <w:highlight w:val="none"/>
        </w:rPr>
        <w:t>且服务期结束</w:t>
      </w:r>
      <w:r>
        <w:rPr>
          <w:rFonts w:ascii="Times New Roman" w:hAnsi="Times New Roman"/>
          <w:color w:val="000000"/>
          <w:szCs w:val="21"/>
          <w:highlight w:val="none"/>
        </w:rPr>
        <w:t>之</w:t>
      </w:r>
      <w:r>
        <w:rPr>
          <w:rFonts w:hint="eastAsia" w:ascii="Times New Roman" w:hAnsi="Times New Roman"/>
          <w:color w:val="000000"/>
          <w:szCs w:val="21"/>
          <w:highlight w:val="none"/>
        </w:rPr>
        <w:t>后</w:t>
      </w:r>
      <w:r>
        <w:rPr>
          <w:rFonts w:ascii="Times New Roman" w:hAnsi="Times New Roman"/>
          <w:color w:val="000000"/>
          <w:szCs w:val="21"/>
          <w:highlight w:val="none"/>
        </w:rPr>
        <w:t>，</w:t>
      </w:r>
      <w:r>
        <w:rPr>
          <w:rFonts w:hint="eastAsia" w:ascii="宋体" w:hAnsi="宋体" w:cs="宋体"/>
          <w:szCs w:val="21"/>
          <w:highlight w:val="none"/>
        </w:rPr>
        <w:t>乙方向甲方提供合法有效票据及其他相关请款资料，甲方在</w:t>
      </w:r>
      <w:r>
        <w:rPr>
          <w:rFonts w:hint="eastAsia" w:ascii="宋体" w:hAnsi="宋体" w:cs="宋体"/>
          <w:szCs w:val="21"/>
          <w:highlight w:val="none"/>
          <w:u w:val="single"/>
        </w:rPr>
        <w:t xml:space="preserve"> 50 </w:t>
      </w:r>
      <w:r>
        <w:rPr>
          <w:rFonts w:hint="eastAsia" w:ascii="宋体" w:hAnsi="宋体" w:cs="宋体"/>
          <w:szCs w:val="21"/>
          <w:highlight w:val="none"/>
        </w:rPr>
        <w:t>工作日内将履约保证金扣减考核金额（如涉及考核）后一次性无息退还</w:t>
      </w:r>
      <w:r>
        <w:rPr>
          <w:rFonts w:hint="eastAsia" w:ascii="Times New Roman" w:hAnsi="Times New Roman"/>
          <w:color w:val="000000"/>
          <w:szCs w:val="21"/>
          <w:highlight w:val="none"/>
        </w:rPr>
        <w:t>；</w:t>
      </w:r>
      <w:r>
        <w:rPr>
          <w:rFonts w:ascii="Times New Roman" w:hAnsi="Times New Roman"/>
          <w:color w:val="000000"/>
          <w:szCs w:val="21"/>
          <w:highlight w:val="none"/>
        </w:rPr>
        <w:t>经验收</w:t>
      </w:r>
      <w:r>
        <w:rPr>
          <w:rFonts w:hint="eastAsia" w:ascii="Times New Roman" w:hAnsi="Times New Roman"/>
          <w:color w:val="000000"/>
          <w:szCs w:val="21"/>
          <w:highlight w:val="none"/>
        </w:rPr>
        <w:t>后</w:t>
      </w:r>
      <w:r>
        <w:rPr>
          <w:rFonts w:ascii="Times New Roman" w:hAnsi="Times New Roman"/>
          <w:color w:val="000000"/>
          <w:szCs w:val="21"/>
          <w:highlight w:val="none"/>
        </w:rPr>
        <w:t>乙方履约不合格的，履约保证金不予退还。</w:t>
      </w:r>
    </w:p>
    <w:p w14:paraId="5D3FD12F">
      <w:pPr>
        <w:pStyle w:val="16"/>
        <w:spacing w:after="0"/>
        <w:ind w:left="420" w:leftChars="200" w:firstLine="0" w:firstLineChars="0"/>
        <w:contextualSpacing/>
        <w:rPr>
          <w:rFonts w:ascii="Times New Roman" w:hAnsi="Times New Roman"/>
          <w:color w:val="000000"/>
          <w:szCs w:val="21"/>
          <w:highlight w:val="none"/>
        </w:rPr>
      </w:pPr>
      <w:r>
        <w:rPr>
          <w:rFonts w:ascii="Times New Roman" w:hAnsi="Times New Roman"/>
          <w:color w:val="000000"/>
          <w:szCs w:val="21"/>
          <w:highlight w:val="none"/>
        </w:rPr>
        <w:sym w:font="Wingdings" w:char="F0A8"/>
      </w:r>
      <w:r>
        <w:rPr>
          <w:rFonts w:hint="eastAsia" w:ascii="Times New Roman" w:hAnsi="Times New Roman"/>
          <w:color w:val="000000"/>
          <w:szCs w:val="21"/>
          <w:highlight w:val="none"/>
        </w:rPr>
        <w:t>本合同不涉及履约保证金。</w:t>
      </w:r>
    </w:p>
    <w:p w14:paraId="1048A706">
      <w:pPr>
        <w:pStyle w:val="30"/>
        <w:numPr>
          <w:ilvl w:val="0"/>
          <w:numId w:val="21"/>
        </w:numPr>
        <w:ind w:firstLineChars="0"/>
        <w:rPr>
          <w:rFonts w:ascii="Times New Roman" w:hAnsi="Times New Roman"/>
          <w:szCs w:val="21"/>
          <w:highlight w:val="none"/>
        </w:rPr>
      </w:pPr>
      <w:r>
        <w:rPr>
          <w:rFonts w:hint="eastAsia" w:ascii="Times New Roman" w:hAnsi="Times New Roman"/>
          <w:szCs w:val="21"/>
          <w:highlight w:val="none"/>
        </w:rPr>
        <w:t>本项目价款采用以下方式支付，以人民币结算：</w:t>
      </w:r>
    </w:p>
    <w:p w14:paraId="146E25DA">
      <w:pPr>
        <w:pStyle w:val="16"/>
        <w:spacing w:after="0"/>
        <w:ind w:firstLine="0" w:firstLineChars="0"/>
        <w:contextualSpacing/>
        <w:rPr>
          <w:rFonts w:hint="eastAsia" w:ascii="Times New Roman" w:hAnsi="Times New Roman"/>
          <w:color w:val="000000"/>
          <w:szCs w:val="21"/>
          <w:highlight w:val="none"/>
        </w:rPr>
      </w:pPr>
      <w:r>
        <w:rPr>
          <w:rFonts w:ascii="Times New Roman" w:hAnsi="Times New Roman"/>
          <w:color w:val="000000"/>
          <w:szCs w:val="21"/>
          <w:highlight w:val="none"/>
        </w:rPr>
        <w:sym w:font="Wingdings 2" w:char="F052"/>
      </w:r>
      <w:r>
        <w:rPr>
          <w:rFonts w:hint="eastAsia" w:ascii="Times New Roman" w:hAnsi="Times New Roman"/>
          <w:color w:val="000000"/>
          <w:szCs w:val="21"/>
          <w:highlight w:val="none"/>
        </w:rPr>
        <w:t>一次性支付：甲方</w:t>
      </w:r>
      <w:r>
        <w:rPr>
          <w:rFonts w:hint="eastAsia" w:ascii="宋体" w:hAnsi="宋体" w:cs="宋体"/>
          <w:szCs w:val="21"/>
          <w:highlight w:val="none"/>
        </w:rPr>
        <w:t>甲方提供合法有效票据及其他相关请款资料</w:t>
      </w:r>
      <w:r>
        <w:rPr>
          <w:rFonts w:ascii="宋体" w:hAnsi="宋体" w:cs="宋体"/>
          <w:szCs w:val="21"/>
          <w:highlight w:val="none"/>
        </w:rPr>
        <w:t>，</w:t>
      </w:r>
      <w:r>
        <w:rPr>
          <w:rFonts w:hint="eastAsia" w:ascii="宋体" w:hAnsi="宋体" w:cs="宋体"/>
          <w:szCs w:val="21"/>
          <w:highlight w:val="none"/>
        </w:rPr>
        <w:t>甲方</w:t>
      </w:r>
      <w:r>
        <w:rPr>
          <w:rFonts w:ascii="宋体" w:hAnsi="宋体" w:cs="宋体"/>
          <w:szCs w:val="21"/>
          <w:highlight w:val="none"/>
        </w:rPr>
        <w:t>接到</w:t>
      </w:r>
      <w:r>
        <w:rPr>
          <w:rFonts w:hint="eastAsia" w:ascii="宋体" w:hAnsi="宋体" w:cs="宋体"/>
          <w:szCs w:val="21"/>
          <w:highlight w:val="none"/>
        </w:rPr>
        <w:t>乙方</w:t>
      </w:r>
      <w:r>
        <w:rPr>
          <w:rFonts w:ascii="宋体" w:hAnsi="宋体" w:cs="宋体"/>
          <w:szCs w:val="21"/>
          <w:highlight w:val="none"/>
        </w:rPr>
        <w:t>请款资料以后的</w:t>
      </w:r>
      <w:r>
        <w:rPr>
          <w:rFonts w:hint="eastAsia" w:ascii="宋体" w:hAnsi="宋体" w:cs="宋体"/>
          <w:szCs w:val="21"/>
          <w:highlight w:val="none"/>
        </w:rPr>
        <w:t>55</w:t>
      </w:r>
      <w:r>
        <w:rPr>
          <w:rFonts w:ascii="宋体" w:hAnsi="宋体" w:cs="宋体"/>
          <w:szCs w:val="21"/>
          <w:highlight w:val="none"/>
        </w:rPr>
        <w:t>日内，</w:t>
      </w:r>
      <w:r>
        <w:rPr>
          <w:rFonts w:hint="eastAsia" w:ascii="宋体" w:hAnsi="宋体" w:cs="宋体"/>
          <w:szCs w:val="21"/>
          <w:highlight w:val="none"/>
        </w:rPr>
        <w:t>向乙方支付合同总价100%的金额</w:t>
      </w:r>
      <w:r>
        <w:rPr>
          <w:rFonts w:hint="eastAsia" w:ascii="Times New Roman" w:hAnsi="Times New Roman"/>
          <w:color w:val="000000"/>
          <w:szCs w:val="21"/>
          <w:highlight w:val="none"/>
        </w:rPr>
        <w:t>。</w:t>
      </w:r>
    </w:p>
    <w:p w14:paraId="1C232D53">
      <w:pPr>
        <w:pStyle w:val="16"/>
        <w:spacing w:after="0"/>
        <w:ind w:firstLine="0" w:firstLineChars="0"/>
        <w:contextualSpacing/>
        <w:rPr>
          <w:rFonts w:ascii="Times New Roman" w:hAnsi="Times New Roman"/>
          <w:color w:val="000000"/>
          <w:szCs w:val="21"/>
          <w:highlight w:val="none"/>
        </w:rPr>
      </w:pPr>
      <w:r>
        <w:rPr>
          <w:rFonts w:ascii="Times New Roman" w:hAnsi="Times New Roman"/>
          <w:color w:val="000000"/>
          <w:szCs w:val="21"/>
          <w:highlight w:val="none"/>
        </w:rPr>
        <w:sym w:font="Wingdings" w:char="F0A8"/>
      </w:r>
      <w:r>
        <w:rPr>
          <w:rFonts w:hint="eastAsia" w:ascii="Times New Roman" w:hAnsi="Times New Roman"/>
          <w:color w:val="000000"/>
          <w:szCs w:val="21"/>
          <w:highlight w:val="none"/>
        </w:rPr>
        <w:t>分阶段支付：</w:t>
      </w:r>
    </w:p>
    <w:p w14:paraId="17FAD39A">
      <w:pPr>
        <w:pStyle w:val="16"/>
        <w:spacing w:after="0"/>
        <w:ind w:left="840" w:leftChars="400" w:firstLine="0" w:firstLineChars="0"/>
        <w:contextualSpacing/>
        <w:jc w:val="left"/>
        <w:rPr>
          <w:rFonts w:ascii="Times New Roman" w:hAnsi="Times New Roman"/>
          <w:color w:val="000000"/>
          <w:szCs w:val="21"/>
          <w:highlight w:val="none"/>
        </w:rPr>
      </w:pPr>
      <w:r>
        <w:rPr>
          <w:rFonts w:hint="eastAsia" w:ascii="Times New Roman" w:hAnsi="Times New Roman"/>
          <w:color w:val="000000"/>
          <w:szCs w:val="21"/>
          <w:highlight w:val="none"/>
        </w:rPr>
        <w:t>（1）</w:t>
      </w:r>
      <w:r>
        <w:rPr>
          <w:rFonts w:hint="eastAsia" w:ascii="宋体" w:hAnsi="宋体" w:cs="宋体"/>
          <w:szCs w:val="21"/>
          <w:highlight w:val="none"/>
        </w:rPr>
        <w:t>第一次付款：合同签订生效且</w:t>
      </w:r>
      <w:r>
        <w:rPr>
          <w:rFonts w:ascii="宋体" w:hAnsi="宋体" w:cs="宋体"/>
          <w:szCs w:val="21"/>
          <w:highlight w:val="none"/>
        </w:rPr>
        <w:t>项目验收通过后，</w:t>
      </w:r>
      <w:r>
        <w:rPr>
          <w:rFonts w:hint="eastAsia" w:ascii="宋体" w:hAnsi="宋体" w:cs="宋体"/>
          <w:szCs w:val="21"/>
          <w:highlight w:val="none"/>
        </w:rPr>
        <w:t>乙方</w:t>
      </w:r>
      <w:r>
        <w:rPr>
          <w:rFonts w:ascii="宋体" w:hAnsi="宋体" w:cs="宋体"/>
          <w:szCs w:val="21"/>
          <w:highlight w:val="none"/>
        </w:rPr>
        <w:t xml:space="preserve"> 5 日内向</w:t>
      </w:r>
      <w:r>
        <w:rPr>
          <w:rFonts w:hint="eastAsia" w:ascii="宋体" w:hAnsi="宋体" w:cs="宋体"/>
          <w:szCs w:val="21"/>
          <w:highlight w:val="none"/>
        </w:rPr>
        <w:t>甲方提供合法有效票据及其他相关请款资料</w:t>
      </w:r>
      <w:r>
        <w:rPr>
          <w:rFonts w:ascii="宋体" w:hAnsi="宋体" w:cs="宋体"/>
          <w:szCs w:val="21"/>
          <w:highlight w:val="none"/>
        </w:rPr>
        <w:t>，</w:t>
      </w:r>
      <w:r>
        <w:rPr>
          <w:rFonts w:hint="eastAsia" w:ascii="宋体" w:hAnsi="宋体" w:cs="宋体"/>
          <w:szCs w:val="21"/>
          <w:highlight w:val="none"/>
        </w:rPr>
        <w:t>甲方</w:t>
      </w:r>
      <w:r>
        <w:rPr>
          <w:rFonts w:ascii="宋体" w:hAnsi="宋体" w:cs="宋体"/>
          <w:szCs w:val="21"/>
          <w:highlight w:val="none"/>
        </w:rPr>
        <w:t>接到</w:t>
      </w:r>
      <w:r>
        <w:rPr>
          <w:rFonts w:hint="eastAsia" w:ascii="宋体" w:hAnsi="宋体" w:cs="宋体"/>
          <w:szCs w:val="21"/>
          <w:highlight w:val="none"/>
        </w:rPr>
        <w:t>乙方</w:t>
      </w:r>
      <w:r>
        <w:rPr>
          <w:rFonts w:ascii="宋体" w:hAnsi="宋体" w:cs="宋体"/>
          <w:szCs w:val="21"/>
          <w:highlight w:val="none"/>
        </w:rPr>
        <w:t>请款资料以后的</w:t>
      </w:r>
      <w:r>
        <w:rPr>
          <w:rFonts w:hint="eastAsia" w:ascii="宋体" w:hAnsi="宋体" w:cs="宋体"/>
          <w:szCs w:val="21"/>
          <w:highlight w:val="none"/>
        </w:rPr>
        <w:t>55</w:t>
      </w:r>
      <w:r>
        <w:rPr>
          <w:rFonts w:ascii="宋体" w:hAnsi="宋体" w:cs="宋体"/>
          <w:szCs w:val="21"/>
          <w:highlight w:val="none"/>
        </w:rPr>
        <w:t>日内，向</w:t>
      </w:r>
      <w:r>
        <w:rPr>
          <w:rFonts w:hint="eastAsia" w:ascii="宋体" w:hAnsi="宋体" w:cs="宋体"/>
          <w:szCs w:val="21"/>
          <w:highlight w:val="none"/>
        </w:rPr>
        <w:t>乙方</w:t>
      </w:r>
      <w:r>
        <w:rPr>
          <w:rFonts w:ascii="宋体" w:hAnsi="宋体" w:cs="宋体"/>
          <w:szCs w:val="21"/>
          <w:highlight w:val="none"/>
        </w:rPr>
        <w:t xml:space="preserve">支付本次合同金额的 </w:t>
      </w:r>
      <w:r>
        <w:rPr>
          <w:rFonts w:hint="eastAsia" w:ascii="宋体" w:hAnsi="宋体" w:cs="宋体"/>
          <w:szCs w:val="21"/>
          <w:highlight w:val="none"/>
        </w:rPr>
        <w:t>80</w:t>
      </w:r>
      <w:r>
        <w:rPr>
          <w:rFonts w:ascii="宋体" w:hAnsi="宋体" w:cs="宋体"/>
          <w:szCs w:val="21"/>
          <w:highlight w:val="none"/>
        </w:rPr>
        <w:t>%</w:t>
      </w:r>
      <w:r>
        <w:rPr>
          <w:rFonts w:hint="eastAsia" w:ascii="Times New Roman" w:hAnsi="Times New Roman"/>
          <w:color w:val="000000"/>
          <w:szCs w:val="21"/>
          <w:highlight w:val="none"/>
        </w:rPr>
        <w:t>。</w:t>
      </w:r>
    </w:p>
    <w:p w14:paraId="2F0E7EA1">
      <w:pPr>
        <w:pStyle w:val="16"/>
        <w:spacing w:after="0"/>
        <w:ind w:left="840" w:leftChars="400" w:firstLine="0" w:firstLineChars="0"/>
        <w:contextualSpacing/>
        <w:jc w:val="left"/>
        <w:rPr>
          <w:rFonts w:ascii="Times New Roman" w:hAnsi="Times New Roman"/>
          <w:color w:val="000000"/>
          <w:szCs w:val="21"/>
          <w:highlight w:val="none"/>
        </w:rPr>
      </w:pPr>
      <w:r>
        <w:rPr>
          <w:rFonts w:hint="eastAsia" w:ascii="Times New Roman" w:hAnsi="Times New Roman"/>
          <w:color w:val="000000"/>
          <w:szCs w:val="21"/>
          <w:highlight w:val="none"/>
        </w:rPr>
        <w:t>（2）</w:t>
      </w:r>
      <w:r>
        <w:rPr>
          <w:rFonts w:hint="eastAsia" w:ascii="宋体" w:hAnsi="宋体" w:cs="宋体"/>
          <w:szCs w:val="21"/>
          <w:highlight w:val="none"/>
        </w:rPr>
        <w:t>第二次付款：服务期满后，乙方 5 日内向甲方提供合法有效票据及其他相关请款资料，甲方接到乙方请款资料以后</w:t>
      </w:r>
      <w:r>
        <w:rPr>
          <w:rFonts w:ascii="宋体" w:hAnsi="宋体" w:cs="宋体"/>
          <w:szCs w:val="21"/>
          <w:highlight w:val="none"/>
        </w:rPr>
        <w:t>的</w:t>
      </w:r>
      <w:r>
        <w:rPr>
          <w:rFonts w:hint="eastAsia" w:ascii="宋体" w:hAnsi="宋体" w:cs="宋体"/>
          <w:szCs w:val="21"/>
          <w:highlight w:val="none"/>
        </w:rPr>
        <w:t>90</w:t>
      </w:r>
      <w:r>
        <w:rPr>
          <w:rFonts w:ascii="宋体" w:hAnsi="宋体" w:cs="宋体"/>
          <w:szCs w:val="21"/>
          <w:highlight w:val="none"/>
        </w:rPr>
        <w:t>日内，</w:t>
      </w:r>
      <w:r>
        <w:rPr>
          <w:rFonts w:hint="eastAsia" w:ascii="宋体" w:hAnsi="宋体" w:cs="宋体"/>
          <w:szCs w:val="21"/>
          <w:highlight w:val="none"/>
        </w:rPr>
        <w:t>向乙方支付合同总价20%减去考核扣除金额（若有考核）</w:t>
      </w:r>
      <w:r>
        <w:rPr>
          <w:rFonts w:hint="eastAsia" w:ascii="Times New Roman" w:hAnsi="Times New Roman"/>
          <w:color w:val="000000"/>
          <w:szCs w:val="21"/>
          <w:highlight w:val="none"/>
        </w:rPr>
        <w:t>。</w:t>
      </w:r>
    </w:p>
    <w:p w14:paraId="207BC960">
      <w:pPr>
        <w:pStyle w:val="16"/>
        <w:spacing w:after="0"/>
        <w:ind w:firstLine="0" w:firstLineChars="0"/>
        <w:contextualSpacing/>
        <w:jc w:val="left"/>
        <w:rPr>
          <w:rFonts w:ascii="Times New Roman" w:hAnsi="Times New Roman"/>
          <w:color w:val="000000"/>
          <w:szCs w:val="21"/>
          <w:highlight w:val="none"/>
        </w:rPr>
      </w:pPr>
      <w:r>
        <w:rPr>
          <w:rFonts w:ascii="Times New Roman" w:hAnsi="Times New Roman"/>
          <w:color w:val="000000"/>
          <w:szCs w:val="21"/>
          <w:highlight w:val="none"/>
        </w:rPr>
        <w:sym w:font="Wingdings" w:char="00A8"/>
      </w:r>
      <w:r>
        <w:rPr>
          <w:rFonts w:hint="eastAsia" w:ascii="Times New Roman" w:hAnsi="Times New Roman"/>
          <w:color w:val="000000"/>
          <w:szCs w:val="21"/>
          <w:highlight w:val="none"/>
        </w:rPr>
        <w:t>实结算方式：</w:t>
      </w:r>
      <w:r>
        <w:rPr>
          <w:rFonts w:ascii="宋体" w:hAnsi="宋体" w:cs="宋体"/>
          <w:szCs w:val="21"/>
          <w:highlight w:val="none"/>
        </w:rPr>
        <w:t>本项目</w:t>
      </w:r>
      <w:r>
        <w:rPr>
          <w:rFonts w:ascii="宋体" w:hAnsi="宋体" w:cs="宋体"/>
          <w:szCs w:val="21"/>
          <w:highlight w:val="none"/>
          <w:u w:val="single"/>
        </w:rPr>
        <w:t>每月/每季度</w:t>
      </w:r>
      <w:r>
        <w:rPr>
          <w:rFonts w:ascii="宋体" w:hAnsi="宋体" w:cs="宋体"/>
          <w:szCs w:val="21"/>
          <w:highlight w:val="none"/>
        </w:rPr>
        <w:t>结算一次 ，</w:t>
      </w:r>
      <w:r>
        <w:rPr>
          <w:rFonts w:hint="eastAsia"/>
          <w:highlight w:val="none"/>
        </w:rPr>
        <w:t>根据本项目成交单价及实际验收数量</w:t>
      </w:r>
      <w:r>
        <w:rPr>
          <w:rFonts w:ascii="宋体" w:hAnsi="宋体" w:cs="宋体"/>
          <w:szCs w:val="21"/>
          <w:highlight w:val="none"/>
        </w:rPr>
        <w:t>，</w:t>
      </w:r>
      <w:r>
        <w:rPr>
          <w:rFonts w:hint="eastAsia" w:ascii="宋体" w:hAnsi="宋体" w:cs="宋体"/>
          <w:szCs w:val="21"/>
          <w:highlight w:val="none"/>
        </w:rPr>
        <w:t>乙方</w:t>
      </w:r>
      <w:r>
        <w:rPr>
          <w:rFonts w:ascii="宋体" w:hAnsi="宋体" w:cs="宋体"/>
          <w:szCs w:val="21"/>
          <w:highlight w:val="none"/>
        </w:rPr>
        <w:t>需 5 日内向</w:t>
      </w:r>
      <w:r>
        <w:rPr>
          <w:rFonts w:hint="eastAsia" w:ascii="宋体" w:hAnsi="宋体" w:cs="宋体"/>
          <w:szCs w:val="21"/>
          <w:highlight w:val="none"/>
        </w:rPr>
        <w:t>甲方提供合法有效票据及其他相关请款资料</w:t>
      </w:r>
      <w:r>
        <w:rPr>
          <w:rFonts w:ascii="宋体" w:hAnsi="宋体" w:cs="宋体"/>
          <w:szCs w:val="21"/>
          <w:highlight w:val="none"/>
        </w:rPr>
        <w:t>，</w:t>
      </w:r>
      <w:r>
        <w:rPr>
          <w:rFonts w:hint="eastAsia" w:ascii="宋体" w:hAnsi="宋体" w:cs="宋体"/>
          <w:szCs w:val="21"/>
          <w:highlight w:val="none"/>
        </w:rPr>
        <w:t>甲方</w:t>
      </w:r>
      <w:r>
        <w:rPr>
          <w:rFonts w:ascii="宋体" w:hAnsi="宋体" w:cs="宋体"/>
          <w:szCs w:val="21"/>
          <w:highlight w:val="none"/>
        </w:rPr>
        <w:t>接到</w:t>
      </w:r>
      <w:r>
        <w:rPr>
          <w:rFonts w:hint="eastAsia" w:ascii="宋体" w:hAnsi="宋体" w:cs="宋体"/>
          <w:szCs w:val="21"/>
          <w:highlight w:val="none"/>
        </w:rPr>
        <w:t>乙方</w:t>
      </w:r>
      <w:r>
        <w:rPr>
          <w:rFonts w:ascii="宋体" w:hAnsi="宋体" w:cs="宋体"/>
          <w:szCs w:val="21"/>
          <w:highlight w:val="none"/>
        </w:rPr>
        <w:t>请款资料以后的</w:t>
      </w:r>
      <w:r>
        <w:rPr>
          <w:rFonts w:hint="eastAsia" w:ascii="宋体" w:hAnsi="宋体" w:cs="宋体"/>
          <w:szCs w:val="21"/>
          <w:highlight w:val="none"/>
        </w:rPr>
        <w:t>55</w:t>
      </w:r>
      <w:r>
        <w:rPr>
          <w:rFonts w:ascii="宋体" w:hAnsi="宋体" w:cs="宋体"/>
          <w:szCs w:val="21"/>
          <w:highlight w:val="none"/>
        </w:rPr>
        <w:t>日内支付相应价款，最终结算总价不得超过</w:t>
      </w:r>
      <w:r>
        <w:rPr>
          <w:rFonts w:hint="eastAsia" w:ascii="宋体" w:hAnsi="宋体" w:cs="宋体"/>
          <w:szCs w:val="21"/>
          <w:highlight w:val="none"/>
          <w:u w:val="single"/>
        </w:rPr>
        <w:t xml:space="preserve">     </w:t>
      </w:r>
      <w:r>
        <w:rPr>
          <w:rFonts w:ascii="宋体" w:hAnsi="宋体" w:cs="宋体"/>
          <w:szCs w:val="21"/>
          <w:highlight w:val="none"/>
        </w:rPr>
        <w:t>元</w:t>
      </w:r>
      <w:r>
        <w:rPr>
          <w:rFonts w:hint="eastAsia" w:ascii="Times New Roman" w:hAnsi="Times New Roman"/>
          <w:color w:val="000000"/>
          <w:szCs w:val="21"/>
          <w:highlight w:val="none"/>
        </w:rPr>
        <w:t>。</w:t>
      </w:r>
    </w:p>
    <w:p w14:paraId="39F4E538">
      <w:pPr>
        <w:pStyle w:val="30"/>
        <w:numPr>
          <w:ilvl w:val="0"/>
          <w:numId w:val="21"/>
        </w:numPr>
        <w:ind w:left="0" w:firstLine="0" w:firstLineChars="0"/>
        <w:rPr>
          <w:rFonts w:ascii="Times New Roman" w:hAnsi="Times New Roman"/>
          <w:szCs w:val="21"/>
          <w:highlight w:val="none"/>
        </w:rPr>
      </w:pPr>
      <w:r>
        <w:rPr>
          <w:rFonts w:hint="eastAsia" w:ascii="Times New Roman" w:hAnsi="Times New Roman"/>
          <w:szCs w:val="21"/>
          <w:highlight w:val="none"/>
        </w:rPr>
        <w:t>甲方付款前，乙方需</w:t>
      </w:r>
      <w:r>
        <w:rPr>
          <w:rFonts w:hint="eastAsia" w:ascii="宋体" w:hAnsi="宋体" w:cs="宋体"/>
          <w:szCs w:val="21"/>
          <w:highlight w:val="none"/>
        </w:rPr>
        <w:t>提供合法有效票据及其他相关请款资料</w:t>
      </w:r>
      <w:r>
        <w:rPr>
          <w:rFonts w:hint="eastAsia" w:ascii="Times New Roman" w:hAnsi="Times New Roman"/>
          <w:szCs w:val="21"/>
          <w:highlight w:val="none"/>
        </w:rPr>
        <w:t>，否则甲方有权拒绝支付且不承担任何违约责任，且乙方不得因此停止工作。</w:t>
      </w:r>
    </w:p>
    <w:p w14:paraId="1EF77DE8">
      <w:pPr>
        <w:pStyle w:val="30"/>
        <w:numPr>
          <w:ilvl w:val="0"/>
          <w:numId w:val="21"/>
        </w:numPr>
        <w:ind w:left="0" w:firstLine="0" w:firstLineChars="0"/>
        <w:rPr>
          <w:rFonts w:ascii="Times New Roman" w:hAnsi="Times New Roman"/>
          <w:szCs w:val="21"/>
          <w:highlight w:val="none"/>
        </w:rPr>
      </w:pPr>
      <w:r>
        <w:rPr>
          <w:rFonts w:ascii="Times New Roman" w:hAnsi="Times New Roman"/>
          <w:szCs w:val="21"/>
          <w:highlight w:val="none"/>
        </w:rPr>
        <w:t>乙方开票信息</w:t>
      </w:r>
      <w:r>
        <w:rPr>
          <w:rFonts w:hint="eastAsia" w:ascii="Times New Roman" w:hAnsi="Times New Roman"/>
          <w:szCs w:val="21"/>
          <w:highlight w:val="none"/>
        </w:rPr>
        <w:t>中的软件</w:t>
      </w:r>
      <w:r>
        <w:rPr>
          <w:rFonts w:ascii="Times New Roman" w:hAnsi="Times New Roman"/>
          <w:szCs w:val="21"/>
          <w:highlight w:val="none"/>
        </w:rPr>
        <w:t>名称与</w:t>
      </w:r>
      <w:r>
        <w:rPr>
          <w:rFonts w:hint="eastAsia" w:ascii="Times New Roman" w:hAnsi="Times New Roman"/>
          <w:szCs w:val="21"/>
          <w:highlight w:val="none"/>
        </w:rPr>
        <w:t>合同</w:t>
      </w:r>
      <w:r>
        <w:rPr>
          <w:rFonts w:ascii="Times New Roman" w:hAnsi="Times New Roman"/>
          <w:szCs w:val="21"/>
          <w:highlight w:val="none"/>
        </w:rPr>
        <w:t>中</w:t>
      </w:r>
      <w:r>
        <w:rPr>
          <w:rFonts w:hint="eastAsia" w:ascii="Times New Roman" w:hAnsi="Times New Roman"/>
          <w:szCs w:val="21"/>
          <w:highlight w:val="none"/>
        </w:rPr>
        <w:t>软件</w:t>
      </w:r>
      <w:r>
        <w:rPr>
          <w:rFonts w:ascii="Times New Roman" w:hAnsi="Times New Roman"/>
          <w:szCs w:val="21"/>
          <w:highlight w:val="none"/>
        </w:rPr>
        <w:t>名称</w:t>
      </w:r>
      <w:r>
        <w:rPr>
          <w:rFonts w:hint="eastAsia" w:ascii="Times New Roman" w:hAnsi="Times New Roman"/>
          <w:szCs w:val="21"/>
          <w:highlight w:val="none"/>
        </w:rPr>
        <w:t>应</w:t>
      </w:r>
      <w:r>
        <w:rPr>
          <w:rFonts w:ascii="Times New Roman" w:hAnsi="Times New Roman"/>
          <w:szCs w:val="21"/>
          <w:highlight w:val="none"/>
        </w:rPr>
        <w:t>一致。</w:t>
      </w:r>
    </w:p>
    <w:p w14:paraId="1F77BD66">
      <w:pPr>
        <w:pStyle w:val="30"/>
        <w:numPr>
          <w:ilvl w:val="0"/>
          <w:numId w:val="21"/>
        </w:numPr>
        <w:ind w:left="0" w:firstLine="0" w:firstLineChars="0"/>
        <w:rPr>
          <w:rFonts w:ascii="Times New Roman" w:hAnsi="Times New Roman"/>
          <w:szCs w:val="21"/>
          <w:highlight w:val="none"/>
        </w:rPr>
      </w:pPr>
      <w:r>
        <w:rPr>
          <w:rFonts w:ascii="Times New Roman" w:hAnsi="Times New Roman"/>
          <w:szCs w:val="21"/>
          <w:highlight w:val="none"/>
        </w:rPr>
        <w:t>乙方开票信息应与合同预留账户信息一致</w:t>
      </w:r>
      <w:r>
        <w:rPr>
          <w:rFonts w:hint="eastAsia" w:ascii="Times New Roman" w:hAnsi="Times New Roman"/>
          <w:szCs w:val="21"/>
          <w:highlight w:val="none"/>
        </w:rPr>
        <w:t>，</w:t>
      </w:r>
      <w:r>
        <w:rPr>
          <w:rFonts w:ascii="Times New Roman" w:hAnsi="Times New Roman"/>
          <w:szCs w:val="21"/>
          <w:highlight w:val="none"/>
        </w:rPr>
        <w:t>如有变更，乙方应当在变更后3日内通知甲方</w:t>
      </w:r>
      <w:r>
        <w:rPr>
          <w:rFonts w:hint="eastAsia" w:ascii="Times New Roman" w:hAnsi="Times New Roman"/>
          <w:szCs w:val="21"/>
          <w:highlight w:val="none"/>
        </w:rPr>
        <w:t>，</w:t>
      </w:r>
      <w:r>
        <w:rPr>
          <w:rFonts w:ascii="Times New Roman" w:hAnsi="Times New Roman"/>
          <w:szCs w:val="21"/>
          <w:highlight w:val="none"/>
        </w:rPr>
        <w:t>否则，由此造成的损失由乙方自行承担。</w:t>
      </w:r>
    </w:p>
    <w:p w14:paraId="2BE7B673">
      <w:pPr>
        <w:pStyle w:val="30"/>
        <w:numPr>
          <w:ilvl w:val="0"/>
          <w:numId w:val="12"/>
        </w:numPr>
        <w:snapToGrid w:val="0"/>
        <w:ind w:left="0" w:firstLine="0" w:firstLineChars="0"/>
        <w:rPr>
          <w:rFonts w:ascii="Times New Roman" w:hAnsi="Times New Roman"/>
          <w:b/>
          <w:bCs/>
          <w:szCs w:val="21"/>
          <w:highlight w:val="none"/>
        </w:rPr>
      </w:pPr>
      <w:r>
        <w:rPr>
          <w:rFonts w:ascii="Times New Roman" w:hAnsi="Times New Roman"/>
          <w:b/>
          <w:bCs/>
          <w:szCs w:val="21"/>
          <w:highlight w:val="none"/>
        </w:rPr>
        <w:t>售后服务</w:t>
      </w:r>
    </w:p>
    <w:p w14:paraId="4BAFBC3A">
      <w:pPr>
        <w:pStyle w:val="30"/>
        <w:numPr>
          <w:ilvl w:val="0"/>
          <w:numId w:val="22"/>
        </w:numPr>
        <w:ind w:firstLineChars="0"/>
        <w:rPr>
          <w:rFonts w:ascii="Times New Roman" w:hAnsi="Times New Roman"/>
          <w:szCs w:val="21"/>
          <w:highlight w:val="none"/>
        </w:rPr>
      </w:pPr>
      <w:r>
        <w:rPr>
          <w:rFonts w:hint="eastAsia" w:ascii="Times New Roman" w:hAnsi="Times New Roman"/>
          <w:szCs w:val="21"/>
          <w:highlight w:val="none"/>
        </w:rPr>
        <w:t>软件完成安装后，乙</w:t>
      </w:r>
      <w:r>
        <w:rPr>
          <w:rFonts w:ascii="Times New Roman" w:hAnsi="Times New Roman"/>
          <w:szCs w:val="21"/>
          <w:highlight w:val="none"/>
        </w:rPr>
        <w:t>方应对甲方工作人员进行培训：</w:t>
      </w:r>
      <w:r>
        <w:rPr>
          <w:rFonts w:hint="eastAsia" w:ascii="Times New Roman" w:hAnsi="Times New Roman"/>
          <w:szCs w:val="21"/>
          <w:highlight w:val="none"/>
        </w:rPr>
        <w:t>*</w:t>
      </w:r>
      <w:r>
        <w:rPr>
          <w:rFonts w:ascii="Times New Roman" w:hAnsi="Times New Roman"/>
          <w:szCs w:val="21"/>
          <w:highlight w:val="none"/>
        </w:rPr>
        <w:t>**</w:t>
      </w:r>
      <w:r>
        <w:rPr>
          <w:rFonts w:ascii="Times New Roman" w:hAnsi="Times New Roman"/>
          <w:highlight w:val="none"/>
        </w:rPr>
        <w:t>。</w:t>
      </w:r>
      <w:r>
        <w:rPr>
          <w:rFonts w:hint="eastAsia" w:ascii="Times New Roman" w:hAnsi="Times New Roman"/>
          <w:i/>
          <w:iCs/>
          <w:szCs w:val="21"/>
          <w:highlight w:val="none"/>
        </w:rPr>
        <w:t>&lt;具体培训内容</w:t>
      </w:r>
      <w:r>
        <w:rPr>
          <w:rFonts w:ascii="Times New Roman" w:hAnsi="Times New Roman"/>
          <w:i/>
          <w:iCs/>
          <w:szCs w:val="21"/>
          <w:highlight w:val="none"/>
        </w:rPr>
        <w:t>可根据项目具体情况编制</w:t>
      </w:r>
      <w:r>
        <w:rPr>
          <w:rFonts w:hint="eastAsia" w:ascii="Times New Roman" w:hAnsi="Times New Roman"/>
          <w:i/>
          <w:iCs/>
          <w:szCs w:val="21"/>
          <w:highlight w:val="none"/>
        </w:rPr>
        <w:t>&gt;</w:t>
      </w:r>
      <w:r>
        <w:rPr>
          <w:rFonts w:ascii="Times New Roman" w:hAnsi="Times New Roman"/>
          <w:szCs w:val="21"/>
          <w:highlight w:val="none"/>
        </w:rPr>
        <w:t>并保证甲方受训技术人员熟练掌握</w:t>
      </w:r>
      <w:r>
        <w:rPr>
          <w:rFonts w:hint="eastAsia" w:ascii="Times New Roman" w:hAnsi="Times New Roman"/>
          <w:szCs w:val="21"/>
          <w:highlight w:val="none"/>
        </w:rPr>
        <w:t>软件的使用方法</w:t>
      </w:r>
      <w:r>
        <w:rPr>
          <w:rFonts w:ascii="Times New Roman" w:hAnsi="Times New Roman"/>
          <w:szCs w:val="21"/>
          <w:highlight w:val="none"/>
        </w:rPr>
        <w:t>，直至甲方受训技术人员能保证</w:t>
      </w:r>
      <w:r>
        <w:rPr>
          <w:rFonts w:hint="eastAsia" w:ascii="Times New Roman" w:hAnsi="Times New Roman"/>
          <w:szCs w:val="21"/>
          <w:highlight w:val="none"/>
        </w:rPr>
        <w:t>软件日常</w:t>
      </w:r>
      <w:r>
        <w:rPr>
          <w:rFonts w:ascii="Times New Roman" w:hAnsi="Times New Roman"/>
          <w:szCs w:val="21"/>
          <w:highlight w:val="none"/>
        </w:rPr>
        <w:t>运行并能排除一般</w:t>
      </w:r>
      <w:r>
        <w:rPr>
          <w:rFonts w:hint="eastAsia" w:ascii="Times New Roman" w:hAnsi="Times New Roman"/>
          <w:szCs w:val="21"/>
          <w:highlight w:val="none"/>
        </w:rPr>
        <w:t>性</w:t>
      </w:r>
      <w:r>
        <w:rPr>
          <w:rFonts w:ascii="Times New Roman" w:hAnsi="Times New Roman"/>
          <w:szCs w:val="21"/>
          <w:highlight w:val="none"/>
        </w:rPr>
        <w:t>故障。</w:t>
      </w:r>
    </w:p>
    <w:p w14:paraId="3C3BF656">
      <w:pPr>
        <w:pStyle w:val="30"/>
        <w:numPr>
          <w:ilvl w:val="0"/>
          <w:numId w:val="22"/>
        </w:numPr>
        <w:ind w:firstLineChars="0"/>
        <w:rPr>
          <w:rFonts w:ascii="Times New Roman" w:hAnsi="Times New Roman"/>
          <w:szCs w:val="21"/>
          <w:highlight w:val="none"/>
        </w:rPr>
      </w:pPr>
      <w:r>
        <w:rPr>
          <w:rFonts w:ascii="Times New Roman" w:hAnsi="Times New Roman"/>
          <w:szCs w:val="21"/>
          <w:highlight w:val="none"/>
        </w:rPr>
        <w:t>质保期为验收合格后***年（合同签订后甲方验收合格且</w:t>
      </w:r>
      <w:r>
        <w:rPr>
          <w:rFonts w:hint="eastAsia" w:ascii="Times New Roman" w:hAnsi="Times New Roman"/>
          <w:szCs w:val="21"/>
          <w:highlight w:val="none"/>
        </w:rPr>
        <w:t>甲乙双方签署</w:t>
      </w:r>
      <w:r>
        <w:rPr>
          <w:rFonts w:ascii="Times New Roman" w:hAnsi="Times New Roman"/>
          <w:szCs w:val="21"/>
          <w:highlight w:val="none"/>
        </w:rPr>
        <w:t>验收报告之日起）</w:t>
      </w:r>
      <w:r>
        <w:rPr>
          <w:rFonts w:hint="eastAsia" w:ascii="Times New Roman" w:hAnsi="Times New Roman"/>
          <w:szCs w:val="21"/>
          <w:highlight w:val="none"/>
        </w:rPr>
        <w:t>。</w:t>
      </w:r>
    </w:p>
    <w:p w14:paraId="366C1528">
      <w:pPr>
        <w:pStyle w:val="30"/>
        <w:numPr>
          <w:ilvl w:val="0"/>
          <w:numId w:val="22"/>
        </w:numPr>
        <w:ind w:firstLineChars="0"/>
        <w:rPr>
          <w:rFonts w:hint="eastAsia" w:ascii="Times New Roman" w:hAnsi="Times New Roman"/>
          <w:highlight w:val="none"/>
        </w:rPr>
      </w:pPr>
      <w:r>
        <w:rPr>
          <w:rFonts w:ascii="Times New Roman" w:hAnsi="Times New Roman"/>
          <w:szCs w:val="21"/>
          <w:highlight w:val="none"/>
        </w:rPr>
        <w:t>质保范围：</w:t>
      </w:r>
      <w:r>
        <w:rPr>
          <w:rFonts w:hint="eastAsia" w:ascii="Times New Roman" w:hAnsi="Times New Roman"/>
          <w:highlight w:val="none"/>
        </w:rPr>
        <w:t>质保期内发现软件不符合本合同约定的</w:t>
      </w:r>
      <w:r>
        <w:rPr>
          <w:rFonts w:hint="eastAsia" w:ascii="Times New Roman" w:hAnsi="Times New Roman"/>
          <w:szCs w:val="21"/>
          <w:highlight w:val="none"/>
        </w:rPr>
        <w:t>功能</w:t>
      </w:r>
      <w:r>
        <w:rPr>
          <w:rFonts w:ascii="Times New Roman" w:hAnsi="Times New Roman"/>
          <w:szCs w:val="21"/>
          <w:highlight w:val="none"/>
        </w:rPr>
        <w:t>要求和技术指标</w:t>
      </w:r>
      <w:r>
        <w:rPr>
          <w:rFonts w:hint="eastAsia" w:ascii="Times New Roman" w:hAnsi="Times New Roman"/>
          <w:highlight w:val="none"/>
        </w:rPr>
        <w:t>，乙方在接到通知后</w:t>
      </w:r>
      <w:r>
        <w:rPr>
          <w:rFonts w:ascii="Times New Roman" w:hAnsi="Times New Roman"/>
          <w:highlight w:val="none"/>
        </w:rPr>
        <w:t>***</w:t>
      </w:r>
      <w:r>
        <w:rPr>
          <w:rFonts w:hint="eastAsia" w:ascii="Times New Roman" w:hAnsi="Times New Roman"/>
          <w:highlight w:val="none"/>
        </w:rPr>
        <w:t>小时内响应到场，</w:t>
      </w:r>
      <w:r>
        <w:rPr>
          <w:rFonts w:ascii="Times New Roman" w:hAnsi="Times New Roman"/>
          <w:highlight w:val="none"/>
        </w:rPr>
        <w:t>***</w:t>
      </w:r>
      <w:r>
        <w:rPr>
          <w:rFonts w:hint="eastAsia" w:ascii="Times New Roman" w:hAnsi="Times New Roman"/>
          <w:highlight w:val="none"/>
        </w:rPr>
        <w:t>小时内完成调试或维修，并承担相关费用；如经乙方3次调试或维修仍不能达到本合同约定的</w:t>
      </w:r>
      <w:r>
        <w:rPr>
          <w:rFonts w:hint="eastAsia" w:ascii="Times New Roman" w:hAnsi="Times New Roman"/>
          <w:szCs w:val="21"/>
          <w:highlight w:val="none"/>
        </w:rPr>
        <w:t>功能</w:t>
      </w:r>
      <w:r>
        <w:rPr>
          <w:rFonts w:ascii="Times New Roman" w:hAnsi="Times New Roman"/>
          <w:szCs w:val="21"/>
          <w:highlight w:val="none"/>
        </w:rPr>
        <w:t>要求和技术指标</w:t>
      </w:r>
      <w:r>
        <w:rPr>
          <w:rFonts w:hint="eastAsia" w:ascii="Times New Roman" w:hAnsi="Times New Roman"/>
          <w:highlight w:val="none"/>
        </w:rPr>
        <w:t>，甲方有权退货并追究乙方的违约责任。</w:t>
      </w:r>
    </w:p>
    <w:p w14:paraId="1B7EBF41">
      <w:pPr>
        <w:pStyle w:val="30"/>
        <w:numPr>
          <w:ilvl w:val="0"/>
          <w:numId w:val="22"/>
        </w:numPr>
        <w:ind w:firstLineChars="0"/>
        <w:rPr>
          <w:rFonts w:ascii="Times New Roman" w:hAnsi="Times New Roman"/>
          <w:szCs w:val="21"/>
          <w:highlight w:val="none"/>
        </w:rPr>
      </w:pPr>
      <w:r>
        <w:rPr>
          <w:rFonts w:ascii="Times New Roman" w:hAnsi="Times New Roman"/>
          <w:szCs w:val="21"/>
          <w:highlight w:val="none"/>
        </w:rPr>
        <w:t>在</w:t>
      </w:r>
      <w:r>
        <w:rPr>
          <w:rFonts w:hint="eastAsia" w:ascii="Times New Roman" w:hAnsi="Times New Roman"/>
          <w:szCs w:val="21"/>
          <w:highlight w:val="none"/>
        </w:rPr>
        <w:t>质保</w:t>
      </w:r>
      <w:r>
        <w:rPr>
          <w:rFonts w:ascii="Times New Roman" w:hAnsi="Times New Roman"/>
          <w:szCs w:val="21"/>
          <w:highlight w:val="none"/>
        </w:rPr>
        <w:t>期内乙方应保证甲方对</w:t>
      </w:r>
      <w:r>
        <w:rPr>
          <w:rFonts w:hint="eastAsia" w:ascii="Times New Roman" w:hAnsi="Times New Roman"/>
          <w:szCs w:val="21"/>
          <w:highlight w:val="none"/>
        </w:rPr>
        <w:t>软件</w:t>
      </w:r>
      <w:r>
        <w:rPr>
          <w:rFonts w:ascii="Times New Roman" w:hAnsi="Times New Roman"/>
          <w:szCs w:val="21"/>
          <w:highlight w:val="none"/>
        </w:rPr>
        <w:t>的使用因故障停用时间小于***个工作日。</w:t>
      </w:r>
    </w:p>
    <w:p w14:paraId="1998356F">
      <w:pPr>
        <w:pStyle w:val="30"/>
        <w:numPr>
          <w:ilvl w:val="0"/>
          <w:numId w:val="22"/>
        </w:numPr>
        <w:ind w:firstLineChars="0"/>
        <w:rPr>
          <w:rFonts w:ascii="Times New Roman" w:hAnsi="Times New Roman"/>
          <w:szCs w:val="21"/>
          <w:highlight w:val="none"/>
        </w:rPr>
      </w:pPr>
      <w:r>
        <w:rPr>
          <w:rFonts w:ascii="Times New Roman" w:hAnsi="Times New Roman"/>
          <w:szCs w:val="21"/>
          <w:highlight w:val="none"/>
        </w:rPr>
        <w:t>售后服务涉及费用均</w:t>
      </w:r>
      <w:r>
        <w:rPr>
          <w:rFonts w:hint="eastAsia" w:ascii="Times New Roman" w:hAnsi="Times New Roman"/>
          <w:szCs w:val="21"/>
          <w:highlight w:val="none"/>
        </w:rPr>
        <w:t>已</w:t>
      </w:r>
      <w:r>
        <w:rPr>
          <w:rFonts w:ascii="Times New Roman" w:hAnsi="Times New Roman"/>
          <w:szCs w:val="21"/>
          <w:highlight w:val="none"/>
        </w:rPr>
        <w:t>包含在</w:t>
      </w:r>
      <w:r>
        <w:rPr>
          <w:rFonts w:hint="eastAsia" w:ascii="Times New Roman" w:hAnsi="Times New Roman"/>
          <w:szCs w:val="21"/>
          <w:highlight w:val="none"/>
        </w:rPr>
        <w:t>本</w:t>
      </w:r>
      <w:r>
        <w:rPr>
          <w:rFonts w:ascii="Times New Roman" w:hAnsi="Times New Roman"/>
          <w:szCs w:val="21"/>
          <w:highlight w:val="none"/>
        </w:rPr>
        <w:t>合同总价中。</w:t>
      </w:r>
    </w:p>
    <w:p w14:paraId="1723B3A8">
      <w:pPr>
        <w:pStyle w:val="30"/>
        <w:numPr>
          <w:ilvl w:val="0"/>
          <w:numId w:val="22"/>
        </w:numPr>
        <w:ind w:firstLineChars="0"/>
        <w:rPr>
          <w:rFonts w:ascii="Times New Roman" w:hAnsi="Times New Roman"/>
          <w:szCs w:val="21"/>
          <w:highlight w:val="none"/>
        </w:rPr>
      </w:pPr>
      <w:r>
        <w:rPr>
          <w:rFonts w:ascii="Times New Roman" w:hAnsi="Times New Roman"/>
          <w:szCs w:val="21"/>
          <w:highlight w:val="none"/>
        </w:rPr>
        <w:t>无论是质保期内还是在质保期外，若出现故障，乙方应在***小时内提供技术支持</w:t>
      </w:r>
      <w:r>
        <w:rPr>
          <w:rFonts w:hint="eastAsia" w:ascii="Times New Roman" w:hAnsi="Times New Roman"/>
          <w:szCs w:val="21"/>
          <w:highlight w:val="none"/>
        </w:rPr>
        <w:t>并</w:t>
      </w:r>
      <w:r>
        <w:rPr>
          <w:rFonts w:ascii="Times New Roman" w:hAnsi="Times New Roman"/>
          <w:szCs w:val="21"/>
          <w:highlight w:val="none"/>
        </w:rPr>
        <w:t>作出答复</w:t>
      </w:r>
      <w:r>
        <w:rPr>
          <w:rFonts w:hint="eastAsia" w:ascii="Times New Roman" w:hAnsi="Times New Roman"/>
          <w:szCs w:val="21"/>
          <w:highlight w:val="none"/>
        </w:rPr>
        <w:t>。质保期满后甲方委托乙方继续提供维护服务的，因此产生的维护费用由甲乙双方另行商议，每年费用最高不超过</w:t>
      </w:r>
      <w:r>
        <w:rPr>
          <w:rFonts w:hint="eastAsia" w:ascii="Times New Roman" w:hAnsi="Times New Roman"/>
          <w:szCs w:val="21"/>
          <w:highlight w:val="none"/>
          <w:u w:val="single"/>
        </w:rPr>
        <w:t>本合同总价</w:t>
      </w:r>
      <w:r>
        <w:rPr>
          <w:rFonts w:hint="eastAsia" w:ascii="Times New Roman" w:hAnsi="Times New Roman"/>
          <w:szCs w:val="21"/>
          <w:highlight w:val="none"/>
        </w:rPr>
        <w:t>的</w:t>
      </w:r>
      <w:r>
        <w:rPr>
          <w:rFonts w:hint="eastAsia" w:ascii="Times New Roman" w:hAnsi="Times New Roman"/>
          <w:szCs w:val="21"/>
          <w:highlight w:val="none"/>
          <w:u w:val="single"/>
        </w:rPr>
        <w:t>***</w:t>
      </w:r>
      <w:r>
        <w:rPr>
          <w:rFonts w:hint="eastAsia" w:ascii="Times New Roman" w:hAnsi="Times New Roman"/>
          <w:szCs w:val="21"/>
          <w:highlight w:val="none"/>
        </w:rPr>
        <w:t>%。</w:t>
      </w:r>
    </w:p>
    <w:p w14:paraId="5407213D">
      <w:pPr>
        <w:pStyle w:val="30"/>
        <w:numPr>
          <w:ilvl w:val="0"/>
          <w:numId w:val="22"/>
        </w:numPr>
        <w:ind w:firstLineChars="0"/>
        <w:rPr>
          <w:rFonts w:ascii="Times New Roman" w:hAnsi="Times New Roman"/>
          <w:szCs w:val="21"/>
          <w:highlight w:val="none"/>
        </w:rPr>
      </w:pPr>
      <w:r>
        <w:rPr>
          <w:rFonts w:ascii="Times New Roman" w:hAnsi="Times New Roman"/>
          <w:szCs w:val="21"/>
          <w:highlight w:val="none"/>
        </w:rPr>
        <w:tab/>
      </w:r>
      <w:r>
        <w:rPr>
          <w:rFonts w:ascii="Times New Roman" w:hAnsi="Times New Roman"/>
          <w:szCs w:val="21"/>
          <w:highlight w:val="none"/>
        </w:rPr>
        <w:t>因乙方原因</w:t>
      </w:r>
      <w:r>
        <w:rPr>
          <w:rFonts w:hint="eastAsia" w:ascii="Times New Roman" w:hAnsi="Times New Roman"/>
          <w:szCs w:val="21"/>
          <w:highlight w:val="none"/>
        </w:rPr>
        <w:t>致使软件不能达到</w:t>
      </w:r>
      <w:r>
        <w:rPr>
          <w:rFonts w:hint="eastAsia" w:ascii="Times New Roman" w:hAnsi="Times New Roman"/>
          <w:highlight w:val="none"/>
        </w:rPr>
        <w:t>本合同约定的</w:t>
      </w:r>
      <w:r>
        <w:rPr>
          <w:rFonts w:hint="eastAsia" w:ascii="Times New Roman" w:hAnsi="Times New Roman"/>
          <w:szCs w:val="21"/>
          <w:highlight w:val="none"/>
        </w:rPr>
        <w:t>功能</w:t>
      </w:r>
      <w:r>
        <w:rPr>
          <w:rFonts w:ascii="Times New Roman" w:hAnsi="Times New Roman"/>
          <w:szCs w:val="21"/>
          <w:highlight w:val="none"/>
        </w:rPr>
        <w:t>要求和技术指标，按甲方实际</w:t>
      </w:r>
      <w:r>
        <w:rPr>
          <w:rFonts w:hint="eastAsia" w:ascii="Times New Roman" w:hAnsi="Times New Roman"/>
          <w:szCs w:val="21"/>
          <w:highlight w:val="none"/>
        </w:rPr>
        <w:t>停用</w:t>
      </w:r>
      <w:r>
        <w:rPr>
          <w:rFonts w:ascii="Times New Roman" w:hAnsi="Times New Roman"/>
          <w:szCs w:val="21"/>
          <w:highlight w:val="none"/>
        </w:rPr>
        <w:t>天数自动延长其质保期,甲方有权延后</w:t>
      </w:r>
      <w:r>
        <w:rPr>
          <w:rFonts w:hint="eastAsia" w:ascii="Times New Roman" w:hAnsi="Times New Roman"/>
          <w:szCs w:val="21"/>
          <w:highlight w:val="none"/>
        </w:rPr>
        <w:t>履约保证金</w:t>
      </w:r>
      <w:r>
        <w:rPr>
          <w:rFonts w:ascii="Times New Roman" w:hAnsi="Times New Roman"/>
          <w:szCs w:val="21"/>
          <w:highlight w:val="none"/>
        </w:rPr>
        <w:t>和维保费用的支付时间，并追究因此引发的乙方相应法律责任。</w:t>
      </w:r>
    </w:p>
    <w:p w14:paraId="05B8A4F1">
      <w:pPr>
        <w:pStyle w:val="30"/>
        <w:numPr>
          <w:ilvl w:val="0"/>
          <w:numId w:val="22"/>
        </w:numPr>
        <w:ind w:firstLineChars="0"/>
        <w:rPr>
          <w:rFonts w:hint="eastAsia" w:ascii="Times New Roman" w:hAnsi="Times New Roman"/>
          <w:szCs w:val="21"/>
          <w:highlight w:val="none"/>
        </w:rPr>
      </w:pPr>
      <w:r>
        <w:rPr>
          <w:rFonts w:hint="eastAsia" w:ascii="Times New Roman" w:hAnsi="Times New Roman"/>
          <w:szCs w:val="21"/>
          <w:highlight w:val="none"/>
        </w:rPr>
        <w:t>质保期内，如遇系统升级或技术迭代，乙方应保证交付标的及时相应更新，同时并就更新后信息系统进行培训，保证甲方受训技术人员熟练掌握信息系统的使用方法并能独立操作，保证正常运行并能排除一般性故障。相关更新和培训费用已包含在本合同总价内，甲方无需另行支付。</w:t>
      </w:r>
    </w:p>
    <w:p w14:paraId="7C3D50CA">
      <w:pPr>
        <w:pStyle w:val="30"/>
        <w:numPr>
          <w:ilvl w:val="0"/>
          <w:numId w:val="12"/>
        </w:numPr>
        <w:snapToGrid w:val="0"/>
        <w:ind w:left="0" w:firstLine="0" w:firstLineChars="0"/>
        <w:rPr>
          <w:rFonts w:ascii="Times New Roman" w:hAnsi="Times New Roman"/>
          <w:b/>
          <w:bCs/>
          <w:szCs w:val="21"/>
          <w:highlight w:val="none"/>
        </w:rPr>
      </w:pPr>
      <w:r>
        <w:rPr>
          <w:rFonts w:hint="eastAsia" w:ascii="Times New Roman" w:hAnsi="Times New Roman"/>
          <w:b/>
          <w:bCs/>
          <w:szCs w:val="21"/>
          <w:highlight w:val="none"/>
        </w:rPr>
        <w:t>双方的权利和义务</w:t>
      </w:r>
    </w:p>
    <w:p w14:paraId="68FDE4A8">
      <w:pPr>
        <w:pStyle w:val="30"/>
        <w:numPr>
          <w:ilvl w:val="0"/>
          <w:numId w:val="23"/>
        </w:numPr>
        <w:ind w:firstLineChars="0"/>
        <w:rPr>
          <w:rFonts w:hint="eastAsia" w:ascii="Times New Roman" w:hAnsi="Times New Roman"/>
          <w:szCs w:val="21"/>
          <w:highlight w:val="none"/>
        </w:rPr>
      </w:pPr>
      <w:r>
        <w:rPr>
          <w:rFonts w:hint="eastAsia" w:ascii="Times New Roman" w:hAnsi="Times New Roman"/>
          <w:szCs w:val="21"/>
          <w:highlight w:val="none"/>
        </w:rPr>
        <w:t>甲方的权利和义务：</w:t>
      </w:r>
    </w:p>
    <w:p w14:paraId="26AD6BF7">
      <w:pPr>
        <w:pStyle w:val="30"/>
        <w:numPr>
          <w:ilvl w:val="0"/>
          <w:numId w:val="24"/>
        </w:numPr>
        <w:snapToGrid w:val="0"/>
        <w:ind w:firstLineChars="0"/>
        <w:rPr>
          <w:rFonts w:hint="eastAsia" w:ascii="Times New Roman" w:hAnsi="Times New Roman"/>
          <w:szCs w:val="21"/>
          <w:highlight w:val="none"/>
        </w:rPr>
      </w:pPr>
      <w:r>
        <w:rPr>
          <w:rFonts w:hint="eastAsia" w:ascii="Times New Roman" w:hAnsi="Times New Roman"/>
          <w:szCs w:val="21"/>
          <w:highlight w:val="none"/>
        </w:rPr>
        <w:t>甲方有权获得乙方所提交的软件交付成果及相关服务。</w:t>
      </w:r>
    </w:p>
    <w:p w14:paraId="38019D50">
      <w:pPr>
        <w:pStyle w:val="30"/>
        <w:numPr>
          <w:ilvl w:val="0"/>
          <w:numId w:val="24"/>
        </w:numPr>
        <w:snapToGrid w:val="0"/>
        <w:ind w:firstLineChars="0"/>
        <w:rPr>
          <w:rFonts w:hint="eastAsia" w:ascii="Times New Roman" w:hAnsi="Times New Roman"/>
          <w:szCs w:val="21"/>
          <w:highlight w:val="none"/>
        </w:rPr>
      </w:pPr>
      <w:r>
        <w:rPr>
          <w:rFonts w:hint="eastAsia" w:ascii="Times New Roman" w:hAnsi="Times New Roman"/>
          <w:szCs w:val="21"/>
          <w:highlight w:val="none"/>
        </w:rPr>
        <w:t>甲方有权及时了解和监督软件开发的进展情况。</w:t>
      </w:r>
    </w:p>
    <w:p w14:paraId="5CC66CAC">
      <w:pPr>
        <w:pStyle w:val="30"/>
        <w:numPr>
          <w:ilvl w:val="0"/>
          <w:numId w:val="24"/>
        </w:numPr>
        <w:snapToGrid w:val="0"/>
        <w:ind w:firstLineChars="0"/>
        <w:rPr>
          <w:rFonts w:hint="eastAsia" w:ascii="Times New Roman" w:hAnsi="Times New Roman"/>
          <w:szCs w:val="21"/>
          <w:highlight w:val="none"/>
        </w:rPr>
      </w:pPr>
      <w:r>
        <w:rPr>
          <w:rFonts w:hint="eastAsia" w:ascii="Times New Roman" w:hAnsi="Times New Roman"/>
          <w:szCs w:val="21"/>
          <w:highlight w:val="none"/>
        </w:rPr>
        <w:t>甲方应向乙方提供完成软件开发所必需的资料和工作条件。</w:t>
      </w:r>
    </w:p>
    <w:p w14:paraId="59B82895">
      <w:pPr>
        <w:pStyle w:val="30"/>
        <w:numPr>
          <w:ilvl w:val="0"/>
          <w:numId w:val="24"/>
        </w:numPr>
        <w:snapToGrid w:val="0"/>
        <w:ind w:firstLineChars="0"/>
        <w:rPr>
          <w:rFonts w:ascii="Times New Roman" w:hAnsi="Times New Roman"/>
          <w:szCs w:val="21"/>
          <w:highlight w:val="none"/>
        </w:rPr>
      </w:pPr>
      <w:r>
        <w:rPr>
          <w:rFonts w:hint="eastAsia" w:ascii="Times New Roman" w:hAnsi="Times New Roman"/>
          <w:szCs w:val="21"/>
          <w:highlight w:val="none"/>
        </w:rPr>
        <w:t>甲方应按照合同约定向乙方支付合同价款。</w:t>
      </w:r>
    </w:p>
    <w:p w14:paraId="58F9D3F0">
      <w:pPr>
        <w:pStyle w:val="30"/>
        <w:numPr>
          <w:ilvl w:val="0"/>
          <w:numId w:val="23"/>
        </w:numPr>
        <w:ind w:firstLineChars="0"/>
        <w:rPr>
          <w:rFonts w:hint="eastAsia" w:ascii="Times New Roman" w:hAnsi="Times New Roman"/>
          <w:szCs w:val="21"/>
          <w:highlight w:val="none"/>
        </w:rPr>
      </w:pPr>
      <w:r>
        <w:rPr>
          <w:rFonts w:hint="eastAsia" w:ascii="Times New Roman" w:hAnsi="Times New Roman"/>
          <w:szCs w:val="21"/>
          <w:highlight w:val="none"/>
        </w:rPr>
        <w:t>乙方的权利和义务：</w:t>
      </w:r>
    </w:p>
    <w:p w14:paraId="0F3CC1D0">
      <w:pPr>
        <w:pStyle w:val="30"/>
        <w:numPr>
          <w:ilvl w:val="0"/>
          <w:numId w:val="25"/>
        </w:numPr>
        <w:snapToGrid w:val="0"/>
        <w:ind w:firstLineChars="0"/>
        <w:rPr>
          <w:rFonts w:hint="eastAsia" w:ascii="Times New Roman" w:hAnsi="Times New Roman"/>
          <w:szCs w:val="21"/>
          <w:highlight w:val="none"/>
        </w:rPr>
      </w:pPr>
      <w:r>
        <w:rPr>
          <w:rFonts w:hint="eastAsia" w:ascii="Times New Roman" w:hAnsi="Times New Roman"/>
          <w:szCs w:val="21"/>
          <w:highlight w:val="none"/>
        </w:rPr>
        <w:t>乙方有权按照本合同约定收取合同价款。</w:t>
      </w:r>
    </w:p>
    <w:p w14:paraId="27003E79">
      <w:pPr>
        <w:pStyle w:val="30"/>
        <w:numPr>
          <w:ilvl w:val="0"/>
          <w:numId w:val="25"/>
        </w:numPr>
        <w:snapToGrid w:val="0"/>
        <w:ind w:firstLineChars="0"/>
        <w:rPr>
          <w:rFonts w:ascii="Times New Roman" w:hAnsi="Times New Roman"/>
          <w:szCs w:val="21"/>
          <w:highlight w:val="none"/>
        </w:rPr>
      </w:pPr>
      <w:r>
        <w:rPr>
          <w:rFonts w:hint="eastAsia" w:ascii="Times New Roman" w:hAnsi="Times New Roman"/>
          <w:szCs w:val="21"/>
          <w:highlight w:val="none"/>
        </w:rPr>
        <w:t>乙方有权要求甲方提供软件开发所必需的资料和支持。</w:t>
      </w:r>
    </w:p>
    <w:p w14:paraId="1ECEEB1A">
      <w:pPr>
        <w:pStyle w:val="30"/>
        <w:numPr>
          <w:ilvl w:val="0"/>
          <w:numId w:val="25"/>
        </w:numPr>
        <w:snapToGrid w:val="0"/>
        <w:ind w:firstLineChars="0"/>
        <w:rPr>
          <w:rFonts w:hint="eastAsia" w:ascii="Times New Roman" w:hAnsi="Times New Roman"/>
          <w:szCs w:val="21"/>
          <w:highlight w:val="none"/>
        </w:rPr>
      </w:pPr>
      <w:r>
        <w:rPr>
          <w:rFonts w:hint="eastAsia" w:ascii="Times New Roman" w:hAnsi="Times New Roman"/>
          <w:szCs w:val="21"/>
          <w:highlight w:val="none"/>
        </w:rPr>
        <w:t>乙方应保证所交付的软件产品是完整、全新的，并在性能、质量和设计方面满足安全、可靠和高效运行与方便维护的全部要求，能够满足甲方的个性化需求与接口的相关开发工作需求；若软件产品开发需要与甲方主要业务相关系统对接，原则上对接费用由乙方支付；乙方所提供的技术文件和相关资料应是完整的、清晰易读取和准确无误的，能够满足软件交付成果的检验、安装、调试、测试、验收、运行、维护和培训的需要。</w:t>
      </w:r>
    </w:p>
    <w:p w14:paraId="25EAD9BB">
      <w:pPr>
        <w:pStyle w:val="30"/>
        <w:numPr>
          <w:ilvl w:val="0"/>
          <w:numId w:val="25"/>
        </w:numPr>
        <w:snapToGrid w:val="0"/>
        <w:ind w:firstLineChars="0"/>
        <w:rPr>
          <w:rFonts w:hint="eastAsia" w:ascii="Times New Roman" w:hAnsi="Times New Roman"/>
          <w:szCs w:val="21"/>
          <w:highlight w:val="none"/>
        </w:rPr>
      </w:pPr>
      <w:r>
        <w:rPr>
          <w:rFonts w:hint="eastAsia" w:ascii="Times New Roman" w:hAnsi="Times New Roman"/>
          <w:szCs w:val="21"/>
          <w:highlight w:val="none"/>
        </w:rPr>
        <w:t>乙方应派遣身体健康、有相关工作经验和相应技能的技术人员到甲方现场并提供开发、安装、调试、测试、试运行、维护及培训等技术服务，该技术服务费用包括在本合同总价内。</w:t>
      </w:r>
    </w:p>
    <w:p w14:paraId="34F58D44">
      <w:pPr>
        <w:pStyle w:val="30"/>
        <w:numPr>
          <w:ilvl w:val="0"/>
          <w:numId w:val="25"/>
        </w:numPr>
        <w:snapToGrid w:val="0"/>
        <w:ind w:firstLineChars="0"/>
        <w:rPr>
          <w:rFonts w:hint="eastAsia" w:ascii="Times New Roman" w:hAnsi="Times New Roman"/>
          <w:szCs w:val="21"/>
          <w:highlight w:val="none"/>
        </w:rPr>
      </w:pPr>
      <w:r>
        <w:rPr>
          <w:rFonts w:hint="eastAsia" w:ascii="Times New Roman" w:hAnsi="Times New Roman"/>
          <w:szCs w:val="21"/>
          <w:highlight w:val="none"/>
        </w:rPr>
        <w:t>如果甲方发现乙方交付的软件产品有缺陷，或性能和质量不符甲方要求时，乙方应负责无偿地修复缺陷、替换或更换所交付的软件产品。因乙方交付的软件产品存在缺陷，或性能和质量不符合本合同约定而给甲方造成损失或者工作障碍的，乙方应承当相应的责任。</w:t>
      </w:r>
    </w:p>
    <w:p w14:paraId="296DAF35">
      <w:pPr>
        <w:pStyle w:val="30"/>
        <w:numPr>
          <w:ilvl w:val="0"/>
          <w:numId w:val="25"/>
        </w:numPr>
        <w:snapToGrid w:val="0"/>
        <w:ind w:firstLineChars="0"/>
        <w:rPr>
          <w:rFonts w:hint="eastAsia" w:ascii="Times New Roman" w:hAnsi="Times New Roman"/>
          <w:szCs w:val="21"/>
          <w:highlight w:val="none"/>
        </w:rPr>
      </w:pPr>
      <w:r>
        <w:rPr>
          <w:rFonts w:hint="eastAsia" w:ascii="Times New Roman" w:hAnsi="Times New Roman"/>
          <w:szCs w:val="21"/>
          <w:highlight w:val="none"/>
        </w:rPr>
        <w:t>在售后服务期内，乙方应负责向甲方提供与软件有关新的或改进的运行经验、技术开发和安全方面的所有资料及信息，且负责对本合同以下的软件进行更新、升级，并提供相应的培训、维护服务，相关费用包含在本合同总价中。</w:t>
      </w:r>
    </w:p>
    <w:p w14:paraId="5B801E11">
      <w:pPr>
        <w:pStyle w:val="30"/>
        <w:numPr>
          <w:ilvl w:val="0"/>
          <w:numId w:val="25"/>
        </w:numPr>
        <w:snapToGrid w:val="0"/>
        <w:ind w:firstLineChars="0"/>
        <w:rPr>
          <w:rFonts w:hint="eastAsia" w:ascii="Times New Roman" w:hAnsi="Times New Roman"/>
          <w:szCs w:val="21"/>
          <w:highlight w:val="none"/>
        </w:rPr>
      </w:pPr>
      <w:r>
        <w:rPr>
          <w:rFonts w:hint="eastAsia" w:ascii="Times New Roman" w:hAnsi="Times New Roman"/>
          <w:szCs w:val="21"/>
          <w:highlight w:val="none"/>
        </w:rPr>
        <w:t>乙方保证其所交付软件产品及服务不存在任何权利瑕疵，如任何第三方就乙方交付的软件产品及服务向甲方提起侵权索赔，乙方应负责与第三方交涉，并承担由此引起的一切法律责任，相关费用由乙方承担。</w:t>
      </w:r>
    </w:p>
    <w:p w14:paraId="63BB7A2A">
      <w:pPr>
        <w:pStyle w:val="30"/>
        <w:numPr>
          <w:ilvl w:val="0"/>
          <w:numId w:val="25"/>
        </w:numPr>
        <w:snapToGrid w:val="0"/>
        <w:ind w:firstLineChars="0"/>
        <w:rPr>
          <w:rFonts w:ascii="Times New Roman" w:hAnsi="Times New Roman"/>
          <w:szCs w:val="21"/>
          <w:highlight w:val="none"/>
        </w:rPr>
      </w:pPr>
      <w:r>
        <w:rPr>
          <w:rFonts w:hint="eastAsia" w:ascii="Times New Roman" w:hAnsi="Times New Roman"/>
          <w:szCs w:val="21"/>
          <w:highlight w:val="none"/>
        </w:rPr>
        <w:t>乙方承诺所提供的软件产品不含有任何安全隐患，并在软件使用期内 承担全部责任(包括但不限于消除安全隐患、退款、赔偿损失等)。发生任何由于软件产品安全引起的事故时，乙方应赔偿甲方及相关用户因此所发生的损失。</w:t>
      </w:r>
    </w:p>
    <w:p w14:paraId="0B1DE203">
      <w:pPr>
        <w:pStyle w:val="30"/>
        <w:numPr>
          <w:ilvl w:val="0"/>
          <w:numId w:val="25"/>
        </w:numPr>
        <w:snapToGrid w:val="0"/>
        <w:ind w:firstLineChars="0"/>
        <w:rPr>
          <w:rFonts w:ascii="Times New Roman" w:hAnsi="Times New Roman"/>
          <w:szCs w:val="21"/>
          <w:highlight w:val="none"/>
        </w:rPr>
      </w:pPr>
      <w:r>
        <w:rPr>
          <w:rFonts w:hint="eastAsia" w:ascii="Times New Roman" w:hAnsi="Times New Roman"/>
          <w:szCs w:val="21"/>
          <w:highlight w:val="none"/>
        </w:rPr>
        <w:t>乙方对本合同软件的开发及在开发过程中所获得的所有数据负有保密的义务，本合同履行过程中乙方获知的甲方商业秘密或其它技术及经营信息均负有保密义务，不得向任何第三方透露或泄露。</w:t>
      </w:r>
    </w:p>
    <w:p w14:paraId="504368D0">
      <w:pPr>
        <w:pStyle w:val="30"/>
        <w:numPr>
          <w:ilvl w:val="0"/>
          <w:numId w:val="25"/>
        </w:numPr>
        <w:snapToGrid w:val="0"/>
        <w:ind w:firstLineChars="0"/>
        <w:rPr>
          <w:rFonts w:hint="eastAsia" w:ascii="Times New Roman" w:hAnsi="Times New Roman"/>
          <w:szCs w:val="21"/>
          <w:highlight w:val="none"/>
        </w:rPr>
      </w:pPr>
      <w:r>
        <w:rPr>
          <w:rFonts w:hint="eastAsia" w:ascii="Times New Roman" w:hAnsi="Times New Roman"/>
          <w:szCs w:val="21"/>
          <w:highlight w:val="none"/>
        </w:rPr>
        <w:t>乙方基于本合同向甲方提供服务过程中所产出的各项医疗数据（包括但不限于就诊信息、检查检验结果、用药记录、手术记录、病历病案等）及其它技术服务成果均归属于甲方所有，乙方应当严格保密，未经甲方书面许可，乙方不得对外泄露或私自转让予第三方。合作结束，乙方应配合向甲方交付所有上述数据后再行删除，无法删除的数据，乙方承诺妥善保管不得外泄。</w:t>
      </w:r>
    </w:p>
    <w:p w14:paraId="2BFB82B6">
      <w:pPr>
        <w:pStyle w:val="30"/>
        <w:numPr>
          <w:ilvl w:val="0"/>
          <w:numId w:val="12"/>
        </w:numPr>
        <w:snapToGrid w:val="0"/>
        <w:ind w:left="0" w:firstLine="0" w:firstLineChars="0"/>
        <w:rPr>
          <w:rFonts w:ascii="Times New Roman" w:hAnsi="Times New Roman"/>
          <w:b/>
          <w:bCs/>
          <w:szCs w:val="21"/>
          <w:highlight w:val="none"/>
        </w:rPr>
      </w:pPr>
      <w:r>
        <w:rPr>
          <w:rFonts w:ascii="Times New Roman" w:hAnsi="Times New Roman"/>
          <w:b/>
          <w:bCs/>
          <w:szCs w:val="21"/>
          <w:highlight w:val="none"/>
        </w:rPr>
        <w:t>违约责任</w:t>
      </w:r>
      <w:r>
        <w:rPr>
          <w:rFonts w:hint="eastAsia" w:ascii="Times New Roman" w:hAnsi="Times New Roman"/>
          <w:i/>
          <w:iCs/>
          <w:szCs w:val="21"/>
          <w:highlight w:val="none"/>
        </w:rPr>
        <w:t>&lt;本条款中违约金比例可根据项目实际情况确定&gt;</w:t>
      </w:r>
    </w:p>
    <w:p w14:paraId="329DB27E">
      <w:pPr>
        <w:pStyle w:val="30"/>
        <w:ind w:firstLine="0" w:firstLineChars="0"/>
        <w:rPr>
          <w:rFonts w:ascii="Times New Roman" w:hAnsi="Times New Roman"/>
          <w:szCs w:val="21"/>
          <w:highlight w:val="none"/>
        </w:rPr>
      </w:pPr>
      <w:r>
        <w:rPr>
          <w:rFonts w:ascii="Times New Roman" w:hAnsi="Times New Roman"/>
          <w:szCs w:val="21"/>
          <w:highlight w:val="none"/>
        </w:rPr>
        <w:t>1.甲方违约责任：甲方无正当理由</w:t>
      </w:r>
      <w:r>
        <w:rPr>
          <w:rFonts w:hint="eastAsia" w:ascii="Times New Roman" w:hAnsi="Times New Roman"/>
          <w:szCs w:val="21"/>
          <w:highlight w:val="none"/>
        </w:rPr>
        <w:t>拒绝交付及验收的</w:t>
      </w:r>
      <w:r>
        <w:rPr>
          <w:rFonts w:ascii="Times New Roman" w:hAnsi="Times New Roman"/>
          <w:szCs w:val="21"/>
          <w:highlight w:val="none"/>
        </w:rPr>
        <w:t>，甲方应偿付合同总</w:t>
      </w:r>
      <w:r>
        <w:rPr>
          <w:rFonts w:hint="eastAsia" w:ascii="Times New Roman" w:hAnsi="Times New Roman"/>
          <w:szCs w:val="21"/>
          <w:highlight w:val="none"/>
        </w:rPr>
        <w:t>金额的</w:t>
      </w:r>
      <w:r>
        <w:rPr>
          <w:rFonts w:hint="eastAsia" w:ascii="Times New Roman" w:hAnsi="Times New Roman"/>
          <w:szCs w:val="21"/>
          <w:highlight w:val="none"/>
          <w:u w:val="single"/>
        </w:rPr>
        <w:t>1</w:t>
      </w:r>
      <w:r>
        <w:rPr>
          <w:rFonts w:ascii="Times New Roman" w:hAnsi="Times New Roman"/>
          <w:szCs w:val="21"/>
          <w:highlight w:val="none"/>
          <w:u w:val="single"/>
        </w:rPr>
        <w:t>0%</w:t>
      </w:r>
      <w:r>
        <w:rPr>
          <w:rFonts w:hint="eastAsia" w:ascii="Times New Roman" w:hAnsi="Times New Roman"/>
          <w:szCs w:val="21"/>
          <w:highlight w:val="none"/>
        </w:rPr>
        <w:t>作为</w:t>
      </w:r>
      <w:r>
        <w:rPr>
          <w:rFonts w:ascii="Times New Roman" w:hAnsi="Times New Roman"/>
          <w:szCs w:val="21"/>
          <w:highlight w:val="none"/>
        </w:rPr>
        <w:t>违约金。</w:t>
      </w:r>
    </w:p>
    <w:p w14:paraId="14E73229">
      <w:pPr>
        <w:pStyle w:val="30"/>
        <w:ind w:firstLine="0" w:firstLineChars="0"/>
        <w:rPr>
          <w:rFonts w:ascii="Times New Roman" w:hAnsi="Times New Roman"/>
          <w:szCs w:val="21"/>
          <w:highlight w:val="none"/>
        </w:rPr>
      </w:pPr>
      <w:r>
        <w:rPr>
          <w:rFonts w:ascii="Times New Roman" w:hAnsi="Times New Roman"/>
          <w:szCs w:val="21"/>
          <w:highlight w:val="none"/>
        </w:rPr>
        <w:t>2.乙方违约责任：</w:t>
      </w:r>
    </w:p>
    <w:p w14:paraId="64FE513F">
      <w:pPr>
        <w:pStyle w:val="30"/>
        <w:numPr>
          <w:ilvl w:val="0"/>
          <w:numId w:val="26"/>
        </w:numPr>
        <w:snapToGrid w:val="0"/>
        <w:ind w:firstLineChars="0"/>
        <w:rPr>
          <w:rFonts w:ascii="Times New Roman" w:hAnsi="Times New Roman"/>
          <w:szCs w:val="21"/>
          <w:highlight w:val="none"/>
        </w:rPr>
      </w:pPr>
      <w:r>
        <w:rPr>
          <w:rFonts w:hint="eastAsia" w:ascii="Times New Roman" w:hAnsi="Times New Roman"/>
          <w:szCs w:val="21"/>
          <w:highlight w:val="none"/>
        </w:rPr>
        <w:t>乙方拒绝交付软件，或交付的软件经两次验收仍不符合本合同约定的验收标准，甲方有权解除合同，乙方须向甲方支付合同总金额的</w:t>
      </w:r>
      <w:r>
        <w:rPr>
          <w:rFonts w:hint="eastAsia" w:ascii="Times New Roman" w:hAnsi="Times New Roman"/>
          <w:szCs w:val="21"/>
          <w:highlight w:val="none"/>
          <w:u w:val="single"/>
        </w:rPr>
        <w:t>10</w:t>
      </w:r>
      <w:r>
        <w:rPr>
          <w:rFonts w:hint="eastAsia" w:ascii="Times New Roman" w:hAnsi="Times New Roman"/>
          <w:szCs w:val="21"/>
          <w:highlight w:val="none"/>
        </w:rPr>
        <w:t>%作为违约金，并承担其它相应的经济损失。</w:t>
      </w:r>
    </w:p>
    <w:p w14:paraId="2D18CD33">
      <w:pPr>
        <w:pStyle w:val="30"/>
        <w:numPr>
          <w:ilvl w:val="0"/>
          <w:numId w:val="26"/>
        </w:numPr>
        <w:snapToGrid w:val="0"/>
        <w:ind w:firstLineChars="0"/>
        <w:rPr>
          <w:rFonts w:ascii="Times New Roman" w:hAnsi="Times New Roman"/>
          <w:szCs w:val="21"/>
          <w:highlight w:val="none"/>
        </w:rPr>
      </w:pPr>
      <w:r>
        <w:rPr>
          <w:rFonts w:ascii="Times New Roman" w:hAnsi="Times New Roman"/>
          <w:szCs w:val="21"/>
          <w:highlight w:val="none"/>
        </w:rPr>
        <w:t>质保期内出现质量问题，</w:t>
      </w:r>
      <w:r>
        <w:rPr>
          <w:rFonts w:ascii="Times New Roman" w:hAnsi="Times New Roman"/>
          <w:highlight w:val="none"/>
        </w:rPr>
        <w:t>因同一故障经乙方</w:t>
      </w:r>
      <w:r>
        <w:rPr>
          <w:rFonts w:ascii="Times New Roman" w:hAnsi="Times New Roman"/>
          <w:szCs w:val="21"/>
          <w:highlight w:val="none"/>
        </w:rPr>
        <w:t>经</w:t>
      </w:r>
      <w:r>
        <w:rPr>
          <w:rFonts w:hint="eastAsia" w:ascii="Times New Roman" w:hAnsi="Times New Roman"/>
          <w:szCs w:val="21"/>
          <w:highlight w:val="none"/>
          <w:u w:val="single"/>
        </w:rPr>
        <w:t>2</w:t>
      </w:r>
      <w:r>
        <w:rPr>
          <w:rFonts w:hint="eastAsia" w:ascii="Times New Roman" w:hAnsi="Times New Roman"/>
          <w:szCs w:val="21"/>
          <w:highlight w:val="none"/>
        </w:rPr>
        <w:t>次</w:t>
      </w:r>
      <w:r>
        <w:rPr>
          <w:rFonts w:hint="eastAsia" w:ascii="Times New Roman" w:hAnsi="Times New Roman"/>
          <w:highlight w:val="none"/>
        </w:rPr>
        <w:t>调试或维修</w:t>
      </w:r>
      <w:r>
        <w:rPr>
          <w:rFonts w:ascii="Times New Roman" w:hAnsi="Times New Roman"/>
          <w:szCs w:val="21"/>
          <w:highlight w:val="none"/>
        </w:rPr>
        <w:t>仍不能达到合同约定的</w:t>
      </w:r>
      <w:r>
        <w:rPr>
          <w:rFonts w:hint="eastAsia" w:ascii="Times New Roman" w:hAnsi="Times New Roman"/>
          <w:szCs w:val="21"/>
          <w:highlight w:val="none"/>
        </w:rPr>
        <w:t>功能</w:t>
      </w:r>
      <w:r>
        <w:rPr>
          <w:rFonts w:ascii="Times New Roman" w:hAnsi="Times New Roman"/>
          <w:szCs w:val="21"/>
          <w:highlight w:val="none"/>
        </w:rPr>
        <w:t>要求和技术指标，甲方有权解除合同并要求退货，乙方按照合同总额的</w:t>
      </w:r>
      <w:r>
        <w:rPr>
          <w:rFonts w:hint="eastAsia" w:ascii="Times New Roman" w:hAnsi="Times New Roman"/>
          <w:szCs w:val="21"/>
          <w:highlight w:val="none"/>
          <w:u w:val="single"/>
        </w:rPr>
        <w:t>10</w:t>
      </w:r>
      <w:r>
        <w:rPr>
          <w:rFonts w:ascii="Times New Roman" w:hAnsi="Times New Roman"/>
          <w:szCs w:val="21"/>
          <w:highlight w:val="none"/>
        </w:rPr>
        <w:t>%向甲方支付违约金</w:t>
      </w:r>
      <w:r>
        <w:rPr>
          <w:rFonts w:hint="eastAsia" w:ascii="Times New Roman" w:hAnsi="Times New Roman"/>
          <w:szCs w:val="21"/>
          <w:highlight w:val="none"/>
        </w:rPr>
        <w:t>。</w:t>
      </w:r>
    </w:p>
    <w:p w14:paraId="62F51444">
      <w:pPr>
        <w:pStyle w:val="30"/>
        <w:numPr>
          <w:ilvl w:val="0"/>
          <w:numId w:val="26"/>
        </w:numPr>
        <w:snapToGrid w:val="0"/>
        <w:ind w:firstLineChars="0"/>
        <w:rPr>
          <w:rFonts w:hint="eastAsia" w:ascii="Times New Roman" w:hAnsi="Times New Roman"/>
          <w:szCs w:val="21"/>
          <w:highlight w:val="none"/>
        </w:rPr>
      </w:pPr>
      <w:r>
        <w:rPr>
          <w:rFonts w:ascii="Times New Roman" w:hAnsi="Times New Roman"/>
          <w:szCs w:val="21"/>
          <w:highlight w:val="none"/>
        </w:rPr>
        <w:t>因乙方原因逾期</w:t>
      </w:r>
      <w:r>
        <w:rPr>
          <w:rFonts w:hint="eastAsia" w:ascii="Times New Roman" w:hAnsi="Times New Roman"/>
          <w:szCs w:val="21"/>
          <w:highlight w:val="none"/>
        </w:rPr>
        <w:t>交付</w:t>
      </w:r>
      <w:r>
        <w:rPr>
          <w:rFonts w:ascii="Times New Roman" w:hAnsi="Times New Roman"/>
          <w:szCs w:val="21"/>
          <w:highlight w:val="none"/>
        </w:rPr>
        <w:t>，每</w:t>
      </w:r>
      <w:r>
        <w:rPr>
          <w:rFonts w:hint="eastAsia" w:ascii="Times New Roman" w:hAnsi="Times New Roman"/>
          <w:szCs w:val="21"/>
          <w:highlight w:val="none"/>
        </w:rPr>
        <w:t>逾期</w:t>
      </w:r>
      <w:r>
        <w:rPr>
          <w:rFonts w:ascii="Times New Roman" w:hAnsi="Times New Roman"/>
          <w:szCs w:val="21"/>
          <w:highlight w:val="none"/>
        </w:rPr>
        <w:t>一天，须向甲方支付合同</w:t>
      </w:r>
      <w:r>
        <w:rPr>
          <w:rFonts w:hint="eastAsia" w:ascii="Times New Roman" w:hAnsi="Times New Roman"/>
          <w:szCs w:val="21"/>
          <w:highlight w:val="none"/>
        </w:rPr>
        <w:t>总金额的</w:t>
      </w:r>
      <w:r>
        <w:rPr>
          <w:rFonts w:ascii="Times New Roman" w:hAnsi="Times New Roman"/>
          <w:szCs w:val="21"/>
          <w:highlight w:val="none"/>
          <w:u w:val="single"/>
        </w:rPr>
        <w:t>***</w:t>
      </w:r>
      <w:r>
        <w:rPr>
          <w:rFonts w:hint="eastAsia" w:ascii="Times New Roman" w:hAnsi="Times New Roman"/>
          <w:szCs w:val="21"/>
          <w:highlight w:val="none"/>
        </w:rPr>
        <w:t>‰作为</w:t>
      </w:r>
      <w:r>
        <w:rPr>
          <w:rFonts w:ascii="Times New Roman" w:hAnsi="Times New Roman"/>
          <w:szCs w:val="21"/>
          <w:highlight w:val="none"/>
        </w:rPr>
        <w:t>违约金。因乙方原因逾期交货超过</w:t>
      </w:r>
      <w:r>
        <w:rPr>
          <w:rFonts w:ascii="Times New Roman" w:hAnsi="Times New Roman"/>
          <w:szCs w:val="21"/>
          <w:highlight w:val="none"/>
          <w:u w:val="single"/>
        </w:rPr>
        <w:t>***</w:t>
      </w:r>
      <w:r>
        <w:rPr>
          <w:rFonts w:ascii="Times New Roman" w:hAnsi="Times New Roman"/>
          <w:szCs w:val="21"/>
          <w:highlight w:val="none"/>
        </w:rPr>
        <w:t>天，甲方有权</w:t>
      </w:r>
      <w:r>
        <w:rPr>
          <w:rFonts w:hint="eastAsia" w:ascii="Times New Roman" w:hAnsi="Times New Roman"/>
          <w:szCs w:val="21"/>
          <w:highlight w:val="none"/>
        </w:rPr>
        <w:t>终止</w:t>
      </w:r>
      <w:r>
        <w:rPr>
          <w:rFonts w:ascii="Times New Roman" w:hAnsi="Times New Roman"/>
          <w:szCs w:val="21"/>
          <w:highlight w:val="none"/>
        </w:rPr>
        <w:t>合同</w:t>
      </w:r>
      <w:r>
        <w:rPr>
          <w:rFonts w:hint="eastAsia" w:ascii="Times New Roman" w:hAnsi="Times New Roman"/>
          <w:szCs w:val="21"/>
          <w:highlight w:val="none"/>
        </w:rPr>
        <w:t>，乙方须按合同总金额的</w:t>
      </w:r>
      <w:r>
        <w:rPr>
          <w:rFonts w:hint="eastAsia" w:ascii="Times New Roman" w:hAnsi="Times New Roman"/>
          <w:szCs w:val="21"/>
          <w:highlight w:val="none"/>
          <w:u w:val="single"/>
        </w:rPr>
        <w:t>10</w:t>
      </w:r>
      <w:r>
        <w:rPr>
          <w:rFonts w:hint="eastAsia" w:ascii="Times New Roman" w:hAnsi="Times New Roman"/>
          <w:szCs w:val="21"/>
          <w:highlight w:val="none"/>
        </w:rPr>
        <w:t>%向甲方支付违约金，如本项目要求乙方缴纳履约保证金，则乙方除向甲方支付相应违约金外，已缴纳的履约保证金不予退还；履约保证金未缴纳或已退还的，乙方应按照履约保证金的相同金额向甲方另行支付。</w:t>
      </w:r>
    </w:p>
    <w:p w14:paraId="3A82A668">
      <w:pPr>
        <w:pStyle w:val="30"/>
        <w:numPr>
          <w:ilvl w:val="0"/>
          <w:numId w:val="26"/>
        </w:numPr>
        <w:snapToGrid w:val="0"/>
        <w:ind w:firstLineChars="0"/>
        <w:rPr>
          <w:rFonts w:ascii="Times New Roman" w:hAnsi="Times New Roman"/>
          <w:szCs w:val="21"/>
          <w:highlight w:val="none"/>
        </w:rPr>
      </w:pPr>
      <w:r>
        <w:rPr>
          <w:rFonts w:hint="eastAsia" w:ascii="Times New Roman" w:hAnsi="Times New Roman"/>
          <w:szCs w:val="21"/>
          <w:highlight w:val="none"/>
        </w:rPr>
        <w:t>乙方未按合同约定及时履行培训及维护义务时，每发生一次，乙方应按合同总金额的</w:t>
      </w:r>
      <w:r>
        <w:rPr>
          <w:rFonts w:ascii="Times New Roman" w:hAnsi="Times New Roman"/>
          <w:szCs w:val="21"/>
          <w:highlight w:val="none"/>
          <w:u w:val="single"/>
        </w:rPr>
        <w:t>***</w:t>
      </w:r>
      <w:r>
        <w:rPr>
          <w:rFonts w:hint="eastAsia" w:ascii="Times New Roman" w:hAnsi="Times New Roman"/>
          <w:szCs w:val="21"/>
          <w:highlight w:val="none"/>
        </w:rPr>
        <w:t>‰向甲方支付违约金，乙方支付违约金的同时，仍有义务对甲方进行培训及对软件维护。</w:t>
      </w:r>
    </w:p>
    <w:p w14:paraId="399D4AE6">
      <w:pPr>
        <w:pStyle w:val="30"/>
        <w:numPr>
          <w:ilvl w:val="0"/>
          <w:numId w:val="26"/>
        </w:numPr>
        <w:snapToGrid w:val="0"/>
        <w:ind w:firstLineChars="0"/>
        <w:rPr>
          <w:rFonts w:ascii="Times New Roman" w:hAnsi="Times New Roman"/>
          <w:szCs w:val="21"/>
          <w:highlight w:val="none"/>
        </w:rPr>
      </w:pPr>
      <w:r>
        <w:rPr>
          <w:rFonts w:hint="eastAsia" w:ascii="Times New Roman" w:hAnsi="Times New Roman"/>
          <w:szCs w:val="21"/>
          <w:highlight w:val="none"/>
        </w:rPr>
        <w:t>乙方在开发软件过程侵犯他人知识产权，甲方有权单方解除合同，并要求乙方赔偿所造成的损失，同时甲方有权要求对方按照合同总金额的</w:t>
      </w:r>
      <w:r>
        <w:rPr>
          <w:rFonts w:hint="eastAsia" w:ascii="Times New Roman" w:hAnsi="Times New Roman"/>
          <w:szCs w:val="21"/>
          <w:highlight w:val="none"/>
          <w:u w:val="single"/>
        </w:rPr>
        <w:t>10</w:t>
      </w:r>
      <w:r>
        <w:rPr>
          <w:rFonts w:ascii="Times New Roman" w:hAnsi="Times New Roman"/>
          <w:szCs w:val="21"/>
          <w:highlight w:val="none"/>
        </w:rPr>
        <w:t>%</w:t>
      </w:r>
      <w:r>
        <w:rPr>
          <w:rFonts w:hint="eastAsia" w:ascii="Times New Roman" w:hAnsi="Times New Roman"/>
          <w:szCs w:val="21"/>
          <w:highlight w:val="none"/>
        </w:rPr>
        <w:t>支付违约金。</w:t>
      </w:r>
    </w:p>
    <w:p w14:paraId="74FA2B43">
      <w:pPr>
        <w:pStyle w:val="30"/>
        <w:numPr>
          <w:ilvl w:val="0"/>
          <w:numId w:val="26"/>
        </w:numPr>
        <w:snapToGrid w:val="0"/>
        <w:ind w:firstLineChars="0"/>
        <w:rPr>
          <w:rFonts w:hint="eastAsia" w:ascii="Times New Roman" w:hAnsi="Times New Roman"/>
          <w:szCs w:val="21"/>
          <w:highlight w:val="none"/>
        </w:rPr>
      </w:pPr>
      <w:r>
        <w:rPr>
          <w:rFonts w:ascii="Times New Roman" w:hAnsi="Times New Roman"/>
          <w:szCs w:val="21"/>
          <w:highlight w:val="none"/>
        </w:rPr>
        <w:t>乙方违反保密义务，甲方有权单方解除合同，乙方应按甲方实际损失向甲方进行赔偿并向甲方支付</w:t>
      </w:r>
      <w:r>
        <w:rPr>
          <w:rFonts w:hint="eastAsia" w:ascii="Times New Roman" w:hAnsi="Times New Roman"/>
          <w:szCs w:val="21"/>
          <w:highlight w:val="none"/>
        </w:rPr>
        <w:t>合同总金额的</w:t>
      </w:r>
      <w:r>
        <w:rPr>
          <w:rFonts w:hint="eastAsia" w:ascii="Times New Roman" w:hAnsi="Times New Roman"/>
          <w:szCs w:val="21"/>
          <w:highlight w:val="none"/>
          <w:u w:val="single"/>
        </w:rPr>
        <w:t>10</w:t>
      </w:r>
      <w:r>
        <w:rPr>
          <w:rFonts w:ascii="Times New Roman" w:hAnsi="Times New Roman"/>
          <w:szCs w:val="21"/>
          <w:highlight w:val="none"/>
        </w:rPr>
        <w:t>%</w:t>
      </w:r>
      <w:r>
        <w:rPr>
          <w:rFonts w:hint="eastAsia" w:ascii="Times New Roman" w:hAnsi="Times New Roman"/>
          <w:szCs w:val="21"/>
          <w:highlight w:val="none"/>
        </w:rPr>
        <w:t>作为</w:t>
      </w:r>
      <w:r>
        <w:rPr>
          <w:rFonts w:ascii="Times New Roman" w:hAnsi="Times New Roman"/>
          <w:szCs w:val="21"/>
          <w:highlight w:val="none"/>
        </w:rPr>
        <w:t>违约金。</w:t>
      </w:r>
    </w:p>
    <w:p w14:paraId="26A9D878">
      <w:pPr>
        <w:pStyle w:val="30"/>
        <w:numPr>
          <w:ilvl w:val="0"/>
          <w:numId w:val="26"/>
        </w:numPr>
        <w:snapToGrid w:val="0"/>
        <w:ind w:firstLineChars="0"/>
        <w:rPr>
          <w:rFonts w:ascii="Times New Roman" w:hAnsi="Times New Roman"/>
          <w:szCs w:val="21"/>
          <w:highlight w:val="none"/>
        </w:rPr>
      </w:pPr>
      <w:r>
        <w:rPr>
          <w:rFonts w:hint="eastAsia" w:ascii="Times New Roman" w:hAnsi="Times New Roman"/>
          <w:szCs w:val="21"/>
          <w:highlight w:val="none"/>
        </w:rPr>
        <w:t>乙方偿付的违约金不足以弥补甲方损失的，还应按甲方损失尚未弥补的部分，支付赔偿金给甲方。</w:t>
      </w:r>
    </w:p>
    <w:p w14:paraId="5DDFEF08">
      <w:pPr>
        <w:pStyle w:val="30"/>
        <w:numPr>
          <w:ilvl w:val="0"/>
          <w:numId w:val="26"/>
        </w:numPr>
        <w:snapToGrid w:val="0"/>
        <w:ind w:firstLineChars="0"/>
        <w:rPr>
          <w:rFonts w:ascii="Times New Roman" w:hAnsi="Times New Roman"/>
          <w:szCs w:val="21"/>
          <w:highlight w:val="none"/>
        </w:rPr>
      </w:pPr>
      <w:r>
        <w:rPr>
          <w:rFonts w:ascii="Times New Roman" w:hAnsi="Times New Roman"/>
          <w:szCs w:val="21"/>
          <w:highlight w:val="none"/>
        </w:rPr>
        <w:t>乙方</w:t>
      </w:r>
      <w:r>
        <w:rPr>
          <w:rFonts w:hint="eastAsia" w:ascii="Times New Roman" w:hAnsi="Times New Roman"/>
          <w:szCs w:val="21"/>
          <w:highlight w:val="none"/>
        </w:rPr>
        <w:t>交付软件因</w:t>
      </w:r>
      <w:r>
        <w:rPr>
          <w:rFonts w:ascii="Times New Roman" w:hAnsi="Times New Roman"/>
          <w:szCs w:val="21"/>
          <w:highlight w:val="none"/>
        </w:rPr>
        <w:t>质量问题导致甲方及第三方人身、财产损失的，乙方承担由此造成的全部法律责任。</w:t>
      </w:r>
    </w:p>
    <w:p w14:paraId="7267743D">
      <w:pPr>
        <w:pStyle w:val="30"/>
        <w:numPr>
          <w:ilvl w:val="0"/>
          <w:numId w:val="26"/>
        </w:numPr>
        <w:snapToGrid w:val="0"/>
        <w:ind w:firstLineChars="0"/>
        <w:rPr>
          <w:rFonts w:ascii="Times New Roman" w:hAnsi="Times New Roman"/>
          <w:szCs w:val="21"/>
          <w:highlight w:val="none"/>
        </w:rPr>
      </w:pPr>
      <w:r>
        <w:rPr>
          <w:rFonts w:ascii="Times New Roman" w:hAnsi="Times New Roman"/>
          <w:szCs w:val="21"/>
          <w:highlight w:val="none"/>
        </w:rPr>
        <w:t>乙方未按照本合同约定的时限提供合法发票或提供发票瑕疵（包括但不限于发票种类有误、发票金额有误等），甲方付款时限相应顺延并不承担任何延期支付的违约责任。</w:t>
      </w:r>
    </w:p>
    <w:p w14:paraId="36DBEC44">
      <w:pPr>
        <w:pStyle w:val="30"/>
        <w:numPr>
          <w:ilvl w:val="0"/>
          <w:numId w:val="26"/>
        </w:numPr>
        <w:snapToGrid w:val="0"/>
        <w:ind w:firstLineChars="0"/>
        <w:rPr>
          <w:rFonts w:ascii="Times New Roman" w:hAnsi="Times New Roman"/>
          <w:szCs w:val="21"/>
          <w:highlight w:val="none"/>
        </w:rPr>
      </w:pPr>
      <w:r>
        <w:rPr>
          <w:rFonts w:ascii="Times New Roman" w:hAnsi="Times New Roman"/>
          <w:szCs w:val="21"/>
          <w:highlight w:val="none"/>
        </w:rPr>
        <w:t>乙方在</w:t>
      </w:r>
      <w:r>
        <w:rPr>
          <w:rFonts w:hint="eastAsia" w:ascii="Times New Roman" w:hAnsi="Times New Roman"/>
          <w:szCs w:val="21"/>
          <w:highlight w:val="none"/>
        </w:rPr>
        <w:t>安装、</w:t>
      </w:r>
      <w:r>
        <w:rPr>
          <w:rFonts w:ascii="Times New Roman" w:hAnsi="Times New Roman"/>
          <w:szCs w:val="21"/>
          <w:highlight w:val="none"/>
        </w:rPr>
        <w:t>调试及售后服务过程中，因未按规程</w:t>
      </w:r>
      <w:r>
        <w:rPr>
          <w:rFonts w:hint="eastAsia" w:ascii="Times New Roman" w:hAnsi="Times New Roman"/>
          <w:szCs w:val="21"/>
          <w:highlight w:val="none"/>
        </w:rPr>
        <w:t>操作、</w:t>
      </w:r>
      <w:r>
        <w:rPr>
          <w:rFonts w:ascii="Times New Roman" w:hAnsi="Times New Roman"/>
          <w:szCs w:val="21"/>
          <w:highlight w:val="none"/>
        </w:rPr>
        <w:t>未采取必要的安全防范措施等原因直接或间接造成甲方及第三方人身、财产损失的，由乙方承担由此造成的全部法律责任。</w:t>
      </w:r>
    </w:p>
    <w:p w14:paraId="29D37105">
      <w:pPr>
        <w:pStyle w:val="30"/>
        <w:numPr>
          <w:ilvl w:val="0"/>
          <w:numId w:val="26"/>
        </w:numPr>
        <w:snapToGrid w:val="0"/>
        <w:ind w:left="525" w:hanging="525" w:hangingChars="250"/>
        <w:rPr>
          <w:rFonts w:hint="eastAsia" w:ascii="Times New Roman" w:hAnsi="Times New Roman"/>
          <w:szCs w:val="21"/>
          <w:highlight w:val="none"/>
        </w:rPr>
      </w:pPr>
      <w:r>
        <w:rPr>
          <w:rFonts w:hint="eastAsia" w:ascii="Times New Roman" w:hAnsi="Times New Roman"/>
          <w:szCs w:val="21"/>
          <w:highlight w:val="none"/>
        </w:rPr>
        <w:t>如本合同要求乙方缴纳履约保证金，且因乙方严重违约从而导致甲乙双方无法继续履约，则乙方除向甲方支付相应违约金外，已缴纳的履约保证金不予退还；履约保证金未缴纳或已退还的，乙方应按照履约保证金的相同金额向甲方另行支付。</w:t>
      </w:r>
    </w:p>
    <w:p w14:paraId="587D7B63">
      <w:pPr>
        <w:pStyle w:val="30"/>
        <w:snapToGrid w:val="0"/>
        <w:ind w:firstLine="0" w:firstLineChars="0"/>
        <w:rPr>
          <w:rFonts w:ascii="Times New Roman" w:hAnsi="Times New Roman"/>
          <w:szCs w:val="21"/>
          <w:highlight w:val="none"/>
        </w:rPr>
      </w:pPr>
      <w:r>
        <w:rPr>
          <w:rFonts w:hint="eastAsia" w:ascii="Times New Roman" w:hAnsi="Times New Roman"/>
          <w:szCs w:val="21"/>
          <w:highlight w:val="none"/>
        </w:rPr>
        <w:t>3</w:t>
      </w:r>
      <w:r>
        <w:rPr>
          <w:rFonts w:ascii="Times New Roman" w:hAnsi="Times New Roman"/>
          <w:szCs w:val="21"/>
          <w:highlight w:val="none"/>
        </w:rPr>
        <w:t>.本合同履行中如有任何一方违约，那么守约方为保障自己合法权益而产生的律师费、诉讼费、差旅费、公告费等，均由违约方承担。</w:t>
      </w:r>
    </w:p>
    <w:p w14:paraId="6B08FD7E">
      <w:pPr>
        <w:pStyle w:val="30"/>
        <w:numPr>
          <w:ilvl w:val="0"/>
          <w:numId w:val="12"/>
        </w:numPr>
        <w:snapToGrid w:val="0"/>
        <w:ind w:left="0" w:firstLine="0" w:firstLineChars="0"/>
        <w:rPr>
          <w:rFonts w:ascii="Times New Roman" w:hAnsi="Times New Roman"/>
          <w:b/>
          <w:bCs/>
          <w:szCs w:val="21"/>
          <w:highlight w:val="none"/>
        </w:rPr>
      </w:pPr>
      <w:r>
        <w:rPr>
          <w:rFonts w:ascii="Times New Roman" w:hAnsi="Times New Roman"/>
          <w:b/>
          <w:bCs/>
          <w:szCs w:val="21"/>
          <w:highlight w:val="none"/>
        </w:rPr>
        <w:t>不可抗力</w:t>
      </w:r>
    </w:p>
    <w:p w14:paraId="3280B00B">
      <w:pPr>
        <w:pStyle w:val="30"/>
        <w:snapToGrid w:val="0"/>
        <w:rPr>
          <w:rFonts w:ascii="Times New Roman" w:hAnsi="Times New Roman"/>
          <w:bCs/>
          <w:szCs w:val="21"/>
          <w:highlight w:val="none"/>
        </w:rPr>
      </w:pPr>
      <w:r>
        <w:rPr>
          <w:rFonts w:ascii="Times New Roman" w:hAnsi="Times New Roman"/>
          <w:bCs/>
          <w:szCs w:val="21"/>
          <w:highlight w:val="none"/>
        </w:rPr>
        <w:t>如果遇到自然灾害和灾难及其他不可抗力事件而影响合同履行时，乙方应在三个工作日内以书面形式通知甲方。若不可抗力原因影响本合同执行时间超过</w:t>
      </w:r>
      <w:r>
        <w:rPr>
          <w:rFonts w:ascii="Times New Roman" w:hAnsi="Times New Roman"/>
          <w:bCs/>
          <w:szCs w:val="21"/>
          <w:highlight w:val="none"/>
          <w:u w:val="single"/>
        </w:rPr>
        <w:t>***</w:t>
      </w:r>
      <w:r>
        <w:rPr>
          <w:rFonts w:hint="eastAsia" w:ascii="Times New Roman" w:hAnsi="Times New Roman"/>
          <w:bCs/>
          <w:szCs w:val="21"/>
          <w:highlight w:val="none"/>
          <w:u w:val="single"/>
        </w:rPr>
        <w:t>日</w:t>
      </w:r>
      <w:r>
        <w:rPr>
          <w:rFonts w:ascii="Times New Roman" w:hAnsi="Times New Roman"/>
          <w:bCs/>
          <w:szCs w:val="21"/>
          <w:highlight w:val="none"/>
        </w:rPr>
        <w:t>，甲方有权解除合同，双方互不承担违约责任。</w:t>
      </w:r>
    </w:p>
    <w:p w14:paraId="6969C7F9">
      <w:pPr>
        <w:pStyle w:val="30"/>
        <w:numPr>
          <w:ilvl w:val="0"/>
          <w:numId w:val="12"/>
        </w:numPr>
        <w:snapToGrid w:val="0"/>
        <w:ind w:left="0" w:firstLine="0" w:firstLineChars="0"/>
        <w:rPr>
          <w:rFonts w:ascii="Times New Roman" w:hAnsi="Times New Roman"/>
          <w:b/>
          <w:bCs/>
          <w:szCs w:val="21"/>
          <w:highlight w:val="none"/>
        </w:rPr>
      </w:pPr>
      <w:r>
        <w:rPr>
          <w:rFonts w:ascii="Times New Roman" w:hAnsi="Times New Roman"/>
          <w:b/>
          <w:bCs/>
          <w:szCs w:val="21"/>
          <w:highlight w:val="none"/>
        </w:rPr>
        <w:t>争议解决办法</w:t>
      </w:r>
    </w:p>
    <w:p w14:paraId="3F231CB3">
      <w:pPr>
        <w:pStyle w:val="30"/>
        <w:numPr>
          <w:ilvl w:val="0"/>
          <w:numId w:val="27"/>
        </w:numPr>
        <w:ind w:left="0" w:firstLine="0" w:firstLineChars="0"/>
        <w:rPr>
          <w:rFonts w:ascii="Times New Roman" w:hAnsi="Times New Roman"/>
          <w:szCs w:val="21"/>
          <w:highlight w:val="none"/>
        </w:rPr>
      </w:pPr>
      <w:r>
        <w:rPr>
          <w:rFonts w:ascii="Times New Roman" w:hAnsi="Times New Roman"/>
          <w:szCs w:val="21"/>
          <w:highlight w:val="none"/>
        </w:rPr>
        <w:t>因</w:t>
      </w:r>
      <w:r>
        <w:rPr>
          <w:rFonts w:hint="eastAsia" w:ascii="Times New Roman" w:hAnsi="Times New Roman"/>
          <w:szCs w:val="21"/>
          <w:highlight w:val="none"/>
        </w:rPr>
        <w:t>软件</w:t>
      </w:r>
      <w:r>
        <w:rPr>
          <w:rFonts w:ascii="Times New Roman" w:hAnsi="Times New Roman"/>
          <w:szCs w:val="21"/>
          <w:highlight w:val="none"/>
        </w:rPr>
        <w:t>的质量问题发生争议，由质量技术监督部门或其指定的质量鉴定机构进行质量鉴定。货物符合标准的，鉴定费由甲方承担；货物不符合质量标准的，鉴定费由乙方承担。</w:t>
      </w:r>
    </w:p>
    <w:p w14:paraId="296C7619">
      <w:pPr>
        <w:pStyle w:val="30"/>
        <w:numPr>
          <w:ilvl w:val="0"/>
          <w:numId w:val="27"/>
        </w:numPr>
        <w:ind w:left="0" w:firstLine="0" w:firstLineChars="0"/>
        <w:rPr>
          <w:rFonts w:ascii="Times New Roman" w:hAnsi="Times New Roman"/>
          <w:szCs w:val="21"/>
          <w:highlight w:val="none"/>
        </w:rPr>
      </w:pPr>
      <w:r>
        <w:rPr>
          <w:rFonts w:ascii="Times New Roman" w:hAnsi="Times New Roman"/>
          <w:szCs w:val="21"/>
          <w:highlight w:val="none"/>
        </w:rPr>
        <w:t>合同履行期间,若双方发生争议，可协商或由有关部门调解解决，协商或调解不成的，任何一方均有权向甲方</w:t>
      </w:r>
      <w:r>
        <w:rPr>
          <w:rFonts w:hint="eastAsia" w:ascii="Times New Roman" w:hAnsi="Times New Roman"/>
          <w:szCs w:val="21"/>
          <w:highlight w:val="none"/>
        </w:rPr>
        <w:t>所在地</w:t>
      </w:r>
      <w:r>
        <w:rPr>
          <w:rFonts w:ascii="Times New Roman" w:hAnsi="Times New Roman"/>
          <w:szCs w:val="21"/>
          <w:highlight w:val="none"/>
        </w:rPr>
        <w:t>具有管辖权的人民法院起诉。</w:t>
      </w:r>
    </w:p>
    <w:p w14:paraId="4863D824">
      <w:pPr>
        <w:pStyle w:val="30"/>
        <w:numPr>
          <w:ilvl w:val="0"/>
          <w:numId w:val="12"/>
        </w:numPr>
        <w:snapToGrid w:val="0"/>
        <w:ind w:left="0" w:firstLine="0" w:firstLineChars="0"/>
        <w:rPr>
          <w:rFonts w:ascii="Times New Roman" w:hAnsi="Times New Roman"/>
          <w:b/>
          <w:bCs/>
          <w:szCs w:val="21"/>
          <w:highlight w:val="none"/>
        </w:rPr>
      </w:pPr>
      <w:r>
        <w:rPr>
          <w:rFonts w:ascii="Times New Roman" w:hAnsi="Times New Roman"/>
          <w:b/>
          <w:bCs/>
          <w:szCs w:val="21"/>
          <w:highlight w:val="none"/>
        </w:rPr>
        <w:t>送达</w:t>
      </w:r>
      <w:r>
        <w:rPr>
          <w:rFonts w:hint="eastAsia" w:ascii="Times New Roman" w:hAnsi="Times New Roman"/>
          <w:b/>
          <w:bCs/>
          <w:szCs w:val="21"/>
          <w:highlight w:val="none"/>
        </w:rPr>
        <w:t>（送达地址是司法机关、执法机关和仲裁机关将法律文书送达给当事人的收件地址）</w:t>
      </w:r>
    </w:p>
    <w:p w14:paraId="0A92C0B0">
      <w:pPr>
        <w:pStyle w:val="35"/>
        <w:numPr>
          <w:ilvl w:val="0"/>
          <w:numId w:val="28"/>
        </w:numPr>
        <w:ind w:left="0" w:firstLine="0"/>
        <w:rPr>
          <w:rFonts w:hAnsi="Times New Roman" w:eastAsia="宋体" w:cs="Times New Roman"/>
          <w:color w:val="auto"/>
          <w:highlight w:val="none"/>
        </w:rPr>
      </w:pPr>
      <w:r>
        <w:rPr>
          <w:rFonts w:hAnsi="Times New Roman" w:eastAsia="宋体" w:cs="Times New Roman"/>
          <w:color w:val="auto"/>
          <w:highlight w:val="none"/>
        </w:rPr>
        <w:t>甲方送达地址：四川省成都市青羊区一环路西二段32号。</w:t>
      </w:r>
    </w:p>
    <w:p w14:paraId="567DE9F7">
      <w:pPr>
        <w:pStyle w:val="35"/>
        <w:numPr>
          <w:ilvl w:val="0"/>
          <w:numId w:val="28"/>
        </w:numPr>
        <w:ind w:left="0" w:firstLine="0"/>
        <w:rPr>
          <w:rFonts w:hAnsi="Times New Roman" w:eastAsia="宋体" w:cs="Times New Roman"/>
          <w:color w:val="auto"/>
          <w:highlight w:val="none"/>
        </w:rPr>
      </w:pPr>
      <w:r>
        <w:rPr>
          <w:rFonts w:hAnsi="Times New Roman" w:eastAsia="宋体" w:cs="Times New Roman"/>
          <w:color w:val="auto"/>
          <w:highlight w:val="none"/>
        </w:rPr>
        <w:t>乙方送达地址：</w:t>
      </w:r>
      <w:r>
        <w:rPr>
          <w:rFonts w:hint="eastAsia" w:hAnsi="Times New Roman" w:eastAsia="宋体" w:cs="Times New Roman"/>
          <w:color w:val="auto"/>
          <w:highlight w:val="none"/>
        </w:rPr>
        <w:t>*</w:t>
      </w:r>
      <w:r>
        <w:rPr>
          <w:rFonts w:hAnsi="Times New Roman" w:eastAsia="宋体" w:cs="Times New Roman"/>
          <w:color w:val="auto"/>
          <w:highlight w:val="none"/>
        </w:rPr>
        <w:t>**</w:t>
      </w:r>
    </w:p>
    <w:p w14:paraId="3802F86B">
      <w:pPr>
        <w:pStyle w:val="35"/>
        <w:numPr>
          <w:ilvl w:val="0"/>
          <w:numId w:val="28"/>
        </w:numPr>
        <w:ind w:left="0" w:firstLine="0"/>
        <w:rPr>
          <w:rFonts w:hAnsi="Times New Roman" w:eastAsia="宋体" w:cs="Times New Roman"/>
          <w:color w:val="auto"/>
          <w:highlight w:val="none"/>
        </w:rPr>
      </w:pPr>
      <w:r>
        <w:rPr>
          <w:rFonts w:hAnsi="Times New Roman" w:eastAsia="宋体" w:cs="Times New Roman"/>
          <w:color w:val="auto"/>
          <w:highlight w:val="none"/>
        </w:rPr>
        <w:t>甲乙双方关于本合同履行及相关事宜的通知，以及法院与国家机关因本合同争议发出的通知或司法文书（包括但不限于传票、判决书、裁定书、调解书等），应送达至甲乙双方在本合同中提供的地址或在此之后一方以书面形式通知另一方的其他地址。该等通知以专人递送在收到时视为正式送达、或以邮寄方式寄出3个工作日后视为正式送达，或以快递方式在交付后的第3个工作日视为正式送达。若一方地址发生变动，应及时书面通知另一方，否则仍以本合同载明的文书送达地址为准。</w:t>
      </w:r>
    </w:p>
    <w:p w14:paraId="1AF2B502">
      <w:pPr>
        <w:pStyle w:val="30"/>
        <w:numPr>
          <w:ilvl w:val="0"/>
          <w:numId w:val="12"/>
        </w:numPr>
        <w:snapToGrid w:val="0"/>
        <w:ind w:left="0" w:firstLine="0" w:firstLineChars="0"/>
        <w:rPr>
          <w:rFonts w:ascii="Times New Roman" w:hAnsi="Times New Roman"/>
          <w:b/>
          <w:bCs/>
          <w:szCs w:val="21"/>
          <w:highlight w:val="none"/>
        </w:rPr>
      </w:pPr>
      <w:r>
        <w:rPr>
          <w:rFonts w:ascii="Times New Roman" w:hAnsi="Times New Roman"/>
          <w:b/>
          <w:bCs/>
          <w:szCs w:val="21"/>
          <w:highlight w:val="none"/>
        </w:rPr>
        <w:t>其他</w:t>
      </w:r>
    </w:p>
    <w:p w14:paraId="2018AA29">
      <w:pPr>
        <w:pStyle w:val="30"/>
        <w:numPr>
          <w:ilvl w:val="0"/>
          <w:numId w:val="29"/>
        </w:numPr>
        <w:ind w:left="0" w:firstLine="0" w:firstLineChars="0"/>
        <w:rPr>
          <w:rFonts w:ascii="Times New Roman" w:hAnsi="Times New Roman"/>
          <w:szCs w:val="21"/>
          <w:highlight w:val="none"/>
        </w:rPr>
      </w:pPr>
      <w:r>
        <w:rPr>
          <w:rFonts w:ascii="Times New Roman" w:hAnsi="Times New Roman"/>
          <w:szCs w:val="21"/>
          <w:highlight w:val="none"/>
        </w:rPr>
        <w:t>如有未尽事宜，由双方依法订立补充合同。补充合同</w:t>
      </w:r>
      <w:r>
        <w:rPr>
          <w:rFonts w:hint="eastAsia" w:ascii="Times New Roman" w:hAnsi="Times New Roman"/>
          <w:szCs w:val="21"/>
          <w:highlight w:val="none"/>
        </w:rPr>
        <w:t>及本合同</w:t>
      </w:r>
      <w:r>
        <w:rPr>
          <w:rFonts w:ascii="Times New Roman" w:hAnsi="Times New Roman"/>
          <w:szCs w:val="21"/>
          <w:highlight w:val="none"/>
        </w:rPr>
        <w:t>附件</w:t>
      </w:r>
      <w:r>
        <w:rPr>
          <w:rFonts w:hint="eastAsia" w:ascii="Times New Roman" w:hAnsi="Times New Roman"/>
          <w:szCs w:val="21"/>
          <w:highlight w:val="none"/>
        </w:rPr>
        <w:t>均</w:t>
      </w:r>
      <w:r>
        <w:rPr>
          <w:rFonts w:ascii="Times New Roman" w:hAnsi="Times New Roman"/>
          <w:szCs w:val="21"/>
          <w:highlight w:val="none"/>
        </w:rPr>
        <w:t>为本合同的组成部分，与本合同具有同等法律效力。</w:t>
      </w:r>
    </w:p>
    <w:p w14:paraId="6B7FCFAD">
      <w:pPr>
        <w:pStyle w:val="30"/>
        <w:numPr>
          <w:ilvl w:val="0"/>
          <w:numId w:val="29"/>
        </w:numPr>
        <w:ind w:left="0" w:firstLine="0" w:firstLineChars="0"/>
        <w:rPr>
          <w:rFonts w:ascii="Times New Roman" w:hAnsi="Times New Roman"/>
          <w:szCs w:val="21"/>
          <w:highlight w:val="none"/>
        </w:rPr>
      </w:pPr>
      <w:r>
        <w:rPr>
          <w:rFonts w:ascii="Times New Roman" w:hAnsi="Times New Roman"/>
          <w:szCs w:val="21"/>
          <w:highlight w:val="none"/>
        </w:rPr>
        <w:t>本合同一式</w:t>
      </w:r>
      <w:r>
        <w:rPr>
          <w:rFonts w:hint="eastAsia" w:ascii="Times New Roman" w:hAnsi="Times New Roman"/>
          <w:szCs w:val="21"/>
          <w:highlight w:val="none"/>
        </w:rPr>
        <w:t>四</w:t>
      </w:r>
      <w:r>
        <w:rPr>
          <w:rFonts w:ascii="Times New Roman" w:hAnsi="Times New Roman"/>
          <w:szCs w:val="21"/>
          <w:highlight w:val="none"/>
        </w:rPr>
        <w:t>份，自双方</w:t>
      </w:r>
      <w:r>
        <w:rPr>
          <w:rFonts w:hint="eastAsia" w:ascii="Times New Roman" w:hAnsi="Times New Roman"/>
          <w:szCs w:val="21"/>
          <w:highlight w:val="none"/>
        </w:rPr>
        <w:t>签字且盖章</w:t>
      </w:r>
      <w:r>
        <w:rPr>
          <w:rFonts w:ascii="Times New Roman" w:hAnsi="Times New Roman"/>
          <w:szCs w:val="21"/>
          <w:highlight w:val="none"/>
        </w:rPr>
        <w:t>之日起生效。甲方三份，乙方一份。</w:t>
      </w:r>
    </w:p>
    <w:p w14:paraId="50939D8A">
      <w:pPr>
        <w:pStyle w:val="30"/>
        <w:numPr>
          <w:ilvl w:val="0"/>
          <w:numId w:val="12"/>
        </w:numPr>
        <w:snapToGrid w:val="0"/>
        <w:ind w:left="0" w:firstLine="0" w:firstLineChars="0"/>
        <w:rPr>
          <w:rFonts w:ascii="Times New Roman" w:hAnsi="Times New Roman"/>
          <w:b/>
          <w:bCs/>
          <w:szCs w:val="21"/>
          <w:highlight w:val="none"/>
        </w:rPr>
      </w:pPr>
      <w:r>
        <w:rPr>
          <w:rFonts w:ascii="Times New Roman" w:hAnsi="Times New Roman"/>
          <w:b/>
          <w:bCs/>
          <w:szCs w:val="21"/>
          <w:highlight w:val="none"/>
        </w:rPr>
        <w:t>合同附件</w:t>
      </w:r>
    </w:p>
    <w:p w14:paraId="725E8C4C">
      <w:pPr>
        <w:rPr>
          <w:rFonts w:ascii="Times New Roman" w:hAnsi="Times New Roman"/>
          <w:i/>
          <w:iCs/>
          <w:szCs w:val="21"/>
          <w:highlight w:val="none"/>
        </w:rPr>
      </w:pPr>
      <w:r>
        <w:rPr>
          <w:rFonts w:hint="eastAsia" w:ascii="Times New Roman" w:hAnsi="Times New Roman"/>
          <w:szCs w:val="21"/>
          <w:highlight w:val="none"/>
        </w:rPr>
        <w:t>本合同为</w:t>
      </w:r>
      <w:r>
        <w:rPr>
          <w:rFonts w:hint="eastAsia" w:ascii="Times New Roman" w:hAnsi="Times New Roman"/>
          <w:szCs w:val="21"/>
          <w:highlight w:val="none"/>
          <w:u w:val="single"/>
        </w:rPr>
        <w:t>有</w:t>
      </w:r>
      <w:r>
        <w:rPr>
          <w:rFonts w:hint="eastAsia" w:ascii="Times New Roman" w:hAnsi="Times New Roman"/>
          <w:szCs w:val="21"/>
          <w:highlight w:val="none"/>
        </w:rPr>
        <w:t>附件合同。</w:t>
      </w:r>
      <w:r>
        <w:rPr>
          <w:rFonts w:hint="eastAsia" w:ascii="Times New Roman" w:hAnsi="Times New Roman"/>
          <w:i/>
          <w:iCs/>
          <w:szCs w:val="21"/>
          <w:highlight w:val="none"/>
        </w:rPr>
        <w:t>&lt;根据项目实际情况编制&gt;</w:t>
      </w:r>
    </w:p>
    <w:p w14:paraId="7D547124">
      <w:pPr>
        <w:pStyle w:val="2"/>
        <w:rPr>
          <w:rFonts w:hint="eastAsia"/>
          <w:highlight w:val="none"/>
        </w:rPr>
      </w:pPr>
      <w:r>
        <w:rPr>
          <w:rFonts w:hint="eastAsia" w:ascii="Times New Roman" w:hAnsi="Times New Roman"/>
          <w:szCs w:val="21"/>
          <w:highlight w:val="none"/>
          <w:u w:val="single"/>
        </w:rPr>
        <w:t>附件：《开发进度表》</w:t>
      </w:r>
    </w:p>
    <w:p w14:paraId="40A93C74">
      <w:pPr>
        <w:jc w:val="center"/>
        <w:rPr>
          <w:rFonts w:hint="eastAsia"/>
          <w:highlight w:val="none"/>
        </w:rPr>
      </w:pPr>
      <w:r>
        <w:rPr>
          <w:rFonts w:ascii="Times New Roman" w:hAnsi="Times New Roman"/>
          <w:szCs w:val="21"/>
          <w:highlight w:val="none"/>
        </w:rPr>
        <w:t>——</w:t>
      </w:r>
      <w:r>
        <w:rPr>
          <w:rFonts w:ascii="Times New Roman" w:hAnsi="Times New Roman"/>
          <w:sz w:val="18"/>
          <w:szCs w:val="18"/>
          <w:highlight w:val="none"/>
        </w:rPr>
        <w:t>以下无正文</w:t>
      </w:r>
      <w:r>
        <w:rPr>
          <w:rFonts w:ascii="Times New Roman" w:hAnsi="Times New Roman"/>
          <w:szCs w:val="21"/>
          <w:highlight w:val="none"/>
        </w:rPr>
        <w:t>——</w:t>
      </w:r>
    </w:p>
    <w:tbl>
      <w:tblPr>
        <w:tblStyle w:val="18"/>
        <w:tblW w:w="5000" w:type="pct"/>
        <w:jc w:val="center"/>
        <w:tblLayout w:type="autofit"/>
        <w:tblCellMar>
          <w:top w:w="0" w:type="dxa"/>
          <w:left w:w="0" w:type="dxa"/>
          <w:bottom w:w="0" w:type="dxa"/>
          <w:right w:w="0" w:type="dxa"/>
        </w:tblCellMar>
      </w:tblPr>
      <w:tblGrid>
        <w:gridCol w:w="4688"/>
        <w:gridCol w:w="4949"/>
      </w:tblGrid>
      <w:tr w14:paraId="0E8AF303">
        <w:tblPrEx>
          <w:tblCellMar>
            <w:top w:w="0" w:type="dxa"/>
            <w:left w:w="0" w:type="dxa"/>
            <w:bottom w:w="0" w:type="dxa"/>
            <w:right w:w="0" w:type="dxa"/>
          </w:tblCellMar>
        </w:tblPrEx>
        <w:trPr>
          <w:trHeight w:val="519" w:hRule="atLeast"/>
          <w:jc w:val="center"/>
        </w:trPr>
        <w:tc>
          <w:tcPr>
            <w:tcW w:w="10214" w:type="dxa"/>
            <w:gridSpan w:val="2"/>
            <w:noWrap w:val="0"/>
            <w:vAlign w:val="top"/>
          </w:tcPr>
          <w:p w14:paraId="79BB10EE">
            <w:pPr>
              <w:rPr>
                <w:rFonts w:hint="eastAsia"/>
                <w:highlight w:val="none"/>
              </w:rPr>
            </w:pPr>
            <w:r>
              <w:rPr>
                <w:rFonts w:hint="eastAsia"/>
                <w:highlight w:val="none"/>
              </w:rPr>
              <w:t>签订时间：</w:t>
            </w:r>
            <w:r>
              <w:rPr>
                <w:highlight w:val="none"/>
              </w:rPr>
              <w:t>202</w:t>
            </w:r>
            <w:r>
              <w:rPr>
                <w:rFonts w:hint="eastAsia"/>
                <w:highlight w:val="none"/>
              </w:rPr>
              <w:t>*</w:t>
            </w:r>
            <w:r>
              <w:rPr>
                <w:highlight w:val="none"/>
              </w:rPr>
              <w:t>年</w:t>
            </w:r>
            <w:r>
              <w:rPr>
                <w:rFonts w:hint="eastAsia"/>
                <w:highlight w:val="none"/>
              </w:rPr>
              <w:t>*</w:t>
            </w:r>
            <w:r>
              <w:rPr>
                <w:highlight w:val="none"/>
              </w:rPr>
              <w:t>**月</w:t>
            </w:r>
            <w:r>
              <w:rPr>
                <w:rFonts w:hint="eastAsia"/>
                <w:highlight w:val="none"/>
              </w:rPr>
              <w:t>*</w:t>
            </w:r>
            <w:r>
              <w:rPr>
                <w:highlight w:val="none"/>
              </w:rPr>
              <w:t>**</w:t>
            </w:r>
            <w:r>
              <w:rPr>
                <w:rFonts w:hint="eastAsia"/>
                <w:highlight w:val="none"/>
              </w:rPr>
              <w:t>日</w:t>
            </w:r>
          </w:p>
        </w:tc>
      </w:tr>
      <w:tr w14:paraId="56D93943">
        <w:tblPrEx>
          <w:tblCellMar>
            <w:top w:w="0" w:type="dxa"/>
            <w:left w:w="0" w:type="dxa"/>
            <w:bottom w:w="0" w:type="dxa"/>
            <w:right w:w="0" w:type="dxa"/>
          </w:tblCellMar>
        </w:tblPrEx>
        <w:trPr>
          <w:jc w:val="center"/>
        </w:trPr>
        <w:tc>
          <w:tcPr>
            <w:tcW w:w="4967" w:type="dxa"/>
            <w:noWrap w:val="0"/>
            <w:vAlign w:val="top"/>
          </w:tcPr>
          <w:p w14:paraId="6CFC5437">
            <w:r>
              <w:t>甲方：四川省人民医院（盖章）</w:t>
            </w:r>
          </w:p>
          <w:p w14:paraId="6F03B4A7">
            <w:r>
              <w:t>法定代表人（授权代表签字）：</w:t>
            </w:r>
          </w:p>
          <w:p w14:paraId="768E52EF">
            <w:r>
              <w:t>地    址：四川省成都市一环路西二段32号</w:t>
            </w:r>
          </w:p>
          <w:p w14:paraId="3BF09BE5">
            <w:r>
              <w:t>开户银行：建设银行成都青羊支行</w:t>
            </w:r>
          </w:p>
          <w:p w14:paraId="0B95CFBC">
            <w:pPr>
              <w:rPr>
                <w:rFonts w:hint="eastAsia"/>
              </w:rPr>
            </w:pPr>
            <w:r>
              <w:t>账号：5100 1446 4360 5037 4282</w:t>
            </w:r>
          </w:p>
        </w:tc>
        <w:tc>
          <w:tcPr>
            <w:tcW w:w="5247" w:type="dxa"/>
            <w:noWrap w:val="0"/>
            <w:vAlign w:val="top"/>
          </w:tcPr>
          <w:p w14:paraId="4A53571D">
            <w:r>
              <w:t>乙方：***（盖章）</w:t>
            </w:r>
          </w:p>
          <w:p w14:paraId="2183E1B3">
            <w:r>
              <w:t>法定代表人（授权代表签字）：</w:t>
            </w:r>
          </w:p>
          <w:p w14:paraId="3E96E621">
            <w:r>
              <w:t>地址：***</w:t>
            </w:r>
          </w:p>
          <w:p w14:paraId="1D3A0DF1">
            <w:r>
              <w:t>开户银行：***</w:t>
            </w:r>
          </w:p>
          <w:p w14:paraId="69EBDCB0">
            <w:pPr>
              <w:rPr>
                <w:rFonts w:hint="eastAsia"/>
              </w:rPr>
            </w:pPr>
            <w:r>
              <w:t>账号：***</w:t>
            </w:r>
          </w:p>
        </w:tc>
      </w:tr>
    </w:tbl>
    <w:p w14:paraId="3C87D5B3">
      <w:pPr>
        <w:rPr>
          <w:rFonts w:hint="eastAsia" w:ascii="Times New Roman" w:hAnsi="Times New Roman"/>
          <w:b/>
          <w:bCs/>
          <w:szCs w:val="21"/>
        </w:rPr>
      </w:pPr>
      <w:r>
        <w:rPr>
          <w:rFonts w:hint="eastAsia" w:ascii="Times New Roman" w:hAnsi="Times New Roman"/>
          <w:b/>
          <w:bCs/>
          <w:szCs w:val="21"/>
        </w:rPr>
        <w:br w:type="page"/>
      </w:r>
    </w:p>
    <w:p w14:paraId="10596048">
      <w:pPr>
        <w:rPr>
          <w:rFonts w:ascii="Times New Roman" w:hAnsi="Times New Roman"/>
          <w:b/>
          <w:bCs/>
          <w:szCs w:val="21"/>
        </w:rPr>
      </w:pPr>
      <w:r>
        <w:rPr>
          <w:rFonts w:hint="eastAsia" w:ascii="Times New Roman" w:hAnsi="Times New Roman"/>
          <w:b/>
          <w:bCs/>
          <w:szCs w:val="21"/>
        </w:rPr>
        <w:t>附件：开发进度表</w:t>
      </w:r>
    </w:p>
    <w:p w14:paraId="00ADD946">
      <w:pPr>
        <w:pStyle w:val="16"/>
        <w:ind w:firstLine="0" w:firstLineChars="0"/>
        <w:contextualSpacing/>
        <w:rPr>
          <w:rFonts w:ascii="Times New Roman" w:hAnsi="Times New Roman"/>
        </w:rPr>
      </w:pPr>
    </w:p>
    <w:p w14:paraId="79DCED17">
      <w:pPr>
        <w:pStyle w:val="16"/>
        <w:ind w:firstLine="0" w:firstLineChars="0"/>
        <w:rPr>
          <w:rFonts w:hint="eastAsia"/>
        </w:rPr>
      </w:pPr>
      <w:r>
        <w:rPr>
          <w:rFonts w:hint="eastAsia"/>
        </w:rPr>
        <w:t>*</w:t>
      </w:r>
      <w:r>
        <w:t>**</w:t>
      </w:r>
    </w:p>
    <w:p w14:paraId="394FEA9C"/>
    <w:p w14:paraId="3650DF39">
      <w:pPr>
        <w:rPr>
          <w:rFonts w:ascii="Times New Roman" w:hAnsi="Times New Roman" w:cs="Times New Roman"/>
          <w:b/>
          <w:bCs/>
          <w:sz w:val="44"/>
          <w:szCs w:val="52"/>
          <w:highlight w:val="none"/>
        </w:rPr>
      </w:pPr>
      <w:r>
        <w:rPr>
          <w:rFonts w:ascii="Times New Roman" w:hAnsi="Times New Roman" w:cs="Times New Roman"/>
          <w:b/>
          <w:bCs/>
          <w:sz w:val="44"/>
          <w:szCs w:val="52"/>
          <w:highlight w:val="none"/>
        </w:rPr>
        <w:br w:type="page"/>
      </w:r>
    </w:p>
    <w:p w14:paraId="57906FDD">
      <w:pPr>
        <w:jc w:val="center"/>
        <w:rPr>
          <w:rFonts w:ascii="Times New Roman" w:hAnsi="Times New Roman" w:cs="Times New Roman"/>
          <w:b/>
          <w:bCs/>
          <w:sz w:val="44"/>
          <w:szCs w:val="52"/>
          <w:highlight w:val="none"/>
        </w:rPr>
      </w:pPr>
      <w:r>
        <w:rPr>
          <w:rFonts w:ascii="Times New Roman" w:hAnsi="Times New Roman" w:cs="Times New Roman"/>
          <w:b/>
          <w:bCs/>
          <w:sz w:val="44"/>
          <w:szCs w:val="52"/>
          <w:highlight w:val="none"/>
        </w:rPr>
        <w:t>廉洁购销协议</w:t>
      </w:r>
    </w:p>
    <w:p w14:paraId="5B20492D">
      <w:pPr>
        <w:rPr>
          <w:rFonts w:ascii="Times New Roman" w:hAnsi="Times New Roman" w:eastAsia="仿宋" w:cs="Times New Roman"/>
          <w:sz w:val="28"/>
          <w:szCs w:val="28"/>
          <w:highlight w:val="none"/>
        </w:rPr>
      </w:pPr>
      <w:r>
        <w:rPr>
          <w:rFonts w:ascii="Times New Roman" w:hAnsi="Times New Roman" w:eastAsia="仿宋" w:cs="Times New Roman"/>
          <w:sz w:val="28"/>
          <w:szCs w:val="28"/>
          <w:highlight w:val="none"/>
        </w:rPr>
        <w:t>甲方：四川省人民医院</w:t>
      </w:r>
    </w:p>
    <w:p w14:paraId="00A41FAA">
      <w:pPr>
        <w:rPr>
          <w:rFonts w:ascii="Times New Roman" w:hAnsi="Times New Roman" w:eastAsia="仿宋" w:cs="Times New Roman"/>
          <w:sz w:val="28"/>
          <w:szCs w:val="28"/>
          <w:highlight w:val="none"/>
        </w:rPr>
      </w:pPr>
      <w:r>
        <w:rPr>
          <w:rFonts w:ascii="Times New Roman" w:hAnsi="Times New Roman" w:eastAsia="仿宋" w:cs="Times New Roman"/>
          <w:sz w:val="28"/>
          <w:szCs w:val="28"/>
          <w:highlight w:val="none"/>
        </w:rPr>
        <w:t>乙方：</w:t>
      </w:r>
    </w:p>
    <w:p w14:paraId="335F67D8">
      <w:pPr>
        <w:ind w:firstLine="560" w:firstLineChars="200"/>
        <w:rPr>
          <w:rFonts w:ascii="Times New Roman" w:hAnsi="Times New Roman" w:eastAsia="仿宋" w:cs="Times New Roman"/>
          <w:sz w:val="28"/>
          <w:szCs w:val="28"/>
          <w:highlight w:val="none"/>
        </w:rPr>
      </w:pPr>
    </w:p>
    <w:p w14:paraId="6E1F8DF4">
      <w:pPr>
        <w:ind w:firstLine="560" w:firstLineChars="200"/>
        <w:rPr>
          <w:rFonts w:ascii="Times New Roman" w:hAnsi="Times New Roman" w:eastAsia="仿宋" w:cs="Times New Roman"/>
          <w:sz w:val="28"/>
          <w:szCs w:val="28"/>
          <w:highlight w:val="none"/>
        </w:rPr>
      </w:pPr>
      <w:r>
        <w:rPr>
          <w:rFonts w:ascii="Times New Roman" w:hAnsi="Times New Roman" w:eastAsia="仿宋" w:cs="Times New Roman"/>
          <w:sz w:val="28"/>
          <w:szCs w:val="28"/>
          <w:highlight w:val="none"/>
        </w:rPr>
        <w:t>为进一步加强廉政建设,预防医药购销领域不正之风,我院与供应商签订如下协议,共同遵守:</w:t>
      </w:r>
    </w:p>
    <w:p w14:paraId="4B95AFBB">
      <w:pPr>
        <w:ind w:firstLine="560" w:firstLineChars="200"/>
        <w:rPr>
          <w:rFonts w:ascii="Times New Roman" w:hAnsi="Times New Roman" w:eastAsia="仿宋" w:cs="Times New Roman"/>
          <w:sz w:val="28"/>
          <w:szCs w:val="28"/>
          <w:highlight w:val="none"/>
        </w:rPr>
      </w:pPr>
      <w:r>
        <w:rPr>
          <w:rFonts w:ascii="Times New Roman" w:hAnsi="Times New Roman" w:eastAsia="仿宋" w:cs="Times New Roman"/>
          <w:sz w:val="28"/>
          <w:szCs w:val="28"/>
          <w:highlight w:val="none"/>
        </w:rPr>
        <w:t>一、甲方工作人员不得利用职务和招投标等工作之便,暗示、索要和收受供应商任何形式的财物、提成、回扣等一切不正当利益。</w:t>
      </w:r>
    </w:p>
    <w:p w14:paraId="4883722C">
      <w:pPr>
        <w:ind w:firstLine="560" w:firstLineChars="200"/>
        <w:rPr>
          <w:rFonts w:ascii="Times New Roman" w:hAnsi="Times New Roman" w:eastAsia="仿宋" w:cs="Times New Roman"/>
          <w:sz w:val="28"/>
          <w:szCs w:val="28"/>
          <w:highlight w:val="none"/>
        </w:rPr>
      </w:pPr>
      <w:r>
        <w:rPr>
          <w:rFonts w:ascii="Times New Roman" w:hAnsi="Times New Roman" w:eastAsia="仿宋" w:cs="Times New Roman"/>
          <w:sz w:val="28"/>
          <w:szCs w:val="28"/>
          <w:highlight w:val="none"/>
        </w:rPr>
        <w:t>二、甲方工作人员严格执行国家及我院的采购管理制度，如有违反,一经查实,按有关规定严肃处理并追究相关人员责任。</w:t>
      </w:r>
    </w:p>
    <w:p w14:paraId="75BFE8A2">
      <w:pPr>
        <w:ind w:firstLine="560" w:firstLineChars="200"/>
        <w:rPr>
          <w:rFonts w:ascii="Times New Roman" w:hAnsi="Times New Roman" w:eastAsia="仿宋" w:cs="Times New Roman"/>
          <w:sz w:val="28"/>
          <w:szCs w:val="28"/>
          <w:highlight w:val="none"/>
        </w:rPr>
      </w:pPr>
      <w:r>
        <w:rPr>
          <w:rFonts w:ascii="Times New Roman" w:hAnsi="Times New Roman" w:eastAsia="仿宋" w:cs="Times New Roman"/>
          <w:sz w:val="28"/>
          <w:szCs w:val="28"/>
          <w:highlight w:val="none"/>
        </w:rPr>
        <w:t>三、乙方及其代理人承诺严格按照国家相关法律法规和行业规范向甲方提供学术推广、技术咨询活动，上述活动不与甲方的采购行为挂钩。乙方不得在甲方医疗服务区域内从事任何形式的商业促销、宣传推广活动。</w:t>
      </w:r>
    </w:p>
    <w:p w14:paraId="5E4C8935">
      <w:pPr>
        <w:ind w:firstLine="560" w:firstLineChars="200"/>
        <w:rPr>
          <w:rFonts w:ascii="Times New Roman" w:hAnsi="Times New Roman" w:eastAsia="仿宋" w:cs="Times New Roman"/>
          <w:sz w:val="28"/>
          <w:szCs w:val="28"/>
          <w:highlight w:val="none"/>
        </w:rPr>
      </w:pPr>
      <w:r>
        <w:rPr>
          <w:rFonts w:ascii="Times New Roman" w:hAnsi="Times New Roman" w:eastAsia="仿宋" w:cs="Times New Roman"/>
          <w:sz w:val="28"/>
          <w:szCs w:val="28"/>
          <w:highlight w:val="none"/>
        </w:rPr>
        <w:t>四、乙方及其代理人不得以宣传费、赞助费、科研费、劳务费、咨询费、佣金、学术活动、外出考察等名义，或者以报销各种费用等变相给付财物的形式，获得业务或保持业务。</w:t>
      </w:r>
    </w:p>
    <w:p w14:paraId="3938A7EC">
      <w:pPr>
        <w:ind w:firstLine="560" w:firstLineChars="200"/>
        <w:rPr>
          <w:rFonts w:ascii="Times New Roman" w:hAnsi="Times New Roman" w:eastAsia="仿宋" w:cs="Times New Roman"/>
          <w:sz w:val="28"/>
          <w:szCs w:val="28"/>
          <w:highlight w:val="none"/>
        </w:rPr>
      </w:pPr>
      <w:r>
        <w:rPr>
          <w:rFonts w:ascii="Times New Roman" w:hAnsi="Times New Roman" w:eastAsia="仿宋" w:cs="Times New Roman"/>
          <w:sz w:val="28"/>
          <w:szCs w:val="28"/>
          <w:highlight w:val="none"/>
        </w:rPr>
        <w:t>五、乙方承诺以自身名义与甲方开展合同约定范围的业务合作并依法独立承担法律责任。乙方不得擅自转委托其他服务商或者采取出租出借经营许可证、允许挂靠经营等方式变相转委托其他服务商履行合同中权利、义务。</w:t>
      </w:r>
    </w:p>
    <w:p w14:paraId="4D8ED144">
      <w:pPr>
        <w:ind w:firstLine="560" w:firstLineChars="200"/>
        <w:rPr>
          <w:rFonts w:ascii="Times New Roman" w:hAnsi="Times New Roman" w:eastAsia="仿宋" w:cs="Times New Roman"/>
          <w:sz w:val="28"/>
          <w:szCs w:val="28"/>
          <w:highlight w:val="none"/>
        </w:rPr>
      </w:pPr>
      <w:r>
        <w:rPr>
          <w:rFonts w:ascii="Times New Roman" w:hAnsi="Times New Roman" w:eastAsia="仿宋" w:cs="Times New Roman"/>
          <w:sz w:val="28"/>
          <w:szCs w:val="28"/>
          <w:highlight w:val="none"/>
        </w:rPr>
        <w:t>六、乙方必须承诺向我院供货的同规格型号同质量等级医用物资为全省最低价，办公用品、装修材料、营养科食材、工会福利等为同时期成都市集团采购最低价。</w:t>
      </w:r>
    </w:p>
    <w:p w14:paraId="7AFEF0F2">
      <w:pPr>
        <w:ind w:firstLine="560" w:firstLineChars="200"/>
        <w:rPr>
          <w:rFonts w:ascii="Times New Roman" w:hAnsi="Times New Roman" w:eastAsia="仿宋" w:cs="Times New Roman"/>
          <w:sz w:val="28"/>
          <w:szCs w:val="28"/>
          <w:highlight w:val="none"/>
        </w:rPr>
      </w:pPr>
      <w:r>
        <w:rPr>
          <w:rFonts w:ascii="Times New Roman" w:hAnsi="Times New Roman" w:eastAsia="仿宋" w:cs="Times New Roman"/>
          <w:sz w:val="28"/>
          <w:szCs w:val="28"/>
          <w:highlight w:val="none"/>
        </w:rPr>
        <w:t>七、乙方违反上述承诺者，甲方单方面终止合作协议，并依法追究乙方的违约责任。</w:t>
      </w:r>
    </w:p>
    <w:p w14:paraId="216E6C8D">
      <w:pPr>
        <w:ind w:firstLine="560" w:firstLineChars="200"/>
        <w:rPr>
          <w:rFonts w:ascii="Times New Roman" w:hAnsi="Times New Roman" w:eastAsia="仿宋" w:cs="Times New Roman"/>
          <w:sz w:val="28"/>
          <w:szCs w:val="28"/>
          <w:highlight w:val="none"/>
        </w:rPr>
      </w:pPr>
      <w:r>
        <w:rPr>
          <w:rFonts w:ascii="Times New Roman" w:hAnsi="Times New Roman" w:eastAsia="仿宋" w:cs="Times New Roman"/>
          <w:sz w:val="28"/>
          <w:szCs w:val="28"/>
          <w:highlight w:val="none"/>
        </w:rPr>
        <w:t>八、本协议一式三份,归口管理部门、供应商、招标采购中心各执一份。</w:t>
      </w:r>
    </w:p>
    <w:p w14:paraId="244721A2">
      <w:pPr>
        <w:ind w:firstLine="560" w:firstLineChars="200"/>
        <w:rPr>
          <w:rFonts w:ascii="Times New Roman" w:hAnsi="Times New Roman" w:eastAsia="仿宋" w:cs="Times New Roman"/>
          <w:sz w:val="28"/>
          <w:szCs w:val="28"/>
          <w:highlight w:val="none"/>
        </w:rPr>
      </w:pPr>
      <w:r>
        <w:rPr>
          <w:rFonts w:ascii="Times New Roman" w:hAnsi="Times New Roman" w:eastAsia="仿宋" w:cs="Times New Roman"/>
          <w:sz w:val="28"/>
          <w:szCs w:val="28"/>
          <w:highlight w:val="none"/>
        </w:rPr>
        <w:t>举报受理部门：审计部</w:t>
      </w:r>
    </w:p>
    <w:p w14:paraId="57E21778">
      <w:pPr>
        <w:ind w:firstLine="560" w:firstLineChars="200"/>
        <w:rPr>
          <w:rFonts w:ascii="Times New Roman" w:hAnsi="Times New Roman" w:eastAsia="仿宋" w:cs="Times New Roman"/>
          <w:sz w:val="28"/>
          <w:szCs w:val="28"/>
          <w:highlight w:val="none"/>
        </w:rPr>
      </w:pPr>
      <w:r>
        <w:rPr>
          <w:rFonts w:ascii="Times New Roman" w:hAnsi="Times New Roman" w:eastAsia="仿宋" w:cs="Times New Roman"/>
          <w:sz w:val="28"/>
          <w:szCs w:val="28"/>
          <w:highlight w:val="none"/>
        </w:rPr>
        <w:t>举报电话：87393203</w:t>
      </w:r>
    </w:p>
    <w:p w14:paraId="17AB4BB6">
      <w:pPr>
        <w:ind w:firstLine="560" w:firstLineChars="200"/>
        <w:rPr>
          <w:rFonts w:ascii="Times New Roman" w:hAnsi="Times New Roman" w:eastAsia="仿宋" w:cs="Times New Roman"/>
          <w:sz w:val="28"/>
          <w:szCs w:val="28"/>
          <w:highlight w:val="none"/>
        </w:rPr>
      </w:pPr>
      <w:r>
        <w:rPr>
          <w:rFonts w:ascii="Times New Roman" w:hAnsi="Times New Roman" w:eastAsia="仿宋" w:cs="Times New Roman"/>
          <w:sz w:val="28"/>
          <w:szCs w:val="28"/>
          <w:highlight w:val="none"/>
        </w:rPr>
        <w:t>举报邮箱：scsyjsc@163.com</w:t>
      </w:r>
    </w:p>
    <w:p w14:paraId="218434EC">
      <w:pPr>
        <w:ind w:firstLine="560" w:firstLineChars="200"/>
        <w:rPr>
          <w:rFonts w:ascii="Times New Roman" w:hAnsi="Times New Roman" w:eastAsia="仿宋" w:cs="Times New Roman"/>
          <w:sz w:val="28"/>
          <w:szCs w:val="28"/>
        </w:rPr>
      </w:pPr>
    </w:p>
    <w:p w14:paraId="67EF173A">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甲方：四川省人民医院(盖章)        乙方：   供应单位(盖章)</w:t>
      </w:r>
    </w:p>
    <w:p w14:paraId="5A5AEF93">
      <w:pPr>
        <w:ind w:firstLine="560" w:firstLineChars="200"/>
        <w:rPr>
          <w:rFonts w:ascii="Times New Roman" w:hAnsi="Times New Roman" w:eastAsia="仿宋" w:cs="Times New Roman"/>
          <w:sz w:val="28"/>
          <w:szCs w:val="28"/>
        </w:rPr>
      </w:pPr>
    </w:p>
    <w:p w14:paraId="6DA5BCA2">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甲方代表签字：                            乙方代表签字:</w:t>
      </w:r>
    </w:p>
    <w:p w14:paraId="0A4271B7">
      <w:pPr>
        <w:ind w:firstLine="4200" w:firstLineChars="1500"/>
        <w:rPr>
          <w:rFonts w:ascii="Times New Roman" w:hAnsi="Times New Roman" w:eastAsia="仿宋" w:cs="Times New Roman"/>
          <w:sz w:val="28"/>
          <w:szCs w:val="28"/>
        </w:rPr>
      </w:pPr>
    </w:p>
    <w:p w14:paraId="32112B4F">
      <w:pPr>
        <w:jc w:val="right"/>
        <w:rPr>
          <w:rStyle w:val="34"/>
          <w:rFonts w:ascii="Times New Roman" w:hAnsi="Times New Roman" w:eastAsia="宋体" w:cs="Times New Roman"/>
          <w:b/>
          <w:bCs/>
          <w:sz w:val="32"/>
          <w:szCs w:val="32"/>
        </w:rPr>
      </w:pPr>
      <w:r>
        <w:rPr>
          <w:rFonts w:ascii="Times New Roman" w:hAnsi="Times New Roman" w:cs="Times New Roman"/>
        </w:rPr>
        <w:t>年   月   日</w:t>
      </w:r>
    </w:p>
    <w:p w14:paraId="57B74785">
      <w:pPr>
        <w:pStyle w:val="27"/>
        <w:rPr>
          <w:rFonts w:ascii="Times New Roman" w:hAnsi="Times New Roman"/>
        </w:rPr>
      </w:pPr>
    </w:p>
    <w:sectPr>
      <w:headerReference r:id="rId6" w:type="default"/>
      <w:footerReference r:id="rId7" w:type="default"/>
      <w:pgSz w:w="11905" w:h="16838"/>
      <w:pgMar w:top="1134" w:right="1134" w:bottom="1134" w:left="1134" w:header="851" w:footer="992" w:gutter="0"/>
      <w:pgNumType w:fmt="decimal" w:start="1"/>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9D9B8766-A268-49A9-81D7-C1F626816EA7}"/>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2CA9A474-A85B-4E02-A64D-DC9A177DE152}"/>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1907DA7C-8A0C-4EBF-9B81-14C3636800D6}"/>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Wingdings 2">
    <w:altName w:val="Wingdings"/>
    <w:panose1 w:val="05020102010507070707"/>
    <w:charset w:val="4D"/>
    <w:family w:val="decorative"/>
    <w:pitch w:val="default"/>
    <w:sig w:usb0="00000000" w:usb1="00000000" w:usb2="00000000" w:usb3="00000000" w:csb0="80000001" w:csb1="00000000"/>
    <w:embedRegular r:id="rId4" w:fontKey="{36BE528B-F145-4CCD-AFEC-DFCBD59542E6}"/>
  </w:font>
  <w:font w:name="Arial">
    <w:panose1 w:val="020B0604020202020204"/>
    <w:charset w:val="00"/>
    <w:family w:val="auto"/>
    <w:pitch w:val="default"/>
    <w:sig w:usb0="E0002EFF" w:usb1="C000785B" w:usb2="00000009" w:usb3="00000000" w:csb0="400001FF" w:csb1="FFFF0000"/>
  </w:font>
  <w:font w:name="Kingsoft UE">
    <w:panose1 w:val="02000100010000000000"/>
    <w:charset w:val="00"/>
    <w:family w:val="auto"/>
    <w:pitch w:val="default"/>
    <w:sig w:usb0="00000001" w:usb1="00004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BD870">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9ABE3D">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3CBAFFC">
                          <w:pPr>
                            <w:pStyle w:val="11"/>
                          </w:pPr>
                          <w:r>
                            <w:t xml:space="preserve">第 </w:t>
                          </w:r>
                          <w:r>
                            <w:fldChar w:fldCharType="begin"/>
                          </w:r>
                          <w:r>
                            <w:instrText xml:space="preserve"> PAGE  \* MERGEFORMAT </w:instrText>
                          </w:r>
                          <w:r>
                            <w:fldChar w:fldCharType="separate"/>
                          </w:r>
                          <w:r>
                            <w:t>2</w:t>
                          </w:r>
                          <w:r>
                            <w:fldChar w:fldCharType="end"/>
                          </w:r>
                          <w:r>
                            <w:t xml:space="preserve"> 页 共 </w:t>
                          </w:r>
                          <w:r>
                            <w:rPr>
                              <w:rFonts w:hint="eastAsia"/>
                              <w:lang w:val="en-US" w:eastAsia="zh-CN"/>
                            </w:rPr>
                            <w:t>39</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73CBAFFC">
                    <w:pPr>
                      <w:pStyle w:val="11"/>
                    </w:pPr>
                    <w:r>
                      <w:t xml:space="preserve">第 </w:t>
                    </w:r>
                    <w:r>
                      <w:fldChar w:fldCharType="begin"/>
                    </w:r>
                    <w:r>
                      <w:instrText xml:space="preserve"> PAGE  \* MERGEFORMAT </w:instrText>
                    </w:r>
                    <w:r>
                      <w:fldChar w:fldCharType="separate"/>
                    </w:r>
                    <w:r>
                      <w:t>2</w:t>
                    </w:r>
                    <w:r>
                      <w:fldChar w:fldCharType="end"/>
                    </w:r>
                    <w:r>
                      <w:t xml:space="preserve"> 页 共 </w:t>
                    </w:r>
                    <w:r>
                      <w:rPr>
                        <w:rFonts w:hint="eastAsia"/>
                        <w:lang w:val="en-US" w:eastAsia="zh-CN"/>
                      </w:rPr>
                      <w:t>39</w:t>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174EF">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601</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08F6C">
    <w:pPr>
      <w:pStyle w:val="12"/>
      <w:pBdr>
        <w:bottom w:val="single" w:color="auto" w:sz="4" w:space="1"/>
      </w:pBdr>
      <w:jc w:val="right"/>
      <w:rPr>
        <w:rFonts w:ascii="Times New Roman" w:hAnsi="Times New Roman" w:cs="Times New Roma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601</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w:t>
    </w:r>
  </w:p>
  <w:p w14:paraId="3AD0F08C">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9B872">
    <w:pPr>
      <w:pStyle w:val="12"/>
      <w:pBdr>
        <w:bottom w:val="single" w:color="auto" w:sz="4" w:space="1"/>
      </w:pBdr>
      <w:jc w:val="right"/>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lang w:val="en-US" w:eastAsia="zh-CN"/>
      </w:rPr>
      <w:t>601</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A4411B4E"/>
    <w:multiLevelType w:val="singleLevel"/>
    <w:tmpl w:val="A4411B4E"/>
    <w:lvl w:ilvl="0" w:tentative="0">
      <w:start w:val="1"/>
      <w:numFmt w:val="decimal"/>
      <w:suff w:val="nothing"/>
      <w:lvlText w:val="（%1）"/>
      <w:lvlJc w:val="left"/>
    </w:lvl>
  </w:abstractNum>
  <w:abstractNum w:abstractNumId="2">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3">
    <w:nsid w:val="F2F731C3"/>
    <w:multiLevelType w:val="singleLevel"/>
    <w:tmpl w:val="F2F731C3"/>
    <w:lvl w:ilvl="0" w:tentative="0">
      <w:start w:val="1"/>
      <w:numFmt w:val="chineseCounting"/>
      <w:pStyle w:val="4"/>
      <w:suff w:val="nothing"/>
      <w:lvlText w:val="%1、"/>
      <w:lvlJc w:val="left"/>
      <w:pPr>
        <w:ind w:left="0" w:firstLine="420"/>
      </w:pPr>
      <w:rPr>
        <w:rFonts w:hint="eastAsia"/>
      </w:rPr>
    </w:lvl>
  </w:abstractNum>
  <w:abstractNum w:abstractNumId="4">
    <w:nsid w:val="FCA5E3A8"/>
    <w:multiLevelType w:val="singleLevel"/>
    <w:tmpl w:val="FCA5E3A8"/>
    <w:lvl w:ilvl="0" w:tentative="0">
      <w:start w:val="1"/>
      <w:numFmt w:val="decimal"/>
      <w:suff w:val="nothing"/>
      <w:lvlText w:val="（%1）"/>
      <w:lvlJc w:val="left"/>
      <w:pPr>
        <w:ind w:left="-210"/>
      </w:pPr>
    </w:lvl>
  </w:abstractNum>
  <w:abstractNum w:abstractNumId="5">
    <w:nsid w:val="00514ED3"/>
    <w:multiLevelType w:val="multilevel"/>
    <w:tmpl w:val="00514ED3"/>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0752004F"/>
    <w:multiLevelType w:val="multilevel"/>
    <w:tmpl w:val="0752004F"/>
    <w:lvl w:ilvl="0" w:tentative="0">
      <w:start w:val="1"/>
      <w:numFmt w:val="chineseCountingThousand"/>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
    <w:nsid w:val="0AD53ECF"/>
    <w:multiLevelType w:val="multilevel"/>
    <w:tmpl w:val="0AD53ECF"/>
    <w:lvl w:ilvl="0" w:tentative="0">
      <w:start w:val="1"/>
      <w:numFmt w:val="decimal"/>
      <w:lvlText w:val="%1)"/>
      <w:lvlJc w:val="left"/>
      <w:pPr>
        <w:ind w:left="454" w:firstLine="0"/>
      </w:pPr>
      <w:rPr>
        <w:rFonts w:hint="default" w:ascii="Times New Roman" w:hAnsi="Times New Roman"/>
        <w:sz w:val="21"/>
        <w:szCs w:val="24"/>
      </w:rPr>
    </w:lvl>
    <w:lvl w:ilvl="1" w:tentative="0">
      <w:start w:val="1"/>
      <w:numFmt w:val="lowerLetter"/>
      <w:lvlText w:val="%2)"/>
      <w:lvlJc w:val="left"/>
      <w:pPr>
        <w:ind w:left="1320" w:hanging="440"/>
      </w:pPr>
    </w:lvl>
    <w:lvl w:ilvl="2" w:tentative="0">
      <w:start w:val="1"/>
      <w:numFmt w:val="lowerRoman"/>
      <w:lvlText w:val="%3."/>
      <w:lvlJc w:val="right"/>
      <w:pPr>
        <w:ind w:left="1760" w:hanging="440"/>
      </w:pPr>
    </w:lvl>
    <w:lvl w:ilvl="3" w:tentative="0">
      <w:start w:val="1"/>
      <w:numFmt w:val="decimal"/>
      <w:lvlText w:val="%4."/>
      <w:lvlJc w:val="left"/>
      <w:pPr>
        <w:ind w:left="2200" w:hanging="440"/>
      </w:pPr>
    </w:lvl>
    <w:lvl w:ilvl="4" w:tentative="0">
      <w:start w:val="1"/>
      <w:numFmt w:val="lowerLetter"/>
      <w:lvlText w:val="%5)"/>
      <w:lvlJc w:val="left"/>
      <w:pPr>
        <w:ind w:left="2640" w:hanging="440"/>
      </w:pPr>
    </w:lvl>
    <w:lvl w:ilvl="5" w:tentative="0">
      <w:start w:val="1"/>
      <w:numFmt w:val="lowerRoman"/>
      <w:lvlText w:val="%6."/>
      <w:lvlJc w:val="right"/>
      <w:pPr>
        <w:ind w:left="3080" w:hanging="440"/>
      </w:pPr>
    </w:lvl>
    <w:lvl w:ilvl="6" w:tentative="0">
      <w:start w:val="1"/>
      <w:numFmt w:val="decimal"/>
      <w:lvlText w:val="%7."/>
      <w:lvlJc w:val="left"/>
      <w:pPr>
        <w:ind w:left="3520" w:hanging="440"/>
      </w:pPr>
    </w:lvl>
    <w:lvl w:ilvl="7" w:tentative="0">
      <w:start w:val="1"/>
      <w:numFmt w:val="lowerLetter"/>
      <w:lvlText w:val="%8)"/>
      <w:lvlJc w:val="left"/>
      <w:pPr>
        <w:ind w:left="3960" w:hanging="440"/>
      </w:pPr>
    </w:lvl>
    <w:lvl w:ilvl="8" w:tentative="0">
      <w:start w:val="1"/>
      <w:numFmt w:val="lowerRoman"/>
      <w:lvlText w:val="%9."/>
      <w:lvlJc w:val="right"/>
      <w:pPr>
        <w:ind w:left="4400" w:hanging="440"/>
      </w:pPr>
    </w:lvl>
  </w:abstractNum>
  <w:abstractNum w:abstractNumId="8">
    <w:nsid w:val="0B184292"/>
    <w:multiLevelType w:val="multilevel"/>
    <w:tmpl w:val="0B184292"/>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9">
    <w:nsid w:val="183604FB"/>
    <w:multiLevelType w:val="multilevel"/>
    <w:tmpl w:val="183604FB"/>
    <w:lvl w:ilvl="0" w:tentative="0">
      <w:start w:val="1"/>
      <w:numFmt w:val="decimal"/>
      <w:lvlText w:val="%1."/>
      <w:lvlJc w:val="left"/>
      <w:pPr>
        <w:ind w:left="420" w:hanging="420"/>
      </w:pPr>
      <w:rPr>
        <w:rFonts w:hint="eastAsia"/>
      </w:rPr>
    </w:lvl>
    <w:lvl w:ilvl="1" w:tentative="0">
      <w:start w:val="1"/>
      <w:numFmt w:val="ideographTraditional"/>
      <w:lvlText w:val="%2、"/>
      <w:lvlJc w:val="left"/>
      <w:pPr>
        <w:ind w:left="820" w:hanging="40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1F712D09"/>
    <w:multiLevelType w:val="singleLevel"/>
    <w:tmpl w:val="1F712D09"/>
    <w:lvl w:ilvl="0" w:tentative="0">
      <w:start w:val="1"/>
      <w:numFmt w:val="decimal"/>
      <w:lvlText w:val="(%1)"/>
      <w:lvlJc w:val="left"/>
      <w:pPr>
        <w:ind w:left="218" w:hanging="425"/>
      </w:pPr>
      <w:rPr>
        <w:rFonts w:hint="default"/>
      </w:rPr>
    </w:lvl>
  </w:abstractNum>
  <w:abstractNum w:abstractNumId="11">
    <w:nsid w:val="2A8F67F8"/>
    <w:multiLevelType w:val="multilevel"/>
    <w:tmpl w:val="2A8F67F8"/>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2">
    <w:nsid w:val="2D998365"/>
    <w:multiLevelType w:val="multilevel"/>
    <w:tmpl w:val="2D998365"/>
    <w:lvl w:ilvl="0" w:tentative="0">
      <w:start w:val="1"/>
      <w:numFmt w:val="chineseCounting"/>
      <w:pStyle w:val="3"/>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13">
    <w:nsid w:val="31746278"/>
    <w:multiLevelType w:val="multilevel"/>
    <w:tmpl w:val="31746278"/>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4">
    <w:nsid w:val="32D97847"/>
    <w:multiLevelType w:val="multilevel"/>
    <w:tmpl w:val="32D9784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5">
    <w:nsid w:val="33AF7D37"/>
    <w:multiLevelType w:val="multilevel"/>
    <w:tmpl w:val="33AF7D3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6">
    <w:nsid w:val="3497435B"/>
    <w:multiLevelType w:val="multilevel"/>
    <w:tmpl w:val="3497435B"/>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7">
    <w:nsid w:val="3A69C7D9"/>
    <w:multiLevelType w:val="singleLevel"/>
    <w:tmpl w:val="3A69C7D9"/>
    <w:lvl w:ilvl="0" w:tentative="0">
      <w:start w:val="1"/>
      <w:numFmt w:val="decimal"/>
      <w:lvlText w:val="(%1)"/>
      <w:lvlJc w:val="left"/>
      <w:pPr>
        <w:ind w:left="425" w:hanging="425"/>
      </w:pPr>
      <w:rPr>
        <w:rFonts w:hint="default"/>
      </w:rPr>
    </w:lvl>
  </w:abstractNum>
  <w:abstractNum w:abstractNumId="18">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5"/>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9">
    <w:nsid w:val="40D30EC9"/>
    <w:multiLevelType w:val="multilevel"/>
    <w:tmpl w:val="40D30EC9"/>
    <w:lvl w:ilvl="0" w:tentative="0">
      <w:start w:val="1"/>
      <w:numFmt w:val="decimal"/>
      <w:lvlText w:val="（%1）"/>
      <w:lvlJc w:val="left"/>
      <w:pPr>
        <w:ind w:left="440" w:hanging="44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0">
    <w:nsid w:val="470125C6"/>
    <w:multiLevelType w:val="multilevel"/>
    <w:tmpl w:val="470125C6"/>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1">
    <w:nsid w:val="573B3BF7"/>
    <w:multiLevelType w:val="multilevel"/>
    <w:tmpl w:val="573B3BF7"/>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2">
    <w:nsid w:val="58365A2B"/>
    <w:multiLevelType w:val="multilevel"/>
    <w:tmpl w:val="58365A2B"/>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3">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24">
    <w:nsid w:val="675A3FBE"/>
    <w:multiLevelType w:val="multilevel"/>
    <w:tmpl w:val="675A3FBE"/>
    <w:lvl w:ilvl="0" w:tentative="0">
      <w:start w:val="1"/>
      <w:numFmt w:val="decimal"/>
      <w:lvlText w:val="%1."/>
      <w:lvlJc w:val="left"/>
      <w:pPr>
        <w:ind w:left="0"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5">
    <w:nsid w:val="67C408CF"/>
    <w:multiLevelType w:val="multilevel"/>
    <w:tmpl w:val="67C408CF"/>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6">
    <w:nsid w:val="6971565C"/>
    <w:multiLevelType w:val="multilevel"/>
    <w:tmpl w:val="6971565C"/>
    <w:lvl w:ilvl="0" w:tentative="0">
      <w:start w:val="1"/>
      <w:numFmt w:val="decimal"/>
      <w:lvlText w:val="%1."/>
      <w:lvlJc w:val="left"/>
      <w:pPr>
        <w:ind w:left="0"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7">
    <w:nsid w:val="792C51F7"/>
    <w:multiLevelType w:val="multilevel"/>
    <w:tmpl w:val="792C51F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8">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12"/>
  </w:num>
  <w:num w:numId="2">
    <w:abstractNumId w:val="3"/>
  </w:num>
  <w:num w:numId="3">
    <w:abstractNumId w:val="18"/>
  </w:num>
  <w:num w:numId="4">
    <w:abstractNumId w:val="28"/>
  </w:num>
  <w:num w:numId="5">
    <w:abstractNumId w:val="10"/>
  </w:num>
  <w:num w:numId="6">
    <w:abstractNumId w:val="23"/>
  </w:num>
  <w:num w:numId="7">
    <w:abstractNumId w:val="17"/>
  </w:num>
  <w:num w:numId="8">
    <w:abstractNumId w:val="2"/>
  </w:num>
  <w:num w:numId="9">
    <w:abstractNumId w:val="1"/>
  </w:num>
  <w:num w:numId="10">
    <w:abstractNumId w:val="0"/>
  </w:num>
  <w:num w:numId="11">
    <w:abstractNumId w:val="4"/>
  </w:num>
  <w:num w:numId="12">
    <w:abstractNumId w:val="6"/>
  </w:num>
  <w:num w:numId="13">
    <w:abstractNumId w:val="25"/>
  </w:num>
  <w:num w:numId="14">
    <w:abstractNumId w:val="5"/>
  </w:num>
  <w:num w:numId="15">
    <w:abstractNumId w:val="16"/>
  </w:num>
  <w:num w:numId="16">
    <w:abstractNumId w:val="15"/>
  </w:num>
  <w:num w:numId="17">
    <w:abstractNumId w:val="27"/>
  </w:num>
  <w:num w:numId="18">
    <w:abstractNumId w:val="21"/>
  </w:num>
  <w:num w:numId="19">
    <w:abstractNumId w:val="7"/>
  </w:num>
  <w:num w:numId="20">
    <w:abstractNumId w:val="11"/>
  </w:num>
  <w:num w:numId="21">
    <w:abstractNumId w:val="14"/>
  </w:num>
  <w:num w:numId="22">
    <w:abstractNumId w:val="26"/>
  </w:num>
  <w:num w:numId="23">
    <w:abstractNumId w:val="24"/>
  </w:num>
  <w:num w:numId="24">
    <w:abstractNumId w:val="19"/>
  </w:num>
  <w:num w:numId="25">
    <w:abstractNumId w:val="13"/>
  </w:num>
  <w:num w:numId="26">
    <w:abstractNumId w:val="8"/>
  </w:num>
  <w:num w:numId="27">
    <w:abstractNumId w:val="20"/>
  </w:num>
  <w:num w:numId="28">
    <w:abstractNumId w:val="9"/>
  </w:num>
  <w:num w:numId="29">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llN2FmMTIyNzgzOWM5MWMzOTdhNTBhZDY1ZGYxYTcifQ=="/>
  </w:docVars>
  <w:rsids>
    <w:rsidRoot w:val="7D040AB6"/>
    <w:rsid w:val="0000488D"/>
    <w:rsid w:val="000278AB"/>
    <w:rsid w:val="00077AA7"/>
    <w:rsid w:val="000A1F80"/>
    <w:rsid w:val="000C337E"/>
    <w:rsid w:val="000F3ADD"/>
    <w:rsid w:val="00114DBC"/>
    <w:rsid w:val="00160E82"/>
    <w:rsid w:val="001C6721"/>
    <w:rsid w:val="00216FC8"/>
    <w:rsid w:val="0022301C"/>
    <w:rsid w:val="002440A6"/>
    <w:rsid w:val="002B5793"/>
    <w:rsid w:val="002B6CC6"/>
    <w:rsid w:val="003228AC"/>
    <w:rsid w:val="003460DC"/>
    <w:rsid w:val="00377351"/>
    <w:rsid w:val="003831C0"/>
    <w:rsid w:val="003C1118"/>
    <w:rsid w:val="003C1BC0"/>
    <w:rsid w:val="003E4BF1"/>
    <w:rsid w:val="00426031"/>
    <w:rsid w:val="00427BF2"/>
    <w:rsid w:val="00461368"/>
    <w:rsid w:val="004F4DC4"/>
    <w:rsid w:val="00500885"/>
    <w:rsid w:val="00540FCE"/>
    <w:rsid w:val="005A705A"/>
    <w:rsid w:val="005D169E"/>
    <w:rsid w:val="0061130C"/>
    <w:rsid w:val="0064444C"/>
    <w:rsid w:val="00677BCD"/>
    <w:rsid w:val="006B63B0"/>
    <w:rsid w:val="006F4109"/>
    <w:rsid w:val="00704E68"/>
    <w:rsid w:val="007365C1"/>
    <w:rsid w:val="00746494"/>
    <w:rsid w:val="007760AF"/>
    <w:rsid w:val="00780419"/>
    <w:rsid w:val="007A05D7"/>
    <w:rsid w:val="007A2792"/>
    <w:rsid w:val="007C5836"/>
    <w:rsid w:val="007D6E11"/>
    <w:rsid w:val="008021A2"/>
    <w:rsid w:val="00823167"/>
    <w:rsid w:val="008439DA"/>
    <w:rsid w:val="008D28C0"/>
    <w:rsid w:val="008E7EFA"/>
    <w:rsid w:val="008F14FA"/>
    <w:rsid w:val="008F26A3"/>
    <w:rsid w:val="00901047"/>
    <w:rsid w:val="0094161B"/>
    <w:rsid w:val="00954652"/>
    <w:rsid w:val="0096012B"/>
    <w:rsid w:val="009C452F"/>
    <w:rsid w:val="009D1014"/>
    <w:rsid w:val="00A12C4A"/>
    <w:rsid w:val="00A72CD1"/>
    <w:rsid w:val="00B16CD7"/>
    <w:rsid w:val="00B2440D"/>
    <w:rsid w:val="00B51DBC"/>
    <w:rsid w:val="00B63B3D"/>
    <w:rsid w:val="00B71F65"/>
    <w:rsid w:val="00B77110"/>
    <w:rsid w:val="00BC1C51"/>
    <w:rsid w:val="00BD4E2C"/>
    <w:rsid w:val="00BE12C0"/>
    <w:rsid w:val="00C16D65"/>
    <w:rsid w:val="00C80DB0"/>
    <w:rsid w:val="00C866E7"/>
    <w:rsid w:val="00CC6ACA"/>
    <w:rsid w:val="00D235AA"/>
    <w:rsid w:val="00D33679"/>
    <w:rsid w:val="00D40B0D"/>
    <w:rsid w:val="00D44741"/>
    <w:rsid w:val="00D53AD1"/>
    <w:rsid w:val="00D61E8F"/>
    <w:rsid w:val="00D644BF"/>
    <w:rsid w:val="00D74E06"/>
    <w:rsid w:val="00D83277"/>
    <w:rsid w:val="00DF3B6A"/>
    <w:rsid w:val="00E2603E"/>
    <w:rsid w:val="00E71156"/>
    <w:rsid w:val="00E769CD"/>
    <w:rsid w:val="00E95036"/>
    <w:rsid w:val="00F072BE"/>
    <w:rsid w:val="00F26A71"/>
    <w:rsid w:val="00F3202A"/>
    <w:rsid w:val="00F523A1"/>
    <w:rsid w:val="00F676AD"/>
    <w:rsid w:val="00F90C3B"/>
    <w:rsid w:val="00FF60E3"/>
    <w:rsid w:val="016F6868"/>
    <w:rsid w:val="018E546C"/>
    <w:rsid w:val="01A3073B"/>
    <w:rsid w:val="01A63B13"/>
    <w:rsid w:val="01BA61B0"/>
    <w:rsid w:val="01FF3BC3"/>
    <w:rsid w:val="024E2417"/>
    <w:rsid w:val="027125E7"/>
    <w:rsid w:val="027B46D4"/>
    <w:rsid w:val="02994018"/>
    <w:rsid w:val="02AE6A6F"/>
    <w:rsid w:val="02DB6B5E"/>
    <w:rsid w:val="031A6E39"/>
    <w:rsid w:val="034F2928"/>
    <w:rsid w:val="034F46D6"/>
    <w:rsid w:val="03547F3F"/>
    <w:rsid w:val="039B3DC0"/>
    <w:rsid w:val="03AE3AF3"/>
    <w:rsid w:val="03FD4BD5"/>
    <w:rsid w:val="04F35535"/>
    <w:rsid w:val="052027CE"/>
    <w:rsid w:val="0526590B"/>
    <w:rsid w:val="054162A1"/>
    <w:rsid w:val="058C78B0"/>
    <w:rsid w:val="05D61923"/>
    <w:rsid w:val="05D830A9"/>
    <w:rsid w:val="05E13064"/>
    <w:rsid w:val="066F12AC"/>
    <w:rsid w:val="07100621"/>
    <w:rsid w:val="078A573C"/>
    <w:rsid w:val="07CB4548"/>
    <w:rsid w:val="0874698D"/>
    <w:rsid w:val="08AC4379"/>
    <w:rsid w:val="08B1198F"/>
    <w:rsid w:val="0932487E"/>
    <w:rsid w:val="093A3733"/>
    <w:rsid w:val="09410F65"/>
    <w:rsid w:val="09722ECD"/>
    <w:rsid w:val="0A4C5174"/>
    <w:rsid w:val="0AEC6CAF"/>
    <w:rsid w:val="0B2D79F3"/>
    <w:rsid w:val="0B4508AE"/>
    <w:rsid w:val="0B5E2A33"/>
    <w:rsid w:val="0B7F3FC7"/>
    <w:rsid w:val="0BCF2858"/>
    <w:rsid w:val="0BEF4CA9"/>
    <w:rsid w:val="0C087B18"/>
    <w:rsid w:val="0CF161C9"/>
    <w:rsid w:val="0CFD51A3"/>
    <w:rsid w:val="0D3D7C96"/>
    <w:rsid w:val="0D5C5262"/>
    <w:rsid w:val="0D9A6E96"/>
    <w:rsid w:val="0DA67E5A"/>
    <w:rsid w:val="0DD621C2"/>
    <w:rsid w:val="0E0B096E"/>
    <w:rsid w:val="0E0B7FF0"/>
    <w:rsid w:val="0ECD6DF7"/>
    <w:rsid w:val="0ECE5049"/>
    <w:rsid w:val="0F545942"/>
    <w:rsid w:val="0F7729A5"/>
    <w:rsid w:val="0FD06B9F"/>
    <w:rsid w:val="104135F9"/>
    <w:rsid w:val="11380EA0"/>
    <w:rsid w:val="11771901"/>
    <w:rsid w:val="117A5014"/>
    <w:rsid w:val="1191235E"/>
    <w:rsid w:val="11D230A2"/>
    <w:rsid w:val="11F34DC7"/>
    <w:rsid w:val="12492097"/>
    <w:rsid w:val="127759F8"/>
    <w:rsid w:val="127F05A0"/>
    <w:rsid w:val="12CF1390"/>
    <w:rsid w:val="130001DF"/>
    <w:rsid w:val="136D78F8"/>
    <w:rsid w:val="13955E87"/>
    <w:rsid w:val="139B3968"/>
    <w:rsid w:val="13B41C63"/>
    <w:rsid w:val="13B80076"/>
    <w:rsid w:val="140B52BE"/>
    <w:rsid w:val="142E20E6"/>
    <w:rsid w:val="145D29CB"/>
    <w:rsid w:val="14706BA3"/>
    <w:rsid w:val="1490034C"/>
    <w:rsid w:val="14C02376"/>
    <w:rsid w:val="14F72E20"/>
    <w:rsid w:val="158B7082"/>
    <w:rsid w:val="15C90318"/>
    <w:rsid w:val="15C95ACB"/>
    <w:rsid w:val="15CC4977"/>
    <w:rsid w:val="162419F3"/>
    <w:rsid w:val="162A4F7D"/>
    <w:rsid w:val="164D0F49"/>
    <w:rsid w:val="167D1103"/>
    <w:rsid w:val="16A82A66"/>
    <w:rsid w:val="16E01F94"/>
    <w:rsid w:val="16F72C63"/>
    <w:rsid w:val="174D6D27"/>
    <w:rsid w:val="175E2CE2"/>
    <w:rsid w:val="183B3024"/>
    <w:rsid w:val="19620BB5"/>
    <w:rsid w:val="19844AFA"/>
    <w:rsid w:val="198E0A13"/>
    <w:rsid w:val="1994787E"/>
    <w:rsid w:val="19D57177"/>
    <w:rsid w:val="19D57F34"/>
    <w:rsid w:val="1AE9320B"/>
    <w:rsid w:val="1B3426D8"/>
    <w:rsid w:val="1B811C42"/>
    <w:rsid w:val="1BB2184F"/>
    <w:rsid w:val="1BB51CB4"/>
    <w:rsid w:val="1BC03F6C"/>
    <w:rsid w:val="1C004BCF"/>
    <w:rsid w:val="1C250FC9"/>
    <w:rsid w:val="1C27223D"/>
    <w:rsid w:val="1C4D0200"/>
    <w:rsid w:val="1C897E65"/>
    <w:rsid w:val="1CA719E6"/>
    <w:rsid w:val="1DD000AF"/>
    <w:rsid w:val="1E09745A"/>
    <w:rsid w:val="1E1265D5"/>
    <w:rsid w:val="1E5B441F"/>
    <w:rsid w:val="1E7B061E"/>
    <w:rsid w:val="1FA912D2"/>
    <w:rsid w:val="202D5948"/>
    <w:rsid w:val="20BE3578"/>
    <w:rsid w:val="20F578A7"/>
    <w:rsid w:val="215907B0"/>
    <w:rsid w:val="21863561"/>
    <w:rsid w:val="2197751D"/>
    <w:rsid w:val="219E6AFD"/>
    <w:rsid w:val="21B26DD5"/>
    <w:rsid w:val="22650B06"/>
    <w:rsid w:val="22E840E8"/>
    <w:rsid w:val="233A2855"/>
    <w:rsid w:val="23A23246"/>
    <w:rsid w:val="23D06D16"/>
    <w:rsid w:val="23D4489F"/>
    <w:rsid w:val="24264B88"/>
    <w:rsid w:val="24B933C2"/>
    <w:rsid w:val="24C50845"/>
    <w:rsid w:val="24FB4266"/>
    <w:rsid w:val="254E083A"/>
    <w:rsid w:val="258A1146"/>
    <w:rsid w:val="262001B9"/>
    <w:rsid w:val="26234BC5"/>
    <w:rsid w:val="26270419"/>
    <w:rsid w:val="27196C26"/>
    <w:rsid w:val="272A6FE5"/>
    <w:rsid w:val="27B87AF9"/>
    <w:rsid w:val="27E80EA9"/>
    <w:rsid w:val="280414A1"/>
    <w:rsid w:val="281F026C"/>
    <w:rsid w:val="28570368"/>
    <w:rsid w:val="28905912"/>
    <w:rsid w:val="295201CD"/>
    <w:rsid w:val="29772E93"/>
    <w:rsid w:val="29915199"/>
    <w:rsid w:val="29C5318E"/>
    <w:rsid w:val="29E50ADA"/>
    <w:rsid w:val="29F36631"/>
    <w:rsid w:val="2B502F98"/>
    <w:rsid w:val="2C0C6D59"/>
    <w:rsid w:val="2C120A44"/>
    <w:rsid w:val="2C9A0A9E"/>
    <w:rsid w:val="2D142369"/>
    <w:rsid w:val="2D4529E9"/>
    <w:rsid w:val="2D546C0A"/>
    <w:rsid w:val="2D9214E0"/>
    <w:rsid w:val="2DA70D65"/>
    <w:rsid w:val="2E2B796A"/>
    <w:rsid w:val="2E2D764F"/>
    <w:rsid w:val="2E5A3DAC"/>
    <w:rsid w:val="2EB2615E"/>
    <w:rsid w:val="2FEE3A99"/>
    <w:rsid w:val="304C5976"/>
    <w:rsid w:val="309644F8"/>
    <w:rsid w:val="31061FC9"/>
    <w:rsid w:val="312B7C81"/>
    <w:rsid w:val="317167A5"/>
    <w:rsid w:val="323631B3"/>
    <w:rsid w:val="328A09D8"/>
    <w:rsid w:val="331F3816"/>
    <w:rsid w:val="33387117"/>
    <w:rsid w:val="3344502A"/>
    <w:rsid w:val="338E1AC9"/>
    <w:rsid w:val="33C06DA7"/>
    <w:rsid w:val="3427766B"/>
    <w:rsid w:val="343706EB"/>
    <w:rsid w:val="34586FDF"/>
    <w:rsid w:val="34CE2DFE"/>
    <w:rsid w:val="351A08D0"/>
    <w:rsid w:val="35C44201"/>
    <w:rsid w:val="35DC779C"/>
    <w:rsid w:val="361E7DB5"/>
    <w:rsid w:val="36334CE5"/>
    <w:rsid w:val="36B6623F"/>
    <w:rsid w:val="38957FC0"/>
    <w:rsid w:val="38DE5455"/>
    <w:rsid w:val="38FB262F"/>
    <w:rsid w:val="392E030F"/>
    <w:rsid w:val="393A4F06"/>
    <w:rsid w:val="39C42A21"/>
    <w:rsid w:val="39EB2259"/>
    <w:rsid w:val="39FF3A59"/>
    <w:rsid w:val="3A306308"/>
    <w:rsid w:val="3A4678DA"/>
    <w:rsid w:val="3A551407"/>
    <w:rsid w:val="3ADE7B13"/>
    <w:rsid w:val="3AFC5296"/>
    <w:rsid w:val="3B033C36"/>
    <w:rsid w:val="3B5051DE"/>
    <w:rsid w:val="3B84690C"/>
    <w:rsid w:val="3C1A7270"/>
    <w:rsid w:val="3D785FFC"/>
    <w:rsid w:val="3DB23467"/>
    <w:rsid w:val="3E2E615A"/>
    <w:rsid w:val="3E5D4E8E"/>
    <w:rsid w:val="3EB63280"/>
    <w:rsid w:val="3ECB4852"/>
    <w:rsid w:val="3F340649"/>
    <w:rsid w:val="3F4D5267"/>
    <w:rsid w:val="3F7D7BDF"/>
    <w:rsid w:val="3FB5178A"/>
    <w:rsid w:val="3FE25336"/>
    <w:rsid w:val="400B001F"/>
    <w:rsid w:val="400B07E0"/>
    <w:rsid w:val="401B0359"/>
    <w:rsid w:val="40537C33"/>
    <w:rsid w:val="405C2AFC"/>
    <w:rsid w:val="4070745F"/>
    <w:rsid w:val="40B01F51"/>
    <w:rsid w:val="416A0352"/>
    <w:rsid w:val="41C71300"/>
    <w:rsid w:val="41E73751"/>
    <w:rsid w:val="41ED5FB7"/>
    <w:rsid w:val="42075FF8"/>
    <w:rsid w:val="420933DF"/>
    <w:rsid w:val="421F2EEA"/>
    <w:rsid w:val="4236566E"/>
    <w:rsid w:val="42842020"/>
    <w:rsid w:val="42F97BDF"/>
    <w:rsid w:val="43544E16"/>
    <w:rsid w:val="439873F8"/>
    <w:rsid w:val="439A5D2A"/>
    <w:rsid w:val="445B0426"/>
    <w:rsid w:val="44C14DFA"/>
    <w:rsid w:val="45696E85"/>
    <w:rsid w:val="45C51FFB"/>
    <w:rsid w:val="46470C62"/>
    <w:rsid w:val="468567BB"/>
    <w:rsid w:val="46A161E6"/>
    <w:rsid w:val="46A2233C"/>
    <w:rsid w:val="4770243A"/>
    <w:rsid w:val="4782487D"/>
    <w:rsid w:val="47AC3472"/>
    <w:rsid w:val="47F155E6"/>
    <w:rsid w:val="48152FCE"/>
    <w:rsid w:val="48693111"/>
    <w:rsid w:val="486A0C38"/>
    <w:rsid w:val="48A4239B"/>
    <w:rsid w:val="493A685C"/>
    <w:rsid w:val="49F42EAF"/>
    <w:rsid w:val="49FB2932"/>
    <w:rsid w:val="4A0A26D2"/>
    <w:rsid w:val="4A34774F"/>
    <w:rsid w:val="4A6A4F1F"/>
    <w:rsid w:val="4AB70941"/>
    <w:rsid w:val="4AD37A13"/>
    <w:rsid w:val="4AE10089"/>
    <w:rsid w:val="4B09298A"/>
    <w:rsid w:val="4B1B28D8"/>
    <w:rsid w:val="4B31068E"/>
    <w:rsid w:val="4BA55220"/>
    <w:rsid w:val="4BAD0151"/>
    <w:rsid w:val="4BF278C2"/>
    <w:rsid w:val="4C147838"/>
    <w:rsid w:val="4C3C2195"/>
    <w:rsid w:val="4C8F75A2"/>
    <w:rsid w:val="4C9232D6"/>
    <w:rsid w:val="4CCE3E8B"/>
    <w:rsid w:val="4CE444B6"/>
    <w:rsid w:val="4CE70AA9"/>
    <w:rsid w:val="4D066C0A"/>
    <w:rsid w:val="4DAD4403"/>
    <w:rsid w:val="4DC25072"/>
    <w:rsid w:val="4DD11D11"/>
    <w:rsid w:val="4E74636C"/>
    <w:rsid w:val="4E8C008E"/>
    <w:rsid w:val="4ECE0172"/>
    <w:rsid w:val="4F3514BA"/>
    <w:rsid w:val="4F674123"/>
    <w:rsid w:val="4FEF758C"/>
    <w:rsid w:val="50081462"/>
    <w:rsid w:val="50607952"/>
    <w:rsid w:val="50771A9C"/>
    <w:rsid w:val="50834F8C"/>
    <w:rsid w:val="50D43A3A"/>
    <w:rsid w:val="519B00B4"/>
    <w:rsid w:val="51C47F6D"/>
    <w:rsid w:val="527F3531"/>
    <w:rsid w:val="528172AA"/>
    <w:rsid w:val="52853E19"/>
    <w:rsid w:val="53195734"/>
    <w:rsid w:val="53422EDD"/>
    <w:rsid w:val="53574AE5"/>
    <w:rsid w:val="537312E8"/>
    <w:rsid w:val="53837051"/>
    <w:rsid w:val="53A9514E"/>
    <w:rsid w:val="53F71F19"/>
    <w:rsid w:val="5455382C"/>
    <w:rsid w:val="54FC355F"/>
    <w:rsid w:val="550E7114"/>
    <w:rsid w:val="56301712"/>
    <w:rsid w:val="56494582"/>
    <w:rsid w:val="57361164"/>
    <w:rsid w:val="57392849"/>
    <w:rsid w:val="573E1C0D"/>
    <w:rsid w:val="5765719A"/>
    <w:rsid w:val="5774562F"/>
    <w:rsid w:val="57F80C60"/>
    <w:rsid w:val="583067EF"/>
    <w:rsid w:val="58382B00"/>
    <w:rsid w:val="58DF4D2A"/>
    <w:rsid w:val="59751451"/>
    <w:rsid w:val="5A2E41BB"/>
    <w:rsid w:val="5A57452D"/>
    <w:rsid w:val="5ACB1A0A"/>
    <w:rsid w:val="5B24111A"/>
    <w:rsid w:val="5B4A5024"/>
    <w:rsid w:val="5B692B86"/>
    <w:rsid w:val="5B7B51DE"/>
    <w:rsid w:val="5BA65FD3"/>
    <w:rsid w:val="5BA67D81"/>
    <w:rsid w:val="5C366A56"/>
    <w:rsid w:val="5C422553"/>
    <w:rsid w:val="5C4557EC"/>
    <w:rsid w:val="5CE768A3"/>
    <w:rsid w:val="5D0A3490"/>
    <w:rsid w:val="5D3F4364"/>
    <w:rsid w:val="5D7E0D39"/>
    <w:rsid w:val="5E1E62F4"/>
    <w:rsid w:val="5E956AB2"/>
    <w:rsid w:val="5E9D3F29"/>
    <w:rsid w:val="5E9F014A"/>
    <w:rsid w:val="5EEB267A"/>
    <w:rsid w:val="5F02451D"/>
    <w:rsid w:val="5F0D01F1"/>
    <w:rsid w:val="5F447FDD"/>
    <w:rsid w:val="5F4C00BA"/>
    <w:rsid w:val="5FCF5AF8"/>
    <w:rsid w:val="60384CD1"/>
    <w:rsid w:val="604105AB"/>
    <w:rsid w:val="604E6200"/>
    <w:rsid w:val="60655808"/>
    <w:rsid w:val="60CE0B25"/>
    <w:rsid w:val="60E03D35"/>
    <w:rsid w:val="60EA0710"/>
    <w:rsid w:val="61135EB8"/>
    <w:rsid w:val="611D0AE5"/>
    <w:rsid w:val="6143643E"/>
    <w:rsid w:val="61553FFC"/>
    <w:rsid w:val="61882403"/>
    <w:rsid w:val="62175534"/>
    <w:rsid w:val="63797C01"/>
    <w:rsid w:val="63A9427A"/>
    <w:rsid w:val="63D462B1"/>
    <w:rsid w:val="6418358F"/>
    <w:rsid w:val="641A3596"/>
    <w:rsid w:val="643B5D39"/>
    <w:rsid w:val="64D96647"/>
    <w:rsid w:val="64F8789F"/>
    <w:rsid w:val="655B51E5"/>
    <w:rsid w:val="659770B8"/>
    <w:rsid w:val="65D11E9E"/>
    <w:rsid w:val="65E40ADA"/>
    <w:rsid w:val="66094DDC"/>
    <w:rsid w:val="660A5ADC"/>
    <w:rsid w:val="66330B86"/>
    <w:rsid w:val="66E22203"/>
    <w:rsid w:val="67696832"/>
    <w:rsid w:val="67A466F1"/>
    <w:rsid w:val="681744E0"/>
    <w:rsid w:val="681C38A5"/>
    <w:rsid w:val="68B47F81"/>
    <w:rsid w:val="68B7181F"/>
    <w:rsid w:val="68B812C9"/>
    <w:rsid w:val="69B8569B"/>
    <w:rsid w:val="69C935B8"/>
    <w:rsid w:val="69D50CF4"/>
    <w:rsid w:val="6A941E18"/>
    <w:rsid w:val="6A9D5B77"/>
    <w:rsid w:val="6ADB7A47"/>
    <w:rsid w:val="6AF40B09"/>
    <w:rsid w:val="6B0074AE"/>
    <w:rsid w:val="6B13286C"/>
    <w:rsid w:val="6B297532"/>
    <w:rsid w:val="6B482C03"/>
    <w:rsid w:val="6B4A0729"/>
    <w:rsid w:val="6C0F0E65"/>
    <w:rsid w:val="6C117498"/>
    <w:rsid w:val="6C487AFD"/>
    <w:rsid w:val="6CB24363"/>
    <w:rsid w:val="6CB57E24"/>
    <w:rsid w:val="6CD24E7A"/>
    <w:rsid w:val="6D033285"/>
    <w:rsid w:val="6D090AE2"/>
    <w:rsid w:val="6D614100"/>
    <w:rsid w:val="6D617FAC"/>
    <w:rsid w:val="6E004F03"/>
    <w:rsid w:val="6E115D95"/>
    <w:rsid w:val="6E891568"/>
    <w:rsid w:val="6EA93466"/>
    <w:rsid w:val="6F303077"/>
    <w:rsid w:val="6F7B35A7"/>
    <w:rsid w:val="6FB2689C"/>
    <w:rsid w:val="6FCF0795"/>
    <w:rsid w:val="6FDE3B35"/>
    <w:rsid w:val="6FEA072C"/>
    <w:rsid w:val="704E24AD"/>
    <w:rsid w:val="71031AA6"/>
    <w:rsid w:val="7120072C"/>
    <w:rsid w:val="71381023"/>
    <w:rsid w:val="71816E6E"/>
    <w:rsid w:val="719533EC"/>
    <w:rsid w:val="71CF3736"/>
    <w:rsid w:val="71D76A8E"/>
    <w:rsid w:val="720B6FBF"/>
    <w:rsid w:val="723B526F"/>
    <w:rsid w:val="728409C4"/>
    <w:rsid w:val="72DA63FB"/>
    <w:rsid w:val="72F15750"/>
    <w:rsid w:val="72F83160"/>
    <w:rsid w:val="73535B16"/>
    <w:rsid w:val="73702CF6"/>
    <w:rsid w:val="73714961"/>
    <w:rsid w:val="74471A90"/>
    <w:rsid w:val="746E7F64"/>
    <w:rsid w:val="74B310ED"/>
    <w:rsid w:val="754D1D92"/>
    <w:rsid w:val="7581743D"/>
    <w:rsid w:val="758350A9"/>
    <w:rsid w:val="75866801"/>
    <w:rsid w:val="75A60C51"/>
    <w:rsid w:val="768F7938"/>
    <w:rsid w:val="76DB0DCF"/>
    <w:rsid w:val="76E301FF"/>
    <w:rsid w:val="77071BC4"/>
    <w:rsid w:val="77336515"/>
    <w:rsid w:val="77674410"/>
    <w:rsid w:val="779A47E6"/>
    <w:rsid w:val="779C1D6F"/>
    <w:rsid w:val="77A63FAA"/>
    <w:rsid w:val="77B77DC5"/>
    <w:rsid w:val="77CB0E43"/>
    <w:rsid w:val="77EB4BA3"/>
    <w:rsid w:val="78034139"/>
    <w:rsid w:val="790068CB"/>
    <w:rsid w:val="79136581"/>
    <w:rsid w:val="79406AC7"/>
    <w:rsid w:val="79F503F9"/>
    <w:rsid w:val="7A016D9E"/>
    <w:rsid w:val="7B2261F3"/>
    <w:rsid w:val="7B560FD7"/>
    <w:rsid w:val="7B5F74F8"/>
    <w:rsid w:val="7B690630"/>
    <w:rsid w:val="7C3F3BAE"/>
    <w:rsid w:val="7C5123F4"/>
    <w:rsid w:val="7C8617DD"/>
    <w:rsid w:val="7C8B0BA1"/>
    <w:rsid w:val="7C945CA8"/>
    <w:rsid w:val="7CCC5441"/>
    <w:rsid w:val="7D040AB6"/>
    <w:rsid w:val="7D3B790F"/>
    <w:rsid w:val="7D4119E6"/>
    <w:rsid w:val="7DAF162B"/>
    <w:rsid w:val="7DC42B41"/>
    <w:rsid w:val="7EA1645A"/>
    <w:rsid w:val="7EE2719E"/>
    <w:rsid w:val="7F4E65E2"/>
    <w:rsid w:val="7FAF2DF8"/>
    <w:rsid w:val="7FB16B71"/>
    <w:rsid w:val="7FFE2E00"/>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1"/>
    <w:basedOn w:val="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4">
    <w:name w:val="heading 2"/>
    <w:next w:val="1"/>
    <w:link w:val="41"/>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5">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2">
    <w:name w:val="Body Text"/>
    <w:basedOn w:val="1"/>
    <w:qFormat/>
    <w:uiPriority w:val="0"/>
    <w:pPr>
      <w:spacing w:after="120"/>
    </w:pPr>
  </w:style>
  <w:style w:type="paragraph" w:styleId="6">
    <w:name w:val="Normal Indent"/>
    <w:basedOn w:val="1"/>
    <w:qFormat/>
    <w:uiPriority w:val="0"/>
    <w:pPr>
      <w:ind w:firstLine="420" w:firstLineChars="200"/>
    </w:pPr>
    <w:rPr>
      <w:kern w:val="0"/>
      <w:sz w:val="24"/>
      <w:szCs w:val="20"/>
    </w:rPr>
  </w:style>
  <w:style w:type="paragraph" w:styleId="7">
    <w:name w:val="annotation text"/>
    <w:basedOn w:val="1"/>
    <w:link w:val="38"/>
    <w:qFormat/>
    <w:uiPriority w:val="0"/>
    <w:pPr>
      <w:jc w:val="left"/>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3"/>
    <w:qFormat/>
    <w:uiPriority w:val="0"/>
    <w:pPr>
      <w:spacing w:after="120" w:line="480" w:lineRule="auto"/>
      <w:ind w:left="420" w:leftChars="200"/>
    </w:pPr>
    <w:rPr>
      <w:szCs w:val="20"/>
    </w:rPr>
  </w:style>
  <w:style w:type="paragraph" w:styleId="10">
    <w:name w:val="Balloon Text"/>
    <w:basedOn w:val="1"/>
    <w:link w:val="40"/>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39"/>
  </w:style>
  <w:style w:type="paragraph" w:styleId="14">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5">
    <w:name w:val="annotation subject"/>
    <w:basedOn w:val="7"/>
    <w:next w:val="7"/>
    <w:link w:val="39"/>
    <w:qFormat/>
    <w:uiPriority w:val="0"/>
    <w:rPr>
      <w:b/>
      <w:bCs/>
    </w:rPr>
  </w:style>
  <w:style w:type="paragraph" w:styleId="16">
    <w:name w:val="Body Text First Indent"/>
    <w:basedOn w:val="2"/>
    <w:link w:val="34"/>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7"/>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Strong"/>
    <w:basedOn w:val="20"/>
    <w:qFormat/>
    <w:uiPriority w:val="0"/>
    <w:rPr>
      <w:b/>
    </w:rPr>
  </w:style>
  <w:style w:type="character" w:styleId="22">
    <w:name w:val="page number"/>
    <w:basedOn w:val="20"/>
    <w:semiHidden/>
    <w:qFormat/>
    <w:uiPriority w:val="0"/>
  </w:style>
  <w:style w:type="character" w:styleId="23">
    <w:name w:val="Hyperlink"/>
    <w:basedOn w:val="20"/>
    <w:unhideWhenUsed/>
    <w:qFormat/>
    <w:uiPriority w:val="99"/>
    <w:rPr>
      <w:color w:val="0563C1" w:themeColor="hyperlink"/>
      <w:u w:val="single"/>
      <w14:textFill>
        <w14:solidFill>
          <w14:schemeClr w14:val="hlink"/>
        </w14:solidFill>
      </w14:textFill>
    </w:rPr>
  </w:style>
  <w:style w:type="character" w:styleId="24">
    <w:name w:val="annotation reference"/>
    <w:basedOn w:val="20"/>
    <w:qFormat/>
    <w:uiPriority w:val="0"/>
    <w:rPr>
      <w:sz w:val="21"/>
      <w:szCs w:val="21"/>
    </w:rPr>
  </w:style>
  <w:style w:type="paragraph" w:customStyle="1" w:styleId="25">
    <w:name w:val="标题 5（有编号）（绿盟科技）"/>
    <w:basedOn w:val="26"/>
    <w:next w:val="27"/>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6">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7">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8">
    <w:name w:val="13、表格内居中正文"/>
    <w:basedOn w:val="1"/>
    <w:qFormat/>
    <w:uiPriority w:val="0"/>
    <w:pPr>
      <w:wordWrap w:val="0"/>
      <w:topLinePunct/>
      <w:spacing w:line="360" w:lineRule="exact"/>
      <w:jc w:val="center"/>
    </w:pPr>
    <w:rPr>
      <w:rFonts w:ascii="宋体" w:hAnsi="宋体" w:eastAsia="宋体"/>
    </w:rPr>
  </w:style>
  <w:style w:type="paragraph" w:customStyle="1" w:styleId="29">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30">
    <w:name w:val="List Paragraph"/>
    <w:basedOn w:val="1"/>
    <w:qFormat/>
    <w:uiPriority w:val="0"/>
    <w:pPr>
      <w:spacing w:line="500" w:lineRule="exact"/>
      <w:ind w:firstLine="420" w:firstLineChars="200"/>
    </w:pPr>
    <w:rPr>
      <w:szCs w:val="24"/>
    </w:rPr>
  </w:style>
  <w:style w:type="paragraph" w:customStyle="1" w:styleId="31">
    <w:name w:val="正文首行缩进两字符"/>
    <w:basedOn w:val="1"/>
    <w:qFormat/>
    <w:uiPriority w:val="0"/>
    <w:pPr>
      <w:spacing w:line="360" w:lineRule="auto"/>
      <w:ind w:firstLine="200" w:firstLineChars="200"/>
    </w:pPr>
  </w:style>
  <w:style w:type="paragraph" w:customStyle="1" w:styleId="32">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3">
    <w:name w:val="Body Text Indent 2 Char"/>
    <w:link w:val="9"/>
    <w:qFormat/>
    <w:uiPriority w:val="0"/>
    <w:rPr>
      <w:szCs w:val="20"/>
    </w:rPr>
  </w:style>
  <w:style w:type="character" w:customStyle="1" w:styleId="34">
    <w:name w:val="Body Text First Indent Char"/>
    <w:link w:val="16"/>
    <w:qFormat/>
    <w:uiPriority w:val="0"/>
    <w:rPr>
      <w:rFonts w:ascii="FangSong_GB2312" w:hAnsi="FangSong_GB2312" w:eastAsia="FangSong_GB2312"/>
      <w:szCs w:val="20"/>
    </w:rPr>
  </w:style>
  <w:style w:type="paragraph" w:customStyle="1" w:styleId="35">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6">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7">
    <w:name w:val="Body Text First Indent 2 Char"/>
    <w:link w:val="17"/>
    <w:qFormat/>
    <w:uiPriority w:val="99"/>
    <w:rPr>
      <w:rFonts w:ascii="宋体" w:hAnsi="Times New Roman"/>
      <w:kern w:val="0"/>
      <w:sz w:val="21"/>
      <w:szCs w:val="24"/>
    </w:rPr>
  </w:style>
  <w:style w:type="character" w:customStyle="1" w:styleId="38">
    <w:name w:val="Comment Text Char"/>
    <w:basedOn w:val="20"/>
    <w:link w:val="7"/>
    <w:qFormat/>
    <w:uiPriority w:val="0"/>
    <w:rPr>
      <w:kern w:val="2"/>
      <w:sz w:val="21"/>
      <w:szCs w:val="22"/>
    </w:rPr>
  </w:style>
  <w:style w:type="character" w:customStyle="1" w:styleId="39">
    <w:name w:val="Comment Subject Char"/>
    <w:basedOn w:val="38"/>
    <w:link w:val="15"/>
    <w:qFormat/>
    <w:uiPriority w:val="0"/>
    <w:rPr>
      <w:b/>
      <w:bCs/>
      <w:kern w:val="2"/>
      <w:sz w:val="21"/>
      <w:szCs w:val="22"/>
    </w:rPr>
  </w:style>
  <w:style w:type="character" w:customStyle="1" w:styleId="40">
    <w:name w:val="Balloon Text Char"/>
    <w:basedOn w:val="20"/>
    <w:link w:val="10"/>
    <w:qFormat/>
    <w:uiPriority w:val="0"/>
    <w:rPr>
      <w:kern w:val="2"/>
      <w:sz w:val="18"/>
      <w:szCs w:val="18"/>
    </w:rPr>
  </w:style>
  <w:style w:type="character" w:customStyle="1" w:styleId="41">
    <w:name w:val="Heading 2 Char"/>
    <w:link w:val="4"/>
    <w:qFormat/>
    <w:uiPriority w:val="0"/>
    <w:rPr>
      <w:rFonts w:ascii="Times New Roman" w:hAnsi="Times New Roman" w:eastAsia="仿宋" w:cs="Times New Roman"/>
      <w:b/>
      <w:sz w:val="32"/>
    </w:rPr>
  </w:style>
  <w:style w:type="paragraph" w:customStyle="1" w:styleId="42">
    <w:name w:val="sht标题1"/>
    <w:basedOn w:val="1"/>
    <w:next w:val="3"/>
    <w:qFormat/>
    <w:uiPriority w:val="0"/>
    <w:pPr>
      <w:jc w:val="center"/>
    </w:pPr>
    <w:rPr>
      <w:rFonts w:eastAsia="黑体"/>
      <w:b/>
      <w:sz w:val="52"/>
      <w:szCs w:val="24"/>
    </w:rPr>
  </w:style>
  <w:style w:type="paragraph" w:customStyle="1" w:styleId="43">
    <w:name w:val="列出段落1"/>
    <w:basedOn w:val="1"/>
    <w:qFormat/>
    <w:uiPriority w:val="0"/>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41</Pages>
  <Words>1037</Words>
  <Characters>1122</Characters>
  <Lines>68</Lines>
  <Paragraphs>19</Paragraphs>
  <TotalTime>6</TotalTime>
  <ScaleCrop>false</ScaleCrop>
  <LinksUpToDate>false</LinksUpToDate>
  <CharactersWithSpaces>1179</CharactersWithSpaces>
  <Application>WPS Office_12.1.0.22525_F1E327BC-269C-435d-A152-05C5408002CA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蔡</cp:lastModifiedBy>
  <dcterms:modified xsi:type="dcterms:W3CDTF">2026-06-02T02:53:40Z</dcterms:modified>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2052-12.1.0.22525</vt:lpwstr>
  </property>
  <property fmtid="{D5CDD505-2E9C-101B-9397-08002B2CF9AE}" pid="3" name="ICV">
    <vt:lpwstr>1886A38FB8864387B44B965478B670F9_13</vt:lpwstr>
  </property>
  <property fmtid="{D5CDD505-2E9C-101B-9397-08002B2CF9AE}" pid="4" name="KSOTemplateDocerSaveRecord">
    <vt:lpwstr>eyJoZGlkIjoiNDc0MTk5M2JkMmE1NDI4NDczMTFjZTZjODJmMzdhNjkiLCJ1c2VySWQiOiIyMTIzMTcyNzYifQ==</vt:lpwstr>
  </property>
</Properties>
</file>