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color w:val="auto"/>
          <w:spacing w:val="24"/>
          <w:sz w:val="56"/>
          <w:szCs w:val="56"/>
          <w:highlight w:val="none"/>
        </w:rPr>
      </w:pPr>
      <w:r>
        <w:rPr>
          <w:rFonts w:hint="eastAsia" w:ascii="黑体" w:hAnsi="黑体" w:eastAsia="黑体" w:cs="黑体"/>
          <w:b/>
          <w:color w:val="auto"/>
          <w:spacing w:val="24"/>
          <w:sz w:val="56"/>
          <w:szCs w:val="56"/>
          <w:highlight w:val="none"/>
        </w:rPr>
        <w:t>四川省人民医院</w:t>
      </w:r>
      <w:r>
        <w:rPr>
          <w:rFonts w:hint="eastAsia" w:ascii="黑体" w:hAnsi="黑体" w:eastAsia="黑体" w:cs="黑体"/>
          <w:b/>
          <w:color w:val="auto"/>
          <w:spacing w:val="24"/>
          <w:sz w:val="56"/>
          <w:szCs w:val="56"/>
          <w:highlight w:val="none"/>
          <w:lang w:val="en-US" w:eastAsia="zh-CN"/>
        </w:rPr>
        <w:t>2024年排污在线监测一体化改造施工项目</w:t>
      </w:r>
    </w:p>
    <w:p>
      <w:pPr>
        <w:spacing w:before="1092" w:beforeLines="350" w:after="1092" w:afterLines="350" w:line="800" w:lineRule="exact"/>
        <w:jc w:val="center"/>
        <w:rPr>
          <w:rFonts w:hint="eastAsia" w:ascii="黑体" w:hAnsi="黑体" w:eastAsia="黑体" w:cs="黑体"/>
          <w:b/>
          <w:color w:val="auto"/>
          <w:sz w:val="72"/>
          <w:szCs w:val="72"/>
          <w:highlight w:val="none"/>
          <w:lang w:val="en-US" w:eastAsia="zh-CN"/>
        </w:rPr>
      </w:pPr>
      <w:r>
        <w:rPr>
          <w:rFonts w:hint="eastAsia" w:ascii="黑体" w:hAnsi="黑体" w:eastAsia="黑体" w:cs="黑体"/>
          <w:b/>
          <w:color w:val="auto"/>
          <w:sz w:val="72"/>
          <w:szCs w:val="72"/>
          <w:highlight w:val="none"/>
          <w:lang w:val="en-US" w:eastAsia="zh-CN"/>
        </w:rPr>
        <w:t>谈</w:t>
      </w:r>
    </w:p>
    <w:p>
      <w:pPr>
        <w:spacing w:before="1092" w:beforeLines="350" w:after="1092" w:afterLines="350" w:line="800" w:lineRule="exact"/>
        <w:jc w:val="center"/>
        <w:rPr>
          <w:rFonts w:hint="eastAsia" w:ascii="黑体" w:hAnsi="黑体" w:eastAsia="黑体" w:cs="黑体"/>
          <w:b/>
          <w:color w:val="auto"/>
          <w:sz w:val="72"/>
          <w:szCs w:val="72"/>
          <w:highlight w:val="none"/>
          <w:lang w:val="en-US" w:eastAsia="zh-CN"/>
        </w:rPr>
      </w:pPr>
      <w:r>
        <w:rPr>
          <w:rFonts w:hint="eastAsia" w:ascii="黑体" w:hAnsi="黑体" w:eastAsia="黑体" w:cs="黑体"/>
          <w:b/>
          <w:color w:val="auto"/>
          <w:sz w:val="72"/>
          <w:szCs w:val="72"/>
          <w:highlight w:val="none"/>
          <w:lang w:val="en-US" w:eastAsia="zh-CN"/>
        </w:rPr>
        <w:t>判</w:t>
      </w:r>
    </w:p>
    <w:p>
      <w:pPr>
        <w:spacing w:before="1092" w:beforeLines="350" w:after="1092" w:afterLines="350" w:line="800" w:lineRule="exact"/>
        <w:jc w:val="center"/>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t>文</w:t>
      </w:r>
    </w:p>
    <w:p>
      <w:pPr>
        <w:spacing w:before="1092" w:beforeLines="350" w:after="1092" w:afterLines="350" w:line="800" w:lineRule="exact"/>
        <w:jc w:val="center"/>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t>件</w:t>
      </w: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center"/>
        <w:rPr>
          <w:rFonts w:hint="eastAsia" w:ascii="黑体" w:hAnsi="黑体" w:eastAsia="黑体" w:cs="黑体"/>
          <w:b/>
          <w:color w:val="auto"/>
          <w:sz w:val="36"/>
          <w:szCs w:val="36"/>
          <w:highlight w:val="none"/>
        </w:rPr>
      </w:pPr>
    </w:p>
    <w:p>
      <w:pPr>
        <w:spacing w:line="440" w:lineRule="exact"/>
        <w:jc w:val="center"/>
        <w:rPr>
          <w:rFonts w:hint="eastAsia" w:ascii="黑体" w:hAnsi="黑体" w:eastAsia="黑体" w:cs="黑体"/>
          <w:b/>
          <w:color w:val="auto"/>
          <w:sz w:val="36"/>
          <w:szCs w:val="36"/>
          <w:highlight w:val="none"/>
          <w:lang w:val="zh-CN"/>
        </w:rPr>
        <w:sectPr>
          <w:headerReference r:id="rId3" w:type="default"/>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hint="eastAsia" w:ascii="黑体" w:hAnsi="黑体" w:eastAsia="黑体" w:cs="黑体"/>
          <w:b/>
          <w:color w:val="auto"/>
          <w:sz w:val="36"/>
          <w:szCs w:val="36"/>
          <w:highlight w:val="none"/>
        </w:rPr>
        <w:t>202</w:t>
      </w:r>
      <w:r>
        <w:rPr>
          <w:rFonts w:hint="eastAsia" w:ascii="黑体" w:hAnsi="黑体" w:eastAsia="黑体" w:cs="黑体"/>
          <w:b/>
          <w:color w:val="auto"/>
          <w:sz w:val="36"/>
          <w:szCs w:val="36"/>
          <w:highlight w:val="none"/>
          <w:lang w:val="en-US" w:eastAsia="zh-CN"/>
        </w:rPr>
        <w:t>4</w:t>
      </w:r>
      <w:r>
        <w:rPr>
          <w:rFonts w:hint="eastAsia"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9</w:t>
      </w:r>
      <w:r>
        <w:rPr>
          <w:rFonts w:hint="eastAsia" w:ascii="黑体" w:hAnsi="黑体" w:eastAsia="黑体" w:cs="黑体"/>
          <w:b/>
          <w:color w:val="auto"/>
          <w:sz w:val="36"/>
          <w:szCs w:val="36"/>
          <w:highlight w:val="none"/>
          <w:lang w:val="zh-CN"/>
        </w:rPr>
        <w:t>月</w:t>
      </w:r>
    </w:p>
    <w:p>
      <w:pPr>
        <w:pStyle w:val="13"/>
        <w:tabs>
          <w:tab w:val="right" w:leader="dot" w:pos="8306"/>
        </w:tabs>
        <w:jc w:val="center"/>
        <w:rPr>
          <w:rFonts w:ascii="黑体" w:hAnsi="黑体" w:eastAsia="黑体" w:cs="黑体"/>
          <w:color w:val="auto"/>
          <w:sz w:val="36"/>
          <w:szCs w:val="40"/>
          <w:highlight w:val="none"/>
        </w:rPr>
      </w:pPr>
      <w:r>
        <w:rPr>
          <w:rFonts w:hint="eastAsia" w:ascii="黑体" w:hAnsi="黑体" w:eastAsia="黑体" w:cs="黑体"/>
          <w:color w:val="auto"/>
          <w:sz w:val="36"/>
          <w:szCs w:val="40"/>
          <w:highlight w:val="none"/>
        </w:rPr>
        <w:t>目    录</w:t>
      </w:r>
    </w:p>
    <w:p>
      <w:pPr>
        <w:pStyle w:val="13"/>
        <w:tabs>
          <w:tab w:val="left" w:pos="6160"/>
        </w:tabs>
        <w:rPr>
          <w:rFonts w:hint="eastAsia" w:ascii="仿宋" w:hAnsi="仿宋" w:eastAsia="仿宋" w:cs="仿宋"/>
          <w:color w:val="auto"/>
          <w:sz w:val="28"/>
          <w:szCs w:val="32"/>
          <w:highlight w:val="none"/>
          <w:lang w:eastAsia="zh-CN"/>
        </w:rPr>
      </w:pPr>
      <w:r>
        <w:rPr>
          <w:rFonts w:hint="eastAsia" w:ascii="仿宋" w:hAnsi="仿宋" w:eastAsia="仿宋" w:cs="仿宋"/>
          <w:color w:val="auto"/>
          <w:sz w:val="28"/>
          <w:szCs w:val="32"/>
          <w:highlight w:val="none"/>
          <w:lang w:eastAsia="zh-CN"/>
        </w:rPr>
        <w:tab/>
      </w:r>
    </w:p>
    <w:p>
      <w:pPr>
        <w:pStyle w:val="13"/>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_Toc15901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第一章 </w:t>
      </w:r>
      <w:r>
        <w:rPr>
          <w:rFonts w:hint="eastAsia" w:ascii="仿宋" w:hAnsi="仿宋" w:eastAsia="仿宋" w:cs="仿宋"/>
          <w:color w:val="auto"/>
          <w:sz w:val="28"/>
          <w:szCs w:val="28"/>
          <w:highlight w:val="none"/>
          <w:lang w:eastAsia="zh-CN"/>
        </w:rPr>
        <w:t>谈判邀请</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_Toc15901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3"/>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_Toc4652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第二章 </w:t>
      </w:r>
      <w:r>
        <w:rPr>
          <w:rFonts w:hint="eastAsia" w:ascii="仿宋" w:hAnsi="仿宋" w:eastAsia="仿宋" w:cs="仿宋"/>
          <w:color w:val="auto"/>
          <w:sz w:val="28"/>
          <w:szCs w:val="28"/>
          <w:highlight w:val="none"/>
          <w:lang w:val="en-US" w:eastAsia="zh-CN"/>
        </w:rPr>
        <w:t>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_Toc4652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3"/>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_Toc5431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第三章 供应商资格审查及符合性审查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_Toc5431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3"/>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_Toc12193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第四章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_Toc12193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3"/>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_Toc21038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第五章 评分标准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_Toc21038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3"/>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_Toc16344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第六章 </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_Toc16344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3"/>
        <w:tabs>
          <w:tab w:val="right" w:leader="dot" w:pos="8299"/>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_Toc14043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第七章 合同条款（仅</w:t>
      </w:r>
      <w:r>
        <w:rPr>
          <w:rFonts w:hint="eastAsia" w:ascii="仿宋" w:hAnsi="仿宋" w:eastAsia="仿宋" w:cs="仿宋"/>
          <w:color w:val="auto"/>
          <w:sz w:val="28"/>
          <w:szCs w:val="28"/>
          <w:highlight w:val="none"/>
          <w:lang w:eastAsia="zh-CN"/>
        </w:rPr>
        <w:t>成交</w:t>
      </w:r>
      <w:r>
        <w:rPr>
          <w:rFonts w:hint="eastAsia" w:ascii="仿宋" w:hAnsi="仿宋" w:eastAsia="仿宋" w:cs="仿宋"/>
          <w:color w:val="auto"/>
          <w:sz w:val="28"/>
          <w:szCs w:val="28"/>
          <w:highlight w:val="none"/>
        </w:rPr>
        <w:t>后使用）</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_Toc14043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30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2"/>
        <w:outlineLvl w:val="0"/>
        <w:rPr>
          <w:color w:val="auto"/>
          <w:highlight w:val="none"/>
        </w:rPr>
        <w:sectPr>
          <w:headerReference r:id="rId4" w:type="default"/>
          <w:footerReference r:id="rId5" w:type="default"/>
          <w:pgSz w:w="11905" w:h="16838"/>
          <w:pgMar w:top="1440" w:right="1803" w:bottom="1440" w:left="1803" w:header="850" w:footer="992" w:gutter="0"/>
          <w:pgBorders>
            <w:top w:val="none" w:sz="0" w:space="0"/>
            <w:left w:val="none" w:sz="0" w:space="0"/>
            <w:bottom w:val="none" w:sz="0" w:space="0"/>
            <w:right w:val="none" w:sz="0" w:space="0"/>
          </w:pgBorders>
          <w:pgNumType w:start="1"/>
          <w:cols w:space="0" w:num="1"/>
          <w:rtlGutter w:val="0"/>
          <w:docGrid w:type="lines" w:linePitch="317" w:charSpace="0"/>
        </w:sectPr>
      </w:pPr>
      <w:r>
        <w:rPr>
          <w:rFonts w:hint="eastAsia" w:ascii="仿宋" w:hAnsi="仿宋" w:eastAsia="仿宋" w:cs="仿宋"/>
          <w:color w:val="auto"/>
          <w:sz w:val="28"/>
          <w:szCs w:val="28"/>
          <w:highlight w:val="none"/>
        </w:rPr>
        <w:fldChar w:fldCharType="end"/>
      </w:r>
    </w:p>
    <w:p>
      <w:pPr>
        <w:pStyle w:val="2"/>
        <w:bidi w:val="0"/>
        <w:rPr>
          <w:color w:val="auto"/>
          <w:highlight w:val="none"/>
        </w:rPr>
      </w:pPr>
      <w:bookmarkStart w:id="0" w:name="_Toc15901"/>
      <w:r>
        <w:rPr>
          <w:rFonts w:hint="eastAsia"/>
          <w:color w:val="auto"/>
          <w:highlight w:val="none"/>
          <w:lang w:eastAsia="zh-CN"/>
        </w:rPr>
        <w:t>谈判邀请</w:t>
      </w:r>
      <w:bookmarkEnd w:id="0"/>
    </w:p>
    <w:tbl>
      <w:tblPr>
        <w:tblStyle w:val="17"/>
        <w:tblpPr w:leftFromText="180" w:rightFromText="180" w:vertAnchor="text" w:horzAnchor="page" w:tblpX="1471" w:tblpY="300"/>
        <w:tblOverlap w:val="never"/>
        <w:tblW w:w="8931"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24"/>
        <w:gridCol w:w="1733"/>
        <w:gridCol w:w="6674"/>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24"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674"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24" w:type="dxa"/>
            <w:tcBorders>
              <w:bottom w:val="single" w:color="auto" w:sz="4" w:space="0"/>
            </w:tcBorders>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33" w:type="dxa"/>
            <w:tcBorders>
              <w:bottom w:val="single" w:color="auto" w:sz="4" w:space="0"/>
            </w:tcBorders>
            <w:vAlign w:val="center"/>
          </w:tcPr>
          <w:p>
            <w:pPr>
              <w:spacing w:line="360" w:lineRule="auto"/>
              <w:jc w:val="center"/>
              <w:rPr>
                <w:rFonts w:hint="eastAsia" w:ascii="仿宋" w:hAnsi="仿宋" w:eastAsia="仿宋" w:cs="仿宋"/>
                <w:color w:val="auto"/>
                <w:kern w:val="0"/>
                <w:sz w:val="22"/>
                <w:highlight w:val="none"/>
                <w:lang w:val="en-US" w:eastAsia="zh-CN"/>
              </w:rPr>
            </w:pPr>
            <w:r>
              <w:rPr>
                <w:rFonts w:hint="eastAsia" w:ascii="仿宋" w:hAnsi="仿宋" w:eastAsia="仿宋" w:cs="仿宋"/>
                <w:color w:val="auto"/>
                <w:kern w:val="0"/>
                <w:sz w:val="22"/>
                <w:highlight w:val="none"/>
                <w:lang w:val="en-US" w:eastAsia="zh-CN"/>
              </w:rPr>
              <w:t>采购人</w:t>
            </w:r>
          </w:p>
        </w:tc>
        <w:tc>
          <w:tcPr>
            <w:tcW w:w="6674" w:type="dxa"/>
            <w:tcBorders>
              <w:bottom w:val="single" w:color="auto" w:sz="4" w:space="0"/>
            </w:tcBorders>
            <w:vAlign w:val="center"/>
          </w:tcPr>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24" w:type="dxa"/>
            <w:tcBorders>
              <w:bottom w:val="single" w:color="auto" w:sz="4" w:space="0"/>
            </w:tcBorders>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33" w:type="dxa"/>
            <w:tcBorders>
              <w:bottom w:val="single" w:color="auto" w:sz="4" w:space="0"/>
            </w:tcBorders>
            <w:vAlign w:val="center"/>
          </w:tcPr>
          <w:p>
            <w:pPr>
              <w:spacing w:line="360" w:lineRule="auto"/>
              <w:jc w:val="center"/>
              <w:rPr>
                <w:rFonts w:hint="eastAsia" w:ascii="仿宋" w:hAnsi="仿宋" w:eastAsia="仿宋" w:cs="仿宋"/>
                <w:color w:val="auto"/>
                <w:kern w:val="0"/>
                <w:sz w:val="22"/>
                <w:highlight w:val="none"/>
                <w:lang w:val="zh-CN"/>
              </w:rPr>
            </w:pPr>
            <w:r>
              <w:rPr>
                <w:rFonts w:hint="eastAsia" w:ascii="仿宋" w:hAnsi="仿宋" w:eastAsia="仿宋" w:cs="仿宋"/>
                <w:color w:val="auto"/>
                <w:kern w:val="0"/>
                <w:sz w:val="22"/>
                <w:highlight w:val="none"/>
              </w:rPr>
              <w:t>项目名称</w:t>
            </w:r>
          </w:p>
        </w:tc>
        <w:tc>
          <w:tcPr>
            <w:tcW w:w="6674" w:type="dxa"/>
            <w:tcBorders>
              <w:bottom w:val="single" w:color="auto" w:sz="4" w:space="0"/>
            </w:tcBorders>
            <w:vAlign w:val="center"/>
          </w:tcPr>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四川省人民医院</w:t>
            </w:r>
            <w:r>
              <w:rPr>
                <w:rFonts w:hint="eastAsia" w:ascii="仿宋" w:hAnsi="仿宋" w:eastAsia="仿宋" w:cs="仿宋"/>
                <w:color w:val="auto"/>
                <w:sz w:val="22"/>
                <w:highlight w:val="none"/>
                <w:lang w:val="en-US" w:eastAsia="zh-CN"/>
              </w:rPr>
              <w:t>2024年排污在线监测一体化改造施工项目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项目编号</w:t>
            </w:r>
          </w:p>
        </w:tc>
        <w:tc>
          <w:tcPr>
            <w:tcW w:w="6674" w:type="dxa"/>
            <w:vAlign w:val="center"/>
          </w:tcPr>
          <w:p>
            <w:pPr>
              <w:spacing w:line="360" w:lineRule="auto"/>
              <w:ind w:left="210" w:leftChars="100"/>
              <w:rPr>
                <w:rFonts w:hint="default" w:ascii="仿宋" w:hAnsi="仿宋" w:eastAsia="仿宋" w:cs="仿宋"/>
                <w:color w:val="auto"/>
                <w:sz w:val="22"/>
                <w:highlight w:val="none"/>
                <w:lang w:val="en-US" w:eastAsia="zh-CN"/>
              </w:rPr>
            </w:pPr>
            <w:r>
              <w:rPr>
                <w:rFonts w:hint="default" w:ascii="仿宋" w:hAnsi="仿宋" w:eastAsia="仿宋" w:cs="仿宋"/>
                <w:color w:val="auto"/>
                <w:sz w:val="22"/>
                <w:highlight w:val="none"/>
                <w:lang w:val="en-US" w:eastAsia="zh-CN"/>
              </w:rPr>
              <w:t>CGZX-HQB20241588</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spacing w:line="360" w:lineRule="auto"/>
              <w:jc w:val="center"/>
              <w:rPr>
                <w:rFonts w:hint="eastAsia" w:ascii="仿宋" w:hAnsi="仿宋" w:eastAsia="仿宋" w:cs="仿宋"/>
                <w:color w:val="auto"/>
                <w:kern w:val="0"/>
                <w:sz w:val="22"/>
                <w:highlight w:val="none"/>
                <w:lang w:eastAsia="zh-CN"/>
              </w:rPr>
            </w:pPr>
            <w:r>
              <w:rPr>
                <w:rFonts w:hint="eastAsia" w:ascii="仿宋" w:hAnsi="仿宋" w:eastAsia="仿宋" w:cs="仿宋"/>
                <w:color w:val="auto"/>
                <w:kern w:val="0"/>
                <w:sz w:val="22"/>
                <w:highlight w:val="none"/>
                <w:lang w:val="en-US" w:eastAsia="zh-CN"/>
              </w:rPr>
              <w:t>采购需求</w:t>
            </w:r>
          </w:p>
        </w:tc>
        <w:tc>
          <w:tcPr>
            <w:tcW w:w="6674" w:type="dxa"/>
            <w:vAlign w:val="center"/>
          </w:tcPr>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详见</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1"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spacing w:line="360" w:lineRule="auto"/>
              <w:jc w:val="center"/>
              <w:rPr>
                <w:rFonts w:hint="eastAsia" w:ascii="仿宋" w:hAnsi="仿宋" w:eastAsia="仿宋" w:cs="仿宋"/>
                <w:color w:val="auto"/>
                <w:kern w:val="0"/>
                <w:sz w:val="22"/>
                <w:highlight w:val="none"/>
                <w:lang w:val="zh-CN"/>
              </w:rPr>
            </w:pPr>
            <w:r>
              <w:rPr>
                <w:rFonts w:hint="eastAsia" w:ascii="仿宋" w:hAnsi="仿宋" w:eastAsia="仿宋" w:cs="仿宋"/>
                <w:color w:val="auto"/>
                <w:kern w:val="0"/>
                <w:sz w:val="22"/>
                <w:highlight w:val="none"/>
                <w:lang w:val="zh-CN"/>
              </w:rPr>
              <w:t>最高限价</w:t>
            </w:r>
          </w:p>
        </w:tc>
        <w:tc>
          <w:tcPr>
            <w:tcW w:w="6674" w:type="dxa"/>
            <w:vAlign w:val="center"/>
          </w:tcPr>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限高价：</w:t>
            </w:r>
            <w:r>
              <w:rPr>
                <w:rFonts w:hint="eastAsia" w:ascii="仿宋" w:hAnsi="仿宋" w:eastAsia="仿宋" w:cs="仿宋"/>
                <w:color w:val="auto"/>
                <w:sz w:val="22"/>
                <w:highlight w:val="none"/>
              </w:rPr>
              <w:t>人民币88</w:t>
            </w:r>
            <w:r>
              <w:rPr>
                <w:rFonts w:hint="eastAsia" w:ascii="仿宋" w:hAnsi="仿宋" w:eastAsia="仿宋" w:cs="仿宋"/>
                <w:color w:val="auto"/>
                <w:sz w:val="22"/>
                <w:highlight w:val="none"/>
                <w:lang w:val="en-US" w:eastAsia="zh-CN"/>
              </w:rPr>
              <w:t>.</w:t>
            </w:r>
            <w:r>
              <w:rPr>
                <w:rFonts w:hint="eastAsia" w:ascii="仿宋" w:hAnsi="仿宋" w:eastAsia="仿宋" w:cs="仿宋"/>
                <w:color w:val="auto"/>
                <w:sz w:val="22"/>
                <w:highlight w:val="none"/>
              </w:rPr>
              <w:t>813245</w:t>
            </w:r>
            <w:r>
              <w:rPr>
                <w:rFonts w:hint="eastAsia" w:ascii="仿宋" w:hAnsi="仿宋" w:eastAsia="仿宋" w:cs="仿宋"/>
                <w:color w:val="auto"/>
                <w:sz w:val="22"/>
                <w:highlight w:val="none"/>
                <w:lang w:val="en-US" w:eastAsia="zh-CN"/>
              </w:rPr>
              <w:t>万</w:t>
            </w:r>
            <w:r>
              <w:rPr>
                <w:rFonts w:hint="eastAsia" w:ascii="仿宋" w:hAnsi="仿宋" w:eastAsia="仿宋" w:cs="仿宋"/>
                <w:color w:val="auto"/>
                <w:sz w:val="22"/>
                <w:highlight w:val="none"/>
              </w:rPr>
              <w:t>元</w:t>
            </w:r>
          </w:p>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超过最高限价的报价，其</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spacing w:line="360" w:lineRule="auto"/>
              <w:jc w:val="center"/>
              <w:rPr>
                <w:rFonts w:hint="eastAsia" w:ascii="仿宋" w:hAnsi="仿宋" w:eastAsia="仿宋" w:cs="仿宋"/>
                <w:color w:val="auto"/>
                <w:kern w:val="0"/>
                <w:sz w:val="22"/>
                <w:highlight w:val="none"/>
                <w:lang w:val="zh-CN"/>
              </w:rPr>
            </w:pPr>
            <w:r>
              <w:rPr>
                <w:rFonts w:hint="eastAsia" w:ascii="仿宋" w:hAnsi="仿宋" w:eastAsia="仿宋" w:cs="仿宋"/>
                <w:color w:val="auto"/>
                <w:kern w:val="0"/>
                <w:sz w:val="22"/>
                <w:highlight w:val="none"/>
              </w:rPr>
              <w:t>邀请</w:t>
            </w:r>
            <w:r>
              <w:rPr>
                <w:rFonts w:hint="eastAsia" w:ascii="仿宋" w:hAnsi="仿宋" w:eastAsia="仿宋" w:cs="仿宋"/>
                <w:color w:val="auto"/>
                <w:kern w:val="0"/>
                <w:sz w:val="22"/>
                <w:highlight w:val="none"/>
                <w:lang w:val="zh-CN"/>
              </w:rPr>
              <w:t>方式</w:t>
            </w:r>
          </w:p>
        </w:tc>
        <w:tc>
          <w:tcPr>
            <w:tcW w:w="6674" w:type="dxa"/>
            <w:vAlign w:val="center"/>
          </w:tcPr>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2"/>
                <w:highlight w:val="none"/>
              </w:rPr>
              <w:t>公开</w:t>
            </w:r>
            <w:r>
              <w:rPr>
                <w:rFonts w:hint="eastAsia" w:ascii="仿宋" w:hAnsi="仿宋" w:eastAsia="仿宋" w:cs="仿宋"/>
                <w:color w:val="auto"/>
                <w:sz w:val="22"/>
                <w:highlight w:val="none"/>
                <w:lang w:val="en-US" w:eastAsia="zh-CN"/>
              </w:rPr>
              <w:t>方式</w:t>
            </w:r>
            <w:r>
              <w:rPr>
                <w:rFonts w:hint="eastAsia" w:ascii="仿宋" w:hAnsi="仿宋" w:eastAsia="仿宋" w:cs="仿宋"/>
                <w:color w:val="auto"/>
                <w:sz w:val="22"/>
                <w:highlight w:val="none"/>
              </w:rPr>
              <w:t>：四川省人民医院官方网站上以公告形式发布；</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2"/>
                <w:highlight w:val="none"/>
                <w:lang w:val="en-US" w:eastAsia="zh-CN"/>
              </w:rPr>
              <w:t>非公开方式</w:t>
            </w:r>
            <w:r>
              <w:rPr>
                <w:rFonts w:hint="eastAsia" w:ascii="仿宋" w:hAnsi="仿宋" w:eastAsia="仿宋" w:cs="仿宋"/>
                <w:color w:val="auto"/>
                <w:sz w:val="22"/>
                <w:highlight w:val="none"/>
              </w:rPr>
              <w:t>：通过书面推荐意见，推荐符合相应资格条件的供应商参与本次采购活动</w:t>
            </w:r>
            <w:r>
              <w:rPr>
                <w:rFonts w:hint="eastAsia" w:ascii="仿宋" w:hAnsi="仿宋" w:eastAsia="仿宋" w:cs="仿宋"/>
                <w:color w:val="auto"/>
                <w:sz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联合体</w:t>
            </w:r>
          </w:p>
        </w:tc>
        <w:tc>
          <w:tcPr>
            <w:tcW w:w="6674"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210" w:left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2"/>
                <w:highlight w:val="none"/>
              </w:rPr>
              <w:t xml:space="preserve">接受       </w:t>
            </w: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pStyle w:val="26"/>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674"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06" w:hRule="atLeast"/>
        </w:trPr>
        <w:tc>
          <w:tcPr>
            <w:tcW w:w="524" w:type="dxa"/>
            <w:vMerge w:val="restart"/>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Merge w:val="restart"/>
            <w:vAlign w:val="center"/>
          </w:tcPr>
          <w:p>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现场踏勘</w:t>
            </w:r>
          </w:p>
        </w:tc>
        <w:tc>
          <w:tcPr>
            <w:tcW w:w="6674"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210" w:leftChars="1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91" w:hRule="atLeast"/>
        </w:trPr>
        <w:tc>
          <w:tcPr>
            <w:tcW w:w="524" w:type="dxa"/>
            <w:vMerge w:val="continue"/>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Merge w:val="continue"/>
            <w:vAlign w:val="center"/>
          </w:tcPr>
          <w:p>
            <w:pPr>
              <w:spacing w:line="360" w:lineRule="auto"/>
              <w:jc w:val="center"/>
              <w:rPr>
                <w:rFonts w:hint="eastAsia" w:ascii="仿宋" w:hAnsi="仿宋" w:eastAsia="仿宋" w:cs="仿宋"/>
                <w:color w:val="auto"/>
                <w:kern w:val="0"/>
                <w:sz w:val="22"/>
                <w:highlight w:val="none"/>
              </w:rPr>
            </w:pPr>
          </w:p>
        </w:tc>
        <w:tc>
          <w:tcPr>
            <w:tcW w:w="6674" w:type="dxa"/>
            <w:tcBorders>
              <w:top w:val="single" w:color="auto" w:sz="4" w:space="0"/>
            </w:tcBorders>
            <w:vAlign w:val="center"/>
          </w:tcPr>
          <w:p>
            <w:pPr>
              <w:pStyle w:val="7"/>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left="416" w:leftChars="100" w:hanging="206" w:hangingChars="94"/>
              <w:textAlignment w:val="auto"/>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sym w:font="Wingdings" w:char="00A8"/>
            </w:r>
            <w:r>
              <w:rPr>
                <w:rFonts w:hint="eastAsia" w:ascii="仿宋" w:hAnsi="仿宋" w:eastAsia="仿宋" w:cs="仿宋"/>
                <w:color w:val="auto"/>
                <w:sz w:val="22"/>
                <w:szCs w:val="22"/>
                <w:highlight w:val="none"/>
                <w:u w:color="000000"/>
                <w:lang w:val="en-US" w:eastAsia="zh-CN"/>
              </w:rPr>
              <w:t xml:space="preserve">举行  </w:t>
            </w:r>
          </w:p>
          <w:p>
            <w:pPr>
              <w:pStyle w:val="7"/>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7"/>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7"/>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7"/>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7"/>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7"/>
              <w:ind w:left="0" w:leftChars="0" w:firstLine="440" w:firstLineChars="200"/>
              <w:rPr>
                <w:rFonts w:hint="eastAsia" w:ascii="仿宋" w:hAnsi="仿宋" w:eastAsia="仿宋" w:cs="仿宋"/>
                <w:color w:val="auto"/>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答疑会</w:t>
            </w:r>
          </w:p>
        </w:tc>
        <w:tc>
          <w:tcPr>
            <w:tcW w:w="6674" w:type="dxa"/>
            <w:vAlign w:val="center"/>
          </w:tcPr>
          <w:p>
            <w:pPr>
              <w:spacing w:line="360" w:lineRule="auto"/>
              <w:ind w:left="210" w:left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2"/>
                <w:highlight w:val="none"/>
              </w:rPr>
              <w:t xml:space="preserve">组织       </w:t>
            </w: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6" w:hRule="atLeast"/>
        </w:trPr>
        <w:tc>
          <w:tcPr>
            <w:tcW w:w="524" w:type="dxa"/>
            <w:vMerge w:val="restart"/>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Merge w:val="restart"/>
            <w:vAlign w:val="center"/>
          </w:tcPr>
          <w:p>
            <w:pPr>
              <w:pStyle w:val="2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674" w:type="dxa"/>
            <w:tcBorders>
              <w:bottom w:val="single" w:color="auto" w:sz="4" w:space="0"/>
            </w:tcBorders>
            <w:vAlign w:val="center"/>
          </w:tcPr>
          <w:p>
            <w:pPr>
              <w:pStyle w:val="25"/>
              <w:spacing w:line="360" w:lineRule="auto"/>
              <w:ind w:left="210" w:leftChars="100"/>
              <w:jc w:val="both"/>
              <w:rPr>
                <w:rFonts w:hint="eastAsia" w:ascii="仿宋" w:hAnsi="仿宋" w:eastAsia="仿宋" w:cs="仿宋"/>
                <w:color w:val="auto"/>
                <w:highlight w:val="none"/>
              </w:rPr>
            </w:pPr>
            <w:r>
              <w:rPr>
                <w:rFonts w:hint="eastAsia" w:ascii="仿宋" w:hAnsi="仿宋" w:eastAsia="仿宋" w:cs="仿宋"/>
                <w:color w:val="auto"/>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70" w:hRule="atLeast"/>
        </w:trPr>
        <w:tc>
          <w:tcPr>
            <w:tcW w:w="524" w:type="dxa"/>
            <w:vMerge w:val="continue"/>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Merge w:val="continue"/>
            <w:vAlign w:val="center"/>
          </w:tcPr>
          <w:p>
            <w:pPr>
              <w:pStyle w:val="25"/>
              <w:spacing w:line="360" w:lineRule="auto"/>
              <w:jc w:val="center"/>
              <w:rPr>
                <w:rFonts w:hint="eastAsia" w:ascii="仿宋" w:hAnsi="仿宋" w:eastAsia="仿宋" w:cs="仿宋"/>
                <w:color w:val="auto"/>
                <w:sz w:val="22"/>
                <w:szCs w:val="22"/>
                <w:highlight w:val="none"/>
              </w:rPr>
            </w:pPr>
          </w:p>
        </w:tc>
        <w:tc>
          <w:tcPr>
            <w:tcW w:w="6674" w:type="dxa"/>
            <w:tcBorders>
              <w:top w:val="single" w:color="auto" w:sz="4" w:space="0"/>
            </w:tcBorders>
            <w:vAlign w:val="center"/>
          </w:tcPr>
          <w:p>
            <w:pPr>
              <w:pStyle w:val="25"/>
              <w:spacing w:line="360" w:lineRule="auto"/>
              <w:ind w:left="210" w:leftChars="100" w:firstLine="1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sz w:val="22"/>
                <w:szCs w:val="22"/>
                <w:highlight w:val="none"/>
              </w:rPr>
              <w:t xml:space="preserve">收取       </w:t>
            </w:r>
          </w:p>
          <w:p>
            <w:pPr>
              <w:pStyle w:val="25"/>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25"/>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2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2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2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25"/>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2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25"/>
              <w:numPr>
                <w:ilvl w:val="0"/>
                <w:numId w:val="0"/>
              </w:numPr>
              <w:tabs>
                <w:tab w:val="left" w:pos="220"/>
              </w:tabs>
              <w:spacing w:line="360" w:lineRule="auto"/>
              <w:ind w:leftChars="100"/>
              <w:jc w:val="both"/>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25"/>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25"/>
              <w:numPr>
                <w:ilvl w:val="0"/>
                <w:numId w:val="6"/>
              </w:numP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25"/>
              <w:numPr>
                <w:ilvl w:val="0"/>
                <w:numId w:val="8"/>
              </w:numP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w:t>
            </w:r>
            <w:r>
              <w:rPr>
                <w:rFonts w:hint="eastAsia" w:ascii="仿宋" w:hAnsi="仿宋" w:eastAsia="仿宋" w:cs="仿宋"/>
                <w:color w:val="auto"/>
                <w:sz w:val="22"/>
                <w:szCs w:val="22"/>
                <w:highlight w:val="none"/>
              </w:rPr>
              <w:t>采购人</w:t>
            </w:r>
            <w:r>
              <w:rPr>
                <w:rFonts w:hint="eastAsia" w:ascii="仿宋" w:hAnsi="仿宋" w:eastAsia="仿宋" w:cs="仿宋"/>
                <w:color w:val="auto"/>
                <w:sz w:val="22"/>
                <w:szCs w:val="22"/>
                <w:highlight w:val="none"/>
                <w:lang w:val="zh-CN"/>
              </w:rPr>
              <w:t>订立的合同的，给</w:t>
            </w:r>
            <w:r>
              <w:rPr>
                <w:rFonts w:hint="eastAsia" w:ascii="仿宋" w:hAnsi="仿宋" w:eastAsia="仿宋" w:cs="仿宋"/>
                <w:color w:val="auto"/>
                <w:sz w:val="22"/>
                <w:szCs w:val="22"/>
                <w:highlight w:val="none"/>
              </w:rPr>
              <w:t>采购人</w:t>
            </w:r>
            <w:r>
              <w:rPr>
                <w:rFonts w:hint="eastAsia" w:ascii="仿宋" w:hAnsi="仿宋" w:eastAsia="仿宋" w:cs="仿宋"/>
                <w:color w:val="auto"/>
                <w:sz w:val="22"/>
                <w:szCs w:val="22"/>
                <w:highlight w:val="none"/>
                <w:lang w:val="zh-CN"/>
              </w:rPr>
              <w:t>造成的损失超过履约保证金数额的，还应当对超过部分予以赔偿；</w:t>
            </w:r>
          </w:p>
          <w:p>
            <w:pPr>
              <w:pStyle w:val="25"/>
              <w:numPr>
                <w:ilvl w:val="0"/>
                <w:numId w:val="8"/>
              </w:numP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25"/>
              <w:numPr>
                <w:ilvl w:val="0"/>
                <w:numId w:val="8"/>
              </w:numP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29"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spacing w:line="360" w:lineRule="auto"/>
              <w:jc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lang w:val="zh-CN"/>
              </w:rPr>
              <w:t>评审方式</w:t>
            </w:r>
          </w:p>
        </w:tc>
        <w:tc>
          <w:tcPr>
            <w:tcW w:w="6674" w:type="dxa"/>
            <w:vAlign w:val="center"/>
          </w:tcPr>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b/>
                <w:bCs/>
                <w:color w:val="auto"/>
                <w:sz w:val="22"/>
                <w:highlight w:val="none"/>
              </w:rPr>
              <w:t>综合评分法</w:t>
            </w:r>
          </w:p>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通过资格</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符合性</w:t>
            </w:r>
            <w:r>
              <w:rPr>
                <w:rFonts w:hint="eastAsia" w:ascii="仿宋" w:hAnsi="仿宋" w:eastAsia="仿宋" w:cs="仿宋"/>
                <w:color w:val="auto"/>
                <w:sz w:val="22"/>
                <w:highlight w:val="none"/>
              </w:rPr>
              <w:t>审查且满足</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全部实质性要求</w:t>
            </w:r>
            <w:r>
              <w:rPr>
                <w:rFonts w:hint="eastAsia" w:ascii="仿宋" w:hAnsi="仿宋" w:eastAsia="仿宋" w:cs="仿宋"/>
                <w:color w:val="auto"/>
                <w:sz w:val="22"/>
                <w:highlight w:val="none"/>
                <w:lang w:val="en-US" w:eastAsia="zh-CN"/>
              </w:rPr>
              <w:t>的供应商达到2家以上（含2家）</w:t>
            </w: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评审小组</w:t>
            </w:r>
            <w:r>
              <w:rPr>
                <w:rFonts w:hint="eastAsia" w:ascii="仿宋" w:hAnsi="仿宋" w:eastAsia="仿宋" w:cs="仿宋"/>
                <w:color w:val="auto"/>
                <w:sz w:val="22"/>
                <w:highlight w:val="none"/>
              </w:rPr>
              <w:t>按照评审因素</w:t>
            </w:r>
            <w:r>
              <w:rPr>
                <w:rFonts w:hint="eastAsia" w:ascii="仿宋" w:hAnsi="仿宋" w:eastAsia="仿宋" w:cs="仿宋"/>
                <w:color w:val="auto"/>
                <w:sz w:val="22"/>
                <w:highlight w:val="none"/>
                <w:lang w:val="en-US" w:eastAsia="zh-CN"/>
              </w:rPr>
              <w:t>进行</w:t>
            </w:r>
            <w:r>
              <w:rPr>
                <w:rFonts w:hint="eastAsia" w:ascii="仿宋" w:hAnsi="仿宋" w:eastAsia="仿宋" w:cs="仿宋"/>
                <w:color w:val="auto"/>
                <w:sz w:val="22"/>
                <w:highlight w:val="none"/>
              </w:rPr>
              <w:t>评分</w:t>
            </w:r>
            <w:r>
              <w:rPr>
                <w:rFonts w:hint="eastAsia" w:ascii="仿宋" w:hAnsi="仿宋" w:eastAsia="仿宋" w:cs="仿宋"/>
                <w:color w:val="auto"/>
                <w:sz w:val="22"/>
                <w:highlight w:val="none"/>
                <w:lang w:eastAsia="zh-CN"/>
              </w:rPr>
              <w:t>，</w:t>
            </w:r>
            <w:r>
              <w:rPr>
                <w:rFonts w:hint="eastAsia" w:ascii="仿宋" w:hAnsi="仿宋" w:eastAsia="仿宋" w:cs="仿宋"/>
                <w:b/>
                <w:bCs/>
                <w:color w:val="auto"/>
                <w:sz w:val="22"/>
                <w:highlight w:val="none"/>
              </w:rPr>
              <w:t>得分最高</w:t>
            </w:r>
            <w:r>
              <w:rPr>
                <w:rFonts w:hint="eastAsia" w:ascii="仿宋" w:hAnsi="仿宋" w:eastAsia="仿宋" w:cs="仿宋"/>
                <w:color w:val="auto"/>
                <w:sz w:val="22"/>
                <w:highlight w:val="none"/>
              </w:rPr>
              <w:t>的供应商为</w:t>
            </w:r>
            <w:r>
              <w:rPr>
                <w:rFonts w:hint="eastAsia" w:ascii="仿宋" w:hAnsi="仿宋" w:eastAsia="仿宋" w:cs="仿宋"/>
                <w:color w:val="auto"/>
                <w:sz w:val="22"/>
                <w:highlight w:val="none"/>
                <w:lang w:eastAsia="zh-CN"/>
              </w:rPr>
              <w:t>成交供应商。</w:t>
            </w:r>
            <w:r>
              <w:rPr>
                <w:rFonts w:hint="eastAsia" w:ascii="仿宋" w:hAnsi="仿宋" w:eastAsia="仿宋" w:cs="仿宋"/>
                <w:color w:val="auto"/>
                <w:sz w:val="22"/>
                <w:highlight w:val="none"/>
              </w:rPr>
              <w:t>若得分相同则</w:t>
            </w:r>
            <w:r>
              <w:rPr>
                <w:rFonts w:hint="eastAsia" w:ascii="仿宋" w:hAnsi="仿宋" w:eastAsia="仿宋" w:cs="仿宋"/>
                <w:color w:val="auto"/>
                <w:sz w:val="22"/>
                <w:highlight w:val="none"/>
                <w:lang w:val="en-US" w:eastAsia="zh-CN"/>
              </w:rPr>
              <w:t>报价最</w:t>
            </w:r>
            <w:r>
              <w:rPr>
                <w:rFonts w:hint="eastAsia" w:ascii="仿宋" w:hAnsi="仿宋" w:eastAsia="仿宋" w:cs="仿宋"/>
                <w:color w:val="auto"/>
                <w:sz w:val="22"/>
                <w:highlight w:val="none"/>
              </w:rPr>
              <w:t>低的为</w:t>
            </w:r>
            <w:r>
              <w:rPr>
                <w:rFonts w:hint="eastAsia" w:ascii="仿宋" w:hAnsi="仿宋" w:eastAsia="仿宋" w:cs="仿宋"/>
                <w:color w:val="auto"/>
                <w:sz w:val="22"/>
                <w:highlight w:val="none"/>
                <w:lang w:eastAsia="zh-CN"/>
              </w:rPr>
              <w:t>成交供应商，</w:t>
            </w:r>
            <w:r>
              <w:rPr>
                <w:rFonts w:hint="eastAsia" w:ascii="仿宋" w:hAnsi="仿宋" w:eastAsia="仿宋" w:cs="仿宋"/>
                <w:color w:val="auto"/>
                <w:kern w:val="0"/>
                <w:sz w:val="22"/>
                <w:szCs w:val="22"/>
                <w:highlight w:val="none"/>
                <w:lang w:val="zh-CN" w:eastAsia="zh-CN" w:bidi="ar-SA"/>
              </w:rPr>
              <w:t>若报价相同</w:t>
            </w:r>
            <w:r>
              <w:rPr>
                <w:rFonts w:hint="eastAsia" w:ascii="仿宋" w:hAnsi="仿宋" w:eastAsia="仿宋" w:cs="仿宋"/>
                <w:color w:val="auto"/>
                <w:kern w:val="0"/>
                <w:sz w:val="22"/>
                <w:szCs w:val="22"/>
                <w:highlight w:val="none"/>
                <w:lang w:val="en-US" w:eastAsia="zh-CN" w:bidi="ar-SA"/>
              </w:rPr>
              <w:t>且</w:t>
            </w:r>
            <w:r>
              <w:rPr>
                <w:rFonts w:hint="eastAsia" w:ascii="仿宋" w:hAnsi="仿宋" w:eastAsia="仿宋" w:cs="仿宋"/>
                <w:color w:val="auto"/>
                <w:kern w:val="0"/>
                <w:sz w:val="22"/>
                <w:szCs w:val="22"/>
                <w:highlight w:val="none"/>
                <w:lang w:val="zh-CN" w:eastAsia="zh-CN" w:bidi="ar-SA"/>
              </w:rPr>
              <w:t>所有技术、服务及商务</w:t>
            </w:r>
            <w:r>
              <w:rPr>
                <w:rFonts w:hint="eastAsia" w:ascii="仿宋" w:hAnsi="仿宋" w:eastAsia="仿宋" w:cs="仿宋"/>
                <w:color w:val="auto"/>
                <w:kern w:val="0"/>
                <w:sz w:val="22"/>
                <w:szCs w:val="22"/>
                <w:highlight w:val="none"/>
                <w:lang w:val="en-US" w:eastAsia="zh-CN" w:bidi="ar-SA"/>
              </w:rPr>
              <w:t>要求响应情况均一致则</w:t>
            </w:r>
            <w:r>
              <w:rPr>
                <w:rFonts w:hint="eastAsia" w:ascii="仿宋" w:hAnsi="仿宋" w:eastAsia="仿宋" w:cs="仿宋"/>
                <w:color w:val="auto"/>
                <w:kern w:val="0"/>
                <w:sz w:val="22"/>
                <w:szCs w:val="22"/>
                <w:highlight w:val="none"/>
                <w:lang w:val="zh-CN" w:eastAsia="zh-CN" w:bidi="ar-SA"/>
              </w:rPr>
              <w:t>采取随机抽取的方式确定</w:t>
            </w:r>
            <w:r>
              <w:rPr>
                <w:rFonts w:hint="eastAsia" w:ascii="仿宋" w:hAnsi="仿宋" w:eastAsia="仿宋" w:cs="仿宋"/>
                <w:color w:val="auto"/>
                <w:kern w:val="0"/>
                <w:sz w:val="22"/>
                <w:szCs w:val="22"/>
                <w:highlight w:val="none"/>
                <w:lang w:val="en-US" w:eastAsia="zh-CN" w:bidi="ar-SA"/>
              </w:rPr>
              <w:t>成交供应商</w:t>
            </w:r>
            <w:r>
              <w:rPr>
                <w:rFonts w:hint="eastAsia" w:ascii="仿宋" w:hAnsi="仿宋" w:eastAsia="仿宋" w:cs="仿宋"/>
                <w:color w:val="auto"/>
                <w:kern w:val="0"/>
                <w:sz w:val="22"/>
                <w:szCs w:val="22"/>
                <w:highlight w:val="none"/>
                <w:lang w:val="zh-CN" w:eastAsia="zh-CN" w:bidi="ar-SA"/>
              </w:rPr>
              <w:t>。</w:t>
            </w:r>
          </w:p>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b/>
                <w:bCs/>
                <w:color w:val="auto"/>
                <w:sz w:val="22"/>
                <w:highlight w:val="none"/>
              </w:rPr>
              <w:t>最低价法</w:t>
            </w:r>
          </w:p>
          <w:p>
            <w:pPr>
              <w:spacing w:line="360" w:lineRule="auto"/>
              <w:ind w:left="210" w:leftChars="100"/>
              <w:rPr>
                <w:rFonts w:hint="eastAsia" w:ascii="仿宋" w:hAnsi="仿宋" w:eastAsia="仿宋" w:cs="仿宋"/>
                <w:color w:val="auto"/>
                <w:sz w:val="24"/>
                <w:szCs w:val="24"/>
                <w:highlight w:val="none"/>
              </w:rPr>
            </w:pPr>
            <w:r>
              <w:rPr>
                <w:rFonts w:hint="eastAsia" w:ascii="仿宋" w:hAnsi="仿宋" w:eastAsia="仿宋" w:cs="仿宋"/>
                <w:color w:val="auto"/>
                <w:sz w:val="22"/>
                <w:highlight w:val="none"/>
              </w:rPr>
              <w:t>通过资格</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符合性</w:t>
            </w:r>
            <w:r>
              <w:rPr>
                <w:rFonts w:hint="eastAsia" w:ascii="仿宋" w:hAnsi="仿宋" w:eastAsia="仿宋" w:cs="仿宋"/>
                <w:color w:val="auto"/>
                <w:sz w:val="22"/>
                <w:highlight w:val="none"/>
              </w:rPr>
              <w:t>审查且所有技术参数要求和商务要求均符合要求</w:t>
            </w:r>
            <w:r>
              <w:rPr>
                <w:rFonts w:hint="eastAsia" w:ascii="仿宋" w:hAnsi="仿宋" w:eastAsia="仿宋" w:cs="仿宋"/>
                <w:color w:val="auto"/>
                <w:sz w:val="22"/>
                <w:highlight w:val="none"/>
                <w:lang w:val="en-US" w:eastAsia="zh-CN"/>
              </w:rPr>
              <w:t>的供应商达到2家以上（含2家）</w:t>
            </w:r>
            <w:r>
              <w:rPr>
                <w:rFonts w:hint="eastAsia" w:ascii="仿宋" w:hAnsi="仿宋" w:eastAsia="仿宋" w:cs="仿宋"/>
                <w:color w:val="auto"/>
                <w:sz w:val="22"/>
                <w:highlight w:val="none"/>
              </w:rPr>
              <w:t>，评审小组按照有效报价进行评审</w:t>
            </w:r>
            <w:r>
              <w:rPr>
                <w:rFonts w:hint="eastAsia" w:ascii="仿宋" w:hAnsi="仿宋" w:eastAsia="仿宋" w:cs="仿宋"/>
                <w:color w:val="auto"/>
                <w:sz w:val="22"/>
                <w:highlight w:val="none"/>
                <w:lang w:eastAsia="zh-CN"/>
              </w:rPr>
              <w:t>，</w:t>
            </w:r>
            <w:r>
              <w:rPr>
                <w:rFonts w:hint="eastAsia" w:ascii="仿宋" w:hAnsi="仿宋" w:eastAsia="仿宋" w:cs="仿宋"/>
                <w:b/>
                <w:bCs/>
                <w:color w:val="auto"/>
                <w:sz w:val="22"/>
                <w:highlight w:val="none"/>
              </w:rPr>
              <w:t>有效报价最低</w:t>
            </w:r>
            <w:r>
              <w:rPr>
                <w:rFonts w:hint="eastAsia" w:ascii="仿宋" w:hAnsi="仿宋" w:eastAsia="仿宋" w:cs="仿宋"/>
                <w:color w:val="auto"/>
                <w:sz w:val="22"/>
                <w:highlight w:val="none"/>
              </w:rPr>
              <w:t>的供应商为</w:t>
            </w:r>
            <w:r>
              <w:rPr>
                <w:rFonts w:hint="eastAsia" w:ascii="仿宋" w:hAnsi="仿宋" w:eastAsia="仿宋" w:cs="仿宋"/>
                <w:color w:val="auto"/>
                <w:sz w:val="22"/>
                <w:highlight w:val="none"/>
                <w:lang w:eastAsia="zh-CN"/>
              </w:rPr>
              <w:t>成交供应商。</w:t>
            </w:r>
            <w:r>
              <w:rPr>
                <w:rFonts w:hint="eastAsia" w:ascii="仿宋" w:hAnsi="仿宋" w:eastAsia="仿宋" w:cs="仿宋"/>
                <w:color w:val="auto"/>
                <w:kern w:val="0"/>
                <w:sz w:val="22"/>
                <w:szCs w:val="22"/>
                <w:highlight w:val="none"/>
                <w:lang w:val="zh-CN" w:eastAsia="zh-CN" w:bidi="ar-SA"/>
              </w:rPr>
              <w:t>若报价相同</w:t>
            </w:r>
            <w:r>
              <w:rPr>
                <w:rFonts w:hint="eastAsia" w:ascii="仿宋" w:hAnsi="仿宋" w:eastAsia="仿宋" w:cs="仿宋"/>
                <w:color w:val="auto"/>
                <w:kern w:val="0"/>
                <w:sz w:val="22"/>
                <w:szCs w:val="22"/>
                <w:highlight w:val="none"/>
                <w:lang w:val="en-US" w:eastAsia="zh-CN" w:bidi="ar-SA"/>
              </w:rPr>
              <w:t>且</w:t>
            </w:r>
            <w:r>
              <w:rPr>
                <w:rFonts w:hint="eastAsia" w:ascii="仿宋" w:hAnsi="仿宋" w:eastAsia="仿宋" w:cs="仿宋"/>
                <w:color w:val="auto"/>
                <w:kern w:val="0"/>
                <w:sz w:val="22"/>
                <w:szCs w:val="22"/>
                <w:highlight w:val="none"/>
                <w:lang w:val="zh-CN" w:eastAsia="zh-CN" w:bidi="ar-SA"/>
              </w:rPr>
              <w:t>所有技术、服务及商务</w:t>
            </w:r>
            <w:r>
              <w:rPr>
                <w:rFonts w:hint="eastAsia" w:ascii="仿宋" w:hAnsi="仿宋" w:eastAsia="仿宋" w:cs="仿宋"/>
                <w:color w:val="auto"/>
                <w:kern w:val="0"/>
                <w:sz w:val="22"/>
                <w:szCs w:val="22"/>
                <w:highlight w:val="none"/>
                <w:lang w:val="en-US" w:eastAsia="zh-CN" w:bidi="ar-SA"/>
              </w:rPr>
              <w:t>要求响应情况均一致则</w:t>
            </w:r>
            <w:r>
              <w:rPr>
                <w:rFonts w:hint="eastAsia" w:ascii="仿宋" w:hAnsi="仿宋" w:eastAsia="仿宋" w:cs="仿宋"/>
                <w:color w:val="auto"/>
                <w:kern w:val="0"/>
                <w:sz w:val="22"/>
                <w:szCs w:val="22"/>
                <w:highlight w:val="none"/>
                <w:lang w:val="zh-CN" w:eastAsia="zh-CN" w:bidi="ar-SA"/>
              </w:rPr>
              <w:t>采取随机抽取的方式确定</w:t>
            </w:r>
            <w:r>
              <w:rPr>
                <w:rFonts w:hint="eastAsia" w:ascii="仿宋" w:hAnsi="仿宋" w:eastAsia="仿宋" w:cs="仿宋"/>
                <w:color w:val="auto"/>
                <w:kern w:val="0"/>
                <w:sz w:val="22"/>
                <w:szCs w:val="22"/>
                <w:highlight w:val="none"/>
                <w:lang w:val="en-US" w:eastAsia="zh-CN" w:bidi="ar-SA"/>
              </w:rPr>
              <w:t>成交供应商</w:t>
            </w:r>
            <w:r>
              <w:rPr>
                <w:rFonts w:hint="eastAsia" w:ascii="仿宋" w:hAnsi="仿宋" w:eastAsia="仿宋" w:cs="仿宋"/>
                <w:color w:val="auto"/>
                <w:kern w:val="0"/>
                <w:sz w:val="22"/>
                <w:szCs w:val="22"/>
                <w:highlight w:val="none"/>
                <w:lang w:val="zh-CN" w:eastAsia="zh-CN" w:bidi="ar-SA"/>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33" w:type="dxa"/>
            <w:vAlign w:val="center"/>
          </w:tcPr>
          <w:p>
            <w:pPr>
              <w:pStyle w:val="2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谈判文件</w:t>
            </w:r>
          </w:p>
          <w:p>
            <w:pPr>
              <w:pStyle w:val="2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674" w:type="dxa"/>
            <w:vAlign w:val="center"/>
          </w:tcPr>
          <w:p>
            <w:pPr>
              <w:pStyle w:val="25"/>
              <w:spacing w:line="360" w:lineRule="auto"/>
              <w:ind w:left="218" w:leftChars="10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33" w:type="dxa"/>
            <w:vAlign w:val="center"/>
          </w:tcPr>
          <w:p>
            <w:pPr>
              <w:pStyle w:val="2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响应文件</w:t>
            </w:r>
            <w:r>
              <w:rPr>
                <w:rFonts w:hint="eastAsia" w:ascii="仿宋" w:hAnsi="仿宋" w:eastAsia="仿宋" w:cs="仿宋"/>
                <w:color w:val="auto"/>
                <w:sz w:val="22"/>
                <w:szCs w:val="22"/>
                <w:highlight w:val="none"/>
              </w:rPr>
              <w:t>提交方式</w:t>
            </w:r>
          </w:p>
        </w:tc>
        <w:tc>
          <w:tcPr>
            <w:tcW w:w="6674" w:type="dxa"/>
            <w:vAlign w:val="center"/>
          </w:tcPr>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2"/>
                <w:highlight w:val="none"/>
              </w:rPr>
              <w:t>线上提交：</w:t>
            </w:r>
          </w:p>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供应商应通过四川省人民医院电子招标采购平台（网址http://cg.samsph.com）提交</w:t>
            </w:r>
            <w:r>
              <w:rPr>
                <w:rFonts w:hint="eastAsia" w:ascii="仿宋" w:hAnsi="仿宋" w:eastAsia="仿宋" w:cs="仿宋"/>
                <w:color w:val="auto"/>
                <w:sz w:val="22"/>
                <w:highlight w:val="none"/>
                <w:lang w:val="en-US" w:eastAsia="zh-CN"/>
              </w:rPr>
              <w:t>响应</w:t>
            </w:r>
            <w:r>
              <w:rPr>
                <w:rFonts w:hint="eastAsia" w:ascii="仿宋" w:hAnsi="仿宋" w:eastAsia="仿宋" w:cs="仿宋"/>
                <w:color w:val="auto"/>
                <w:sz w:val="22"/>
                <w:highlight w:val="none"/>
                <w:lang w:eastAsia="zh-CN"/>
              </w:rPr>
              <w:t>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p>
          <w:p>
            <w:pPr>
              <w:pStyle w:val="2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sz w:val="22"/>
                <w:szCs w:val="22"/>
                <w:highlight w:val="none"/>
              </w:rPr>
              <w:t>现场提交：</w:t>
            </w:r>
          </w:p>
          <w:p>
            <w:pPr>
              <w:pStyle w:val="2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响应文件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响应文件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谈判</w:t>
            </w:r>
            <w:r>
              <w:rPr>
                <w:rFonts w:hint="eastAsia" w:ascii="仿宋" w:hAnsi="仿宋" w:eastAsia="仿宋" w:cs="仿宋"/>
                <w:color w:val="auto"/>
                <w:sz w:val="22"/>
                <w:szCs w:val="22"/>
                <w:highlight w:val="none"/>
              </w:rPr>
              <w:t>地点；</w:t>
            </w:r>
          </w:p>
          <w:p>
            <w:pPr>
              <w:pStyle w:val="2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2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谈判</w:t>
            </w: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u w:val="none"/>
                <w:lang w:val="en-US" w:eastAsia="zh-CN"/>
              </w:rPr>
              <w:t>。</w:t>
            </w:r>
          </w:p>
          <w:p>
            <w:pPr>
              <w:pStyle w:val="25"/>
              <w:spacing w:line="360" w:lineRule="auto"/>
              <w:ind w:left="218" w:leftChars="104"/>
              <w:jc w:val="both"/>
              <w:rPr>
                <w:rFonts w:hint="eastAsia" w:ascii="仿宋" w:hAnsi="仿宋" w:eastAsia="仿宋" w:cs="仿宋"/>
                <w:b/>
                <w:bCs/>
                <w:color w:val="auto"/>
                <w:kern w:val="2"/>
                <w:sz w:val="20"/>
                <w:szCs w:val="20"/>
                <w:highlight w:val="none"/>
              </w:rPr>
            </w:pPr>
            <w:r>
              <w:rPr>
                <w:rFonts w:hint="eastAsia" w:ascii="仿宋" w:hAnsi="仿宋" w:eastAsia="仿宋" w:cs="仿宋"/>
                <w:b/>
                <w:bCs/>
                <w:color w:val="auto"/>
                <w:kern w:val="2"/>
                <w:sz w:val="20"/>
                <w:szCs w:val="20"/>
                <w:highlight w:val="none"/>
              </w:rPr>
              <w:t>注：</w:t>
            </w:r>
            <w:r>
              <w:rPr>
                <w:rFonts w:hint="eastAsia" w:ascii="仿宋" w:hAnsi="仿宋" w:eastAsia="仿宋" w:cs="仿宋"/>
                <w:b/>
                <w:bCs/>
                <w:color w:val="auto"/>
                <w:kern w:val="2"/>
                <w:sz w:val="20"/>
                <w:szCs w:val="20"/>
                <w:highlight w:val="none"/>
                <w:lang w:eastAsia="zh-CN"/>
              </w:rPr>
              <w:t>响应文件</w:t>
            </w:r>
            <w:r>
              <w:rPr>
                <w:rFonts w:hint="eastAsia" w:ascii="仿宋" w:hAnsi="仿宋" w:eastAsia="仿宋" w:cs="仿宋"/>
                <w:b/>
                <w:bCs/>
                <w:color w:val="auto"/>
                <w:kern w:val="2"/>
                <w:sz w:val="20"/>
                <w:szCs w:val="20"/>
                <w:highlight w:val="none"/>
              </w:rPr>
              <w:t>应在提交</w:t>
            </w:r>
            <w:r>
              <w:rPr>
                <w:rFonts w:hint="eastAsia" w:ascii="仿宋" w:hAnsi="仿宋" w:eastAsia="仿宋" w:cs="仿宋"/>
                <w:b/>
                <w:bCs/>
                <w:color w:val="auto"/>
                <w:kern w:val="2"/>
                <w:sz w:val="20"/>
                <w:szCs w:val="20"/>
                <w:highlight w:val="none"/>
                <w:lang w:eastAsia="zh-CN"/>
              </w:rPr>
              <w:t>响应文件</w:t>
            </w:r>
            <w:r>
              <w:rPr>
                <w:rFonts w:hint="eastAsia" w:ascii="仿宋" w:hAnsi="仿宋" w:eastAsia="仿宋" w:cs="仿宋"/>
                <w:b/>
                <w:bCs/>
                <w:color w:val="auto"/>
                <w:kern w:val="2"/>
                <w:sz w:val="20"/>
                <w:szCs w:val="20"/>
                <w:highlight w:val="none"/>
              </w:rPr>
              <w:t>截止时间前提交；</w:t>
            </w:r>
          </w:p>
          <w:p>
            <w:pPr>
              <w:pStyle w:val="2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0"/>
                <w:szCs w:val="20"/>
                <w:highlight w:val="none"/>
              </w:rPr>
              <w:t>未按方式提交或逾期送达或没有密封的</w:t>
            </w:r>
            <w:r>
              <w:rPr>
                <w:rFonts w:hint="eastAsia" w:ascii="仿宋" w:hAnsi="仿宋" w:eastAsia="仿宋" w:cs="仿宋"/>
                <w:b/>
                <w:bCs/>
                <w:color w:val="auto"/>
                <w:kern w:val="2"/>
                <w:sz w:val="20"/>
                <w:szCs w:val="20"/>
                <w:highlight w:val="none"/>
                <w:lang w:eastAsia="zh-CN"/>
              </w:rPr>
              <w:t>响应文件</w:t>
            </w:r>
            <w:r>
              <w:rPr>
                <w:rFonts w:hint="eastAsia" w:ascii="仿宋" w:hAnsi="仿宋" w:eastAsia="仿宋" w:cs="仿宋"/>
                <w:b/>
                <w:bCs/>
                <w:color w:val="auto"/>
                <w:kern w:val="2"/>
                <w:sz w:val="20"/>
                <w:szCs w:val="20"/>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24" w:type="dxa"/>
            <w:vAlign w:val="center"/>
          </w:tcPr>
          <w:p>
            <w:pPr>
              <w:pStyle w:val="24"/>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33" w:type="dxa"/>
            <w:vAlign w:val="center"/>
          </w:tcPr>
          <w:p>
            <w:pPr>
              <w:pStyle w:val="2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674" w:type="dxa"/>
            <w:vAlign w:val="center"/>
          </w:tcPr>
          <w:p>
            <w:pPr>
              <w:spacing w:line="360" w:lineRule="auto"/>
              <w:ind w:left="210" w:leftChars="100"/>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（1）采购部门：招标采购中心</w:t>
            </w:r>
          </w:p>
          <w:p>
            <w:pPr>
              <w:spacing w:line="360" w:lineRule="auto"/>
              <w:ind w:left="210" w:leftChars="100"/>
              <w:rPr>
                <w:rFonts w:hint="default" w:ascii="仿宋" w:hAnsi="仿宋" w:eastAsia="仿宋" w:cs="仿宋"/>
                <w:color w:val="auto"/>
                <w:sz w:val="22"/>
                <w:highlight w:val="none"/>
                <w:u w:val="none"/>
                <w:lang w:val="en-US" w:eastAsia="zh-CN"/>
              </w:rPr>
            </w:pPr>
            <w:r>
              <w:rPr>
                <w:rFonts w:hint="eastAsia" w:ascii="仿宋" w:hAnsi="仿宋" w:eastAsia="仿宋" w:cs="仿宋"/>
                <w:color w:val="auto"/>
                <w:sz w:val="22"/>
                <w:highlight w:val="none"/>
                <w:u w:val="none"/>
              </w:rPr>
              <w:t>联系方式：</w:t>
            </w:r>
            <w:r>
              <w:rPr>
                <w:rFonts w:hint="eastAsia" w:ascii="仿宋" w:hAnsi="仿宋" w:eastAsia="仿宋" w:cs="仿宋"/>
                <w:color w:val="auto"/>
                <w:sz w:val="22"/>
                <w:highlight w:val="none"/>
                <w:u w:val="none"/>
                <w:lang w:val="en-US" w:eastAsia="zh-CN"/>
              </w:rPr>
              <w:t>林</w:t>
            </w:r>
            <w:r>
              <w:rPr>
                <w:rFonts w:hint="eastAsia" w:ascii="仿宋" w:hAnsi="仿宋" w:eastAsia="仿宋" w:cs="仿宋"/>
                <w:color w:val="auto"/>
                <w:sz w:val="22"/>
                <w:highlight w:val="none"/>
                <w:u w:val="none"/>
              </w:rPr>
              <w:t>老师028-87393</w:t>
            </w:r>
            <w:r>
              <w:rPr>
                <w:rFonts w:hint="eastAsia" w:ascii="仿宋" w:hAnsi="仿宋" w:eastAsia="仿宋" w:cs="仿宋"/>
                <w:color w:val="auto"/>
                <w:sz w:val="22"/>
                <w:highlight w:val="none"/>
                <w:u w:val="none"/>
                <w:lang w:val="en-US" w:eastAsia="zh-CN"/>
              </w:rPr>
              <w:t>060</w:t>
            </w:r>
          </w:p>
          <w:p>
            <w:pPr>
              <w:spacing w:line="360" w:lineRule="auto"/>
              <w:ind w:left="210" w:leftChars="100"/>
              <w:rPr>
                <w:rFonts w:hint="eastAsia" w:ascii="仿宋" w:hAnsi="仿宋" w:eastAsia="仿宋" w:cs="仿宋"/>
                <w:b/>
                <w:bCs/>
                <w:color w:val="auto"/>
                <w:sz w:val="22"/>
                <w:highlight w:val="none"/>
                <w:u w:val="none"/>
              </w:rPr>
            </w:pPr>
            <w:r>
              <w:rPr>
                <w:rFonts w:hint="eastAsia" w:ascii="仿宋" w:hAnsi="仿宋" w:eastAsia="仿宋" w:cs="仿宋"/>
                <w:b/>
                <w:bCs/>
                <w:color w:val="auto"/>
                <w:sz w:val="22"/>
                <w:highlight w:val="none"/>
                <w:u w:val="none"/>
              </w:rPr>
              <w:t>（2）归口部门：后勤保障部门</w:t>
            </w:r>
          </w:p>
          <w:p>
            <w:pPr>
              <w:spacing w:line="360" w:lineRule="auto"/>
              <w:ind w:left="210" w:leftChars="100"/>
              <w:rPr>
                <w:rFonts w:hint="default" w:ascii="仿宋" w:hAnsi="仿宋" w:eastAsia="仿宋" w:cs="仿宋"/>
                <w:color w:val="auto"/>
                <w:sz w:val="22"/>
                <w:highlight w:val="none"/>
                <w:u w:val="none"/>
                <w:lang w:val="en-US" w:eastAsia="zh-CN"/>
              </w:rPr>
            </w:pPr>
            <w:r>
              <w:rPr>
                <w:rFonts w:hint="eastAsia" w:ascii="仿宋" w:hAnsi="仿宋" w:eastAsia="仿宋" w:cs="仿宋"/>
                <w:color w:val="auto"/>
                <w:sz w:val="22"/>
                <w:highlight w:val="none"/>
                <w:u w:val="none"/>
              </w:rPr>
              <w:t>联系方式：</w:t>
            </w:r>
            <w:r>
              <w:rPr>
                <w:rFonts w:hint="eastAsia" w:ascii="仿宋" w:hAnsi="仿宋" w:eastAsia="仿宋" w:cs="仿宋"/>
                <w:color w:val="auto"/>
                <w:sz w:val="22"/>
                <w:highlight w:val="none"/>
                <w:u w:val="none"/>
                <w:lang w:val="en-US" w:eastAsia="zh-CN"/>
              </w:rPr>
              <w:t>李</w:t>
            </w:r>
            <w:r>
              <w:rPr>
                <w:rFonts w:hint="eastAsia" w:ascii="仿宋" w:hAnsi="仿宋" w:eastAsia="仿宋" w:cs="仿宋"/>
                <w:color w:val="auto"/>
                <w:sz w:val="22"/>
                <w:highlight w:val="none"/>
                <w:u w:val="none"/>
              </w:rPr>
              <w:t>老师028-87393442</w:t>
            </w:r>
          </w:p>
          <w:p>
            <w:pPr>
              <w:spacing w:line="360" w:lineRule="auto"/>
              <w:ind w:left="210" w:leftChars="100"/>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（3）监督部门：审计部</w:t>
            </w:r>
          </w:p>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联系方式：028-87394709</w:t>
            </w:r>
          </w:p>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b/>
                <w:bCs/>
                <w:color w:val="auto"/>
                <w:sz w:val="22"/>
                <w:highlight w:val="none"/>
              </w:rPr>
              <w:t>（4）采购平台</w:t>
            </w:r>
            <w:r>
              <w:rPr>
                <w:rFonts w:hint="eastAsia" w:ascii="仿宋" w:hAnsi="仿宋" w:eastAsia="仿宋" w:cs="仿宋"/>
                <w:color w:val="auto"/>
                <w:sz w:val="22"/>
                <w:highlight w:val="none"/>
              </w:rPr>
              <w:t>：隆道云400 0118 000，接通以后按1</w:t>
            </w:r>
          </w:p>
        </w:tc>
      </w:tr>
    </w:tbl>
    <w:p>
      <w:pPr>
        <w:pStyle w:val="21"/>
        <w:numPr>
          <w:ilvl w:val="4"/>
          <w:numId w:val="0"/>
        </w:numPr>
        <w:outlineLvl w:val="9"/>
        <w:rPr>
          <w:color w:val="auto"/>
          <w:highlight w:val="none"/>
        </w:rPr>
      </w:pPr>
    </w:p>
    <w:p>
      <w:pPr>
        <w:rPr>
          <w:color w:val="auto"/>
          <w:highlight w:val="none"/>
        </w:rPr>
      </w:pPr>
      <w:r>
        <w:rPr>
          <w:color w:val="auto"/>
          <w:highlight w:val="none"/>
        </w:rPr>
        <w:br w:type="page"/>
      </w:r>
    </w:p>
    <w:p>
      <w:pPr>
        <w:pStyle w:val="2"/>
        <w:bidi w:val="0"/>
        <w:rPr>
          <w:color w:val="auto"/>
          <w:highlight w:val="none"/>
        </w:rPr>
      </w:pPr>
      <w:bookmarkStart w:id="1" w:name="_Toc4652"/>
      <w:r>
        <w:rPr>
          <w:rFonts w:hint="eastAsia"/>
          <w:color w:val="auto"/>
          <w:highlight w:val="none"/>
          <w:lang w:val="en-US" w:eastAsia="zh-CN"/>
        </w:rPr>
        <w:t>供应商须知</w:t>
      </w:r>
      <w:bookmarkEnd w:id="1"/>
    </w:p>
    <w:tbl>
      <w:tblPr>
        <w:tblStyle w:val="17"/>
        <w:tblW w:w="93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8"/>
        <w:gridCol w:w="1954"/>
        <w:gridCol w:w="6867"/>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7" w:hRule="atLeast"/>
          <w:tblHeader/>
          <w:jc w:val="center"/>
        </w:trPr>
        <w:tc>
          <w:tcPr>
            <w:tcW w:w="578" w:type="dxa"/>
            <w:tcBorders>
              <w:top w:val="single" w:color="auto" w:sz="18" w:space="0"/>
            </w:tcBorders>
            <w:vAlign w:val="center"/>
          </w:tcPr>
          <w:p>
            <w:pPr>
              <w:spacing w:line="360" w:lineRule="auto"/>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954" w:type="dxa"/>
            <w:tcBorders>
              <w:top w:val="single" w:color="auto" w:sz="18" w:space="0"/>
            </w:tcBorders>
            <w:vAlign w:val="center"/>
          </w:tcPr>
          <w:p>
            <w:pPr>
              <w:spacing w:line="360" w:lineRule="auto"/>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67" w:type="dxa"/>
            <w:tcBorders>
              <w:top w:val="single" w:color="auto" w:sz="18" w:space="0"/>
            </w:tcBorders>
            <w:vAlign w:val="center"/>
          </w:tcPr>
          <w:p>
            <w:pPr>
              <w:spacing w:line="360" w:lineRule="auto"/>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1"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lang w:val="zh-CN"/>
              </w:rPr>
              <w:t>报价</w:t>
            </w:r>
          </w:p>
        </w:tc>
        <w:tc>
          <w:tcPr>
            <w:tcW w:w="6867" w:type="dxa"/>
            <w:vAlign w:val="center"/>
          </w:tcPr>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rPr>
              <w:t>）本</w:t>
            </w:r>
            <w:r>
              <w:rPr>
                <w:rFonts w:hint="eastAsia" w:ascii="仿宋" w:hAnsi="仿宋" w:eastAsia="仿宋" w:cs="仿宋"/>
                <w:color w:val="auto"/>
                <w:sz w:val="22"/>
                <w:highlight w:val="none"/>
                <w:lang w:val="en-US" w:eastAsia="zh-CN"/>
              </w:rPr>
              <w:t>项目报价</w:t>
            </w:r>
            <w:r>
              <w:rPr>
                <w:rFonts w:hint="eastAsia" w:ascii="仿宋" w:hAnsi="仿宋" w:eastAsia="仿宋" w:cs="仿宋"/>
                <w:color w:val="auto"/>
                <w:sz w:val="22"/>
                <w:highlight w:val="none"/>
              </w:rPr>
              <w:t>统一使用人民币报价；</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rPr>
              <w:t>）报价应是完成</w:t>
            </w:r>
            <w:r>
              <w:rPr>
                <w:rFonts w:hint="eastAsia" w:ascii="仿宋" w:hAnsi="仿宋" w:eastAsia="仿宋" w:cs="仿宋"/>
                <w:color w:val="auto"/>
                <w:sz w:val="22"/>
                <w:highlight w:val="none"/>
                <w:lang w:val="en-US" w:eastAsia="zh-CN"/>
              </w:rPr>
              <w:t>谈判项目</w:t>
            </w:r>
            <w:r>
              <w:rPr>
                <w:rFonts w:hint="eastAsia" w:ascii="仿宋" w:hAnsi="仿宋" w:eastAsia="仿宋" w:cs="仿宋"/>
                <w:color w:val="auto"/>
                <w:sz w:val="22"/>
                <w:highlight w:val="none"/>
              </w:rPr>
              <w:t>全部工作内容的价格体现，是最终用户验收合格后的总价，包含了供应商完成本项目所需的一切费用，即项目包干价</w:t>
            </w:r>
            <w:r>
              <w:rPr>
                <w:rFonts w:hint="eastAsia" w:ascii="仿宋" w:hAnsi="仿宋" w:eastAsia="仿宋" w:cs="仿宋"/>
                <w:color w:val="auto"/>
                <w:sz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08"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lang w:eastAsia="zh-CN"/>
              </w:rPr>
              <w:t>响应文件</w:t>
            </w:r>
            <w:r>
              <w:rPr>
                <w:rFonts w:hint="eastAsia" w:ascii="Times New Roman" w:hAnsi="Times New Roman" w:eastAsia="仿宋" w:cs="Times New Roman"/>
                <w:color w:val="auto"/>
                <w:kern w:val="0"/>
                <w:sz w:val="22"/>
                <w:highlight w:val="none"/>
              </w:rPr>
              <w:t>编制要求</w:t>
            </w:r>
          </w:p>
        </w:tc>
        <w:tc>
          <w:tcPr>
            <w:tcW w:w="6867" w:type="dxa"/>
            <w:vAlign w:val="center"/>
          </w:tcPr>
          <w:p>
            <w:pPr>
              <w:spacing w:line="360" w:lineRule="auto"/>
              <w:ind w:left="210" w:leftChars="100"/>
              <w:rPr>
                <w:rFonts w:ascii="仿宋" w:hAnsi="仿宋" w:eastAsia="仿宋" w:cs="仿宋"/>
                <w:b/>
                <w:bCs/>
                <w:color w:val="auto"/>
                <w:sz w:val="22"/>
                <w:highlight w:val="none"/>
              </w:rPr>
            </w:pPr>
            <w:r>
              <w:rPr>
                <w:rFonts w:hint="eastAsia" w:ascii="仿宋" w:hAnsi="仿宋" w:eastAsia="仿宋" w:cs="仿宋"/>
                <w:b/>
                <w:bCs/>
                <w:color w:val="auto"/>
                <w:sz w:val="22"/>
                <w:highlight w:val="none"/>
              </w:rPr>
              <w:t>（1）</w:t>
            </w:r>
            <w:r>
              <w:rPr>
                <w:rFonts w:hint="eastAsia" w:ascii="仿宋" w:hAnsi="仿宋" w:eastAsia="仿宋" w:cs="仿宋"/>
                <w:b/>
                <w:bCs/>
                <w:color w:val="auto"/>
                <w:sz w:val="22"/>
                <w:highlight w:val="none"/>
                <w:lang w:eastAsia="zh-CN"/>
              </w:rPr>
              <w:t>响应文件</w:t>
            </w:r>
            <w:r>
              <w:rPr>
                <w:rFonts w:hint="eastAsia" w:ascii="仿宋" w:hAnsi="仿宋" w:eastAsia="仿宋" w:cs="仿宋"/>
                <w:b/>
                <w:bCs/>
                <w:color w:val="auto"/>
                <w:sz w:val="22"/>
                <w:highlight w:val="none"/>
              </w:rPr>
              <w:t>的格式</w:t>
            </w:r>
          </w:p>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应仔细阅读本</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，按</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第六章“</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格式”进行编制，</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在编制</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时应使用该章所附格式；该章未规定格式的，由</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根据实际情况自主编制，但不得影响</w:t>
            </w:r>
            <w:r>
              <w:rPr>
                <w:rFonts w:hint="eastAsia" w:ascii="仿宋" w:hAnsi="仿宋" w:eastAsia="仿宋" w:cs="仿宋"/>
                <w:b/>
                <w:bCs/>
                <w:color w:val="auto"/>
                <w:sz w:val="22"/>
                <w:highlight w:val="none"/>
                <w:lang w:eastAsia="zh-CN"/>
              </w:rPr>
              <w:t>响应文件</w:t>
            </w:r>
            <w:r>
              <w:rPr>
                <w:rFonts w:hint="eastAsia" w:ascii="仿宋" w:hAnsi="仿宋" w:eastAsia="仿宋" w:cs="仿宋"/>
                <w:b/>
                <w:bCs/>
                <w:color w:val="auto"/>
                <w:sz w:val="22"/>
                <w:highlight w:val="none"/>
              </w:rPr>
              <w:t>内容的完整性和有效性</w:t>
            </w:r>
            <w:r>
              <w:rPr>
                <w:rFonts w:hint="eastAsia" w:ascii="仿宋" w:hAnsi="仿宋" w:eastAsia="仿宋" w:cs="仿宋"/>
                <w:color w:val="auto"/>
                <w:sz w:val="22"/>
                <w:highlight w:val="none"/>
              </w:rPr>
              <w:t>；</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应在“</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格式”前附文件索引表、目录；</w:t>
            </w:r>
          </w:p>
          <w:p>
            <w:pPr>
              <w:spacing w:line="360" w:lineRule="auto"/>
              <w:ind w:left="210" w:leftChars="100"/>
              <w:rPr>
                <w:rFonts w:ascii="仿宋" w:hAnsi="仿宋" w:eastAsia="仿宋" w:cs="仿宋"/>
                <w:b/>
                <w:bCs/>
                <w:color w:val="auto"/>
                <w:sz w:val="22"/>
                <w:highlight w:val="none"/>
              </w:rPr>
            </w:pPr>
            <w:r>
              <w:rPr>
                <w:rFonts w:hint="eastAsia" w:ascii="仿宋" w:hAnsi="仿宋" w:eastAsia="仿宋" w:cs="仿宋"/>
                <w:b/>
                <w:bCs/>
                <w:color w:val="auto"/>
                <w:sz w:val="22"/>
                <w:highlight w:val="none"/>
              </w:rPr>
              <w:t>（2）</w:t>
            </w:r>
            <w:r>
              <w:rPr>
                <w:rFonts w:hint="eastAsia" w:ascii="仿宋" w:hAnsi="仿宋" w:eastAsia="仿宋" w:cs="仿宋"/>
                <w:b/>
                <w:bCs/>
                <w:color w:val="auto"/>
                <w:sz w:val="22"/>
                <w:highlight w:val="none"/>
                <w:lang w:eastAsia="zh-CN"/>
              </w:rPr>
              <w:t>响应文件</w:t>
            </w:r>
            <w:r>
              <w:rPr>
                <w:rFonts w:hint="eastAsia" w:ascii="仿宋" w:hAnsi="仿宋" w:eastAsia="仿宋" w:cs="仿宋"/>
                <w:b/>
                <w:bCs/>
                <w:color w:val="auto"/>
                <w:sz w:val="22"/>
                <w:highlight w:val="none"/>
              </w:rPr>
              <w:t>的语言</w:t>
            </w:r>
          </w:p>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1.</w:t>
            </w:r>
            <w:r>
              <w:rPr>
                <w:rFonts w:hint="eastAsia" w:ascii="仿宋" w:hAnsi="仿宋" w:eastAsia="仿宋" w:cs="仿宋"/>
                <w:color w:val="auto"/>
                <w:sz w:val="22"/>
                <w:highlight w:val="none"/>
                <w:lang w:val="en-US" w:eastAsia="zh-CN"/>
              </w:rPr>
              <w:t>采购</w:t>
            </w:r>
            <w:r>
              <w:rPr>
                <w:rFonts w:hint="eastAsia" w:ascii="仿宋" w:hAnsi="仿宋" w:eastAsia="仿宋" w:cs="仿宋"/>
                <w:color w:val="auto"/>
                <w:sz w:val="22"/>
                <w:highlight w:val="none"/>
              </w:rPr>
              <w:t>人和</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之间的所有函件往来必须使用汉语语言文字。</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中如附有外文资料，必须逐一对应翻译成中文并加盖</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公章后附在相关外文资料后面，否则，所提供的外文资料将被视为无效材料（说明：</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的法定代表人为外籍人士的，法定代表人的签字和护照除外）；</w:t>
            </w:r>
          </w:p>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2.翻译的中文资料与外文资料如果出现差异和矛盾时，以中文为准，如因未翻译而造成的无效，由</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承担；</w:t>
            </w:r>
          </w:p>
          <w:p>
            <w:pPr>
              <w:spacing w:line="360" w:lineRule="auto"/>
              <w:ind w:left="210" w:leftChars="100"/>
              <w:rPr>
                <w:rFonts w:ascii="仿宋" w:hAnsi="仿宋" w:eastAsia="仿宋" w:cs="仿宋"/>
                <w:b/>
                <w:bCs/>
                <w:color w:val="auto"/>
                <w:sz w:val="22"/>
                <w:highlight w:val="none"/>
              </w:rPr>
            </w:pPr>
            <w:r>
              <w:rPr>
                <w:rFonts w:hint="eastAsia" w:ascii="仿宋" w:hAnsi="仿宋" w:eastAsia="仿宋" w:cs="仿宋"/>
                <w:b/>
                <w:bCs/>
                <w:color w:val="auto"/>
                <w:sz w:val="22"/>
                <w:highlight w:val="none"/>
              </w:rPr>
              <w:t>（3）</w:t>
            </w:r>
            <w:r>
              <w:rPr>
                <w:rFonts w:hint="eastAsia" w:ascii="仿宋" w:hAnsi="仿宋" w:eastAsia="仿宋" w:cs="仿宋"/>
                <w:b/>
                <w:bCs/>
                <w:color w:val="auto"/>
                <w:sz w:val="22"/>
                <w:highlight w:val="none"/>
                <w:lang w:eastAsia="zh-CN"/>
              </w:rPr>
              <w:t>响应文件</w:t>
            </w:r>
            <w:r>
              <w:rPr>
                <w:rFonts w:hint="eastAsia" w:ascii="仿宋" w:hAnsi="仿宋" w:eastAsia="仿宋" w:cs="仿宋"/>
                <w:b/>
                <w:bCs/>
                <w:color w:val="auto"/>
                <w:sz w:val="22"/>
                <w:highlight w:val="none"/>
              </w:rPr>
              <w:t>的签署、盖章</w:t>
            </w:r>
          </w:p>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应根据</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评审要求</w:t>
            </w:r>
          </w:p>
        </w:tc>
        <w:tc>
          <w:tcPr>
            <w:tcW w:w="6867" w:type="dxa"/>
            <w:vAlign w:val="center"/>
          </w:tcPr>
          <w:p>
            <w:pPr>
              <w:numPr>
                <w:ilvl w:val="0"/>
                <w:numId w:val="11"/>
              </w:numPr>
              <w:spacing w:line="360" w:lineRule="auto"/>
              <w:ind w:left="210" w:leftChars="100"/>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评审小组根据谈判文件对</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的响应文件进行资格审查、符合性审查及其他有效性审查。</w:t>
            </w:r>
            <w:r>
              <w:rPr>
                <w:rFonts w:hint="eastAsia" w:ascii="仿宋" w:hAnsi="仿宋" w:eastAsia="仿宋" w:cs="仿宋"/>
                <w:color w:val="auto"/>
                <w:sz w:val="22"/>
                <w:highlight w:val="none"/>
              </w:rPr>
              <w:t>审查</w:t>
            </w:r>
            <w:r>
              <w:rPr>
                <w:rFonts w:hint="eastAsia" w:ascii="仿宋" w:hAnsi="仿宋" w:eastAsia="仿宋" w:cs="仿宋"/>
                <w:color w:val="auto"/>
                <w:sz w:val="22"/>
                <w:highlight w:val="none"/>
                <w:lang w:val="en-US" w:eastAsia="zh-CN"/>
              </w:rPr>
              <w:t>合格的供应商满足2家以上（含2家），评审小组将根据实际情况，在评审现场确定变动采购需求中的技术、商务和其他要求（</w:t>
            </w:r>
            <w:r>
              <w:rPr>
                <w:rFonts w:hint="eastAsia" w:ascii="仿宋" w:hAnsi="仿宋" w:eastAsia="仿宋" w:cs="仿宋"/>
                <w:color w:val="auto"/>
                <w:sz w:val="22"/>
                <w:highlight w:val="none"/>
                <w:lang w:eastAsia="zh-CN"/>
              </w:rPr>
              <w:t>但不得改变谈判</w:t>
            </w:r>
            <w:r>
              <w:rPr>
                <w:rFonts w:hint="eastAsia" w:ascii="仿宋" w:hAnsi="仿宋" w:eastAsia="仿宋" w:cs="仿宋"/>
                <w:color w:val="auto"/>
                <w:sz w:val="22"/>
                <w:highlight w:val="none"/>
                <w:lang w:val="en-US" w:eastAsia="zh-CN"/>
              </w:rPr>
              <w:t>文件中的最低需求标准、主要评审因素及其权重），</w:t>
            </w:r>
            <w:r>
              <w:rPr>
                <w:rFonts w:hint="eastAsia" w:ascii="仿宋" w:hAnsi="仿宋" w:eastAsia="仿宋" w:cs="仿宋"/>
                <w:color w:val="auto"/>
                <w:sz w:val="22"/>
                <w:highlight w:val="none"/>
              </w:rPr>
              <w:t>与</w:t>
            </w:r>
            <w:r>
              <w:rPr>
                <w:rFonts w:hint="eastAsia" w:ascii="仿宋" w:hAnsi="仿宋" w:eastAsia="仿宋" w:cs="仿宋"/>
                <w:color w:val="auto"/>
                <w:sz w:val="22"/>
                <w:highlight w:val="none"/>
                <w:lang w:val="en-US" w:eastAsia="zh-CN"/>
              </w:rPr>
              <w:t>合格的</w:t>
            </w:r>
            <w:r>
              <w:rPr>
                <w:rFonts w:hint="eastAsia" w:ascii="仿宋" w:hAnsi="仿宋" w:eastAsia="仿宋" w:cs="仿宋"/>
                <w:color w:val="auto"/>
                <w:sz w:val="22"/>
                <w:highlight w:val="none"/>
              </w:rPr>
              <w:t>供应商进行谈判和磋商</w:t>
            </w:r>
            <w:r>
              <w:rPr>
                <w:rFonts w:hint="eastAsia" w:ascii="仿宋" w:hAnsi="仿宋" w:eastAsia="仿宋" w:cs="仿宋"/>
                <w:color w:val="auto"/>
                <w:sz w:val="22"/>
                <w:highlight w:val="none"/>
                <w:lang w:val="en-US" w:eastAsia="zh-CN"/>
              </w:rPr>
              <w:t>；</w:t>
            </w:r>
            <w:r>
              <w:rPr>
                <w:rFonts w:hint="eastAsia" w:ascii="仿宋" w:hAnsi="仿宋" w:eastAsia="仿宋" w:cs="仿宋"/>
                <w:color w:val="auto"/>
                <w:sz w:val="22"/>
                <w:highlight w:val="none"/>
              </w:rPr>
              <w:t>若合格供应商不足</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rPr>
              <w:t>家，</w:t>
            </w:r>
            <w:r>
              <w:rPr>
                <w:rFonts w:hint="eastAsia" w:ascii="仿宋" w:hAnsi="仿宋" w:eastAsia="仿宋" w:cs="仿宋"/>
                <w:color w:val="auto"/>
                <w:sz w:val="22"/>
                <w:highlight w:val="none"/>
                <w:lang w:val="en-US" w:eastAsia="zh-CN"/>
              </w:rPr>
              <w:t>不得进行下一步评审。</w:t>
            </w:r>
          </w:p>
          <w:p>
            <w:pPr>
              <w:spacing w:line="360" w:lineRule="auto"/>
              <w:ind w:left="210" w:leftChars="100"/>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（2）谈判和磋商后，进行二轮报价或多轮报价且供应商次轮报价不得高于上轮报价，以供应商的最终报价作为有效报价参与评审；</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（3）</w:t>
            </w:r>
            <w:r>
              <w:rPr>
                <w:rFonts w:hint="eastAsia" w:ascii="仿宋" w:hAnsi="仿宋" w:eastAsia="仿宋" w:cs="仿宋"/>
                <w:color w:val="auto"/>
                <w:sz w:val="22"/>
                <w:highlight w:val="none"/>
                <w:lang w:val="en-US" w:eastAsia="zh-CN"/>
              </w:rPr>
              <w:t>谈判</w:t>
            </w:r>
            <w:r>
              <w:rPr>
                <w:rFonts w:hint="eastAsia" w:ascii="仿宋" w:hAnsi="仿宋" w:eastAsia="仿宋" w:cs="仿宋"/>
                <w:color w:val="auto"/>
                <w:sz w:val="22"/>
                <w:highlight w:val="none"/>
              </w:rPr>
              <w:t>当天，供应商应保证</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中所写明的法定代表人或委托代理人的联系方式（手机或邮箱）的畅通，并确保其具备与采购人就本项目进行谈判、磋商及在我单位使用的电子化招采平台上进行操作等条件（在接到通知后的在</w:t>
            </w:r>
            <w:r>
              <w:rPr>
                <w:rFonts w:hint="eastAsia" w:ascii="仿宋" w:hAnsi="仿宋" w:eastAsia="仿宋" w:cs="仿宋"/>
                <w:color w:val="auto"/>
                <w:sz w:val="22"/>
                <w:highlight w:val="none"/>
                <w:lang w:eastAsia="zh-CN"/>
              </w:rPr>
              <w:t>评审小组</w:t>
            </w:r>
            <w:r>
              <w:rPr>
                <w:rFonts w:hint="eastAsia" w:ascii="仿宋" w:hAnsi="仿宋" w:eastAsia="仿宋" w:cs="仿宋"/>
                <w:color w:val="auto"/>
                <w:sz w:val="22"/>
                <w:highlight w:val="none"/>
              </w:rPr>
              <w:t>规定时间内未回复做无效处理）</w:t>
            </w:r>
            <w:r>
              <w:rPr>
                <w:rFonts w:hint="eastAsia" w:ascii="仿宋" w:hAnsi="仿宋" w:eastAsia="仿宋" w:cs="仿宋"/>
                <w:color w:val="auto"/>
                <w:sz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0"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货物质量要求</w:t>
            </w:r>
          </w:p>
        </w:tc>
        <w:tc>
          <w:tcPr>
            <w:tcW w:w="6867" w:type="dxa"/>
            <w:vAlign w:val="center"/>
          </w:tcPr>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（1）供应商</w:t>
            </w:r>
            <w:r>
              <w:rPr>
                <w:rFonts w:hint="eastAsia" w:ascii="仿宋" w:hAnsi="仿宋" w:eastAsia="仿宋" w:cs="仿宋"/>
                <w:color w:val="auto"/>
                <w:sz w:val="22"/>
                <w:highlight w:val="none"/>
                <w:lang w:val="en-US" w:eastAsia="zh-CN"/>
              </w:rPr>
              <w:t>响应</w:t>
            </w:r>
            <w:r>
              <w:rPr>
                <w:rFonts w:hint="eastAsia" w:ascii="仿宋" w:hAnsi="仿宋" w:eastAsia="仿宋" w:cs="仿宋"/>
                <w:color w:val="auto"/>
                <w:sz w:val="22"/>
                <w:highlight w:val="none"/>
              </w:rPr>
              <w:t>货物均为经检验合格的生产厂家原装全新合格产品，供应商承诺的质量、技术和其他要求，符合国家相关的质量标准和出厂标准并提供产品合格证；</w:t>
            </w:r>
          </w:p>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（2）若出现质量问题，供应商负责按照采购人要求办理退货并承担因</w:t>
            </w:r>
            <w:r>
              <w:rPr>
                <w:rFonts w:hint="eastAsia" w:ascii="仿宋" w:hAnsi="仿宋" w:eastAsia="仿宋" w:cs="仿宋"/>
                <w:color w:val="auto"/>
                <w:sz w:val="22"/>
                <w:highlight w:val="none"/>
                <w:lang w:val="en-US" w:eastAsia="zh-CN"/>
              </w:rPr>
              <w:t>货物</w:t>
            </w:r>
            <w:r>
              <w:rPr>
                <w:rFonts w:hint="eastAsia" w:ascii="仿宋" w:hAnsi="仿宋" w:eastAsia="仿宋" w:cs="仿宋"/>
                <w:color w:val="auto"/>
                <w:sz w:val="22"/>
                <w:highlight w:val="none"/>
              </w:rPr>
              <w:t>质量导致的经济和法律责任；</w:t>
            </w:r>
          </w:p>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1"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服务质量要求</w:t>
            </w:r>
          </w:p>
        </w:tc>
        <w:tc>
          <w:tcPr>
            <w:tcW w:w="6867" w:type="dxa"/>
            <w:vAlign w:val="center"/>
          </w:tcPr>
          <w:p>
            <w:pPr>
              <w:spacing w:line="360" w:lineRule="auto"/>
              <w:ind w:left="210" w:leftChars="100"/>
              <w:rPr>
                <w:rFonts w:ascii="仿宋" w:hAnsi="仿宋" w:eastAsia="仿宋" w:cs="仿宋"/>
                <w:color w:val="auto"/>
                <w:sz w:val="22"/>
                <w:highlight w:val="none"/>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1</w:t>
            </w: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lang w:val="zh-TW" w:eastAsia="zh-TW"/>
              </w:rPr>
              <w:t>符合本</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lang w:val="zh-TW" w:eastAsia="zh-TW"/>
              </w:rPr>
              <w:t>及采购人承诺的质量、技术和其他要求，符合国家相关的质量标准和出厂标准</w:t>
            </w:r>
            <w:r>
              <w:rPr>
                <w:rFonts w:hint="eastAsia" w:ascii="仿宋" w:hAnsi="仿宋" w:eastAsia="仿宋" w:cs="仿宋"/>
                <w:color w:val="auto"/>
                <w:sz w:val="22"/>
                <w:highlight w:val="none"/>
                <w:lang w:val="zh-TW"/>
              </w:rPr>
              <w:t>；</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2</w:t>
            </w: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lang w:val="zh-TW" w:eastAsia="zh-TW"/>
              </w:rPr>
              <w:t>国家或行业主管部门对</w:t>
            </w:r>
            <w:r>
              <w:rPr>
                <w:rFonts w:hint="eastAsia" w:ascii="仿宋" w:hAnsi="仿宋" w:eastAsia="仿宋" w:cs="仿宋"/>
                <w:color w:val="auto"/>
                <w:sz w:val="22"/>
                <w:highlight w:val="none"/>
                <w:lang w:val="zh-TW"/>
              </w:rPr>
              <w:t>供应商</w:t>
            </w:r>
            <w:r>
              <w:rPr>
                <w:rFonts w:hint="eastAsia" w:ascii="仿宋" w:hAnsi="仿宋" w:eastAsia="仿宋" w:cs="仿宋"/>
                <w:color w:val="auto"/>
                <w:sz w:val="22"/>
                <w:highlight w:val="none"/>
                <w:lang w:val="zh-TW" w:eastAsia="zh-TW"/>
              </w:rPr>
              <w:t>和</w:t>
            </w:r>
            <w:r>
              <w:rPr>
                <w:rFonts w:hint="eastAsia" w:ascii="仿宋" w:hAnsi="仿宋" w:eastAsia="仿宋" w:cs="仿宋"/>
                <w:color w:val="auto"/>
                <w:sz w:val="22"/>
                <w:highlight w:val="none"/>
              </w:rPr>
              <w:t>服务</w:t>
            </w:r>
            <w:r>
              <w:rPr>
                <w:rFonts w:hint="eastAsia" w:ascii="仿宋" w:hAnsi="仿宋" w:eastAsia="仿宋" w:cs="仿宋"/>
                <w:color w:val="auto"/>
                <w:sz w:val="22"/>
                <w:highlight w:val="none"/>
                <w:lang w:val="zh-TW" w:eastAsia="zh-TW"/>
              </w:rPr>
              <w:t>的技术标准和资格资质条件等有强制性规定的，应当符合其要求</w:t>
            </w:r>
            <w:r>
              <w:rPr>
                <w:rFonts w:hint="eastAsia" w:ascii="仿宋" w:hAnsi="仿宋" w:eastAsia="仿宋" w:cs="仿宋"/>
                <w:color w:val="auto"/>
                <w:sz w:val="22"/>
                <w:highlight w:val="none"/>
                <w:lang w:val="zh-TW"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76"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知识产权要求</w:t>
            </w:r>
          </w:p>
        </w:tc>
        <w:tc>
          <w:tcPr>
            <w:tcW w:w="6867" w:type="dxa"/>
            <w:vAlign w:val="center"/>
          </w:tcPr>
          <w:p>
            <w:pPr>
              <w:spacing w:line="360" w:lineRule="auto"/>
              <w:ind w:left="210" w:leftChars="100"/>
              <w:rPr>
                <w:rFonts w:ascii="仿宋" w:hAnsi="仿宋" w:eastAsia="仿宋" w:cs="仿宋"/>
                <w:color w:val="auto"/>
                <w:sz w:val="22"/>
                <w:highlight w:val="none"/>
                <w:lang w:val="zh-TW"/>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1</w:t>
            </w:r>
            <w:r>
              <w:rPr>
                <w:rFonts w:hint="eastAsia" w:ascii="仿宋" w:hAnsi="仿宋" w:eastAsia="仿宋" w:cs="仿宋"/>
                <w:color w:val="auto"/>
                <w:sz w:val="22"/>
                <w:highlight w:val="none"/>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仿宋" w:hAnsi="仿宋" w:eastAsia="仿宋" w:cs="仿宋"/>
                <w:color w:val="auto"/>
                <w:sz w:val="22"/>
                <w:highlight w:val="none"/>
                <w:lang w:val="zh-TW"/>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2</w:t>
            </w:r>
            <w:r>
              <w:rPr>
                <w:rFonts w:hint="eastAsia" w:ascii="仿宋" w:hAnsi="仿宋" w:eastAsia="仿宋" w:cs="仿宋"/>
                <w:color w:val="auto"/>
                <w:sz w:val="22"/>
                <w:highlight w:val="none"/>
                <w:lang w:val="zh-TW"/>
              </w:rPr>
              <w:t>）供应商将在</w:t>
            </w:r>
            <w:r>
              <w:rPr>
                <w:rFonts w:hint="eastAsia" w:ascii="仿宋" w:hAnsi="仿宋" w:eastAsia="仿宋" w:cs="仿宋"/>
                <w:color w:val="auto"/>
                <w:sz w:val="22"/>
                <w:highlight w:val="none"/>
                <w:lang w:val="zh-TW" w:eastAsia="zh-CN"/>
              </w:rPr>
              <w:t>谈判</w:t>
            </w:r>
            <w:r>
              <w:rPr>
                <w:rFonts w:hint="eastAsia" w:ascii="仿宋" w:hAnsi="仿宋" w:eastAsia="仿宋" w:cs="仿宋"/>
                <w:color w:val="auto"/>
                <w:sz w:val="22"/>
                <w:highlight w:val="none"/>
                <w:lang w:val="zh-TW"/>
              </w:rPr>
              <w:t>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hint="eastAsia" w:ascii="仿宋" w:hAnsi="仿宋" w:eastAsia="仿宋" w:cs="仿宋"/>
                <w:color w:val="auto"/>
                <w:sz w:val="22"/>
                <w:highlight w:val="none"/>
                <w:lang w:val="zh-TW" w:eastAsia="zh-CN"/>
              </w:rPr>
            </w:pPr>
            <w:r>
              <w:rPr>
                <w:rFonts w:hint="eastAsia" w:ascii="仿宋" w:hAnsi="仿宋" w:eastAsia="仿宋" w:cs="仿宋"/>
                <w:color w:val="auto"/>
                <w:sz w:val="22"/>
                <w:highlight w:val="none"/>
                <w:lang w:val="zh-TW"/>
              </w:rPr>
              <w:t>（</w:t>
            </w:r>
            <w:r>
              <w:rPr>
                <w:rFonts w:hint="eastAsia" w:ascii="仿宋" w:hAnsi="仿宋" w:eastAsia="仿宋" w:cs="仿宋"/>
                <w:color w:val="auto"/>
                <w:sz w:val="22"/>
                <w:highlight w:val="none"/>
              </w:rPr>
              <w:t>3</w:t>
            </w:r>
            <w:r>
              <w:rPr>
                <w:rFonts w:hint="eastAsia" w:ascii="仿宋" w:hAnsi="仿宋" w:eastAsia="仿宋" w:cs="仿宋"/>
                <w:color w:val="auto"/>
                <w:sz w:val="22"/>
                <w:highlight w:val="none"/>
                <w:lang w:val="zh-TW"/>
              </w:rPr>
              <w:t>）如采用供应商所不拥有的知识产权，则在报价中必须包括合法获取该知识产权的相关费用</w:t>
            </w:r>
            <w:r>
              <w:rPr>
                <w:rFonts w:hint="eastAsia" w:ascii="仿宋" w:hAnsi="仿宋" w:eastAsia="仿宋" w:cs="仿宋"/>
                <w:color w:val="auto"/>
                <w:sz w:val="22"/>
                <w:highlight w:val="none"/>
                <w:lang w:val="zh-TW"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spacing w:line="360" w:lineRule="auto"/>
              <w:jc w:val="center"/>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highlight w:val="none"/>
              </w:rPr>
              <w:t>供应商纪律要求</w:t>
            </w:r>
          </w:p>
        </w:tc>
        <w:tc>
          <w:tcPr>
            <w:tcW w:w="6867" w:type="dxa"/>
            <w:vAlign w:val="center"/>
          </w:tcPr>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（1）供应商在采购活动中，不得有任何违法乱纪的行为；</w:t>
            </w:r>
          </w:p>
          <w:p>
            <w:pPr>
              <w:spacing w:line="360" w:lineRule="auto"/>
              <w:ind w:left="210" w:leftChars="100"/>
              <w:rPr>
                <w:rFonts w:hint="eastAsia" w:ascii="仿宋" w:hAnsi="仿宋" w:eastAsia="仿宋" w:cs="仿宋"/>
                <w:color w:val="auto"/>
                <w:sz w:val="22"/>
                <w:highlight w:val="none"/>
              </w:rPr>
            </w:pPr>
            <w:r>
              <w:rPr>
                <w:rFonts w:hint="eastAsia" w:ascii="仿宋" w:hAnsi="仿宋" w:eastAsia="仿宋" w:cs="仿宋"/>
                <w:color w:val="auto"/>
                <w:sz w:val="22"/>
                <w:highlight w:val="none"/>
              </w:rPr>
              <w:t>（2）若</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存在虚假响应在评审阶段，评审小组应将该</w:t>
            </w:r>
            <w:r>
              <w:rPr>
                <w:rFonts w:hint="eastAsia" w:ascii="仿宋" w:hAnsi="仿宋" w:eastAsia="仿宋" w:cs="仿宋"/>
                <w:color w:val="auto"/>
                <w:sz w:val="22"/>
                <w:highlight w:val="none"/>
                <w:lang w:eastAsia="zh-CN"/>
              </w:rPr>
              <w:t>投标文件</w:t>
            </w:r>
            <w:r>
              <w:rPr>
                <w:rFonts w:hint="eastAsia" w:ascii="仿宋" w:hAnsi="仿宋" w:eastAsia="仿宋" w:cs="仿宋"/>
                <w:color w:val="auto"/>
                <w:sz w:val="22"/>
                <w:highlight w:val="none"/>
              </w:rPr>
              <w:t>作无效处理，若是</w:t>
            </w:r>
            <w:r>
              <w:rPr>
                <w:rFonts w:hint="eastAsia" w:ascii="仿宋" w:hAnsi="仿宋" w:eastAsia="仿宋" w:cs="仿宋"/>
                <w:color w:val="auto"/>
                <w:sz w:val="22"/>
                <w:highlight w:val="none"/>
                <w:lang w:eastAsia="zh-CN"/>
              </w:rPr>
              <w:t>中标</w:t>
            </w:r>
            <w:r>
              <w:rPr>
                <w:rFonts w:hint="eastAsia" w:ascii="仿宋" w:hAnsi="仿宋" w:eastAsia="仿宋" w:cs="仿宋"/>
                <w:color w:val="auto"/>
                <w:sz w:val="22"/>
                <w:highlight w:val="none"/>
              </w:rPr>
              <w:t>后发现的，采购人应当取消其</w:t>
            </w:r>
            <w:r>
              <w:rPr>
                <w:rFonts w:hint="eastAsia" w:ascii="仿宋" w:hAnsi="仿宋" w:eastAsia="仿宋" w:cs="仿宋"/>
                <w:color w:val="auto"/>
                <w:sz w:val="22"/>
                <w:highlight w:val="none"/>
                <w:lang w:eastAsia="zh-CN"/>
              </w:rPr>
              <w:t>中标</w:t>
            </w:r>
            <w:r>
              <w:rPr>
                <w:rFonts w:hint="eastAsia" w:ascii="仿宋" w:hAnsi="仿宋" w:eastAsia="仿宋" w:cs="仿宋"/>
                <w:color w:val="auto"/>
                <w:sz w:val="22"/>
                <w:highlight w:val="none"/>
              </w:rPr>
              <w:t>资格；</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（3）采购人将对上述行为在其官方网站对相关情况进行通报同时追究其相关法律责任</w:t>
            </w:r>
            <w:r>
              <w:rPr>
                <w:rFonts w:hint="eastAsia" w:ascii="仿宋" w:hAnsi="仿宋" w:eastAsia="仿宋" w:cs="仿宋"/>
                <w:color w:val="auto"/>
                <w:sz w:val="22"/>
                <w:highlight w:val="none"/>
                <w:lang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有下列情形之一的，视为投标人串通投标：</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①不同投标人的投标文件由同一单位或者个人编制；</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②不同投标人委托同一单位或者个人办理投标事宜；</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③不同投标人的投标文件载明的项目管理成员或者联系人员为同一人；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④不同投标人的投标文件异常一致或者投标报价呈规律性差异；</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⑤不同投标人的投标文件相互混装；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⑥不同投标人的投标保证金从同一单位或者个人的账户转出。</w:t>
            </w:r>
          </w:p>
          <w:p>
            <w:pPr>
              <w:pStyle w:val="7"/>
              <w:ind w:firstLine="220" w:firstLineChars="100"/>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sz w:val="22"/>
                <w:szCs w:val="22"/>
                <w:highlight w:val="none"/>
              </w:rPr>
              <w:t>⑦投标文件文件属性一致、IP地址一致且不能进行合理解释。</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18"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pStyle w:val="25"/>
              <w:spacing w:line="360" w:lineRule="auto"/>
              <w:jc w:val="center"/>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eastAsia="zh-CN"/>
              </w:rPr>
              <w:t>谈判文件</w:t>
            </w:r>
            <w:r>
              <w:rPr>
                <w:rFonts w:hint="eastAsia" w:ascii="Times New Roman" w:hAnsi="Times New Roman" w:eastAsia="仿宋" w:cs="Times New Roman"/>
                <w:color w:val="auto"/>
                <w:sz w:val="22"/>
                <w:szCs w:val="22"/>
                <w:highlight w:val="none"/>
              </w:rPr>
              <w:t>澄清、修改</w:t>
            </w:r>
          </w:p>
        </w:tc>
        <w:tc>
          <w:tcPr>
            <w:tcW w:w="6867" w:type="dxa"/>
            <w:vAlign w:val="center"/>
          </w:tcPr>
          <w:p>
            <w:pPr>
              <w:pStyle w:val="2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采购人在采购期间发出的一切澄清、修改均为</w:t>
            </w:r>
            <w:r>
              <w:rPr>
                <w:rFonts w:hint="eastAsia" w:ascii="Times New Roman" w:hAnsi="Times New Roman" w:eastAsia="仿宋" w:cs="Times New Roman"/>
                <w:color w:val="auto"/>
                <w:sz w:val="22"/>
                <w:szCs w:val="22"/>
                <w:highlight w:val="none"/>
                <w:lang w:eastAsia="zh-CN"/>
              </w:rPr>
              <w:t>谈判文件</w:t>
            </w:r>
            <w:r>
              <w:rPr>
                <w:rFonts w:hint="eastAsia" w:ascii="Times New Roman" w:hAnsi="Times New Roman" w:eastAsia="仿宋" w:cs="Times New Roman"/>
                <w:color w:val="auto"/>
                <w:sz w:val="22"/>
                <w:szCs w:val="22"/>
                <w:highlight w:val="none"/>
              </w:rPr>
              <w:t>的有效组成部分</w:t>
            </w:r>
            <w:r>
              <w:rPr>
                <w:rFonts w:hint="eastAsia" w:ascii="Times New Roman" w:hAnsi="Times New Roman" w:eastAsia="仿宋" w:cs="Times New Roman"/>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pStyle w:val="25"/>
              <w:spacing w:line="360" w:lineRule="auto"/>
              <w:jc w:val="center"/>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rPr>
              <w:t>供应商质疑</w:t>
            </w:r>
          </w:p>
        </w:tc>
        <w:tc>
          <w:tcPr>
            <w:tcW w:w="6867" w:type="dxa"/>
            <w:vAlign w:val="center"/>
          </w:tcPr>
          <w:p>
            <w:pPr>
              <w:pStyle w:val="2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5个工作日内，结果公告发布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2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2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2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2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pStyle w:val="2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pStyle w:val="25"/>
              <w:spacing w:line="360" w:lineRule="auto"/>
              <w:jc w:val="center"/>
              <w:rPr>
                <w:rFonts w:hint="default" w:ascii="Times New Roman" w:hAnsi="Times New Roman" w:eastAsia="仿宋" w:cs="Times New Roman"/>
                <w:color w:val="auto"/>
                <w:sz w:val="22"/>
                <w:szCs w:val="22"/>
                <w:highlight w:val="none"/>
                <w:lang w:val="en-US"/>
              </w:rPr>
            </w:pPr>
            <w:r>
              <w:rPr>
                <w:rFonts w:hint="eastAsia" w:ascii="Times New Roman" w:hAnsi="Times New Roman" w:eastAsia="仿宋" w:cs="Times New Roman"/>
                <w:color w:val="auto"/>
                <w:sz w:val="22"/>
                <w:szCs w:val="22"/>
                <w:highlight w:val="none"/>
                <w:lang w:eastAsia="zh-CN"/>
              </w:rPr>
              <w:t>成交</w:t>
            </w:r>
            <w:r>
              <w:rPr>
                <w:rFonts w:hint="eastAsia" w:ascii="Times New Roman" w:hAnsi="Times New Roman" w:eastAsia="仿宋" w:cs="Times New Roman"/>
                <w:color w:val="auto"/>
                <w:sz w:val="22"/>
                <w:szCs w:val="22"/>
                <w:highlight w:val="none"/>
                <w:lang w:val="en-US" w:eastAsia="zh-CN"/>
              </w:rPr>
              <w:t>公告及合同签订</w:t>
            </w:r>
          </w:p>
        </w:tc>
        <w:tc>
          <w:tcPr>
            <w:tcW w:w="6867" w:type="dxa"/>
            <w:vAlign w:val="center"/>
          </w:tcPr>
          <w:p>
            <w:pPr>
              <w:pStyle w:val="25"/>
              <w:spacing w:line="360" w:lineRule="auto"/>
              <w:ind w:left="210" w:leftChars="10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w:t>
            </w:r>
            <w:r>
              <w:rPr>
                <w:rFonts w:hint="eastAsia" w:ascii="Times New Roman" w:hAnsi="Times New Roman" w:eastAsia="仿宋" w:cs="Times New Roman"/>
                <w:color w:val="auto"/>
                <w:sz w:val="22"/>
                <w:szCs w:val="22"/>
                <w:highlight w:val="none"/>
              </w:rPr>
              <w:t>1</w:t>
            </w:r>
            <w:r>
              <w:rPr>
                <w:rFonts w:hint="eastAsia" w:ascii="Times New Roman" w:hAnsi="Times New Roman" w:eastAsia="仿宋" w:cs="Times New Roman"/>
                <w:color w:val="auto"/>
                <w:sz w:val="22"/>
                <w:szCs w:val="22"/>
                <w:highlight w:val="none"/>
                <w:lang w:val="zh-CN"/>
              </w:rPr>
              <w:t>）谈判完成后，采购人</w:t>
            </w:r>
            <w:r>
              <w:rPr>
                <w:rFonts w:hint="eastAsia" w:ascii="仿宋" w:hAnsi="仿宋" w:eastAsia="仿宋" w:cs="仿宋"/>
                <w:color w:val="auto"/>
                <w:sz w:val="22"/>
                <w:szCs w:val="22"/>
                <w:highlight w:val="none"/>
                <w:lang w:val="zh-CN"/>
              </w:rPr>
              <w:t>在系统中发出</w:t>
            </w:r>
            <w:r>
              <w:rPr>
                <w:rFonts w:hint="eastAsia" w:ascii="仿宋" w:hAnsi="仿宋" w:eastAsia="仿宋" w:cs="仿宋"/>
                <w:color w:val="auto"/>
                <w:sz w:val="22"/>
                <w:szCs w:val="22"/>
                <w:highlight w:val="none"/>
                <w:lang w:val="en-US" w:eastAsia="zh-CN"/>
              </w:rPr>
              <w:t>成交</w:t>
            </w:r>
            <w:r>
              <w:rPr>
                <w:rFonts w:hint="eastAsia" w:ascii="仿宋" w:hAnsi="仿宋" w:eastAsia="仿宋" w:cs="仿宋"/>
                <w:color w:val="auto"/>
                <w:sz w:val="22"/>
                <w:szCs w:val="22"/>
                <w:highlight w:val="none"/>
                <w:lang w:val="zh-CN"/>
              </w:rPr>
              <w:t>公告</w:t>
            </w:r>
            <w:r>
              <w:rPr>
                <w:rFonts w:hint="eastAsia" w:ascii="Times New Roman" w:hAnsi="Times New Roman" w:eastAsia="仿宋" w:cs="Times New Roman"/>
                <w:color w:val="auto"/>
                <w:sz w:val="22"/>
                <w:szCs w:val="22"/>
                <w:highlight w:val="none"/>
                <w:lang w:val="zh-CN"/>
              </w:rPr>
              <w:t>；</w:t>
            </w:r>
          </w:p>
          <w:p>
            <w:pPr>
              <w:pStyle w:val="25"/>
              <w:shd w:val="clear"/>
              <w:spacing w:line="360" w:lineRule="auto"/>
              <w:ind w:left="210" w:leftChars="10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w:t>
            </w:r>
            <w:r>
              <w:rPr>
                <w:rFonts w:hint="eastAsia" w:ascii="Times New Roman" w:hAnsi="Times New Roman" w:eastAsia="仿宋" w:cs="Times New Roman"/>
                <w:color w:val="auto"/>
                <w:sz w:val="22"/>
                <w:szCs w:val="22"/>
                <w:highlight w:val="none"/>
              </w:rPr>
              <w:t>2</w:t>
            </w:r>
            <w:r>
              <w:rPr>
                <w:rFonts w:hint="eastAsia" w:ascii="Times New Roman" w:hAnsi="Times New Roman" w:eastAsia="仿宋" w:cs="Times New Roman"/>
                <w:color w:val="auto"/>
                <w:sz w:val="22"/>
                <w:szCs w:val="22"/>
                <w:highlight w:val="none"/>
                <w:lang w:val="zh-CN"/>
              </w:rPr>
              <w:t>）请成交供应商在成交公告发出一个工作日后，</w:t>
            </w:r>
            <w:r>
              <w:rPr>
                <w:rFonts w:hint="eastAsia" w:ascii="仿宋" w:hAnsi="仿宋" w:eastAsia="仿宋" w:cs="仿宋"/>
                <w:color w:val="auto"/>
                <w:sz w:val="22"/>
                <w:szCs w:val="22"/>
                <w:highlight w:val="none"/>
                <w:lang w:val="zh-CN"/>
              </w:rPr>
              <w:t>联系招标采购中心（028-8739</w:t>
            </w:r>
            <w:r>
              <w:rPr>
                <w:rFonts w:hint="eastAsia" w:ascii="仿宋" w:hAnsi="仿宋" w:eastAsia="仿宋" w:cs="仿宋"/>
                <w:color w:val="auto"/>
                <w:sz w:val="22"/>
                <w:szCs w:val="22"/>
                <w:highlight w:val="none"/>
                <w:lang w:val="en-US" w:eastAsia="zh-CN"/>
              </w:rPr>
              <w:t>3060</w:t>
            </w:r>
            <w:r>
              <w:rPr>
                <w:rFonts w:hint="eastAsia" w:ascii="仿宋" w:hAnsi="仿宋" w:eastAsia="仿宋" w:cs="仿宋"/>
                <w:color w:val="auto"/>
                <w:sz w:val="22"/>
                <w:szCs w:val="22"/>
                <w:highlight w:val="none"/>
                <w:lang w:val="zh-CN"/>
              </w:rPr>
              <w:t>）并将合同初稿发送至sbc3214@vip.163.com</w:t>
            </w:r>
            <w:r>
              <w:rPr>
                <w:rFonts w:hint="eastAsia" w:ascii="仿宋" w:hAnsi="仿宋" w:eastAsia="仿宋" w:cs="仿宋"/>
                <w:color w:val="auto"/>
                <w:sz w:val="22"/>
                <w:szCs w:val="22"/>
                <w:highlight w:val="none"/>
                <w:u w:val="none"/>
                <w:lang w:val="en-US" w:eastAsia="zh-CN"/>
              </w:rPr>
              <w:t>。</w:t>
            </w:r>
          </w:p>
          <w:p>
            <w:pPr>
              <w:pStyle w:val="25"/>
              <w:spacing w:line="360" w:lineRule="auto"/>
              <w:ind w:left="210" w:leftChars="100"/>
              <w:jc w:val="both"/>
              <w:rPr>
                <w:rFonts w:hint="eastAsia"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w:t>
            </w:r>
            <w:r>
              <w:rPr>
                <w:rFonts w:hint="eastAsia" w:ascii="Times New Roman" w:hAnsi="Times New Roman" w:eastAsia="仿宋" w:cs="Times New Roman"/>
                <w:color w:val="auto"/>
                <w:sz w:val="22"/>
                <w:szCs w:val="22"/>
                <w:highlight w:val="none"/>
              </w:rPr>
              <w:t>3</w:t>
            </w:r>
            <w:r>
              <w:rPr>
                <w:rFonts w:hint="eastAsia" w:ascii="Times New Roman" w:hAnsi="Times New Roman" w:eastAsia="仿宋" w:cs="Times New Roman"/>
                <w:color w:val="auto"/>
                <w:sz w:val="22"/>
                <w:szCs w:val="22"/>
                <w:highlight w:val="none"/>
                <w:lang w:val="zh-CN"/>
              </w:rPr>
              <w:t>）</w:t>
            </w:r>
            <w:r>
              <w:rPr>
                <w:rFonts w:hint="eastAsia" w:ascii="Times New Roman" w:hAnsi="Times New Roman" w:eastAsia="仿宋" w:cs="Times New Roman"/>
                <w:color w:val="auto"/>
                <w:sz w:val="22"/>
                <w:szCs w:val="22"/>
                <w:highlight w:val="none"/>
                <w:lang w:val="en-US" w:eastAsia="zh-CN"/>
              </w:rPr>
              <w:t>成交供应商</w:t>
            </w:r>
            <w:r>
              <w:rPr>
                <w:rFonts w:hint="eastAsia" w:ascii="Times New Roman" w:hAnsi="Times New Roman" w:eastAsia="仿宋" w:cs="Times New Roman"/>
                <w:color w:val="auto"/>
                <w:sz w:val="22"/>
                <w:szCs w:val="22"/>
                <w:highlight w:val="none"/>
                <w:lang w:val="zh-CN"/>
              </w:rPr>
              <w:t>应在</w:t>
            </w:r>
            <w:r>
              <w:rPr>
                <w:rFonts w:hint="eastAsia" w:ascii="Times New Roman" w:hAnsi="Times New Roman" w:eastAsia="仿宋" w:cs="Times New Roman"/>
                <w:color w:val="auto"/>
                <w:sz w:val="22"/>
                <w:szCs w:val="22"/>
                <w:highlight w:val="none"/>
                <w:lang w:val="en-US" w:eastAsia="zh-CN"/>
              </w:rPr>
              <w:t>成交公告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en-US" w:eastAsia="zh-CN"/>
              </w:rPr>
              <w:t>成交</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Times New Roman" w:hAnsi="Times New Roman" w:eastAsia="仿宋" w:cs="Times New Roman"/>
                <w:color w:val="auto"/>
                <w:sz w:val="22"/>
                <w:szCs w:val="22"/>
                <w:highlight w:val="none"/>
                <w:lang w:val="en-US" w:eastAsia="zh-CN"/>
              </w:rPr>
              <w:t>成交</w:t>
            </w:r>
            <w:r>
              <w:rPr>
                <w:rFonts w:hint="eastAsia" w:ascii="Times New Roman" w:hAnsi="Times New Roman" w:eastAsia="仿宋" w:cs="Times New Roman"/>
                <w:color w:val="auto"/>
                <w:sz w:val="22"/>
                <w:szCs w:val="22"/>
                <w:highlight w:val="none"/>
                <w:lang w:val="zh-CN"/>
              </w:rPr>
              <w:t>，取消其</w:t>
            </w:r>
            <w:r>
              <w:rPr>
                <w:rFonts w:hint="eastAsia" w:ascii="Times New Roman" w:hAnsi="Times New Roman" w:eastAsia="仿宋" w:cs="Times New Roman"/>
                <w:color w:val="auto"/>
                <w:sz w:val="22"/>
                <w:szCs w:val="22"/>
                <w:highlight w:val="none"/>
                <w:lang w:val="en-US" w:eastAsia="zh-CN"/>
              </w:rPr>
              <w:t>成交</w:t>
            </w:r>
            <w:r>
              <w:rPr>
                <w:rFonts w:hint="eastAsia" w:ascii="Times New Roman" w:hAnsi="Times New Roman" w:eastAsia="仿宋" w:cs="Times New Roman"/>
                <w:color w:val="auto"/>
                <w:sz w:val="22"/>
                <w:szCs w:val="22"/>
                <w:highlight w:val="none"/>
                <w:lang w:val="zh-CN"/>
              </w:rPr>
              <w:t>资格并将按相关规定进行处理。</w:t>
            </w:r>
          </w:p>
          <w:p>
            <w:pPr>
              <w:pStyle w:val="25"/>
              <w:spacing w:line="360" w:lineRule="auto"/>
              <w:ind w:left="210" w:leftChars="10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b/>
                <w:bCs/>
                <w:color w:val="auto"/>
                <w:sz w:val="22"/>
                <w:szCs w:val="22"/>
                <w:highlight w:val="none"/>
                <w:lang w:val="zh-CN"/>
              </w:rPr>
              <w:t>（</w:t>
            </w:r>
            <w:r>
              <w:rPr>
                <w:rFonts w:hint="eastAsia" w:ascii="Times New Roman" w:hAnsi="Times New Roman" w:eastAsia="仿宋" w:cs="Times New Roman"/>
                <w:b/>
                <w:bCs/>
                <w:color w:val="auto"/>
                <w:sz w:val="22"/>
                <w:szCs w:val="22"/>
                <w:highlight w:val="none"/>
                <w:lang w:val="en-US" w:eastAsia="zh-CN"/>
              </w:rPr>
              <w:t>4</w:t>
            </w:r>
            <w:r>
              <w:rPr>
                <w:rFonts w:hint="eastAsia" w:ascii="Times New Roman" w:hAnsi="Times New Roman" w:eastAsia="仿宋" w:cs="Times New Roman"/>
                <w:b/>
                <w:bCs/>
                <w:color w:val="auto"/>
                <w:sz w:val="22"/>
                <w:szCs w:val="22"/>
                <w:highlight w:val="none"/>
                <w:lang w:val="zh-CN"/>
              </w:rPr>
              <w:t>）若成交供应商以非正当理由放弃成交，在3年内不</w:t>
            </w:r>
            <w:r>
              <w:rPr>
                <w:rFonts w:hint="eastAsia" w:ascii="Times New Roman" w:hAnsi="Times New Roman" w:eastAsia="仿宋" w:cs="Times New Roman"/>
                <w:b/>
                <w:bCs/>
                <w:color w:val="auto"/>
                <w:sz w:val="22"/>
                <w:szCs w:val="22"/>
                <w:highlight w:val="none"/>
              </w:rPr>
              <w:t>得</w:t>
            </w:r>
            <w:r>
              <w:rPr>
                <w:rFonts w:hint="eastAsia" w:ascii="Times New Roman" w:hAnsi="Times New Roman" w:eastAsia="仿宋" w:cs="Times New Roman"/>
                <w:b/>
                <w:bCs/>
                <w:color w:val="auto"/>
                <w:sz w:val="22"/>
                <w:szCs w:val="22"/>
                <w:highlight w:val="none"/>
                <w:lang w:val="zh-CN"/>
              </w:rPr>
              <w:t>参与本单位的</w:t>
            </w:r>
            <w:r>
              <w:rPr>
                <w:rFonts w:hint="eastAsia" w:ascii="Times New Roman" w:hAnsi="Times New Roman" w:eastAsia="仿宋" w:cs="Times New Roman"/>
                <w:b/>
                <w:bCs/>
                <w:color w:val="auto"/>
                <w:sz w:val="22"/>
                <w:szCs w:val="22"/>
                <w:highlight w:val="none"/>
                <w:lang w:val="en-US" w:eastAsia="zh-CN"/>
              </w:rPr>
              <w:t>投标</w:t>
            </w:r>
            <w:r>
              <w:rPr>
                <w:rFonts w:hint="eastAsia" w:ascii="Times New Roman" w:hAnsi="Times New Roman" w:eastAsia="仿宋" w:cs="Times New Roman"/>
                <w:b/>
                <w:bCs/>
                <w:color w:val="auto"/>
                <w:sz w:val="22"/>
                <w:szCs w:val="22"/>
                <w:highlight w:val="none"/>
                <w:lang w:val="zh-CN"/>
              </w:rPr>
              <w:t>申请。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0" w:hRule="atLeast"/>
          <w:jc w:val="center"/>
        </w:trPr>
        <w:tc>
          <w:tcPr>
            <w:tcW w:w="578" w:type="dxa"/>
            <w:vAlign w:val="center"/>
          </w:tcPr>
          <w:p>
            <w:pPr>
              <w:pStyle w:val="24"/>
              <w:numPr>
                <w:ilvl w:val="0"/>
                <w:numId w:val="10"/>
              </w:numPr>
              <w:tabs>
                <w:tab w:val="left" w:pos="220"/>
              </w:tabs>
              <w:adjustRightInd w:val="0"/>
              <w:snapToGrid w:val="0"/>
              <w:rPr>
                <w:rFonts w:ascii="仿宋" w:hAnsi="仿宋" w:eastAsia="仿宋" w:cs="仿宋"/>
                <w:color w:val="auto"/>
                <w:szCs w:val="21"/>
                <w:highlight w:val="none"/>
              </w:rPr>
            </w:pPr>
          </w:p>
        </w:tc>
        <w:tc>
          <w:tcPr>
            <w:tcW w:w="1954" w:type="dxa"/>
            <w:vAlign w:val="center"/>
          </w:tcPr>
          <w:p>
            <w:pPr>
              <w:pStyle w:val="25"/>
              <w:spacing w:line="360" w:lineRule="auto"/>
              <w:jc w:val="center"/>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总体说明</w:t>
            </w:r>
          </w:p>
        </w:tc>
        <w:tc>
          <w:tcPr>
            <w:tcW w:w="6867" w:type="dxa"/>
            <w:vAlign w:val="center"/>
          </w:tcPr>
          <w:p>
            <w:pPr>
              <w:pStyle w:val="25"/>
              <w:numPr>
                <w:ilvl w:val="0"/>
                <w:numId w:val="12"/>
              </w:numPr>
              <w:spacing w:line="360" w:lineRule="auto"/>
              <w:ind w:left="0" w:leftChars="0" w:firstLineChars="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en-US" w:eastAsia="zh-CN"/>
              </w:rPr>
              <w:t>谈判</w:t>
            </w:r>
            <w:r>
              <w:rPr>
                <w:rFonts w:hint="eastAsia" w:ascii="Times New Roman" w:hAnsi="Times New Roman" w:eastAsia="仿宋" w:cs="Times New Roman"/>
                <w:color w:val="auto"/>
                <w:sz w:val="22"/>
                <w:szCs w:val="22"/>
                <w:highlight w:val="none"/>
                <w:lang w:val="zh-CN"/>
              </w:rPr>
              <w:t>产生的一切费用由供应商自行承担；</w:t>
            </w:r>
          </w:p>
          <w:p>
            <w:pPr>
              <w:pStyle w:val="25"/>
              <w:numPr>
                <w:ilvl w:val="0"/>
                <w:numId w:val="12"/>
              </w:numPr>
              <w:spacing w:line="360" w:lineRule="auto"/>
              <w:ind w:left="0" w:leftChars="0" w:firstLineChars="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rPr>
              <w:t>本</w:t>
            </w:r>
            <w:r>
              <w:rPr>
                <w:rFonts w:hint="eastAsia" w:ascii="Times New Roman" w:hAnsi="Times New Roman" w:eastAsia="仿宋" w:cs="Times New Roman"/>
                <w:color w:val="auto"/>
                <w:sz w:val="22"/>
                <w:szCs w:val="22"/>
                <w:highlight w:val="none"/>
                <w:lang w:val="en-US" w:eastAsia="zh-CN"/>
              </w:rPr>
              <w:t>文件</w:t>
            </w:r>
            <w:r>
              <w:rPr>
                <w:rFonts w:hint="eastAsia" w:ascii="Times New Roman" w:hAnsi="Times New Roman" w:eastAsia="仿宋" w:cs="Times New Roman"/>
                <w:color w:val="auto"/>
                <w:sz w:val="22"/>
                <w:szCs w:val="22"/>
                <w:highlight w:val="none"/>
              </w:rPr>
              <w:t>的第一章、第二章均为实质性要求，供应商应当符合；</w:t>
            </w:r>
          </w:p>
          <w:p>
            <w:pPr>
              <w:pStyle w:val="25"/>
              <w:numPr>
                <w:ilvl w:val="0"/>
                <w:numId w:val="12"/>
              </w:numPr>
              <w:spacing w:line="360" w:lineRule="auto"/>
              <w:ind w:left="0" w:leftChars="0" w:firstLineChars="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“采购人”系指本次组织</w:t>
            </w:r>
            <w:r>
              <w:rPr>
                <w:rFonts w:hint="eastAsia" w:ascii="Times New Roman" w:hAnsi="Times New Roman" w:eastAsia="仿宋" w:cs="Times New Roman"/>
                <w:color w:val="auto"/>
                <w:sz w:val="22"/>
                <w:szCs w:val="22"/>
                <w:highlight w:val="none"/>
                <w:lang w:eastAsia="zh-CN"/>
              </w:rPr>
              <w:t>谈判</w:t>
            </w:r>
            <w:r>
              <w:rPr>
                <w:rFonts w:hint="eastAsia" w:ascii="Times New Roman" w:hAnsi="Times New Roman" w:eastAsia="仿宋" w:cs="Times New Roman"/>
                <w:color w:val="auto"/>
                <w:sz w:val="22"/>
                <w:szCs w:val="22"/>
                <w:highlight w:val="none"/>
              </w:rPr>
              <w:t>的四川省人民医院；</w:t>
            </w:r>
          </w:p>
          <w:p>
            <w:pPr>
              <w:pStyle w:val="25"/>
              <w:numPr>
                <w:ilvl w:val="0"/>
                <w:numId w:val="12"/>
              </w:numPr>
              <w:spacing w:line="360" w:lineRule="auto"/>
              <w:ind w:left="0" w:leftChars="0" w:firstLineChars="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“供应商”</w:t>
            </w:r>
            <w:r>
              <w:rPr>
                <w:rFonts w:hint="eastAsia" w:ascii="Times New Roman" w:hAnsi="Times New Roman" w:eastAsia="仿宋" w:cs="Times New Roman"/>
                <w:color w:val="auto"/>
                <w:sz w:val="22"/>
                <w:szCs w:val="22"/>
                <w:highlight w:val="none"/>
                <w:lang w:eastAsia="zh-CN"/>
              </w:rPr>
              <w:t>“</w:t>
            </w:r>
            <w:r>
              <w:rPr>
                <w:rFonts w:hint="eastAsia" w:ascii="Times New Roman" w:hAnsi="Times New Roman" w:eastAsia="仿宋" w:cs="Times New Roman"/>
                <w:color w:val="auto"/>
                <w:sz w:val="22"/>
                <w:szCs w:val="22"/>
                <w:highlight w:val="none"/>
                <w:lang w:val="en-US" w:eastAsia="zh-CN"/>
              </w:rPr>
              <w:t>响应供应商</w:t>
            </w:r>
            <w:r>
              <w:rPr>
                <w:rFonts w:hint="eastAsia" w:ascii="Times New Roman" w:hAnsi="Times New Roman" w:eastAsia="仿宋" w:cs="Times New Roman"/>
                <w:color w:val="auto"/>
                <w:sz w:val="22"/>
                <w:szCs w:val="22"/>
                <w:highlight w:val="none"/>
                <w:lang w:eastAsia="zh-CN"/>
              </w:rPr>
              <w:t>”</w:t>
            </w:r>
            <w:r>
              <w:rPr>
                <w:rFonts w:hint="eastAsia" w:ascii="Times New Roman" w:hAnsi="Times New Roman" w:eastAsia="仿宋" w:cs="Times New Roman"/>
                <w:color w:val="auto"/>
                <w:sz w:val="22"/>
                <w:szCs w:val="22"/>
                <w:highlight w:val="none"/>
                <w:lang w:val="en-US" w:eastAsia="zh-CN"/>
              </w:rPr>
              <w:t>系</w:t>
            </w:r>
            <w:r>
              <w:rPr>
                <w:rFonts w:hint="eastAsia" w:ascii="Times New Roman" w:hAnsi="Times New Roman" w:eastAsia="仿宋" w:cs="Times New Roman"/>
                <w:color w:val="auto"/>
                <w:sz w:val="22"/>
                <w:szCs w:val="22"/>
                <w:highlight w:val="none"/>
              </w:rPr>
              <w:t>获取了</w:t>
            </w:r>
            <w:r>
              <w:rPr>
                <w:rFonts w:hint="eastAsia" w:ascii="Times New Roman" w:hAnsi="Times New Roman" w:eastAsia="仿宋" w:cs="Times New Roman"/>
                <w:color w:val="auto"/>
                <w:sz w:val="22"/>
                <w:szCs w:val="22"/>
                <w:highlight w:val="none"/>
                <w:lang w:eastAsia="zh-CN"/>
              </w:rPr>
              <w:t>谈判文件</w:t>
            </w:r>
            <w:r>
              <w:rPr>
                <w:rFonts w:hint="eastAsia" w:ascii="Times New Roman" w:hAnsi="Times New Roman" w:eastAsia="仿宋" w:cs="Times New Roman"/>
                <w:color w:val="auto"/>
                <w:sz w:val="22"/>
                <w:szCs w:val="22"/>
                <w:highlight w:val="none"/>
              </w:rPr>
              <w:t>拟参加</w:t>
            </w:r>
            <w:r>
              <w:rPr>
                <w:rFonts w:hint="eastAsia" w:ascii="Times New Roman" w:hAnsi="Times New Roman" w:eastAsia="仿宋" w:cs="Times New Roman"/>
                <w:color w:val="auto"/>
                <w:sz w:val="22"/>
                <w:szCs w:val="22"/>
                <w:highlight w:val="none"/>
                <w:lang w:val="en-US" w:eastAsia="zh-CN"/>
              </w:rPr>
              <w:t>谈判</w:t>
            </w:r>
            <w:r>
              <w:rPr>
                <w:rFonts w:hint="eastAsia" w:ascii="Times New Roman" w:hAnsi="Times New Roman" w:eastAsia="仿宋" w:cs="Times New Roman"/>
                <w:color w:val="auto"/>
                <w:sz w:val="22"/>
                <w:szCs w:val="22"/>
                <w:highlight w:val="none"/>
              </w:rPr>
              <w:t>和向采购人提供货物及相应服务的供应商；</w:t>
            </w:r>
          </w:p>
          <w:p>
            <w:pPr>
              <w:pStyle w:val="25"/>
              <w:numPr>
                <w:ilvl w:val="0"/>
                <w:numId w:val="12"/>
              </w:numPr>
              <w:spacing w:line="360" w:lineRule="auto"/>
              <w:ind w:left="0" w:leftChars="0" w:firstLineChars="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若采购遇特殊情况，采购人有权终止采购项目；</w:t>
            </w:r>
          </w:p>
          <w:p>
            <w:pPr>
              <w:pStyle w:val="25"/>
              <w:numPr>
                <w:ilvl w:val="0"/>
                <w:numId w:val="12"/>
              </w:numPr>
              <w:spacing w:line="360" w:lineRule="auto"/>
              <w:ind w:left="0" w:leftChars="0" w:firstLineChars="0"/>
              <w:jc w:val="both"/>
              <w:rPr>
                <w:rFonts w:ascii="Times New Roman" w:hAnsi="Times New Roman" w:eastAsia="仿宋" w:cs="Times New Roman"/>
                <w:color w:val="auto"/>
                <w:sz w:val="22"/>
                <w:szCs w:val="22"/>
                <w:highlight w:val="none"/>
                <w:lang w:val="zh-CN"/>
              </w:rPr>
            </w:pPr>
            <w:r>
              <w:rPr>
                <w:rFonts w:hint="eastAsia" w:ascii="Times New Roman" w:hAnsi="Times New Roman" w:eastAsia="仿宋" w:cs="Times New Roman"/>
                <w:color w:val="auto"/>
                <w:sz w:val="22"/>
                <w:szCs w:val="22"/>
                <w:highlight w:val="none"/>
                <w:lang w:val="zh-CN"/>
              </w:rPr>
              <w:t>本谈判文件最终解释权归采购人所有。</w:t>
            </w:r>
          </w:p>
        </w:tc>
      </w:tr>
    </w:tbl>
    <w:p>
      <w:pPr>
        <w:rPr>
          <w:color w:val="auto"/>
          <w:highlight w:val="none"/>
        </w:rPr>
      </w:pPr>
      <w:r>
        <w:rPr>
          <w:color w:val="auto"/>
          <w:highlight w:val="none"/>
        </w:rPr>
        <w:br w:type="page"/>
      </w:r>
    </w:p>
    <w:p>
      <w:pPr>
        <w:pStyle w:val="2"/>
        <w:bidi w:val="0"/>
        <w:rPr>
          <w:rFonts w:ascii="黑体" w:hAnsi="黑体" w:eastAsia="黑体" w:cs="黑体"/>
          <w:b/>
          <w:color w:val="auto"/>
          <w:sz w:val="36"/>
          <w:szCs w:val="32"/>
          <w:highlight w:val="none"/>
        </w:rPr>
      </w:pPr>
      <w:bookmarkStart w:id="2" w:name="_Toc5431"/>
      <w:bookmarkStart w:id="3" w:name="_Toc19400"/>
      <w:bookmarkStart w:id="4" w:name="_Toc28050"/>
      <w:r>
        <w:rPr>
          <w:rFonts w:hint="eastAsia"/>
          <w:color w:val="auto"/>
          <w:highlight w:val="none"/>
        </w:rPr>
        <w:t>供应商资格审查及符合性审查</w:t>
      </w:r>
      <w:bookmarkEnd w:id="2"/>
      <w:bookmarkEnd w:id="3"/>
      <w:bookmarkEnd w:id="4"/>
    </w:p>
    <w:tbl>
      <w:tblPr>
        <w:tblStyle w:val="17"/>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524"/>
        <w:gridCol w:w="4398"/>
        <w:gridCol w:w="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8"/>
                <w:szCs w:val="28"/>
                <w:highlight w:val="none"/>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2524" w:type="dxa"/>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资格审查项</w:t>
            </w:r>
          </w:p>
        </w:tc>
        <w:tc>
          <w:tcPr>
            <w:tcW w:w="4398" w:type="dxa"/>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通过条件</w:t>
            </w:r>
          </w:p>
        </w:tc>
        <w:tc>
          <w:tcPr>
            <w:tcW w:w="902" w:type="dxa"/>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1</w:t>
            </w:r>
          </w:p>
        </w:tc>
        <w:tc>
          <w:tcPr>
            <w:tcW w:w="2524" w:type="dxa"/>
            <w:vAlign w:val="center"/>
          </w:tcPr>
          <w:p>
            <w:pPr>
              <w:jc w:val="center"/>
              <w:rPr>
                <w:rFonts w:ascii="仿宋" w:hAnsi="仿宋" w:eastAsia="仿宋" w:cs="仿宋"/>
                <w:b/>
                <w:color w:val="auto"/>
                <w:sz w:val="22"/>
                <w:highlight w:val="none"/>
              </w:rPr>
            </w:pPr>
            <w:r>
              <w:rPr>
                <w:rFonts w:ascii="等线" w:hAnsi="等线" w:eastAsia="仿宋"/>
                <w:b/>
                <w:color w:val="auto"/>
                <w:sz w:val="22"/>
                <w:highlight w:val="none"/>
              </w:rPr>
              <w:t>具有独立承担民事责任的能力</w:t>
            </w:r>
          </w:p>
        </w:tc>
        <w:tc>
          <w:tcPr>
            <w:tcW w:w="4398" w:type="dxa"/>
            <w:vAlign w:val="center"/>
          </w:tcPr>
          <w:p>
            <w:pPr>
              <w:rPr>
                <w:rFonts w:hint="eastAsia" w:ascii="仿宋" w:hAnsi="仿宋" w:eastAsia="仿宋" w:cs="仿宋"/>
                <w:color w:val="auto"/>
                <w:highlight w:val="none"/>
              </w:rPr>
            </w:pPr>
            <w:r>
              <w:rPr>
                <w:rFonts w:hint="eastAsia" w:ascii="仿宋" w:hAnsi="仿宋" w:eastAsia="仿宋" w:cs="仿宋"/>
                <w:color w:val="auto"/>
                <w:highlight w:val="none"/>
              </w:rPr>
              <w:t>（1）供应商若为企业法人：提供“统一社会信用代码营业执照”；未换证的提供“营业执照、税务登记证、组织机构代码证或三证合一的营业执照”；</w:t>
            </w:r>
          </w:p>
          <w:p>
            <w:pPr>
              <w:rPr>
                <w:rFonts w:hint="eastAsia" w:ascii="仿宋" w:hAnsi="仿宋" w:eastAsia="仿宋" w:cs="仿宋"/>
                <w:color w:val="auto"/>
                <w:highlight w:val="none"/>
              </w:rPr>
            </w:pPr>
            <w:r>
              <w:rPr>
                <w:rFonts w:hint="eastAsia" w:ascii="仿宋" w:hAnsi="仿宋" w:eastAsia="仿宋" w:cs="仿宋"/>
                <w:color w:val="auto"/>
                <w:highlight w:val="none"/>
              </w:rPr>
              <w:t>（2）若为事业法人：提供“统一社会信用代码法人登记证书”；未换证的提交“事业法人登记证书、组织机构代码证”；</w:t>
            </w:r>
          </w:p>
          <w:p>
            <w:pPr>
              <w:rPr>
                <w:rFonts w:hint="eastAsia" w:ascii="仿宋" w:hAnsi="仿宋" w:eastAsia="仿宋" w:cs="仿宋"/>
                <w:color w:val="auto"/>
                <w:highlight w:val="none"/>
              </w:rPr>
            </w:pPr>
            <w:r>
              <w:rPr>
                <w:rFonts w:hint="eastAsia" w:ascii="仿宋" w:hAnsi="仿宋" w:eastAsia="仿宋" w:cs="仿宋"/>
                <w:color w:val="auto"/>
                <w:highlight w:val="none"/>
              </w:rPr>
              <w:t>（3）若为其他组织：提供“对应主管部门颁发的准许执业证明文件或营业执照”；</w:t>
            </w:r>
          </w:p>
          <w:p>
            <w:pPr>
              <w:rPr>
                <w:color w:val="auto"/>
                <w:highlight w:val="none"/>
              </w:rPr>
            </w:pPr>
            <w:r>
              <w:rPr>
                <w:rFonts w:hint="eastAsia" w:ascii="仿宋" w:hAnsi="仿宋" w:eastAsia="仿宋" w:cs="仿宋"/>
                <w:color w:val="auto"/>
                <w:highlight w:val="none"/>
              </w:rPr>
              <w:t>（4）若为自然人：提供“身份证明材料”</w:t>
            </w:r>
          </w:p>
        </w:tc>
        <w:tc>
          <w:tcPr>
            <w:tcW w:w="902" w:type="dxa"/>
            <w:vAlign w:val="center"/>
          </w:tcPr>
          <w:p>
            <w:pPr>
              <w:widowControl/>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2</w:t>
            </w:r>
          </w:p>
        </w:tc>
        <w:tc>
          <w:tcPr>
            <w:tcW w:w="2524" w:type="dxa"/>
            <w:vAlign w:val="center"/>
          </w:tcPr>
          <w:p>
            <w:pPr>
              <w:jc w:val="center"/>
              <w:rPr>
                <w:rFonts w:ascii="仿宋" w:hAnsi="仿宋" w:eastAsia="仿宋" w:cs="仿宋"/>
                <w:b/>
                <w:color w:val="auto"/>
                <w:sz w:val="22"/>
                <w:highlight w:val="none"/>
              </w:rPr>
            </w:pPr>
            <w:r>
              <w:rPr>
                <w:rFonts w:ascii="仿宋" w:hAnsi="仿宋" w:eastAsia="仿宋"/>
                <w:b/>
                <w:color w:val="auto"/>
                <w:sz w:val="22"/>
                <w:highlight w:val="none"/>
              </w:rPr>
              <w:t>具有健全的财务会计制度</w:t>
            </w:r>
          </w:p>
        </w:tc>
        <w:tc>
          <w:tcPr>
            <w:tcW w:w="4398" w:type="dxa"/>
            <w:vAlign w:val="center"/>
          </w:tcPr>
          <w:p>
            <w:pPr>
              <w:rPr>
                <w:rFonts w:ascii="仿宋" w:hAnsi="仿宋" w:eastAsia="仿宋" w:cs="仿宋"/>
                <w:color w:val="auto"/>
                <w:sz w:val="22"/>
                <w:highlight w:val="none"/>
              </w:rPr>
            </w:pPr>
            <w:r>
              <w:rPr>
                <w:rFonts w:hint="eastAsia" w:ascii="仿宋" w:hAnsi="仿宋" w:eastAsia="仿宋" w:cs="仿宋"/>
                <w:color w:val="auto"/>
                <w:sz w:val="22"/>
                <w:highlight w:val="none"/>
              </w:rPr>
              <w:t>供应商根据自身情况选择提供其中任意一项：</w:t>
            </w:r>
          </w:p>
          <w:p>
            <w:pPr>
              <w:rPr>
                <w:rFonts w:ascii="仿宋" w:hAnsi="仿宋" w:eastAsia="仿宋" w:cs="仿宋"/>
                <w:color w:val="auto"/>
                <w:sz w:val="22"/>
                <w:highlight w:val="none"/>
              </w:rPr>
            </w:pPr>
            <w:r>
              <w:rPr>
                <w:rFonts w:hint="eastAsia" w:ascii="仿宋" w:hAnsi="仿宋" w:eastAsia="仿宋" w:cs="仿宋"/>
                <w:color w:val="auto"/>
                <w:sz w:val="22"/>
                <w:highlight w:val="none"/>
              </w:rPr>
              <w:t>（1）可提供截至</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提交截止日前两个年度任意一个年度经审计的财务报告复印件（包含审计报告和审计报告中所涉及的财务报表和报表附注）；</w:t>
            </w:r>
          </w:p>
          <w:p>
            <w:pPr>
              <w:rPr>
                <w:rFonts w:ascii="仿宋" w:hAnsi="仿宋" w:eastAsia="仿宋" w:cs="仿宋"/>
                <w:color w:val="auto"/>
                <w:sz w:val="22"/>
                <w:highlight w:val="none"/>
              </w:rPr>
            </w:pPr>
            <w:r>
              <w:rPr>
                <w:rFonts w:hint="eastAsia" w:ascii="仿宋" w:hAnsi="仿宋" w:eastAsia="仿宋" w:cs="仿宋"/>
                <w:color w:val="auto"/>
                <w:sz w:val="22"/>
                <w:highlight w:val="none"/>
              </w:rPr>
              <w:t>（2）也可提供截</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提交截止日前两个年度任意一个年度供应商内部的财务报表复印件（至少包含资产负债表）；</w:t>
            </w:r>
          </w:p>
          <w:p>
            <w:pPr>
              <w:rPr>
                <w:rFonts w:ascii="仿宋" w:hAnsi="仿宋" w:eastAsia="仿宋" w:cs="仿宋"/>
                <w:color w:val="auto"/>
                <w:sz w:val="22"/>
                <w:highlight w:val="none"/>
              </w:rPr>
            </w:pPr>
            <w:r>
              <w:rPr>
                <w:rFonts w:hint="eastAsia" w:ascii="仿宋" w:hAnsi="仿宋" w:eastAsia="仿宋" w:cs="仿宋"/>
                <w:color w:val="auto"/>
                <w:sz w:val="22"/>
                <w:highlight w:val="none"/>
              </w:rPr>
              <w:t>（3）也可提供截至提交</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截止日一年内银行出具的资信证明；</w:t>
            </w:r>
          </w:p>
          <w:p>
            <w:pPr>
              <w:rPr>
                <w:rFonts w:ascii="仿宋" w:hAnsi="仿宋" w:eastAsia="仿宋" w:cs="仿宋"/>
                <w:color w:val="auto"/>
                <w:sz w:val="22"/>
                <w:highlight w:val="none"/>
              </w:rPr>
            </w:pPr>
            <w:r>
              <w:rPr>
                <w:rFonts w:hint="eastAsia" w:ascii="仿宋" w:hAnsi="仿宋" w:eastAsia="仿宋" w:cs="仿宋"/>
                <w:color w:val="auto"/>
                <w:sz w:val="22"/>
                <w:highlight w:val="none"/>
              </w:rPr>
              <w:t>（4）供应商注册时间截至提交</w:t>
            </w:r>
            <w:r>
              <w:rPr>
                <w:rFonts w:hint="eastAsia" w:ascii="仿宋" w:hAnsi="仿宋" w:eastAsia="仿宋" w:cs="仿宋"/>
                <w:color w:val="auto"/>
                <w:sz w:val="22"/>
                <w:highlight w:val="none"/>
                <w:lang w:eastAsia="zh-CN"/>
              </w:rPr>
              <w:t>响应文件</w:t>
            </w:r>
            <w:r>
              <w:rPr>
                <w:rFonts w:hint="eastAsia" w:ascii="仿宋" w:hAnsi="仿宋" w:eastAsia="仿宋" w:cs="仿宋"/>
                <w:color w:val="auto"/>
                <w:sz w:val="22"/>
                <w:highlight w:val="none"/>
              </w:rPr>
              <w:t>截止日不足一年的，也可提供工商管理部门备案的公司章程；</w:t>
            </w:r>
          </w:p>
          <w:p>
            <w:pPr>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rPr>
              <w:t>（5）供应商为个体工商户或自然人时，可提供承诺函</w:t>
            </w:r>
            <w:r>
              <w:rPr>
                <w:rFonts w:hint="eastAsia" w:ascii="仿宋" w:hAnsi="仿宋" w:eastAsia="仿宋" w:cs="仿宋"/>
                <w:color w:val="auto"/>
                <w:sz w:val="22"/>
                <w:highlight w:val="none"/>
                <w:lang w:eastAsia="zh-CN"/>
              </w:rPr>
              <w:t>。</w:t>
            </w:r>
          </w:p>
        </w:tc>
        <w:tc>
          <w:tcPr>
            <w:tcW w:w="902" w:type="dxa"/>
            <w:vAlign w:val="center"/>
          </w:tcPr>
          <w:p>
            <w:pPr>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3</w:t>
            </w:r>
          </w:p>
        </w:tc>
        <w:tc>
          <w:tcPr>
            <w:tcW w:w="2524" w:type="dxa"/>
            <w:vAlign w:val="center"/>
          </w:tcPr>
          <w:p>
            <w:pPr>
              <w:spacing w:line="360" w:lineRule="auto"/>
              <w:jc w:val="center"/>
              <w:rPr>
                <w:rFonts w:ascii="仿宋" w:hAnsi="仿宋" w:eastAsia="仿宋" w:cs="仿宋"/>
                <w:b/>
                <w:color w:val="auto"/>
                <w:sz w:val="22"/>
                <w:highlight w:val="none"/>
              </w:rPr>
            </w:pPr>
            <w:r>
              <w:rPr>
                <w:rFonts w:ascii="仿宋" w:hAnsi="仿宋" w:eastAsia="仿宋"/>
                <w:b/>
                <w:color w:val="auto"/>
                <w:sz w:val="22"/>
                <w:highlight w:val="none"/>
              </w:rPr>
              <w:t>具有履行合同所必需的设备和专业技术能力</w:t>
            </w:r>
          </w:p>
        </w:tc>
        <w:tc>
          <w:tcPr>
            <w:tcW w:w="4398" w:type="dxa"/>
            <w:vMerge w:val="restart"/>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统一提供承诺函</w:t>
            </w:r>
          </w:p>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(注：格式见第六章承诺函)</w:t>
            </w:r>
          </w:p>
        </w:tc>
        <w:tc>
          <w:tcPr>
            <w:tcW w:w="902" w:type="dxa"/>
            <w:vMerge w:val="restart"/>
            <w:vAlign w:val="center"/>
          </w:tcPr>
          <w:p>
            <w:pPr>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4</w:t>
            </w:r>
          </w:p>
        </w:tc>
        <w:tc>
          <w:tcPr>
            <w:tcW w:w="2524" w:type="dxa"/>
            <w:vAlign w:val="center"/>
          </w:tcPr>
          <w:p>
            <w:pPr>
              <w:spacing w:line="360" w:lineRule="auto"/>
              <w:jc w:val="center"/>
              <w:rPr>
                <w:rFonts w:ascii="仿宋" w:hAnsi="仿宋" w:eastAsia="仿宋" w:cs="仿宋"/>
                <w:b/>
                <w:color w:val="auto"/>
                <w:sz w:val="22"/>
                <w:highlight w:val="none"/>
              </w:rPr>
            </w:pPr>
            <w:r>
              <w:rPr>
                <w:rFonts w:ascii="仿宋" w:hAnsi="仿宋" w:eastAsia="仿宋"/>
                <w:b/>
                <w:color w:val="auto"/>
                <w:sz w:val="22"/>
                <w:highlight w:val="none"/>
              </w:rPr>
              <w:t>有依法缴纳税收和社会保障资金的良好记录</w:t>
            </w:r>
          </w:p>
        </w:tc>
        <w:tc>
          <w:tcPr>
            <w:tcW w:w="4398" w:type="dxa"/>
            <w:vMerge w:val="continue"/>
            <w:vAlign w:val="center"/>
          </w:tcPr>
          <w:p>
            <w:pPr>
              <w:rPr>
                <w:rFonts w:ascii="仿宋" w:hAnsi="仿宋" w:eastAsia="仿宋" w:cs="仿宋"/>
                <w:color w:val="auto"/>
                <w:sz w:val="22"/>
                <w:highlight w:val="none"/>
              </w:rPr>
            </w:pPr>
          </w:p>
        </w:tc>
        <w:tc>
          <w:tcPr>
            <w:tcW w:w="902" w:type="dxa"/>
            <w:vMerge w:val="continue"/>
            <w:vAlign w:val="center"/>
          </w:tcPr>
          <w:p>
            <w:pPr>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pPr>
              <w:jc w:val="center"/>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5</w:t>
            </w:r>
          </w:p>
        </w:tc>
        <w:tc>
          <w:tcPr>
            <w:tcW w:w="2524" w:type="dxa"/>
            <w:vAlign w:val="center"/>
          </w:tcPr>
          <w:p>
            <w:pPr>
              <w:spacing w:line="360" w:lineRule="auto"/>
              <w:jc w:val="center"/>
              <w:rPr>
                <w:rFonts w:ascii="仿宋" w:hAnsi="仿宋" w:eastAsia="仿宋"/>
                <w:b/>
                <w:color w:val="auto"/>
                <w:sz w:val="22"/>
                <w:highlight w:val="none"/>
              </w:rPr>
            </w:pPr>
            <w:r>
              <w:rPr>
                <w:rFonts w:ascii="仿宋" w:hAnsi="仿宋" w:eastAsia="仿宋"/>
                <w:b/>
                <w:color w:val="auto"/>
                <w:sz w:val="22"/>
                <w:highlight w:val="none"/>
              </w:rPr>
              <w:t>具有良好的商业信誉</w:t>
            </w:r>
          </w:p>
        </w:tc>
        <w:tc>
          <w:tcPr>
            <w:tcW w:w="4398" w:type="dxa"/>
            <w:vMerge w:val="continue"/>
            <w:vAlign w:val="center"/>
          </w:tcPr>
          <w:p>
            <w:pPr>
              <w:rPr>
                <w:rFonts w:ascii="仿宋" w:hAnsi="仿宋" w:eastAsia="仿宋" w:cs="仿宋"/>
                <w:color w:val="auto"/>
                <w:sz w:val="22"/>
                <w:highlight w:val="none"/>
              </w:rPr>
            </w:pPr>
          </w:p>
        </w:tc>
        <w:tc>
          <w:tcPr>
            <w:tcW w:w="902" w:type="dxa"/>
            <w:vMerge w:val="continue"/>
            <w:vAlign w:val="center"/>
          </w:tcPr>
          <w:p>
            <w:pPr>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pPr>
              <w:jc w:val="center"/>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val="en-US" w:eastAsia="zh-CN"/>
              </w:rPr>
              <w:t>6</w:t>
            </w:r>
          </w:p>
        </w:tc>
        <w:tc>
          <w:tcPr>
            <w:tcW w:w="2524" w:type="dxa"/>
            <w:vAlign w:val="center"/>
          </w:tcPr>
          <w:p>
            <w:pPr>
              <w:spacing w:line="360" w:lineRule="auto"/>
              <w:jc w:val="center"/>
              <w:rPr>
                <w:rFonts w:ascii="仿宋" w:hAnsi="仿宋" w:eastAsia="仿宋" w:cs="仿宋"/>
                <w:b/>
                <w:color w:val="auto"/>
                <w:sz w:val="22"/>
                <w:highlight w:val="none"/>
              </w:rPr>
            </w:pPr>
            <w:r>
              <w:rPr>
                <w:rFonts w:hint="eastAsia" w:ascii="仿宋" w:hAnsi="仿宋" w:eastAsia="仿宋"/>
                <w:b/>
                <w:color w:val="auto"/>
                <w:sz w:val="22"/>
                <w:highlight w:val="none"/>
              </w:rPr>
              <w:t>参加本次采购活动前三年内，在经营活动中没有重大违法记录</w:t>
            </w:r>
          </w:p>
        </w:tc>
        <w:tc>
          <w:tcPr>
            <w:tcW w:w="4398" w:type="dxa"/>
            <w:vMerge w:val="continue"/>
            <w:vAlign w:val="center"/>
          </w:tcPr>
          <w:p>
            <w:pPr>
              <w:rPr>
                <w:rFonts w:ascii="仿宋" w:hAnsi="仿宋" w:eastAsia="仿宋" w:cs="仿宋"/>
                <w:color w:val="auto"/>
                <w:sz w:val="22"/>
                <w:highlight w:val="none"/>
              </w:rPr>
            </w:pPr>
          </w:p>
        </w:tc>
        <w:tc>
          <w:tcPr>
            <w:tcW w:w="902" w:type="dxa"/>
            <w:vMerge w:val="continue"/>
            <w:vAlign w:val="center"/>
          </w:tcPr>
          <w:p>
            <w:pPr>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pPr>
              <w:jc w:val="center"/>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val="en-US" w:eastAsia="zh-CN"/>
              </w:rPr>
              <w:t>7</w:t>
            </w:r>
          </w:p>
        </w:tc>
        <w:tc>
          <w:tcPr>
            <w:tcW w:w="2524" w:type="dxa"/>
            <w:vAlign w:val="center"/>
          </w:tcPr>
          <w:p>
            <w:pPr>
              <w:spacing w:line="360" w:lineRule="auto"/>
              <w:jc w:val="center"/>
              <w:rPr>
                <w:rFonts w:ascii="仿宋" w:hAnsi="仿宋" w:eastAsia="仿宋" w:cs="仿宋"/>
                <w:b/>
                <w:color w:val="auto"/>
                <w:sz w:val="22"/>
                <w:highlight w:val="none"/>
              </w:rPr>
            </w:pPr>
            <w:r>
              <w:rPr>
                <w:rFonts w:ascii="仿宋" w:hAnsi="仿宋" w:eastAsia="仿宋"/>
                <w:b/>
                <w:color w:val="auto"/>
                <w:sz w:val="22"/>
                <w:highlight w:val="none"/>
              </w:rPr>
              <w:t>法律、行政法规规定的其他条件</w:t>
            </w:r>
          </w:p>
        </w:tc>
        <w:tc>
          <w:tcPr>
            <w:tcW w:w="4398" w:type="dxa"/>
            <w:vMerge w:val="continue"/>
            <w:vAlign w:val="center"/>
          </w:tcPr>
          <w:p>
            <w:pPr>
              <w:rPr>
                <w:rFonts w:ascii="仿宋" w:hAnsi="仿宋" w:eastAsia="仿宋" w:cs="仿宋"/>
                <w:color w:val="auto"/>
                <w:sz w:val="22"/>
                <w:highlight w:val="none"/>
              </w:rPr>
            </w:pPr>
          </w:p>
        </w:tc>
        <w:tc>
          <w:tcPr>
            <w:tcW w:w="902" w:type="dxa"/>
            <w:vMerge w:val="continue"/>
            <w:vAlign w:val="center"/>
          </w:tcPr>
          <w:p>
            <w:pPr>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pPr>
              <w:jc w:val="center"/>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val="en-US" w:eastAsia="zh-CN"/>
              </w:rPr>
              <w:t>8</w:t>
            </w:r>
          </w:p>
        </w:tc>
        <w:tc>
          <w:tcPr>
            <w:tcW w:w="2524" w:type="dxa"/>
            <w:vAlign w:val="center"/>
          </w:tcPr>
          <w:p>
            <w:pPr>
              <w:jc w:val="center"/>
              <w:rPr>
                <w:rFonts w:ascii="仿宋" w:hAnsi="仿宋" w:eastAsia="仿宋" w:cs="仿宋"/>
                <w:color w:val="auto"/>
                <w:sz w:val="22"/>
                <w:highlight w:val="none"/>
              </w:rPr>
            </w:pPr>
            <w:r>
              <w:rPr>
                <w:rFonts w:hint="eastAsia" w:ascii="仿宋" w:hAnsi="仿宋" w:eastAsia="仿宋"/>
                <w:b/>
                <w:color w:val="auto"/>
                <w:sz w:val="22"/>
                <w:highlight w:val="none"/>
              </w:rPr>
              <w:t>未被列入失信被执行人、重大税收违法案件当事人名单、政府采购严重违法失信行为记录名单</w:t>
            </w:r>
          </w:p>
        </w:tc>
        <w:tc>
          <w:tcPr>
            <w:tcW w:w="4398" w:type="dxa"/>
            <w:vMerge w:val="continue"/>
            <w:vAlign w:val="center"/>
          </w:tcPr>
          <w:p>
            <w:pPr>
              <w:rPr>
                <w:rFonts w:ascii="仿宋" w:hAnsi="仿宋" w:eastAsia="仿宋" w:cs="仿宋"/>
                <w:color w:val="auto"/>
                <w:sz w:val="22"/>
                <w:highlight w:val="none"/>
              </w:rPr>
            </w:pPr>
          </w:p>
        </w:tc>
        <w:tc>
          <w:tcPr>
            <w:tcW w:w="902" w:type="dxa"/>
            <w:vMerge w:val="continue"/>
            <w:vAlign w:val="center"/>
          </w:tcPr>
          <w:p>
            <w:pPr>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pPr>
              <w:jc w:val="center"/>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9</w:t>
            </w:r>
          </w:p>
        </w:tc>
        <w:tc>
          <w:tcPr>
            <w:tcW w:w="2524" w:type="dxa"/>
            <w:vAlign w:val="center"/>
          </w:tcPr>
          <w:p>
            <w:pPr>
              <w:widowControl/>
              <w:rPr>
                <w:rFonts w:hint="default" w:ascii="仿宋" w:hAnsi="仿宋" w:eastAsia="仿宋" w:cs="仿宋"/>
                <w:b/>
                <w:bCs/>
                <w:color w:val="auto"/>
                <w:sz w:val="22"/>
                <w:highlight w:val="none"/>
                <w:lang w:val="en-US" w:eastAsia="zh-CN"/>
              </w:rPr>
            </w:pPr>
            <w:r>
              <w:rPr>
                <w:rFonts w:hint="eastAsia" w:ascii="仿宋" w:hAnsi="仿宋" w:eastAsia="仿宋" w:cs="仿宋"/>
                <w:b/>
                <w:bCs/>
                <w:color w:val="auto"/>
                <w:sz w:val="22"/>
                <w:highlight w:val="none"/>
                <w:lang w:val="en-US" w:eastAsia="zh-CN"/>
              </w:rPr>
              <w:t>其它</w:t>
            </w:r>
            <w:r>
              <w:rPr>
                <w:rFonts w:hint="eastAsia" w:ascii="仿宋" w:hAnsi="仿宋" w:eastAsia="仿宋" w:cs="仿宋"/>
                <w:b/>
                <w:bCs/>
                <w:color w:val="auto"/>
                <w:sz w:val="22"/>
                <w:highlight w:val="none"/>
              </w:rPr>
              <w:t>资格条件：</w:t>
            </w:r>
            <w:r>
              <w:rPr>
                <w:rFonts w:hint="eastAsia" w:ascii="仿宋" w:hAnsi="仿宋" w:eastAsia="仿宋" w:cs="仿宋"/>
                <w:b/>
                <w:bCs/>
                <w:color w:val="auto"/>
                <w:sz w:val="22"/>
                <w:highlight w:val="none"/>
                <w:u w:val="single"/>
                <w:lang w:val="en-US" w:eastAsia="zh-CN"/>
              </w:rPr>
              <w:t>无</w:t>
            </w:r>
          </w:p>
        </w:tc>
        <w:tc>
          <w:tcPr>
            <w:tcW w:w="4398" w:type="dxa"/>
            <w:vAlign w:val="center"/>
          </w:tcPr>
          <w:p>
            <w:pPr>
              <w:rPr>
                <w:rFonts w:hint="default" w:ascii="仿宋" w:hAnsi="仿宋" w:eastAsia="仿宋" w:cs="仿宋"/>
                <w:color w:val="auto"/>
                <w:sz w:val="22"/>
                <w:highlight w:val="none"/>
                <w:lang w:val="en-US" w:eastAsia="zh-CN"/>
              </w:rPr>
            </w:pPr>
            <w:r>
              <w:rPr>
                <w:rFonts w:hint="eastAsia" w:ascii="仿宋" w:hAnsi="仿宋" w:eastAsia="仿宋" w:cs="仿宋"/>
                <w:b/>
                <w:bCs/>
                <w:color w:val="auto"/>
                <w:sz w:val="22"/>
                <w:highlight w:val="none"/>
                <w:u w:val="single"/>
                <w:lang w:val="en-US" w:eastAsia="zh-CN"/>
              </w:rPr>
              <w:t>无</w:t>
            </w:r>
          </w:p>
        </w:tc>
        <w:tc>
          <w:tcPr>
            <w:tcW w:w="902" w:type="dxa"/>
            <w:vAlign w:val="center"/>
          </w:tcPr>
          <w:p>
            <w:pPr>
              <w:jc w:val="left"/>
              <w:rPr>
                <w:rFonts w:ascii="仿宋" w:hAnsi="仿宋" w:eastAsia="仿宋" w:cs="仿宋"/>
                <w:bCs/>
                <w:color w:val="auto"/>
                <w:kern w:val="0"/>
                <w:sz w:val="22"/>
                <w:highlight w:val="none"/>
              </w:rPr>
            </w:pPr>
          </w:p>
        </w:tc>
      </w:tr>
    </w:tbl>
    <w:p>
      <w:pPr>
        <w:rPr>
          <w:color w:val="auto"/>
          <w:highlight w:val="none"/>
        </w:rPr>
      </w:pPr>
      <w:r>
        <w:rPr>
          <w:color w:val="auto"/>
          <w:highlight w:val="none"/>
        </w:rPr>
        <w:br w:type="page"/>
      </w:r>
    </w:p>
    <w:p>
      <w:pPr>
        <w:pStyle w:val="23"/>
        <w:rPr>
          <w:color w:val="auto"/>
          <w:highlight w:val="none"/>
        </w:rPr>
      </w:pPr>
    </w:p>
    <w:p>
      <w:pPr>
        <w:pStyle w:val="23"/>
        <w:rPr>
          <w:color w:val="auto"/>
          <w:highlight w:val="none"/>
        </w:rPr>
      </w:pPr>
    </w:p>
    <w:tbl>
      <w:tblPr>
        <w:tblStyle w:val="17"/>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055"/>
        <w:gridCol w:w="4867"/>
        <w:gridCol w:w="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8"/>
                <w:szCs w:val="28"/>
                <w:highlight w:val="none"/>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2055" w:type="dxa"/>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符合性审查项</w:t>
            </w:r>
          </w:p>
        </w:tc>
        <w:tc>
          <w:tcPr>
            <w:tcW w:w="4867" w:type="dxa"/>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通过条件</w:t>
            </w:r>
          </w:p>
        </w:tc>
        <w:tc>
          <w:tcPr>
            <w:tcW w:w="902" w:type="dxa"/>
            <w:vAlign w:val="center"/>
          </w:tcPr>
          <w:p>
            <w:pPr>
              <w:widowControl/>
              <w:jc w:val="center"/>
              <w:rPr>
                <w:rFonts w:ascii="仿宋" w:hAnsi="仿宋" w:eastAsia="仿宋" w:cs="仿宋"/>
                <w:b/>
                <w:bCs/>
                <w:color w:val="auto"/>
                <w:sz w:val="22"/>
                <w:highlight w:val="none"/>
              </w:rPr>
            </w:pPr>
            <w:r>
              <w:rPr>
                <w:rFonts w:hint="eastAsia" w:ascii="仿宋" w:hAnsi="仿宋" w:eastAsia="仿宋" w:cs="仿宋"/>
                <w:b/>
                <w:bCs/>
                <w:color w:val="auto"/>
                <w:sz w:val="22"/>
                <w:highlight w:val="none"/>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1</w:t>
            </w:r>
          </w:p>
        </w:tc>
        <w:tc>
          <w:tcPr>
            <w:tcW w:w="2055" w:type="dxa"/>
            <w:vAlign w:val="center"/>
          </w:tcPr>
          <w:p>
            <w:pPr>
              <w:jc w:val="center"/>
              <w:rPr>
                <w:rFonts w:ascii="仿宋" w:hAnsi="仿宋" w:eastAsia="仿宋" w:cs="仿宋"/>
                <w:b/>
                <w:color w:val="auto"/>
                <w:sz w:val="22"/>
                <w:highlight w:val="none"/>
              </w:rPr>
            </w:pPr>
            <w:r>
              <w:rPr>
                <w:rFonts w:hint="eastAsia" w:ascii="等线" w:hAnsi="等线" w:eastAsia="仿宋"/>
                <w:b/>
                <w:color w:val="auto"/>
                <w:sz w:val="22"/>
                <w:highlight w:val="none"/>
              </w:rPr>
              <w:t>法定代表人身份证明书或法定代表人授权委托书</w:t>
            </w:r>
          </w:p>
        </w:tc>
        <w:tc>
          <w:tcPr>
            <w:tcW w:w="4867" w:type="dxa"/>
            <w:vAlign w:val="center"/>
          </w:tcPr>
          <w:p>
            <w:pPr>
              <w:rPr>
                <w:rFonts w:ascii="仿宋" w:hAnsi="仿宋" w:eastAsia="仿宋" w:cs="仿宋"/>
                <w:color w:val="auto"/>
                <w:sz w:val="22"/>
                <w:highlight w:val="none"/>
              </w:rPr>
            </w:pPr>
            <w:r>
              <w:rPr>
                <w:rFonts w:hint="eastAsia" w:ascii="仿宋" w:hAnsi="仿宋" w:eastAsia="仿宋" w:cs="仿宋"/>
                <w:color w:val="auto"/>
                <w:sz w:val="22"/>
                <w:highlight w:val="none"/>
              </w:rPr>
              <w:t>（1）法定代表人参与：提供法定代表人身份证明书及其身份证复印件加盖公章。</w:t>
            </w:r>
          </w:p>
          <w:p>
            <w:pPr>
              <w:rPr>
                <w:rFonts w:ascii="仿宋" w:hAnsi="仿宋" w:eastAsia="仿宋" w:cs="仿宋"/>
                <w:color w:val="auto"/>
                <w:sz w:val="22"/>
                <w:highlight w:val="none"/>
              </w:rPr>
            </w:pPr>
            <w:r>
              <w:rPr>
                <w:rFonts w:hint="eastAsia" w:ascii="仿宋" w:hAnsi="仿宋" w:eastAsia="仿宋" w:cs="仿宋"/>
                <w:color w:val="auto"/>
                <w:sz w:val="22"/>
                <w:highlight w:val="none"/>
              </w:rPr>
              <w:t>（2）授权代表参与：提供法定代表人授权委托书以及法定代表人和授权代表的身份证复印件加盖公章。</w:t>
            </w:r>
          </w:p>
          <w:p>
            <w:pPr>
              <w:rPr>
                <w:rFonts w:ascii="仿宋" w:hAnsi="仿宋" w:eastAsia="仿宋" w:cs="仿宋"/>
                <w:color w:val="auto"/>
                <w:sz w:val="22"/>
                <w:highlight w:val="none"/>
              </w:rPr>
            </w:pPr>
            <w:r>
              <w:rPr>
                <w:rFonts w:hint="eastAsia" w:ascii="仿宋" w:hAnsi="仿宋" w:eastAsia="仿宋" w:cs="仿宋"/>
                <w:color w:val="auto"/>
                <w:sz w:val="22"/>
                <w:highlight w:val="none"/>
              </w:rPr>
              <w:t>注：格式见第六章“法定代表人身份证明书”以及法定代表人授权委托。</w:t>
            </w:r>
          </w:p>
        </w:tc>
        <w:tc>
          <w:tcPr>
            <w:tcW w:w="902" w:type="dxa"/>
            <w:vAlign w:val="center"/>
          </w:tcPr>
          <w:p>
            <w:pPr>
              <w:widowControl/>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2</w:t>
            </w:r>
          </w:p>
        </w:tc>
        <w:tc>
          <w:tcPr>
            <w:tcW w:w="2055" w:type="dxa"/>
            <w:vAlign w:val="center"/>
          </w:tcPr>
          <w:p>
            <w:pPr>
              <w:jc w:val="center"/>
              <w:rPr>
                <w:rFonts w:ascii="等线" w:hAnsi="等线" w:eastAsia="仿宋"/>
                <w:b/>
                <w:color w:val="auto"/>
                <w:sz w:val="22"/>
                <w:highlight w:val="none"/>
              </w:rPr>
            </w:pPr>
            <w:r>
              <w:rPr>
                <w:rFonts w:hint="eastAsia" w:ascii="等线" w:hAnsi="等线" w:eastAsia="仿宋"/>
                <w:b/>
                <w:color w:val="auto"/>
                <w:sz w:val="22"/>
                <w:highlight w:val="none"/>
                <w:lang w:eastAsia="zh-CN"/>
              </w:rPr>
              <w:t>谈判文件</w:t>
            </w:r>
            <w:r>
              <w:rPr>
                <w:rFonts w:hint="eastAsia" w:ascii="等线" w:hAnsi="等线" w:eastAsia="仿宋"/>
                <w:b/>
                <w:color w:val="auto"/>
                <w:sz w:val="22"/>
                <w:highlight w:val="none"/>
              </w:rPr>
              <w:t>中实质性要求</w:t>
            </w:r>
          </w:p>
        </w:tc>
        <w:tc>
          <w:tcPr>
            <w:tcW w:w="4867" w:type="dxa"/>
            <w:vAlign w:val="center"/>
          </w:tcPr>
          <w:p>
            <w:pPr>
              <w:rPr>
                <w:rFonts w:ascii="仿宋" w:hAnsi="仿宋" w:eastAsia="仿宋" w:cs="仿宋"/>
                <w:color w:val="auto"/>
                <w:sz w:val="22"/>
                <w:highlight w:val="none"/>
              </w:rPr>
            </w:pPr>
            <w:r>
              <w:rPr>
                <w:rFonts w:hint="eastAsia" w:ascii="仿宋" w:hAnsi="仿宋" w:eastAsia="仿宋" w:cs="仿宋"/>
                <w:color w:val="auto"/>
                <w:sz w:val="22"/>
                <w:highlight w:val="none"/>
              </w:rPr>
              <w:t>供应商符合第四章“★”的条款（若涉及）</w:t>
            </w:r>
          </w:p>
        </w:tc>
        <w:tc>
          <w:tcPr>
            <w:tcW w:w="902" w:type="dxa"/>
            <w:vAlign w:val="center"/>
          </w:tcPr>
          <w:p>
            <w:pPr>
              <w:widowControl/>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3</w:t>
            </w:r>
          </w:p>
        </w:tc>
        <w:tc>
          <w:tcPr>
            <w:tcW w:w="2055" w:type="dxa"/>
            <w:vAlign w:val="center"/>
          </w:tcPr>
          <w:p>
            <w:pPr>
              <w:jc w:val="center"/>
              <w:rPr>
                <w:rFonts w:ascii="等线" w:hAnsi="等线" w:eastAsia="仿宋"/>
                <w:b/>
                <w:color w:val="auto"/>
                <w:sz w:val="22"/>
                <w:highlight w:val="none"/>
              </w:rPr>
            </w:pPr>
            <w:r>
              <w:rPr>
                <w:rFonts w:hint="eastAsia" w:ascii="等线" w:hAnsi="等线" w:eastAsia="仿宋"/>
                <w:b/>
                <w:color w:val="auto"/>
                <w:sz w:val="22"/>
                <w:highlight w:val="none"/>
                <w:lang w:eastAsia="zh-CN"/>
              </w:rPr>
              <w:t>响应文件</w:t>
            </w:r>
            <w:r>
              <w:rPr>
                <w:rFonts w:hint="eastAsia" w:ascii="等线" w:hAnsi="等线" w:eastAsia="仿宋"/>
                <w:b/>
                <w:color w:val="auto"/>
                <w:sz w:val="22"/>
                <w:highlight w:val="none"/>
              </w:rPr>
              <w:t>编制</w:t>
            </w:r>
          </w:p>
        </w:tc>
        <w:tc>
          <w:tcPr>
            <w:tcW w:w="4867" w:type="dxa"/>
            <w:vAlign w:val="center"/>
          </w:tcPr>
          <w:p>
            <w:pPr>
              <w:rPr>
                <w:rFonts w:ascii="仿宋" w:hAnsi="仿宋" w:eastAsia="仿宋" w:cs="仿宋"/>
                <w:color w:val="auto"/>
                <w:sz w:val="22"/>
                <w:highlight w:val="none"/>
              </w:rPr>
            </w:pPr>
            <w:r>
              <w:rPr>
                <w:rFonts w:hint="eastAsia" w:ascii="仿宋" w:hAnsi="仿宋" w:eastAsia="仿宋" w:cs="仿宋"/>
                <w:color w:val="auto"/>
                <w:sz w:val="22"/>
                <w:highlight w:val="none"/>
              </w:rPr>
              <w:t>符合</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编制的实质性要求；</w:t>
            </w:r>
          </w:p>
          <w:p>
            <w:pPr>
              <w:rPr>
                <w:rFonts w:ascii="仿宋" w:hAnsi="仿宋" w:eastAsia="仿宋" w:cs="仿宋"/>
                <w:color w:val="auto"/>
                <w:sz w:val="22"/>
                <w:highlight w:val="none"/>
              </w:rPr>
            </w:pPr>
            <w:r>
              <w:rPr>
                <w:rFonts w:hint="eastAsia" w:ascii="仿宋" w:hAnsi="仿宋" w:eastAsia="仿宋" w:cs="仿宋"/>
                <w:color w:val="auto"/>
                <w:sz w:val="22"/>
                <w:highlight w:val="none"/>
              </w:rPr>
              <w:t>注：</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无需另行提供证明材料</w:t>
            </w:r>
          </w:p>
        </w:tc>
        <w:tc>
          <w:tcPr>
            <w:tcW w:w="902" w:type="dxa"/>
            <w:vAlign w:val="center"/>
          </w:tcPr>
          <w:p>
            <w:pPr>
              <w:widowControl/>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4</w:t>
            </w:r>
          </w:p>
        </w:tc>
        <w:tc>
          <w:tcPr>
            <w:tcW w:w="2055" w:type="dxa"/>
            <w:vAlign w:val="center"/>
          </w:tcPr>
          <w:p>
            <w:pPr>
              <w:jc w:val="center"/>
              <w:rPr>
                <w:rFonts w:ascii="等线" w:hAnsi="等线" w:eastAsia="仿宋"/>
                <w:b/>
                <w:color w:val="auto"/>
                <w:sz w:val="22"/>
                <w:highlight w:val="none"/>
              </w:rPr>
            </w:pPr>
            <w:r>
              <w:rPr>
                <w:rFonts w:hint="eastAsia" w:ascii="等线" w:hAnsi="等线" w:eastAsia="仿宋"/>
                <w:b/>
                <w:color w:val="auto"/>
                <w:sz w:val="22"/>
                <w:highlight w:val="none"/>
              </w:rPr>
              <w:t>签字、盖章</w:t>
            </w:r>
          </w:p>
        </w:tc>
        <w:tc>
          <w:tcPr>
            <w:tcW w:w="4867" w:type="dxa"/>
            <w:vAlign w:val="center"/>
          </w:tcPr>
          <w:p>
            <w:pPr>
              <w:rPr>
                <w:rFonts w:ascii="仿宋" w:hAnsi="仿宋" w:eastAsia="仿宋" w:cs="仿宋"/>
                <w:color w:val="auto"/>
                <w:sz w:val="22"/>
                <w:highlight w:val="none"/>
              </w:rPr>
            </w:pPr>
            <w:r>
              <w:rPr>
                <w:rFonts w:hint="eastAsia" w:ascii="仿宋" w:hAnsi="仿宋" w:eastAsia="仿宋" w:cs="仿宋"/>
                <w:color w:val="auto"/>
                <w:sz w:val="22"/>
                <w:highlight w:val="none"/>
              </w:rPr>
              <w:t>符合</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要求;</w:t>
            </w:r>
          </w:p>
          <w:p>
            <w:pPr>
              <w:rPr>
                <w:rFonts w:ascii="仿宋" w:hAnsi="仿宋" w:eastAsia="仿宋" w:cs="仿宋"/>
                <w:color w:val="auto"/>
                <w:sz w:val="22"/>
                <w:highlight w:val="none"/>
              </w:rPr>
            </w:pPr>
            <w:r>
              <w:rPr>
                <w:rFonts w:hint="eastAsia" w:ascii="仿宋" w:hAnsi="仿宋" w:eastAsia="仿宋" w:cs="仿宋"/>
                <w:color w:val="auto"/>
                <w:sz w:val="22"/>
                <w:highlight w:val="none"/>
              </w:rPr>
              <w:t>注：</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无需另行提供证明材料</w:t>
            </w:r>
          </w:p>
        </w:tc>
        <w:tc>
          <w:tcPr>
            <w:tcW w:w="902" w:type="dxa"/>
            <w:vAlign w:val="center"/>
          </w:tcPr>
          <w:p>
            <w:pPr>
              <w:widowControl/>
              <w:jc w:val="left"/>
              <w:rPr>
                <w:rFonts w:ascii="仿宋" w:hAnsi="仿宋" w:eastAsia="仿宋" w:cs="仿宋"/>
                <w:bCs/>
                <w:color w:val="auto"/>
                <w:kern w:val="0"/>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pPr>
              <w:jc w:val="center"/>
              <w:rPr>
                <w:rFonts w:ascii="仿宋" w:hAnsi="仿宋" w:eastAsia="仿宋" w:cs="仿宋"/>
                <w:color w:val="auto"/>
                <w:sz w:val="22"/>
                <w:highlight w:val="none"/>
              </w:rPr>
            </w:pPr>
            <w:r>
              <w:rPr>
                <w:rFonts w:hint="eastAsia" w:ascii="仿宋" w:hAnsi="仿宋" w:eastAsia="仿宋" w:cs="仿宋"/>
                <w:color w:val="auto"/>
                <w:sz w:val="22"/>
                <w:highlight w:val="none"/>
              </w:rPr>
              <w:t>5</w:t>
            </w:r>
          </w:p>
        </w:tc>
        <w:tc>
          <w:tcPr>
            <w:tcW w:w="2055" w:type="dxa"/>
            <w:vAlign w:val="center"/>
          </w:tcPr>
          <w:p>
            <w:pPr>
              <w:jc w:val="center"/>
              <w:rPr>
                <w:rFonts w:ascii="等线" w:hAnsi="等线" w:eastAsia="仿宋"/>
                <w:b/>
                <w:color w:val="auto"/>
                <w:sz w:val="22"/>
                <w:highlight w:val="none"/>
              </w:rPr>
            </w:pPr>
            <w:r>
              <w:rPr>
                <w:rFonts w:hint="eastAsia" w:ascii="等线" w:hAnsi="等线" w:eastAsia="仿宋"/>
                <w:b/>
                <w:color w:val="auto"/>
                <w:sz w:val="22"/>
                <w:highlight w:val="none"/>
              </w:rPr>
              <w:t>报价</w:t>
            </w:r>
          </w:p>
        </w:tc>
        <w:tc>
          <w:tcPr>
            <w:tcW w:w="4867" w:type="dxa"/>
            <w:vAlign w:val="center"/>
          </w:tcPr>
          <w:p>
            <w:pPr>
              <w:rPr>
                <w:rFonts w:ascii="仿宋" w:hAnsi="仿宋" w:eastAsia="仿宋" w:cs="仿宋"/>
                <w:color w:val="auto"/>
                <w:sz w:val="22"/>
                <w:highlight w:val="none"/>
              </w:rPr>
            </w:pPr>
            <w:r>
              <w:rPr>
                <w:rFonts w:hint="eastAsia" w:ascii="仿宋" w:hAnsi="仿宋" w:eastAsia="仿宋" w:cs="仿宋"/>
                <w:color w:val="auto"/>
                <w:sz w:val="22"/>
                <w:highlight w:val="none"/>
              </w:rPr>
              <w:t>符合</w:t>
            </w:r>
            <w:r>
              <w:rPr>
                <w:rFonts w:hint="eastAsia" w:ascii="仿宋" w:hAnsi="仿宋" w:eastAsia="仿宋" w:cs="仿宋"/>
                <w:color w:val="auto"/>
                <w:sz w:val="22"/>
                <w:highlight w:val="none"/>
                <w:lang w:eastAsia="zh-CN"/>
              </w:rPr>
              <w:t>谈判文件</w:t>
            </w:r>
            <w:r>
              <w:rPr>
                <w:rFonts w:hint="eastAsia" w:ascii="仿宋" w:hAnsi="仿宋" w:eastAsia="仿宋" w:cs="仿宋"/>
                <w:color w:val="auto"/>
                <w:sz w:val="22"/>
                <w:highlight w:val="none"/>
              </w:rPr>
              <w:t>报价要求;</w:t>
            </w:r>
          </w:p>
          <w:p>
            <w:pPr>
              <w:rPr>
                <w:rFonts w:ascii="仿宋" w:hAnsi="仿宋" w:eastAsia="仿宋" w:cs="仿宋"/>
                <w:color w:val="auto"/>
                <w:sz w:val="22"/>
                <w:highlight w:val="none"/>
              </w:rPr>
            </w:pPr>
            <w:r>
              <w:rPr>
                <w:rFonts w:hint="eastAsia" w:ascii="仿宋" w:hAnsi="仿宋" w:eastAsia="仿宋" w:cs="仿宋"/>
                <w:color w:val="auto"/>
                <w:sz w:val="22"/>
                <w:highlight w:val="none"/>
              </w:rPr>
              <w:t>注：</w:t>
            </w:r>
            <w:r>
              <w:rPr>
                <w:rFonts w:hint="eastAsia" w:ascii="仿宋" w:hAnsi="仿宋" w:eastAsia="仿宋" w:cs="仿宋"/>
                <w:color w:val="auto"/>
                <w:sz w:val="22"/>
                <w:highlight w:val="none"/>
                <w:lang w:eastAsia="zh-CN"/>
              </w:rPr>
              <w:t>供应商</w:t>
            </w:r>
            <w:r>
              <w:rPr>
                <w:rFonts w:hint="eastAsia" w:ascii="仿宋" w:hAnsi="仿宋" w:eastAsia="仿宋" w:cs="仿宋"/>
                <w:color w:val="auto"/>
                <w:sz w:val="22"/>
                <w:highlight w:val="none"/>
              </w:rPr>
              <w:t>无需另行提供证明材料</w:t>
            </w:r>
          </w:p>
        </w:tc>
        <w:tc>
          <w:tcPr>
            <w:tcW w:w="902" w:type="dxa"/>
            <w:vAlign w:val="center"/>
          </w:tcPr>
          <w:p>
            <w:pPr>
              <w:widowControl/>
              <w:jc w:val="left"/>
              <w:rPr>
                <w:rFonts w:ascii="仿宋" w:hAnsi="仿宋" w:eastAsia="仿宋" w:cs="仿宋"/>
                <w:bCs/>
                <w:color w:val="auto"/>
                <w:kern w:val="0"/>
                <w:sz w:val="22"/>
                <w:highlight w:val="none"/>
              </w:rPr>
            </w:pPr>
          </w:p>
        </w:tc>
      </w:tr>
    </w:tbl>
    <w:p>
      <w:pPr>
        <w:rPr>
          <w:color w:val="auto"/>
          <w:highlight w:val="none"/>
        </w:rPr>
      </w:pPr>
      <w:r>
        <w:rPr>
          <w:color w:val="auto"/>
          <w:highlight w:val="none"/>
        </w:rPr>
        <w:br w:type="page"/>
      </w:r>
    </w:p>
    <w:p>
      <w:pPr>
        <w:pStyle w:val="2"/>
        <w:bidi w:val="0"/>
        <w:rPr>
          <w:color w:val="auto"/>
          <w:highlight w:val="none"/>
        </w:rPr>
      </w:pPr>
      <w:bookmarkStart w:id="5" w:name="_Toc12668"/>
      <w:bookmarkStart w:id="6" w:name="_Toc12193"/>
      <w:bookmarkStart w:id="7" w:name="_Toc3988"/>
      <w:r>
        <w:rPr>
          <w:rFonts w:hint="eastAsia"/>
          <w:color w:val="auto"/>
          <w:highlight w:val="none"/>
        </w:rPr>
        <w:t>采购需求</w:t>
      </w:r>
      <w:bookmarkEnd w:id="5"/>
      <w:bookmarkEnd w:id="6"/>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sz w:val="24"/>
          <w:szCs w:val="24"/>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项目简介</w:t>
      </w:r>
      <w:r>
        <w:rPr>
          <w:rFonts w:hint="eastAsia" w:ascii="仿宋" w:hAnsi="仿宋" w:eastAsia="仿宋" w:cs="仿宋"/>
          <w:color w:val="auto"/>
          <w:sz w:val="24"/>
          <w:szCs w:val="24"/>
          <w:highlight w:val="none"/>
        </w:rPr>
        <w:cr/>
      </w:r>
      <w:r>
        <w:rPr>
          <w:rFonts w:hint="eastAsia" w:ascii="仿宋" w:hAnsi="仿宋" w:eastAsia="仿宋" w:cs="仿宋"/>
          <w:color w:val="auto"/>
          <w:sz w:val="24"/>
          <w:szCs w:val="24"/>
          <w:highlight w:val="none"/>
          <w:lang w:val="en-US" w:eastAsia="zh-CN"/>
        </w:rPr>
        <w:t xml:space="preserve">    本次拟招标项目为四川省人民医院本部锅炉房所需的排污在线监测一体化改造工程。医院本部已被列为大气环境重点排污单位，特此启动本改造工程。项目核心任务为通过实施烟气在线监测一体化全面建设，在规定时间内完成对医院本部3台10蒸吨/小时的锅炉排污在线监测一体化改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cr/>
      </w:r>
      <w:r>
        <w:rPr>
          <w:rFonts w:hint="eastAsia" w:ascii="仿宋" w:hAnsi="仿宋" w:eastAsia="仿宋" w:cs="仿宋"/>
          <w:b/>
          <w:bCs/>
          <w:color w:val="auto"/>
          <w:sz w:val="24"/>
          <w:szCs w:val="24"/>
          <w:highlight w:val="none"/>
        </w:rPr>
        <w:t>二、</w:t>
      </w:r>
      <w:r>
        <w:rPr>
          <w:rFonts w:hint="eastAsia" w:ascii="仿宋" w:hAnsi="仿宋" w:eastAsia="仿宋" w:cs="仿宋"/>
          <w:b/>
          <w:bCs/>
          <w:color w:val="auto"/>
          <w:sz w:val="24"/>
          <w:szCs w:val="22"/>
          <w:highlight w:val="none"/>
        </w:rPr>
        <w:t>★</w:t>
      </w:r>
      <w:r>
        <w:rPr>
          <w:rFonts w:hint="eastAsia" w:ascii="仿宋" w:hAnsi="仿宋" w:eastAsia="仿宋" w:cs="仿宋"/>
          <w:b/>
          <w:bCs/>
          <w:color w:val="auto"/>
          <w:sz w:val="24"/>
          <w:szCs w:val="24"/>
          <w:highlight w:val="none"/>
          <w:lang w:val="en-US" w:eastAsia="zh-CN"/>
        </w:rPr>
        <w:t>服务内容及要求</w:t>
      </w:r>
      <w:r>
        <w:rPr>
          <w:rFonts w:hint="eastAsia" w:ascii="仿宋" w:hAnsi="仿宋" w:eastAsia="仿宋" w:cs="仿宋"/>
          <w:color w:val="auto"/>
          <w:sz w:val="24"/>
          <w:szCs w:val="24"/>
          <w:highlight w:val="none"/>
        </w:rPr>
        <w:cr/>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供应商根据项目要求和改造施工项目清单、施工设计图完成排污在线监测一体化改造建设工程项目站房的修建、水电铺设、拟选型设备的安装、调试、培训、技术服务等工作。（图纸详见四川省人民医院2024年排污在线监测系统建设一体化改造施工项目施工图附件1、四川省人民医院2024年排污在线监测系统建设一体化改造施工项目清单附件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2、</w:t>
      </w:r>
      <w:r>
        <w:rPr>
          <w:rFonts w:hint="eastAsia" w:ascii="仿宋" w:hAnsi="仿宋" w:eastAsia="仿宋" w:cs="仿宋"/>
          <w:sz w:val="24"/>
          <w:szCs w:val="24"/>
        </w:rPr>
        <w:t>供应商负责该项目的所有的安装及改造，实现锅炉烟气的采样、分析等功能，提供必要的技术服务支持，确保系统稳定运行，并为数据采集传输仪器预留接口</w:t>
      </w:r>
      <w:r>
        <w:rPr>
          <w:rStyle w:val="20"/>
          <w:rFonts w:hint="eastAsia" w:ascii="仿宋" w:hAnsi="仿宋" w:eastAsia="仿宋" w:cs="仿宋"/>
          <w:sz w:val="24"/>
          <w:szCs w:val="24"/>
          <w:lang w:eastAsia="zh-CN"/>
        </w:rPr>
        <w:t>重点排污单位自动监控与基础数据库系统（企业服务端)</w:t>
      </w:r>
      <w:r>
        <w:rPr>
          <w:rFonts w:hint="eastAsia" w:ascii="仿宋" w:hAnsi="仿宋" w:eastAsia="仿宋" w:cs="仿宋"/>
          <w:sz w:val="24"/>
          <w:szCs w:val="24"/>
        </w:rPr>
        <w:t>，以便于后续的数据管理与上报，实现对锅炉大气污染排放自动监测</w:t>
      </w:r>
      <w:r>
        <w:rPr>
          <w:rFonts w:hint="eastAsia" w:ascii="仿宋" w:hAnsi="仿宋" w:eastAsia="仿宋" w:cs="仿宋"/>
          <w:sz w:val="24"/>
          <w:szCs w:val="24"/>
          <w:lang w:eastAsia="zh-CN"/>
        </w:rPr>
        <w:t>，</w:t>
      </w:r>
      <w:r>
        <w:rPr>
          <w:rFonts w:hint="eastAsia" w:ascii="仿宋" w:hAnsi="仿宋" w:eastAsia="仿宋" w:cs="仿宋"/>
          <w:sz w:val="24"/>
          <w:szCs w:val="24"/>
        </w:rPr>
        <w:t>费用包含在本次投标报价中。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3、</w:t>
      </w:r>
      <w:r>
        <w:rPr>
          <w:rFonts w:hint="eastAsia" w:ascii="仿宋" w:hAnsi="仿宋" w:eastAsia="仿宋" w:cs="仿宋"/>
          <w:sz w:val="24"/>
          <w:szCs w:val="24"/>
        </w:rPr>
        <w:t>排污在线监测一体化改造施工站房改造与建设：依据施工设计图，负责排污在线监测一体化监测站房的修建，包括但不限于站房结构的施工与优化、内外装饰的更新以提升环境监测形象、基础设施的升级以增强系统稳定运行能力（如增设不间断电源系统、优化照明布局以提高工作效率）、监测设备的更新换代或增设以扩大监测范围或提高监测精度、系统功能的扩展与集成以实现更全面的废气监测与管理、以及技术服务与接口的升级以满足未来数据管理与上报的新要求，确保站房符合监测设备安装及运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rPr>
        <w:t>基础设施配套：完成排污在线监测一体化改造施工站房内的水电铺设工程，包括电力供应线路布设、照明系统安装、给排水系统建设等，以支持监测设备的稳定运行。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5、</w:t>
      </w:r>
      <w:r>
        <w:rPr>
          <w:rFonts w:hint="eastAsia" w:ascii="仿宋" w:hAnsi="仿宋" w:eastAsia="仿宋" w:cs="仿宋"/>
          <w:sz w:val="24"/>
          <w:szCs w:val="24"/>
        </w:rPr>
        <w:t>排污在线监测一体化改造施工相关设备选型与安装：根据项目要求，进行排污在线监测一体化项目</w:t>
      </w:r>
      <w:r>
        <w:rPr>
          <w:rFonts w:hint="eastAsia" w:ascii="仿宋" w:hAnsi="仿宋" w:eastAsia="仿宋" w:cs="仿宋"/>
          <w:sz w:val="24"/>
          <w:szCs w:val="24"/>
          <w:lang w:val="en-US" w:eastAsia="zh-CN"/>
        </w:rPr>
        <w:t>配套</w:t>
      </w:r>
      <w:r>
        <w:rPr>
          <w:rFonts w:hint="eastAsia" w:ascii="仿宋" w:hAnsi="仿宋" w:eastAsia="仿宋" w:cs="仿宋"/>
          <w:sz w:val="24"/>
          <w:szCs w:val="24"/>
        </w:rPr>
        <w:t>监测设备的选型，并负责所有现场仪表的安装与集成，确保设备布局合理、连接无误。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6、</w:t>
      </w:r>
      <w:r>
        <w:rPr>
          <w:rFonts w:hint="eastAsia" w:ascii="仿宋" w:hAnsi="仿宋" w:eastAsia="仿宋" w:cs="仿宋"/>
          <w:sz w:val="24"/>
          <w:szCs w:val="24"/>
        </w:rPr>
        <w:t>系统调试与培训：完成排污在线监测一体化监测项目的调试工作，确保烟气排污采样、分析等功能正常运作，并对采购人相关人员进行操作培训，使其能够熟练使用并维护配套</w:t>
      </w:r>
      <w:r>
        <w:rPr>
          <w:rFonts w:hint="eastAsia" w:ascii="仿宋" w:hAnsi="仿宋" w:eastAsia="仿宋" w:cs="仿宋"/>
          <w:sz w:val="24"/>
          <w:szCs w:val="24"/>
          <w:lang w:val="en-US" w:eastAsia="zh-CN"/>
        </w:rPr>
        <w:t>设备</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2"/>
          <w:sz w:val="24"/>
          <w:szCs w:val="24"/>
          <w:lang w:val="en-US" w:eastAsia="zh-CN" w:bidi="ar-SA"/>
        </w:rPr>
        <w:t>7、</w:t>
      </w:r>
      <w:r>
        <w:rPr>
          <w:rFonts w:hint="eastAsia" w:ascii="仿宋" w:hAnsi="仿宋" w:eastAsia="仿宋" w:cs="仿宋"/>
          <w:sz w:val="24"/>
          <w:szCs w:val="24"/>
        </w:rPr>
        <w:t>该项目所增加与改造内容均需严格遵守国家及地方相关环保标准，确保改造后的监测站房与设备能够满足更高的环保监测需求，协助采购人通过环保部门的竣工验收，确保项目符合国家及地方相关环保标准。</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left="482" w:hanging="482" w:hanging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四、</w:t>
      </w:r>
      <w:r>
        <w:rPr>
          <w:rFonts w:hint="eastAsia" w:ascii="仿宋" w:hAnsi="仿宋" w:eastAsia="仿宋" w:cs="仿宋"/>
          <w:b/>
          <w:bCs/>
          <w:color w:val="auto"/>
          <w:sz w:val="24"/>
          <w:szCs w:val="22"/>
          <w:highlight w:val="none"/>
        </w:rPr>
        <w:t>★</w:t>
      </w:r>
      <w:r>
        <w:rPr>
          <w:rFonts w:hint="eastAsia" w:ascii="仿宋" w:hAnsi="仿宋" w:eastAsia="仿宋" w:cs="仿宋"/>
          <w:b/>
          <w:bCs/>
          <w:color w:val="auto"/>
          <w:sz w:val="24"/>
          <w:szCs w:val="24"/>
          <w:highlight w:val="none"/>
        </w:rPr>
        <w:t>商务要求：</w:t>
      </w:r>
      <w:r>
        <w:rPr>
          <w:rFonts w:hint="eastAsia" w:ascii="仿宋" w:hAnsi="仿宋" w:eastAsia="仿宋" w:cs="仿宋"/>
          <w:color w:val="auto"/>
          <w:sz w:val="24"/>
          <w:szCs w:val="24"/>
          <w:highlight w:val="none"/>
        </w:rPr>
        <w:cr/>
      </w:r>
      <w:r>
        <w:rPr>
          <w:rFonts w:hint="eastAsia" w:ascii="仿宋" w:hAnsi="仿宋" w:eastAsia="仿宋" w:cs="仿宋"/>
          <w:color w:val="auto"/>
          <w:sz w:val="24"/>
          <w:szCs w:val="24"/>
          <w:highlight w:val="none"/>
          <w:lang w:val="en-US" w:eastAsia="zh-CN"/>
        </w:rPr>
        <w:t>1.付款条件：</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本项目竣工并经采购人验收合格后，中标供应商须在5日内向采购人提交请款资料（付款申请、发票、合同复印件和验收报告等），采购人收到中标供应商提交的请款资料（付款申请、发票、合同复印件和验收报告等）55日内，向中标供应商支付至合同价款的75%；待竣工结算审核完成后10个工作日内，中标供应商向采购人交纳质保金（工程结算审核金额×3%）后，中标供应商在5日内向采购人提交请款资料（付款申请、发票、合同复印件和验收报告等），收到中标供应商提交的请款资料（付款申请、发票、合同复印件和验收报告等）55日内，向中标供应商支付至结算审核金额的100%。</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（2）质保金退还时间及方式：缺陷责任期满后，采购人接到中标供应商退款申请之日起30个工作日内无息退还。</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（3）开工后，28天内预付安全文明施工费基本费总额的50%，剩余费用与进度款同期支付。</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2.工期：合同签订生效开工后30个日历天内完成改造并通知采购人验收。</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3.计划开工时间：自合同签订之日起5个工作日内。</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4.工程地点：四川省人民医院锅炉房。</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.验收：</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80" w:firstLineChars="200"/>
        <w:textAlignment w:val="auto"/>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kern w:val="0"/>
          <w:sz w:val="22"/>
          <w:szCs w:val="22"/>
          <w:highlight w:val="none"/>
          <w:lang w:val="en-US" w:eastAsia="zh-CN" w:bidi="ar-SA"/>
        </w:rPr>
        <w:t>.1.验收时间：及时验收；</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5.2.验收主体：采购人；</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5.2.验收方式：现场整体验收；</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5.3.验收程序：一次性验收；</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5.4.验收内容：按照基于本项目采购需求编制的招标文件要求及中标供应商投标文件响应情况，由中标供应商向采购人提供的工程</w:t>
      </w:r>
      <w:bookmarkStart w:id="332" w:name="_GoBack"/>
      <w:bookmarkEnd w:id="332"/>
      <w:r>
        <w:rPr>
          <w:rFonts w:hint="eastAsia" w:ascii="仿宋" w:hAnsi="仿宋" w:eastAsia="仿宋" w:cs="仿宋"/>
          <w:color w:val="auto"/>
          <w:kern w:val="0"/>
          <w:sz w:val="22"/>
          <w:szCs w:val="22"/>
          <w:highlight w:val="none"/>
          <w:lang w:val="en-US" w:eastAsia="zh-CN" w:bidi="ar-SA"/>
        </w:rPr>
        <w:t>履约情况。</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5.5.验收标准：</w:t>
      </w:r>
    </w:p>
    <w:p>
      <w:pPr>
        <w:pStyle w:val="15"/>
        <w:keepNext w:val="0"/>
        <w:keepLines w:val="0"/>
        <w:pageBreakBefore w:val="0"/>
        <w:widowControl w:val="0"/>
        <w:numPr>
          <w:ilvl w:val="0"/>
          <w:numId w:val="13"/>
        </w:numPr>
        <w:kinsoku/>
        <w:wordWrap/>
        <w:overflowPunct/>
        <w:topLinePunct w:val="0"/>
        <w:autoSpaceDE/>
        <w:autoSpaceDN/>
        <w:bidi w:val="0"/>
        <w:adjustRightInd/>
        <w:snapToGrid w:val="0"/>
        <w:spacing w:line="348" w:lineRule="auto"/>
        <w:ind w:left="0" w:leftChars="0" w:firstLine="425" w:firstLineChars="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国家相关法律法规、行业标准、技术规范。</w:t>
      </w:r>
    </w:p>
    <w:p>
      <w:pPr>
        <w:pStyle w:val="15"/>
        <w:keepNext w:val="0"/>
        <w:keepLines w:val="0"/>
        <w:pageBreakBefore w:val="0"/>
        <w:widowControl w:val="0"/>
        <w:numPr>
          <w:ilvl w:val="0"/>
          <w:numId w:val="13"/>
        </w:numPr>
        <w:kinsoku/>
        <w:wordWrap/>
        <w:overflowPunct/>
        <w:topLinePunct w:val="0"/>
        <w:autoSpaceDE/>
        <w:autoSpaceDN/>
        <w:bidi w:val="0"/>
        <w:adjustRightInd/>
        <w:snapToGrid w:val="0"/>
        <w:spacing w:line="348" w:lineRule="auto"/>
        <w:ind w:left="0" w:leftChars="0" w:firstLine="425" w:firstLineChars="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基于本项目采购需求编制的招标文件相关技术、服务要求、中标供应商投标文件相关响应内容。</w:t>
      </w:r>
    </w:p>
    <w:p>
      <w:pPr>
        <w:pStyle w:val="15"/>
        <w:keepNext w:val="0"/>
        <w:keepLines w:val="0"/>
        <w:pageBreakBefore w:val="0"/>
        <w:widowControl w:val="0"/>
        <w:numPr>
          <w:ilvl w:val="0"/>
          <w:numId w:val="13"/>
        </w:numPr>
        <w:kinsoku/>
        <w:wordWrap/>
        <w:overflowPunct/>
        <w:topLinePunct w:val="0"/>
        <w:autoSpaceDE/>
        <w:autoSpaceDN/>
        <w:bidi w:val="0"/>
        <w:adjustRightInd/>
        <w:snapToGrid w:val="0"/>
        <w:spacing w:line="348" w:lineRule="auto"/>
        <w:ind w:left="0" w:leftChars="0" w:firstLine="425" w:firstLineChars="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中标产品生产厂家出具的产品说明书、技术白皮书、医疗器械注册证或备案凭证等技术资料（如涉及）。</w:t>
      </w:r>
    </w:p>
    <w:p>
      <w:pPr>
        <w:pStyle w:val="15"/>
        <w:keepNext w:val="0"/>
        <w:keepLines w:val="0"/>
        <w:pageBreakBefore w:val="0"/>
        <w:widowControl w:val="0"/>
        <w:numPr>
          <w:ilvl w:val="0"/>
          <w:numId w:val="13"/>
        </w:numPr>
        <w:kinsoku/>
        <w:wordWrap/>
        <w:overflowPunct/>
        <w:topLinePunct w:val="0"/>
        <w:autoSpaceDE/>
        <w:autoSpaceDN/>
        <w:bidi w:val="0"/>
        <w:adjustRightInd/>
        <w:snapToGrid w:val="0"/>
        <w:spacing w:line="348" w:lineRule="auto"/>
        <w:ind w:left="0" w:leftChars="0" w:firstLine="425" w:firstLineChars="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w:t>
      </w:r>
    </w:p>
    <w:p>
      <w:pPr>
        <w:pStyle w:val="15"/>
        <w:keepNext w:val="0"/>
        <w:keepLines w:val="0"/>
        <w:pageBreakBefore w:val="0"/>
        <w:widowControl w:val="0"/>
        <w:numPr>
          <w:ilvl w:val="0"/>
          <w:numId w:val="13"/>
        </w:numPr>
        <w:kinsoku/>
        <w:wordWrap/>
        <w:overflowPunct/>
        <w:topLinePunct w:val="0"/>
        <w:autoSpaceDE/>
        <w:autoSpaceDN/>
        <w:bidi w:val="0"/>
        <w:adjustRightInd/>
        <w:snapToGrid w:val="0"/>
        <w:spacing w:line="348" w:lineRule="auto"/>
        <w:ind w:left="0" w:leftChars="0" w:firstLine="425" w:firstLineChars="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参照《财政部关于进一步加强政府采购需求和履约验收管理的指导意见》（财库〔2016〕205号）的要求进行验收（如涉及）。</w:t>
      </w:r>
    </w:p>
    <w:p>
      <w:pPr>
        <w:pStyle w:val="15"/>
        <w:keepNext w:val="0"/>
        <w:keepLines w:val="0"/>
        <w:pageBreakBefore w:val="0"/>
        <w:widowControl w:val="0"/>
        <w:numPr>
          <w:ilvl w:val="0"/>
          <w:numId w:val="13"/>
        </w:numPr>
        <w:kinsoku/>
        <w:wordWrap/>
        <w:overflowPunct/>
        <w:topLinePunct w:val="0"/>
        <w:autoSpaceDE/>
        <w:autoSpaceDN/>
        <w:bidi w:val="0"/>
        <w:adjustRightInd/>
        <w:snapToGrid w:val="0"/>
        <w:spacing w:line="348" w:lineRule="auto"/>
        <w:ind w:left="0" w:leftChars="0" w:firstLine="425" w:firstLineChars="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其它标准：按国家现行有关规定、标准以及本项目采购文件的质量要求和技术指标、供应商的投标文件及承诺与本合同约定标准进行技术验收。。</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5.6.是否邀请本项目的其它潜在供应商：否；</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5.7.是否邀请专家：否；</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5.8.是否邀请第三方检测机构：否；</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5.9.其它验收要求：无。</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6.质保期：除《工程质量保修书》约定的法定质保范围外，本项目质保不低于1年(质保期为竣工验收合格之日起开始计算)。</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7.工程保修：工程质量保修范围、期限和责任（详见《工程质量保修书》）。</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firstLine="440" w:firstLineChars="200"/>
        <w:textAlignment w:val="auto"/>
        <w:rPr>
          <w:rFonts w:hint="default"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9.缺陷责任期：2年。</w:t>
      </w:r>
    </w:p>
    <w:p>
      <w:pPr>
        <w:pStyle w:val="15"/>
        <w:keepNext w:val="0"/>
        <w:keepLines w:val="0"/>
        <w:pageBreakBefore w:val="0"/>
        <w:widowControl w:val="0"/>
        <w:numPr>
          <w:ilvl w:val="0"/>
          <w:numId w:val="0"/>
        </w:numPr>
        <w:kinsoku/>
        <w:wordWrap/>
        <w:overflowPunct/>
        <w:topLinePunct w:val="0"/>
        <w:autoSpaceDE/>
        <w:autoSpaceDN/>
        <w:bidi w:val="0"/>
        <w:adjustRightInd/>
        <w:spacing w:line="348" w:lineRule="auto"/>
        <w:ind w:left="480" w:hanging="482" w:hanging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其他</w:t>
      </w:r>
      <w:r>
        <w:rPr>
          <w:rFonts w:hint="eastAsia" w:ascii="仿宋" w:hAnsi="仿宋" w:eastAsia="仿宋" w:cs="仿宋"/>
          <w:b/>
          <w:bCs/>
          <w:color w:val="auto"/>
          <w:sz w:val="24"/>
          <w:szCs w:val="24"/>
          <w:highlight w:val="none"/>
        </w:rPr>
        <w:t>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bCs/>
          <w:color w:val="auto"/>
          <w:sz w:val="24"/>
          <w:szCs w:val="22"/>
          <w:highlight w:val="none"/>
        </w:rPr>
        <w:t>★</w:t>
      </w:r>
      <w:r>
        <w:rPr>
          <w:rFonts w:hint="eastAsia" w:ascii="仿宋" w:hAnsi="仿宋" w:eastAsia="仿宋" w:cs="仿宋"/>
          <w:b w:val="0"/>
          <w:bCs w:val="0"/>
          <w:color w:val="auto"/>
          <w:sz w:val="24"/>
          <w:szCs w:val="22"/>
          <w:highlight w:val="none"/>
          <w:lang w:val="en-US" w:eastAsia="zh-CN"/>
        </w:rPr>
        <w:t>1、质保期间服务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质保期内接到报修电话 20 分钟内通过电话技术指导排除故障，30分钟作出响应，若不能电话咨询解决，2小时内到达现场处置、4小时内完成维修，24*7提供售后报修服务。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bCs/>
          <w:color w:val="auto"/>
          <w:sz w:val="24"/>
          <w:szCs w:val="22"/>
          <w:highlight w:val="none"/>
        </w:rPr>
        <w:t>★</w:t>
      </w:r>
      <w:r>
        <w:rPr>
          <w:rFonts w:hint="eastAsia" w:ascii="仿宋" w:hAnsi="仿宋" w:eastAsia="仿宋" w:cs="仿宋"/>
          <w:b w:val="0"/>
          <w:bCs w:val="0"/>
          <w:color w:val="auto"/>
          <w:sz w:val="24"/>
          <w:szCs w:val="22"/>
          <w:highlight w:val="none"/>
          <w:lang w:val="en-US" w:eastAsia="zh-CN"/>
        </w:rPr>
        <w:t>2、施工要求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2.1 供应商应按采购人通知的日期派技术人员(包括机械、电气、 维修、操作人员，施工人员应相应具备电工证、登高、焊工证等证书)到采购人现场进行配合污在线监测一体化改造，并调试在线监测一体化项目直到正常运行。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2.2 供应商中标后拟派专业技术人员现场查勘，根据现场查勘情况及2024年排污在线监测系统建设一体化改造施工项目施工图向采购人出具具体安装方案及图纸。经采购人审核后进行改造及实施工作。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2.3 供应商提供排污在线监测一体化改造施工项目全部改造与施工、设备调试过程中所需的特殊工具，润滑剂和易损件，并自带专用仪器仪表。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2.4 供应商应在现场排污在线监测一体化项目进行调试和试运行，以检验其设计、制作、操作性和功能等方面的情况。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2.5 排污在线监测一体化改造及施工完毕，应在采购人的监督下进行排污在线监测一体化系统的试运行前的测试，以证明其可以进行试运行。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2.6.投标人负责排污在线监测一体化的改造及安装调试，负责施工过程涉及的土建、设备拆除和恢复，所有费用由投标人自行承担。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2.7.改造及安装施工过程中采取严格的成品保护措施，做好对不需改造但完好部分的保护工作，施工完毕后恢复原样，因改造施工造成的损失由投标人负责(包括但不限于地面、墙体、门窗、设备、安装中需要开凿的孔洞等方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2.8.供应商需对作业安全负全责，作业期间严格执行各项安全规定，做好各项安全防护措施，杜绝人员伤亡事故，确保作业安全无事故。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bCs/>
          <w:color w:val="auto"/>
          <w:sz w:val="24"/>
          <w:szCs w:val="22"/>
          <w:highlight w:val="none"/>
        </w:rPr>
        <w:t>★</w:t>
      </w:r>
      <w:r>
        <w:rPr>
          <w:rFonts w:hint="eastAsia" w:ascii="仿宋" w:hAnsi="仿宋" w:eastAsia="仿宋" w:cs="仿宋"/>
          <w:b w:val="0"/>
          <w:bCs w:val="0"/>
          <w:color w:val="auto"/>
          <w:sz w:val="24"/>
          <w:szCs w:val="22"/>
          <w:highlight w:val="none"/>
          <w:lang w:val="en-US" w:eastAsia="zh-CN"/>
        </w:rPr>
        <w:t>3、改造项目涉及货物的质量要求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3.1.排污在线监测一体化改造项目中涉及的货物投标人须提供全新的货物(含零部件、配件、使用说明书等)，表面无划伤、无碰撞痕迹，且权属清楚，不得侵害他人的知识产权。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3.2.排污在线监测一体化改造项目中涉及的货物必须符合或优于国家标准，以及本项目招标文件的质量要求和技术指标与出厂标准。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3.3.排污在线监测一体化改造项目中涉及的货物制造质量出现问题，投标人应负责三包(包修、包换、包退)，费用由投标人负担。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bCs/>
          <w:color w:val="auto"/>
          <w:sz w:val="24"/>
          <w:szCs w:val="22"/>
          <w:highlight w:val="none"/>
        </w:rPr>
        <w:t>★</w:t>
      </w:r>
      <w:r>
        <w:rPr>
          <w:rFonts w:hint="eastAsia" w:ascii="仿宋" w:hAnsi="仿宋" w:eastAsia="仿宋" w:cs="仿宋"/>
          <w:b w:val="0"/>
          <w:bCs w:val="0"/>
          <w:color w:val="auto"/>
          <w:sz w:val="24"/>
          <w:szCs w:val="22"/>
          <w:highlight w:val="none"/>
          <w:lang w:val="en-US" w:eastAsia="zh-CN"/>
        </w:rPr>
        <w:t>4、该项目涉及的水电费由采购人承担。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bCs/>
          <w:color w:val="auto"/>
          <w:sz w:val="24"/>
          <w:szCs w:val="22"/>
          <w:highlight w:val="none"/>
        </w:rPr>
        <w:t>★</w:t>
      </w:r>
      <w:r>
        <w:rPr>
          <w:rFonts w:hint="eastAsia" w:ascii="仿宋" w:hAnsi="仿宋" w:eastAsia="仿宋" w:cs="仿宋"/>
          <w:b w:val="0"/>
          <w:bCs w:val="0"/>
          <w:color w:val="auto"/>
          <w:sz w:val="24"/>
          <w:szCs w:val="22"/>
          <w:highlight w:val="none"/>
          <w:lang w:val="en-US" w:eastAsia="zh-CN"/>
        </w:rPr>
        <w:t>5、投标人应有完善的技术支持与服务体系，拟配置本项目售后服务人员不得低于1人,专人负责与采购人联系售后服务事宜，具有专门固定的售后服务电话。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6、业绩要求：供应商自2021年1月1日以来具有类似业绩，类似业绩为排污在线监测一体化改造项目业绩。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 xml:space="preserve">7、供应商针对本项目编制的施工组织方案应包含但不限于：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(1)工期保证措施方案，主要内容包括①计划开竣工日期和施工进度网络图；②工期保证措施；③拟投入本项目主要施工机械设备；④材料配备计划和劳动力安排计划。</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 xml:space="preserve">(2)质量保证措施方案，主要内容包括：①质量控制目标；②质量保证体系；③质量管理具体措施；④工程质量保修措施;⑤改造安装施工方案及重点难点技术分析；⑥改造安装调试技术方案；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 xml:space="preserve">(3)安全保证措施及安全应急预案，主要内容包括：①安全管理制度；②安全保证措施；③文明施工措施；④安全应急预案。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(4)环保和文明施工措施，主要内容包括：①有详细的环境保护措施方案；②有现场文明施工措施；③对处理噪音的技术措施；④对污染物处理及排放的技术措施。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 xml:space="preserve">(5)施工方案与技术措施，主要内容包括：①施工组织设计；②人员职责分工；③工程管理措施；④技术措施保障。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 xml:space="preserve">(6)缺陷责任期包括①质量保证措施，②责任期服务流程，③人员配置方案，④故障处理措施。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8、供应商针对本项目提供售后服务方案，包含但不限于①售后服务保障工作内容计划；②售后服务保障巡查或复查计划；③售后服务保障质量措施；④维修响应及故障排除方案。⑤供应商提供的烟气连续监测系统厂家提供本地化服务（提供售后服务点等相关佐证资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9、该项目拟派项目经理（1人）具有由人力资源社会保障部及工业和信息化部认定的传输与接入相关专业初级及以上职称，且拟派项目人员原则上不能更换，若需更换须经采购人同意。</w:t>
      </w:r>
    </w:p>
    <w:p>
      <w:pPr>
        <w:pStyle w:val="15"/>
        <w:ind w:firstLine="0"/>
        <w:rPr>
          <w:rFonts w:ascii="仿宋" w:hAnsi="仿宋" w:eastAsia="仿宋" w:cs="仿宋"/>
          <w:color w:val="auto"/>
          <w:sz w:val="24"/>
          <w:szCs w:val="24"/>
          <w:highlight w:val="none"/>
        </w:rPr>
      </w:pPr>
    </w:p>
    <w:p>
      <w:pPr>
        <w:pStyle w:val="15"/>
        <w:ind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注：本章中带“</w:t>
      </w:r>
      <w:r>
        <w:rPr>
          <w:rFonts w:hint="eastAsia" w:ascii="仿宋" w:hAnsi="仿宋" w:eastAsia="仿宋" w:cs="仿宋"/>
          <w:b/>
          <w:bCs/>
          <w:color w:val="auto"/>
          <w:sz w:val="24"/>
          <w:szCs w:val="22"/>
          <w:highlight w:val="none"/>
        </w:rPr>
        <w:t>★</w:t>
      </w:r>
      <w:r>
        <w:rPr>
          <w:rFonts w:hint="eastAsia" w:ascii="仿宋" w:hAnsi="仿宋" w:eastAsia="仿宋" w:cs="仿宋"/>
          <w:color w:val="auto"/>
          <w:sz w:val="24"/>
          <w:szCs w:val="24"/>
          <w:highlight w:val="none"/>
        </w:rPr>
        <w:t>”的条款为实质性要求，不满足将被作为无效响应处理。</w:t>
      </w:r>
    </w:p>
    <w:p>
      <w:pPr>
        <w:spacing w:line="360" w:lineRule="auto"/>
        <w:jc w:val="left"/>
        <w:rPr>
          <w:rFonts w:ascii="宋体" w:hAnsi="宋体" w:eastAsia="宋体" w:cs="宋体"/>
          <w:color w:val="auto"/>
          <w:sz w:val="24"/>
          <w:szCs w:val="24"/>
          <w:highlight w:val="none"/>
        </w:rPr>
      </w:pPr>
    </w:p>
    <w:p>
      <w:pPr>
        <w:rPr>
          <w:color w:val="auto"/>
          <w:highlight w:val="none"/>
        </w:rPr>
      </w:pPr>
      <w:r>
        <w:rPr>
          <w:color w:val="auto"/>
          <w:highlight w:val="none"/>
        </w:rPr>
        <w:br w:type="page"/>
      </w:r>
    </w:p>
    <w:p>
      <w:pPr>
        <w:pStyle w:val="2"/>
        <w:bidi w:val="0"/>
        <w:rPr>
          <w:color w:val="auto"/>
          <w:highlight w:val="none"/>
        </w:rPr>
      </w:pPr>
      <w:bookmarkStart w:id="8" w:name="_Toc21038"/>
      <w:bookmarkStart w:id="9" w:name="_Toc13768"/>
      <w:bookmarkStart w:id="10" w:name="_Toc22588"/>
      <w:r>
        <w:rPr>
          <w:rFonts w:hint="eastAsia"/>
          <w:color w:val="auto"/>
          <w:highlight w:val="none"/>
        </w:rPr>
        <w:t>评分标准</w:t>
      </w:r>
      <w:bookmarkEnd w:id="8"/>
      <w:bookmarkEnd w:id="9"/>
      <w:bookmarkEnd w:id="10"/>
    </w:p>
    <w:tbl>
      <w:tblPr>
        <w:tblStyle w:val="17"/>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82"/>
        <w:gridCol w:w="900"/>
        <w:gridCol w:w="5236"/>
        <w:gridCol w:w="2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28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评分因素及权重</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分值</w:t>
            </w:r>
          </w:p>
        </w:tc>
        <w:tc>
          <w:tcPr>
            <w:tcW w:w="523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评分标准</w:t>
            </w:r>
          </w:p>
        </w:tc>
        <w:tc>
          <w:tcPr>
            <w:tcW w:w="223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rPr>
            </w:pPr>
            <w:r>
              <w:rPr>
                <w:rFonts w:hint="eastAsia" w:ascii="仿宋" w:hAnsi="仿宋" w:eastAsia="仿宋" w:cs="仿宋"/>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8" w:hRule="atLeast"/>
          <w:jc w:val="center"/>
        </w:trPr>
        <w:tc>
          <w:tcPr>
            <w:tcW w:w="1282"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报价</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jc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rPr>
              <w:t>30</w:t>
            </w:r>
          </w:p>
        </w:tc>
        <w:tc>
          <w:tcPr>
            <w:tcW w:w="5236"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jc w:val="left"/>
              <w:rPr>
                <w:rFonts w:hint="default" w:ascii="仿宋" w:hAnsi="仿宋" w:eastAsia="仿宋" w:cs="仿宋"/>
                <w:kern w:val="2"/>
                <w:sz w:val="24"/>
                <w:szCs w:val="24"/>
                <w:lang w:val="en-US" w:eastAsia="zh-CN" w:bidi="ar-SA"/>
              </w:rPr>
            </w:pPr>
            <w:r>
              <w:rPr>
                <w:rFonts w:hint="eastAsia" w:ascii="仿宋" w:hAnsi="仿宋" w:eastAsia="仿宋" w:cs="仿宋"/>
                <w:sz w:val="24"/>
                <w:szCs w:val="24"/>
              </w:rPr>
              <w:t>以本次经评审的最低价为基准价（得满分），报价得分=（基准价/报价）*30</w:t>
            </w:r>
          </w:p>
        </w:tc>
        <w:tc>
          <w:tcPr>
            <w:tcW w:w="223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1" w:hRule="atLeast"/>
          <w:jc w:val="center"/>
        </w:trPr>
        <w:tc>
          <w:tcPr>
            <w:tcW w:w="1282"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jc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rPr>
              <w:t>业绩</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jc w:val="center"/>
              <w:rPr>
                <w:rFonts w:hint="default" w:ascii="仿宋" w:hAnsi="仿宋" w:eastAsia="仿宋" w:cs="仿宋"/>
                <w:kern w:val="2"/>
                <w:sz w:val="24"/>
                <w:szCs w:val="22"/>
                <w:lang w:val="en-US" w:eastAsia="zh-CN" w:bidi="ar-SA"/>
              </w:rPr>
            </w:pPr>
            <w:r>
              <w:rPr>
                <w:rFonts w:hint="eastAsia" w:ascii="仿宋" w:hAnsi="仿宋" w:eastAsia="仿宋" w:cs="仿宋"/>
                <w:sz w:val="24"/>
                <w:szCs w:val="24"/>
              </w:rPr>
              <w:t>2</w:t>
            </w:r>
          </w:p>
        </w:tc>
        <w:tc>
          <w:tcPr>
            <w:tcW w:w="5236"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jc w:val="left"/>
              <w:rPr>
                <w:rFonts w:ascii="仿宋" w:hAnsi="仿宋" w:eastAsia="仿宋" w:cs="仿宋"/>
                <w:sz w:val="24"/>
                <w:szCs w:val="24"/>
              </w:rPr>
            </w:pPr>
            <w:r>
              <w:rPr>
                <w:rFonts w:hint="eastAsia" w:ascii="仿宋" w:hAnsi="仿宋" w:eastAsia="仿宋" w:cs="仿宋"/>
                <w:sz w:val="24"/>
                <w:szCs w:val="24"/>
              </w:rPr>
              <w:t>供应商自2021年1月1日以来具有类似业绩1个得1分，最多得2分。</w:t>
            </w:r>
          </w:p>
          <w:p>
            <w:pPr>
              <w:spacing w:line="420" w:lineRule="exact"/>
              <w:jc w:val="left"/>
              <w:rPr>
                <w:rFonts w:hint="default" w:ascii="仿宋" w:hAnsi="仿宋" w:eastAsia="仿宋" w:cs="仿宋"/>
                <w:kern w:val="2"/>
                <w:sz w:val="24"/>
                <w:szCs w:val="22"/>
                <w:highlight w:val="yellow"/>
                <w:lang w:val="en-US" w:eastAsia="zh-CN" w:bidi="ar-SA"/>
              </w:rPr>
            </w:pPr>
            <w:r>
              <w:rPr>
                <w:rFonts w:hint="eastAsia" w:ascii="仿宋" w:hAnsi="仿宋" w:eastAsia="仿宋" w:cs="仿宋"/>
                <w:sz w:val="24"/>
                <w:szCs w:val="24"/>
              </w:rPr>
              <w:t>（注：①类似业绩为排污在线监测一体化改造业绩。②有效业绩须提供以下证明文件，至少包括：合同首页、合同签字页、合同标的页、发票。业绩时间以合同签订时间为准）。</w:t>
            </w:r>
          </w:p>
        </w:tc>
        <w:tc>
          <w:tcPr>
            <w:tcW w:w="223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14" w:hRule="atLeast"/>
          <w:jc w:val="center"/>
        </w:trPr>
        <w:tc>
          <w:tcPr>
            <w:tcW w:w="1282"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rPr>
                <w:rFonts w:hint="default" w:ascii="仿宋" w:hAnsi="仿宋" w:eastAsia="仿宋" w:cs="仿宋"/>
                <w:kern w:val="2"/>
                <w:sz w:val="24"/>
                <w:szCs w:val="24"/>
                <w:lang w:val="en-US" w:eastAsia="zh-CN" w:bidi="ar-SA"/>
              </w:rPr>
            </w:pPr>
            <w:r>
              <w:rPr>
                <w:rFonts w:hint="eastAsia" w:ascii="仿宋" w:hAnsi="仿宋" w:eastAsia="仿宋" w:cs="仿宋"/>
                <w:sz w:val="24"/>
                <w:szCs w:val="24"/>
              </w:rPr>
              <w:t>实施方案</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default" w:ascii="仿宋" w:hAnsi="仿宋" w:eastAsia="仿宋" w:cs="仿宋"/>
                <w:kern w:val="2"/>
                <w:sz w:val="24"/>
                <w:szCs w:val="22"/>
                <w:lang w:val="en-US" w:eastAsia="zh-CN" w:bidi="ar-SA"/>
              </w:rPr>
            </w:pPr>
            <w:r>
              <w:rPr>
                <w:rFonts w:hint="eastAsia" w:ascii="仿宋" w:hAnsi="仿宋" w:eastAsia="仿宋" w:cs="仿宋"/>
                <w:sz w:val="24"/>
              </w:rPr>
              <w:t>48</w:t>
            </w:r>
          </w:p>
        </w:tc>
        <w:tc>
          <w:tcPr>
            <w:tcW w:w="5236"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ascii="仿宋" w:hAnsi="仿宋" w:eastAsia="仿宋" w:cs="仿宋"/>
                <w:sz w:val="24"/>
              </w:rPr>
            </w:pPr>
            <w:r>
              <w:rPr>
                <w:rFonts w:hint="eastAsia" w:ascii="仿宋" w:hAnsi="仿宋" w:eastAsia="仿宋" w:cs="仿宋"/>
                <w:sz w:val="24"/>
              </w:rPr>
              <w:t xml:space="preserve">供应商针对本项目编制的施工组织方案应包含但不限于： </w:t>
            </w:r>
          </w:p>
          <w:p>
            <w:pPr>
              <w:rPr>
                <w:rFonts w:ascii="仿宋" w:hAnsi="仿宋" w:eastAsia="仿宋" w:cs="仿宋"/>
                <w:sz w:val="24"/>
              </w:rPr>
            </w:pPr>
            <w:r>
              <w:rPr>
                <w:rFonts w:hint="eastAsia" w:ascii="仿宋" w:hAnsi="仿宋" w:eastAsia="仿宋" w:cs="仿宋"/>
                <w:sz w:val="24"/>
              </w:rPr>
              <w:t>工期保证措施方案，主要内容包括①计划开竣工日期和施工进度网络图；②工期保证措施；③拟投入本项目主要施工机械设备；④材料配备计划和劳动力安排计划。 供应商每提供一项以上内容的得3分，最多得12分；每有一项内容存在缺陷的扣1分。</w:t>
            </w:r>
          </w:p>
          <w:p>
            <w:pPr>
              <w:rPr>
                <w:rFonts w:ascii="仿宋" w:hAnsi="仿宋" w:eastAsia="仿宋" w:cs="仿宋"/>
                <w:sz w:val="24"/>
              </w:rPr>
            </w:pPr>
            <w:r>
              <w:rPr>
                <w:rFonts w:hint="eastAsia" w:ascii="仿宋" w:hAnsi="仿宋" w:eastAsia="仿宋" w:cs="仿宋"/>
                <w:sz w:val="24"/>
              </w:rPr>
              <w:t>质量保证措施方案，主要内容包括：①质量控制目标；②质量保证体系；③质量管理具体措施；④工程质量保修措施;⑤改造安装施工方案及重点难点技术分析；⑥改造安装调试技术方案；  供应商每提供一项以上内容的得2分，最多得12分；每有一项内容存在缺陷的扣1分。</w:t>
            </w:r>
          </w:p>
          <w:p>
            <w:pPr>
              <w:rPr>
                <w:rFonts w:ascii="仿宋" w:hAnsi="仿宋" w:eastAsia="仿宋" w:cs="仿宋"/>
                <w:sz w:val="24"/>
              </w:rPr>
            </w:pPr>
            <w:r>
              <w:rPr>
                <w:rFonts w:hint="eastAsia" w:ascii="仿宋" w:hAnsi="仿宋" w:eastAsia="仿宋" w:cs="仿宋"/>
                <w:sz w:val="24"/>
              </w:rPr>
              <w:t>安全保证措施及安全应急预案，主要内容包括：①安全管理制度；②安全保证措施；③文明施工措施；④安全应急预案。 供应商每提供一项以上内容的得1分，最多得4分；每有一项内容存在缺陷的扣0.5分。</w:t>
            </w:r>
          </w:p>
          <w:p>
            <w:pPr>
              <w:rPr>
                <w:rFonts w:ascii="仿宋" w:hAnsi="仿宋" w:eastAsia="仿宋" w:cs="仿宋"/>
                <w:sz w:val="24"/>
              </w:rPr>
            </w:pPr>
            <w:r>
              <w:rPr>
                <w:rFonts w:hint="eastAsia" w:ascii="仿宋" w:hAnsi="仿宋" w:eastAsia="仿宋" w:cs="仿宋"/>
                <w:sz w:val="24"/>
              </w:rPr>
              <w:t>环保和文明施工措施，主要内容包括：①有详细的环境保护措施方案；②有现场文明施工措施；③对处理噪音的技术措施；④对污染物处理及排放的技术措施。  供应商每提供一项以上内容的得1分，最多得4分；每有一项内容存在缺陷的扣0.5分。</w:t>
            </w:r>
          </w:p>
          <w:p>
            <w:pPr>
              <w:rPr>
                <w:rFonts w:ascii="仿宋" w:hAnsi="仿宋" w:eastAsia="仿宋" w:cs="仿宋"/>
                <w:sz w:val="24"/>
              </w:rPr>
            </w:pPr>
            <w:r>
              <w:rPr>
                <w:rFonts w:hint="eastAsia" w:ascii="仿宋" w:hAnsi="仿宋" w:eastAsia="仿宋" w:cs="仿宋"/>
                <w:sz w:val="24"/>
              </w:rPr>
              <w:t>施工方案与技术措施，主要内容包括：①施工组织设计；②人员职责分工；③工程管理措施；④技术措施保障。 供应商每提供一项以上内容的得2分，最多得8分；每有一项内容存在缺陷的扣1分。</w:t>
            </w:r>
          </w:p>
          <w:p>
            <w:pPr>
              <w:rPr>
                <w:rFonts w:ascii="仿宋" w:hAnsi="仿宋" w:eastAsia="仿宋" w:cs="仿宋"/>
                <w:sz w:val="24"/>
              </w:rPr>
            </w:pPr>
            <w:r>
              <w:rPr>
                <w:rFonts w:hint="eastAsia" w:ascii="仿宋" w:hAnsi="仿宋" w:eastAsia="仿宋" w:cs="仿宋"/>
                <w:sz w:val="24"/>
              </w:rPr>
              <w:t xml:space="preserve">缺陷责任期包括①质量保证措施，②责任期服务流程，③人员配置方案，④故障处理措施。 </w:t>
            </w:r>
          </w:p>
          <w:p>
            <w:pPr>
              <w:rPr>
                <w:rFonts w:ascii="仿宋" w:hAnsi="仿宋" w:eastAsia="仿宋" w:cs="仿宋"/>
                <w:sz w:val="24"/>
              </w:rPr>
            </w:pPr>
            <w:r>
              <w:rPr>
                <w:rFonts w:hint="eastAsia" w:ascii="仿宋" w:hAnsi="仿宋" w:eastAsia="仿宋" w:cs="仿宋"/>
                <w:sz w:val="24"/>
              </w:rPr>
              <w:t>供应商每提供一项以上内容的得1分，最多得4分；每有一项内容存在缺陷的扣0.5分。</w:t>
            </w:r>
          </w:p>
          <w:p>
            <w:pPr>
              <w:rPr>
                <w:rFonts w:hint="default" w:ascii="仿宋" w:hAnsi="仿宋" w:eastAsia="仿宋" w:cs="仿宋"/>
                <w:kern w:val="2"/>
                <w:sz w:val="24"/>
                <w:szCs w:val="22"/>
                <w:lang w:val="en-US" w:eastAsia="zh-CN" w:bidi="ar-SA"/>
              </w:rPr>
            </w:pPr>
            <w:r>
              <w:rPr>
                <w:rFonts w:hint="eastAsia" w:ascii="仿宋" w:hAnsi="仿宋" w:eastAsia="仿宋" w:cs="仿宋"/>
                <w:sz w:val="24"/>
              </w:rPr>
              <w:t>7、</w:t>
            </w:r>
            <w:r>
              <w:rPr>
                <w:rFonts w:hint="eastAsia" w:ascii="仿宋" w:hAnsi="仿宋" w:eastAsia="仿宋" w:cs="仿宋"/>
                <w:sz w:val="24"/>
              </w:rPr>
              <w:tab/>
            </w:r>
            <w:r>
              <w:rPr>
                <w:rFonts w:hint="eastAsia" w:ascii="仿宋" w:hAnsi="仿宋" w:eastAsia="仿宋" w:cs="仿宋"/>
                <w:sz w:val="24"/>
              </w:rPr>
              <w:t>该项目拟派项目经理</w:t>
            </w:r>
            <w:r>
              <w:rPr>
                <w:rFonts w:hint="eastAsia" w:ascii="仿宋" w:hAnsi="仿宋" w:eastAsia="仿宋" w:cs="仿宋"/>
                <w:sz w:val="24"/>
                <w:lang w:eastAsia="zh-CN"/>
              </w:rPr>
              <w:t>（</w:t>
            </w:r>
            <w:r>
              <w:rPr>
                <w:rFonts w:hint="eastAsia" w:ascii="仿宋" w:hAnsi="仿宋" w:eastAsia="仿宋" w:cs="仿宋"/>
                <w:sz w:val="24"/>
                <w:lang w:val="en-US" w:eastAsia="zh-CN"/>
              </w:rPr>
              <w:t>1人</w:t>
            </w:r>
            <w:r>
              <w:rPr>
                <w:rFonts w:hint="eastAsia" w:ascii="仿宋" w:hAnsi="仿宋" w:eastAsia="仿宋" w:cs="仿宋"/>
                <w:sz w:val="24"/>
                <w:lang w:eastAsia="zh-CN"/>
              </w:rPr>
              <w:t>）</w:t>
            </w:r>
            <w:r>
              <w:rPr>
                <w:rFonts w:hint="eastAsia" w:ascii="仿宋" w:hAnsi="仿宋" w:eastAsia="仿宋" w:cs="仿宋"/>
                <w:sz w:val="24"/>
              </w:rPr>
              <w:t>具有由人力资源社会保障部及工业和信息化部认定的传输与接入相关专业初级及以上职称。本项目得4分。</w:t>
            </w:r>
            <w:r>
              <w:rPr>
                <w:rFonts w:hint="eastAsia" w:ascii="仿宋" w:hAnsi="仿宋" w:eastAsia="仿宋" w:cs="仿宋"/>
                <w:sz w:val="24"/>
                <w:lang w:eastAsia="zh-CN"/>
              </w:rPr>
              <w:t>（</w:t>
            </w:r>
            <w:r>
              <w:rPr>
                <w:rFonts w:hint="eastAsia" w:ascii="仿宋" w:hAnsi="仿宋" w:eastAsia="仿宋" w:cs="仿宋"/>
                <w:sz w:val="24"/>
                <w:lang w:val="en-US" w:eastAsia="zh-CN"/>
              </w:rPr>
              <w:t>提供在职证明及证书复印件</w:t>
            </w:r>
            <w:r>
              <w:rPr>
                <w:rFonts w:hint="eastAsia" w:ascii="仿宋" w:hAnsi="仿宋" w:eastAsia="仿宋" w:cs="仿宋"/>
                <w:sz w:val="24"/>
                <w:lang w:eastAsia="zh-CN"/>
              </w:rPr>
              <w:t>）</w:t>
            </w:r>
          </w:p>
        </w:tc>
        <w:tc>
          <w:tcPr>
            <w:tcW w:w="223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20" w:lineRule="exact"/>
              <w:ind w:firstLine="0" w:firstLineChars="0"/>
              <w:jc w:val="left"/>
              <w:textAlignment w:val="auto"/>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14" w:hRule="atLeast"/>
          <w:jc w:val="center"/>
        </w:trPr>
        <w:tc>
          <w:tcPr>
            <w:tcW w:w="1282"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jc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rPr>
              <w:t>售后服务</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20" w:lineRule="exact"/>
              <w:jc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rPr>
              <w:t>20</w:t>
            </w:r>
          </w:p>
        </w:tc>
        <w:tc>
          <w:tcPr>
            <w:tcW w:w="5236"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default" w:ascii="仿宋" w:hAnsi="仿宋" w:eastAsia="仿宋" w:cs="仿宋"/>
                <w:kern w:val="2"/>
                <w:sz w:val="24"/>
                <w:szCs w:val="22"/>
                <w:lang w:val="en-US" w:eastAsia="zh-CN" w:bidi="ar-SA"/>
              </w:rPr>
            </w:pPr>
            <w:r>
              <w:rPr>
                <w:rFonts w:hint="eastAsia" w:ascii="仿宋" w:hAnsi="仿宋" w:eastAsia="仿宋" w:cs="仿宋"/>
                <w:sz w:val="24"/>
              </w:rPr>
              <w:t>供应商针对本项目提供的售后服务：①售后服务保障工作内容计划；②售后服务保障巡查或复查计划；③售后服务保障质量措施；④维修响应及故障排除方案。⑤供应商提供的烟气连续监测系统厂家提供本地化服务（提供售后服务点等相关佐证资料）。以上五项满分得20分，每缺少一项内容扣4分，每有一处错误扣2分，扣完为止。</w:t>
            </w:r>
          </w:p>
        </w:tc>
        <w:tc>
          <w:tcPr>
            <w:tcW w:w="2230"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default" w:ascii="仿宋" w:hAnsi="仿宋" w:eastAsia="仿宋" w:cs="仿宋"/>
                <w:color w:val="auto"/>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9648"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420" w:lineRule="exact"/>
              <w:ind w:firstLine="0" w:firstLineChars="0"/>
              <w:jc w:val="left"/>
              <w:textAlignment w:val="auto"/>
              <w:rPr>
                <w:rFonts w:hint="eastAsia" w:ascii="宋体" w:hAnsi="宋体" w:eastAsia="宋体" w:cs="宋体"/>
                <w:sz w:val="24"/>
                <w:szCs w:val="24"/>
                <w:lang w:val="en-US" w:eastAsia="zh-CN"/>
              </w:rPr>
            </w:pPr>
            <w:r>
              <w:rPr>
                <w:rFonts w:hint="eastAsia" w:ascii="仿宋" w:hAnsi="仿宋" w:eastAsia="仿宋" w:cs="仿宋"/>
                <w:sz w:val="24"/>
              </w:rPr>
              <w:t>缺陷是指①项目名称错误或实施地点区域错误</w:t>
            </w:r>
            <w:r>
              <w:rPr>
                <w:rFonts w:hint="eastAsia" w:ascii="仿宋" w:hAnsi="仿宋" w:eastAsia="仿宋" w:cs="仿宋"/>
                <w:sz w:val="24"/>
                <w:lang w:eastAsia="zh-CN"/>
              </w:rPr>
              <w:t>，</w:t>
            </w:r>
            <w:r>
              <w:rPr>
                <w:rFonts w:hint="eastAsia" w:ascii="仿宋" w:hAnsi="仿宋" w:eastAsia="仿宋" w:cs="仿宋"/>
                <w:sz w:val="24"/>
                <w:lang w:val="en-US" w:eastAsia="zh-CN"/>
              </w:rPr>
              <w:t>实施时间错误</w:t>
            </w:r>
            <w:r>
              <w:rPr>
                <w:rFonts w:hint="eastAsia" w:ascii="仿宋" w:hAnsi="仿宋" w:eastAsia="仿宋" w:cs="仿宋"/>
                <w:sz w:val="24"/>
              </w:rPr>
              <w:t>；②方案内容与本项目需求无关或仅有框架或标题</w:t>
            </w:r>
            <w:r>
              <w:rPr>
                <w:rFonts w:hint="eastAsia" w:ascii="仿宋" w:hAnsi="仿宋" w:eastAsia="仿宋" w:cs="仿宋"/>
                <w:sz w:val="24"/>
                <w:lang w:val="en-US" w:eastAsia="zh-CN"/>
              </w:rPr>
              <w:t>或复制采购文件内容的要求</w:t>
            </w:r>
            <w:r>
              <w:rPr>
                <w:rFonts w:hint="eastAsia" w:ascii="仿宋" w:hAnsi="仿宋" w:eastAsia="仿宋" w:cs="仿宋"/>
                <w:sz w:val="24"/>
              </w:rPr>
              <w:t>；③方案内容自相矛盾或表述前后不一致；④套用其他项目方案或不适用本项目实际需求；⑤引用的规范及标准错误或存在与本项目需求无关的内容；⑥工作流程或人员安排不符合采购需求不利于项目实施等情形中的任一种情形。</w:t>
            </w:r>
          </w:p>
        </w:tc>
      </w:tr>
    </w:tbl>
    <w:p>
      <w:pPr>
        <w:rPr>
          <w:color w:val="auto"/>
          <w:highlight w:val="none"/>
        </w:rPr>
      </w:pPr>
    </w:p>
    <w:p>
      <w:pPr>
        <w:rPr>
          <w:color w:val="auto"/>
          <w:highlight w:val="none"/>
        </w:rPr>
      </w:pPr>
      <w:r>
        <w:rPr>
          <w:color w:val="auto"/>
          <w:highlight w:val="none"/>
        </w:rPr>
        <w:br w:type="page"/>
      </w:r>
    </w:p>
    <w:p>
      <w:pPr>
        <w:pStyle w:val="2"/>
        <w:bidi w:val="0"/>
        <w:rPr>
          <w:color w:val="auto"/>
          <w:highlight w:val="none"/>
        </w:rPr>
      </w:pPr>
      <w:bookmarkStart w:id="11" w:name="_Toc22827"/>
      <w:bookmarkStart w:id="12" w:name="_Toc3094"/>
      <w:bookmarkStart w:id="13" w:name="_Toc16344"/>
      <w:r>
        <w:rPr>
          <w:rFonts w:hint="eastAsia"/>
          <w:color w:val="auto"/>
          <w:highlight w:val="none"/>
          <w:lang w:eastAsia="zh-CN"/>
        </w:rPr>
        <w:t>响应文件</w:t>
      </w:r>
      <w:r>
        <w:rPr>
          <w:rFonts w:hint="eastAsia"/>
          <w:color w:val="auto"/>
          <w:highlight w:val="none"/>
        </w:rPr>
        <w:t>格式</w:t>
      </w:r>
      <w:bookmarkEnd w:id="11"/>
      <w:bookmarkEnd w:id="12"/>
      <w:bookmarkEnd w:id="13"/>
    </w:p>
    <w:p>
      <w:pPr>
        <w:spacing w:line="700" w:lineRule="exact"/>
        <w:rPr>
          <w:rFonts w:ascii="仿宋" w:hAnsi="仿宋" w:eastAsia="仿宋" w:cs="仿宋"/>
          <w:b/>
          <w:bCs/>
          <w:color w:val="auto"/>
          <w:sz w:val="32"/>
          <w:szCs w:val="32"/>
          <w:highlight w:val="none"/>
        </w:rPr>
      </w:pPr>
    </w:p>
    <w:p>
      <w:pPr>
        <w:jc w:val="left"/>
        <w:rPr>
          <w:rFonts w:ascii="仿宋" w:hAnsi="仿宋" w:eastAsia="仿宋" w:cs="仿宋"/>
          <w:color w:val="auto"/>
          <w:sz w:val="28"/>
          <w:szCs w:val="24"/>
          <w:highlight w:val="none"/>
        </w:rPr>
      </w:pPr>
      <w:bookmarkStart w:id="14" w:name="_Toc4960"/>
      <w:bookmarkStart w:id="15" w:name="_Toc29819"/>
      <w:bookmarkStart w:id="16" w:name="_Toc5913"/>
      <w:r>
        <w:rPr>
          <w:rFonts w:hint="eastAsia" w:ascii="仿宋" w:hAnsi="仿宋" w:eastAsia="仿宋" w:cs="仿宋"/>
          <w:color w:val="auto"/>
          <w:sz w:val="28"/>
          <w:szCs w:val="24"/>
          <w:highlight w:val="none"/>
        </w:rPr>
        <w:t>（</w:t>
      </w:r>
      <w:r>
        <w:rPr>
          <w:rFonts w:hint="eastAsia" w:ascii="仿宋" w:hAnsi="仿宋" w:eastAsia="仿宋" w:cs="仿宋"/>
          <w:color w:val="auto"/>
          <w:sz w:val="28"/>
          <w:szCs w:val="24"/>
          <w:highlight w:val="none"/>
          <w:lang w:val="en-US" w:eastAsia="zh-CN"/>
        </w:rPr>
        <w:t>响应文件</w:t>
      </w:r>
      <w:r>
        <w:rPr>
          <w:rFonts w:hint="eastAsia" w:ascii="仿宋" w:hAnsi="仿宋" w:eastAsia="仿宋" w:cs="仿宋"/>
          <w:color w:val="auto"/>
          <w:sz w:val="28"/>
          <w:szCs w:val="24"/>
          <w:highlight w:val="none"/>
        </w:rPr>
        <w:t>封面）</w:t>
      </w:r>
      <w:bookmarkEnd w:id="14"/>
      <w:bookmarkEnd w:id="15"/>
      <w:bookmarkEnd w:id="16"/>
    </w:p>
    <w:p>
      <w:pPr>
        <w:rPr>
          <w:rFonts w:ascii="仿宋" w:hAnsi="仿宋" w:eastAsia="仿宋" w:cs="仿宋"/>
          <w:color w:val="auto"/>
          <w:sz w:val="28"/>
          <w:szCs w:val="28"/>
          <w:highlight w:val="none"/>
        </w:rPr>
      </w:pPr>
    </w:p>
    <w:p>
      <w:pPr>
        <w:jc w:val="left"/>
        <w:rPr>
          <w:rFonts w:ascii="仿宋" w:hAnsi="仿宋" w:eastAsia="仿宋" w:cs="仿宋"/>
          <w:color w:val="auto"/>
          <w:sz w:val="24"/>
          <w:szCs w:val="24"/>
          <w:highlight w:val="none"/>
        </w:rPr>
      </w:pPr>
      <w:bookmarkStart w:id="17" w:name="_Toc9428"/>
      <w:bookmarkStart w:id="18" w:name="_Toc19851"/>
      <w:bookmarkStart w:id="19" w:name="_Toc30609"/>
      <w:r>
        <w:rPr>
          <w:rFonts w:hint="eastAsia" w:ascii="仿宋" w:hAnsi="仿宋" w:eastAsia="仿宋" w:cs="仿宋"/>
          <w:color w:val="auto"/>
          <w:sz w:val="24"/>
          <w:szCs w:val="24"/>
          <w:highlight w:val="none"/>
        </w:rPr>
        <w:t>项目名称：</w:t>
      </w:r>
      <w:bookmarkEnd w:id="17"/>
      <w:bookmarkEnd w:id="18"/>
      <w:bookmarkEnd w:id="19"/>
    </w:p>
    <w:p>
      <w:pPr>
        <w:jc w:val="left"/>
        <w:rPr>
          <w:rFonts w:ascii="仿宋" w:hAnsi="仿宋" w:eastAsia="仿宋" w:cs="仿宋"/>
          <w:color w:val="auto"/>
          <w:sz w:val="24"/>
          <w:szCs w:val="24"/>
          <w:highlight w:val="none"/>
        </w:rPr>
      </w:pPr>
      <w:bookmarkStart w:id="20" w:name="_Toc32352"/>
      <w:bookmarkStart w:id="21" w:name="_Toc9041"/>
      <w:bookmarkStart w:id="22" w:name="_Toc1544"/>
      <w:r>
        <w:rPr>
          <w:rFonts w:hint="eastAsia" w:ascii="仿宋" w:hAnsi="仿宋" w:eastAsia="仿宋" w:cs="仿宋"/>
          <w:color w:val="auto"/>
          <w:sz w:val="24"/>
          <w:szCs w:val="24"/>
          <w:highlight w:val="none"/>
        </w:rPr>
        <w:t>项目编号：</w:t>
      </w:r>
      <w:bookmarkEnd w:id="20"/>
      <w:bookmarkEnd w:id="21"/>
      <w:bookmarkEnd w:id="22"/>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p>
    <w:p>
      <w:pPr>
        <w:jc w:val="left"/>
        <w:rPr>
          <w:rFonts w:ascii="仿宋" w:hAnsi="仿宋" w:eastAsia="仿宋" w:cs="仿宋"/>
          <w:color w:val="auto"/>
          <w:sz w:val="84"/>
          <w:szCs w:val="24"/>
          <w:highlight w:val="none"/>
        </w:rPr>
      </w:pPr>
      <w:bookmarkStart w:id="23" w:name="_Toc21472"/>
      <w:bookmarkStart w:id="24" w:name="_Toc24097"/>
    </w:p>
    <w:bookmarkEnd w:id="23"/>
    <w:bookmarkEnd w:id="24"/>
    <w:p>
      <w:pPr>
        <w:jc w:val="center"/>
        <w:rPr>
          <w:rFonts w:hint="eastAsia" w:ascii="仿宋" w:hAnsi="仿宋" w:eastAsia="仿宋" w:cs="仿宋"/>
          <w:color w:val="auto"/>
          <w:sz w:val="96"/>
          <w:szCs w:val="24"/>
          <w:highlight w:val="none"/>
          <w:lang w:eastAsia="zh-CN"/>
        </w:rPr>
      </w:pPr>
      <w:r>
        <w:rPr>
          <w:rFonts w:hint="eastAsia" w:ascii="仿宋" w:hAnsi="仿宋" w:eastAsia="仿宋" w:cs="仿宋"/>
          <w:color w:val="auto"/>
          <w:sz w:val="96"/>
          <w:szCs w:val="24"/>
          <w:highlight w:val="none"/>
          <w:lang w:eastAsia="zh-CN"/>
        </w:rPr>
        <w:t>响应文件</w:t>
      </w:r>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p>
    <w:p>
      <w:pPr>
        <w:jc w:val="left"/>
        <w:rPr>
          <w:rFonts w:ascii="仿宋" w:hAnsi="仿宋" w:eastAsia="仿宋" w:cs="仿宋"/>
          <w:color w:val="auto"/>
          <w:sz w:val="28"/>
          <w:szCs w:val="24"/>
          <w:highlight w:val="none"/>
        </w:rPr>
      </w:pPr>
      <w:bookmarkStart w:id="25" w:name="_Toc24859"/>
      <w:bookmarkStart w:id="26" w:name="_Toc32749"/>
      <w:bookmarkStart w:id="27" w:name="_Toc17163"/>
      <w:bookmarkStart w:id="28" w:name="_Toc1690"/>
      <w:r>
        <w:rPr>
          <w:rFonts w:hint="eastAsia" w:ascii="仿宋" w:hAnsi="仿宋" w:eastAsia="仿宋" w:cs="仿宋"/>
          <w:color w:val="auto"/>
          <w:sz w:val="28"/>
          <w:szCs w:val="24"/>
          <w:highlight w:val="none"/>
          <w:lang w:eastAsia="zh-CN"/>
        </w:rPr>
        <w:t>供应商</w:t>
      </w:r>
      <w:r>
        <w:rPr>
          <w:rFonts w:hint="eastAsia" w:ascii="仿宋" w:hAnsi="仿宋" w:eastAsia="仿宋" w:cs="仿宋"/>
          <w:color w:val="auto"/>
          <w:sz w:val="28"/>
          <w:szCs w:val="24"/>
          <w:highlight w:val="none"/>
        </w:rPr>
        <w:t>名称（公章）：</w:t>
      </w:r>
      <w:bookmarkEnd w:id="25"/>
      <w:bookmarkEnd w:id="26"/>
      <w:bookmarkEnd w:id="27"/>
      <w:bookmarkEnd w:id="28"/>
    </w:p>
    <w:p>
      <w:pPr>
        <w:jc w:val="left"/>
        <w:rPr>
          <w:rFonts w:ascii="仿宋" w:hAnsi="仿宋" w:eastAsia="仿宋" w:cs="仿宋"/>
          <w:color w:val="auto"/>
          <w:sz w:val="28"/>
          <w:szCs w:val="24"/>
          <w:highlight w:val="none"/>
        </w:rPr>
      </w:pPr>
      <w:bookmarkStart w:id="29" w:name="_Toc24123"/>
      <w:bookmarkStart w:id="30" w:name="_Toc3558"/>
      <w:bookmarkStart w:id="31" w:name="_Toc6803"/>
      <w:bookmarkStart w:id="32" w:name="_Toc17905"/>
      <w:r>
        <w:rPr>
          <w:rFonts w:hint="eastAsia" w:ascii="仿宋" w:hAnsi="仿宋" w:eastAsia="仿宋" w:cs="仿宋"/>
          <w:color w:val="auto"/>
          <w:sz w:val="28"/>
          <w:szCs w:val="24"/>
          <w:highlight w:val="none"/>
        </w:rPr>
        <w:t>法定代表人或授权代理人（签字）：</w:t>
      </w:r>
      <w:bookmarkEnd w:id="29"/>
      <w:bookmarkEnd w:id="30"/>
      <w:bookmarkEnd w:id="31"/>
      <w:bookmarkEnd w:id="32"/>
    </w:p>
    <w:p>
      <w:pPr>
        <w:jc w:val="left"/>
        <w:rPr>
          <w:rFonts w:ascii="仿宋" w:hAnsi="仿宋" w:eastAsia="仿宋" w:cs="仿宋"/>
          <w:color w:val="auto"/>
          <w:sz w:val="28"/>
          <w:szCs w:val="24"/>
          <w:highlight w:val="none"/>
        </w:rPr>
      </w:pPr>
      <w:bookmarkStart w:id="33" w:name="_Toc5996"/>
      <w:bookmarkStart w:id="34" w:name="_Toc27526"/>
      <w:bookmarkStart w:id="35" w:name="_Toc27135"/>
      <w:bookmarkStart w:id="36" w:name="_Toc2989"/>
      <w:r>
        <w:rPr>
          <w:rFonts w:hint="eastAsia" w:ascii="仿宋" w:hAnsi="仿宋" w:eastAsia="仿宋" w:cs="仿宋"/>
          <w:color w:val="auto"/>
          <w:sz w:val="28"/>
          <w:szCs w:val="24"/>
          <w:highlight w:val="none"/>
        </w:rPr>
        <w:t>联系方式（移动电话）：</w:t>
      </w:r>
      <w:bookmarkEnd w:id="33"/>
      <w:bookmarkEnd w:id="34"/>
      <w:bookmarkEnd w:id="35"/>
      <w:bookmarkEnd w:id="36"/>
    </w:p>
    <w:p>
      <w:pPr>
        <w:jc w:val="left"/>
        <w:rPr>
          <w:rFonts w:ascii="仿宋" w:hAnsi="仿宋" w:eastAsia="仿宋" w:cs="仿宋"/>
          <w:color w:val="auto"/>
          <w:sz w:val="28"/>
          <w:szCs w:val="24"/>
          <w:highlight w:val="none"/>
        </w:rPr>
      </w:pPr>
      <w:bookmarkStart w:id="37" w:name="_Toc19987"/>
      <w:bookmarkStart w:id="38" w:name="_Toc5056"/>
      <w:bookmarkStart w:id="39" w:name="_Toc2031"/>
      <w:bookmarkStart w:id="40" w:name="_Toc7233"/>
      <w:r>
        <w:rPr>
          <w:rFonts w:hint="eastAsia" w:ascii="仿宋" w:hAnsi="仿宋" w:eastAsia="仿宋" w:cs="仿宋"/>
          <w:color w:val="auto"/>
          <w:sz w:val="28"/>
          <w:szCs w:val="24"/>
          <w:highlight w:val="none"/>
        </w:rPr>
        <w:t>日期：     年    月     日</w:t>
      </w:r>
      <w:bookmarkEnd w:id="37"/>
      <w:bookmarkEnd w:id="38"/>
      <w:bookmarkEnd w:id="39"/>
      <w:bookmarkEnd w:id="40"/>
    </w:p>
    <w:p>
      <w:pPr>
        <w:jc w:val="center"/>
        <w:rPr>
          <w:rFonts w:ascii="仿宋" w:hAnsi="仿宋" w:eastAsia="仿宋" w:cs="仿宋"/>
          <w:color w:val="auto"/>
          <w:sz w:val="32"/>
          <w:szCs w:val="40"/>
          <w:highlight w:val="none"/>
        </w:rPr>
      </w:pPr>
      <w:bookmarkStart w:id="41" w:name="_Toc3023"/>
      <w:bookmarkStart w:id="42" w:name="_Toc11352"/>
      <w:bookmarkStart w:id="43" w:name="_Toc21519"/>
      <w:bookmarkStart w:id="44" w:name="_Toc16029"/>
      <w:bookmarkStart w:id="45" w:name="_Toc6482"/>
      <w:bookmarkStart w:id="46" w:name="_Toc14829"/>
    </w:p>
    <w:p>
      <w:pPr>
        <w:rPr>
          <w:rStyle w:val="29"/>
          <w:rFonts w:hint="eastAsia" w:ascii="仿宋" w:hAnsi="仿宋" w:eastAsia="仿宋" w:cs="仿宋"/>
          <w:b/>
          <w:bCs/>
          <w:color w:val="auto"/>
          <w:sz w:val="32"/>
          <w:szCs w:val="28"/>
          <w:highlight w:val="none"/>
        </w:rPr>
      </w:pPr>
      <w:r>
        <w:rPr>
          <w:rStyle w:val="29"/>
          <w:rFonts w:hint="eastAsia" w:ascii="仿宋" w:hAnsi="仿宋" w:eastAsia="仿宋" w:cs="仿宋"/>
          <w:b/>
          <w:bCs/>
          <w:color w:val="auto"/>
          <w:sz w:val="32"/>
          <w:szCs w:val="28"/>
          <w:highlight w:val="none"/>
        </w:rPr>
        <w:br w:type="page"/>
      </w:r>
    </w:p>
    <w:p>
      <w:pPr>
        <w:pStyle w:val="3"/>
        <w:bidi w:val="0"/>
        <w:ind w:left="0" w:leftChars="0" w:firstLine="0" w:firstLineChars="0"/>
        <w:rPr>
          <w:color w:val="auto"/>
          <w:highlight w:val="none"/>
        </w:rPr>
      </w:pPr>
      <w:r>
        <w:rPr>
          <w:rFonts w:hint="eastAsia"/>
          <w:color w:val="auto"/>
          <w:highlight w:val="none"/>
        </w:rPr>
        <w:t>承诺函</w:t>
      </w:r>
      <w:bookmarkEnd w:id="41"/>
      <w:bookmarkEnd w:id="42"/>
      <w:bookmarkEnd w:id="43"/>
      <w:bookmarkEnd w:id="44"/>
      <w:bookmarkEnd w:id="45"/>
      <w:bookmarkEnd w:id="46"/>
    </w:p>
    <w:p>
      <w:pPr>
        <w:pStyle w:val="7"/>
        <w:rPr>
          <w:rFonts w:ascii="仿宋" w:hAnsi="仿宋" w:eastAsia="仿宋" w:cs="仿宋"/>
          <w:color w:val="auto"/>
          <w:highlight w:val="none"/>
        </w:rPr>
      </w:pP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致四川省人民医院：</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本公司</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（公司名称）参加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项目名称）的</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活动，现承诺：</w:t>
      </w:r>
    </w:p>
    <w:p>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我公司满足关于</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的资格要求，包括（不限于）：</w:t>
      </w:r>
    </w:p>
    <w:p>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（1）具有独立承担民事责任的能力；</w:t>
      </w:r>
    </w:p>
    <w:p>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（2）具有良好的商业信誉；</w:t>
      </w:r>
    </w:p>
    <w:p>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w:t>
      </w:r>
    </w:p>
    <w:p>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w:t>
      </w:r>
    </w:p>
    <w:p>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（5）参加采购活动前三年内，在经营活动中没有重大违法记录；</w:t>
      </w:r>
    </w:p>
    <w:p>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（6）法律、行政法规规定的其他条件；</w:t>
      </w:r>
    </w:p>
    <w:p>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（7）根据采购项目提出的特殊条件。</w:t>
      </w:r>
    </w:p>
    <w:p>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8）截止响应文件提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2.我方已认真阅读并接受本项目</w:t>
      </w:r>
      <w:r>
        <w:rPr>
          <w:rFonts w:hint="eastAsia" w:ascii="仿宋" w:hAnsi="仿宋" w:eastAsia="仿宋" w:cs="仿宋"/>
          <w:b/>
          <w:bCs/>
          <w:color w:val="auto"/>
          <w:sz w:val="24"/>
          <w:highlight w:val="none"/>
          <w:lang w:eastAsia="zh-CN"/>
        </w:rPr>
        <w:t>谈判文件</w:t>
      </w:r>
      <w:r>
        <w:rPr>
          <w:rFonts w:hint="eastAsia" w:ascii="仿宋" w:hAnsi="仿宋" w:eastAsia="仿宋" w:cs="仿宋"/>
          <w:b/>
          <w:bCs/>
          <w:color w:val="auto"/>
          <w:sz w:val="24"/>
          <w:highlight w:val="none"/>
        </w:rPr>
        <w:t>的全部实质性要求，如对</w:t>
      </w:r>
      <w:r>
        <w:rPr>
          <w:rFonts w:hint="eastAsia" w:ascii="仿宋" w:hAnsi="仿宋" w:eastAsia="仿宋" w:cs="仿宋"/>
          <w:b/>
          <w:bCs/>
          <w:color w:val="auto"/>
          <w:sz w:val="24"/>
          <w:highlight w:val="none"/>
          <w:lang w:eastAsia="zh-CN"/>
        </w:rPr>
        <w:t>谈判文件</w:t>
      </w:r>
      <w:r>
        <w:rPr>
          <w:rFonts w:hint="eastAsia" w:ascii="仿宋" w:hAnsi="仿宋" w:eastAsia="仿宋" w:cs="仿宋"/>
          <w:b/>
          <w:bCs/>
          <w:color w:val="auto"/>
          <w:sz w:val="24"/>
          <w:highlight w:val="none"/>
        </w:rPr>
        <w:t>有异议，已依法进行维权救济，不存在对</w:t>
      </w:r>
      <w:r>
        <w:rPr>
          <w:rFonts w:hint="eastAsia" w:ascii="仿宋" w:hAnsi="仿宋" w:eastAsia="仿宋" w:cs="仿宋"/>
          <w:b/>
          <w:bCs/>
          <w:color w:val="auto"/>
          <w:sz w:val="24"/>
          <w:highlight w:val="none"/>
          <w:lang w:eastAsia="zh-CN"/>
        </w:rPr>
        <w:t>谈判文件</w:t>
      </w:r>
      <w:r>
        <w:rPr>
          <w:rFonts w:hint="eastAsia" w:ascii="仿宋" w:hAnsi="仿宋" w:eastAsia="仿宋" w:cs="仿宋"/>
          <w:b/>
          <w:bCs/>
          <w:color w:val="auto"/>
          <w:sz w:val="24"/>
          <w:highlight w:val="none"/>
        </w:rPr>
        <w:t>有异议的同时又参加</w:t>
      </w:r>
      <w:r>
        <w:rPr>
          <w:rFonts w:hint="eastAsia" w:ascii="仿宋" w:hAnsi="仿宋" w:eastAsia="仿宋" w:cs="仿宋"/>
          <w:b/>
          <w:bCs/>
          <w:color w:val="auto"/>
          <w:sz w:val="24"/>
          <w:highlight w:val="none"/>
          <w:lang w:val="en-US" w:eastAsia="zh-CN"/>
        </w:rPr>
        <w:t>谈判</w:t>
      </w:r>
      <w:r>
        <w:rPr>
          <w:rFonts w:hint="eastAsia" w:ascii="仿宋" w:hAnsi="仿宋" w:eastAsia="仿宋" w:cs="仿宋"/>
          <w:b/>
          <w:bCs/>
          <w:color w:val="auto"/>
          <w:sz w:val="24"/>
          <w:highlight w:val="none"/>
        </w:rPr>
        <w:t>以求侥幸成交或者为实现其他非法目的的行为。</w:t>
      </w:r>
    </w:p>
    <w:p>
      <w:pPr>
        <w:spacing w:line="560" w:lineRule="exact"/>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3.本项目谈判有效期为90天。</w:t>
      </w:r>
    </w:p>
    <w:p>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响应文件</w:t>
      </w:r>
      <w:r>
        <w:rPr>
          <w:rFonts w:hint="eastAsia" w:ascii="仿宋" w:hAnsi="仿宋" w:eastAsia="仿宋" w:cs="仿宋"/>
          <w:color w:val="auto"/>
          <w:sz w:val="24"/>
          <w:highlight w:val="none"/>
        </w:rPr>
        <w:t>中提供的任何资料和技术、服务、商务等响应承诺情况都是真实的、有效的、合法的。</w:t>
      </w:r>
    </w:p>
    <w:p>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.如本项目采购过程中需要提供样品，则我方提供的样品即为成交后将要提供的成交产品，我方对提供样品的性能和质量负责，因样品存在缺陷或者不符合</w:t>
      </w:r>
      <w:r>
        <w:rPr>
          <w:rFonts w:hint="eastAsia" w:ascii="仿宋" w:hAnsi="仿宋" w:eastAsia="仿宋" w:cs="仿宋"/>
          <w:color w:val="auto"/>
          <w:sz w:val="24"/>
          <w:highlight w:val="none"/>
          <w:lang w:eastAsia="zh-CN"/>
        </w:rPr>
        <w:t>谈判文件</w:t>
      </w:r>
      <w:r>
        <w:rPr>
          <w:rFonts w:hint="eastAsia" w:ascii="仿宋" w:hAnsi="仿宋" w:eastAsia="仿宋" w:cs="仿宋"/>
          <w:color w:val="auto"/>
          <w:sz w:val="24"/>
          <w:highlight w:val="none"/>
        </w:rPr>
        <w:t>要求导致未能成交的，我方愿意承担相应不利后果。</w:t>
      </w:r>
    </w:p>
    <w:p>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.国家或行业主管部门对采购产品的技术标准、质量标准和资格资质条件等有强制性规定的，我方承诺符合其要求。</w:t>
      </w:r>
    </w:p>
    <w:p>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.参加本次采购活动，我方完全同意</w:t>
      </w:r>
      <w:r>
        <w:rPr>
          <w:rFonts w:hint="eastAsia" w:ascii="仿宋" w:hAnsi="仿宋" w:eastAsia="仿宋" w:cs="仿宋"/>
          <w:color w:val="auto"/>
          <w:sz w:val="24"/>
          <w:highlight w:val="none"/>
          <w:lang w:eastAsia="zh-CN"/>
        </w:rPr>
        <w:t>谈判文件</w:t>
      </w:r>
      <w:r>
        <w:rPr>
          <w:rFonts w:hint="eastAsia" w:ascii="仿宋" w:hAnsi="仿宋" w:eastAsia="仿宋" w:cs="仿宋"/>
          <w:color w:val="auto"/>
          <w:sz w:val="24"/>
          <w:highlight w:val="none"/>
        </w:rPr>
        <w:t>“合同分包”、“合同转包”的实质性要求，并承诺严格按照</w:t>
      </w:r>
      <w:r>
        <w:rPr>
          <w:rFonts w:hint="eastAsia" w:ascii="仿宋" w:hAnsi="仿宋" w:eastAsia="仿宋" w:cs="仿宋"/>
          <w:color w:val="auto"/>
          <w:sz w:val="24"/>
          <w:highlight w:val="none"/>
          <w:lang w:eastAsia="zh-CN"/>
        </w:rPr>
        <w:t>谈判文件</w:t>
      </w:r>
      <w:r>
        <w:rPr>
          <w:rFonts w:hint="eastAsia" w:ascii="仿宋" w:hAnsi="仿宋" w:eastAsia="仿宋" w:cs="仿宋"/>
          <w:color w:val="auto"/>
          <w:sz w:val="24"/>
          <w:highlight w:val="none"/>
        </w:rPr>
        <w:t>要求履行。</w:t>
      </w:r>
    </w:p>
    <w:p>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仿宋" w:hAnsi="仿宋" w:eastAsia="仿宋" w:cs="仿宋"/>
          <w:color w:val="auto"/>
          <w:sz w:val="24"/>
          <w:highlight w:val="none"/>
          <w:lang w:eastAsia="zh-CN"/>
        </w:rPr>
        <w:t>谈判文件</w:t>
      </w:r>
      <w:r>
        <w:rPr>
          <w:rFonts w:hint="eastAsia" w:ascii="仿宋" w:hAnsi="仿宋" w:eastAsia="仿宋" w:cs="仿宋"/>
          <w:color w:val="auto"/>
          <w:sz w:val="24"/>
          <w:highlight w:val="none"/>
        </w:rPr>
        <w:t>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.我方自愿按照</w:t>
      </w:r>
      <w:r>
        <w:rPr>
          <w:rFonts w:hint="eastAsia" w:ascii="仿宋" w:hAnsi="仿宋" w:eastAsia="仿宋" w:cs="仿宋"/>
          <w:color w:val="auto"/>
          <w:sz w:val="24"/>
          <w:highlight w:val="none"/>
          <w:lang w:eastAsia="zh-CN"/>
        </w:rPr>
        <w:t>谈判文件</w:t>
      </w:r>
      <w:r>
        <w:rPr>
          <w:rFonts w:hint="eastAsia" w:ascii="仿宋" w:hAnsi="仿宋" w:eastAsia="仿宋" w:cs="仿宋"/>
          <w:color w:val="auto"/>
          <w:sz w:val="24"/>
          <w:highlight w:val="none"/>
        </w:rPr>
        <w:t>规定的各项要求向采购人提供所需货物和服务。</w:t>
      </w:r>
    </w:p>
    <w:p>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.一旦我方成交，我方将严格履行采购合同规定的责任和义务。</w:t>
      </w:r>
    </w:p>
    <w:p>
      <w:pPr>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.我方愿意提供贵单位可能另外要求的，与</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rPr>
        <w:t>有关的文件资料，并保证我方已提供和将要提供的文件资料是真实、准确的。</w:t>
      </w:r>
    </w:p>
    <w:p>
      <w:pPr>
        <w:spacing w:line="560" w:lineRule="exact"/>
        <w:ind w:firstLine="482" w:firstLineChars="200"/>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本单位对上述承诺的内容事项真实性负责。如经查实上述承诺的内容事项存在虚假，我单位愿意接受以提供虚假材料谋取成交追究法律责任。</w:t>
      </w:r>
    </w:p>
    <w:p>
      <w:pPr>
        <w:adjustRightInd w:val="0"/>
        <w:spacing w:line="360" w:lineRule="auto"/>
        <w:jc w:val="both"/>
        <w:rPr>
          <w:rFonts w:ascii="仿宋" w:hAnsi="仿宋" w:eastAsia="仿宋" w:cs="仿宋"/>
          <w:bCs/>
          <w:color w:val="auto"/>
          <w:sz w:val="24"/>
          <w:highlight w:val="none"/>
        </w:rPr>
      </w:pPr>
    </w:p>
    <w:p>
      <w:pPr>
        <w:adjustRightInd w:val="0"/>
        <w:spacing w:line="36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名称：        （盖章）</w:t>
      </w:r>
    </w:p>
    <w:p>
      <w:pPr>
        <w:pStyle w:val="7"/>
        <w:jc w:val="left"/>
        <w:rPr>
          <w:rFonts w:ascii="仿宋" w:hAnsi="仿宋" w:eastAsia="仿宋" w:cs="仿宋"/>
          <w:color w:val="auto"/>
          <w:sz w:val="24"/>
          <w:highlight w:val="none"/>
        </w:rPr>
      </w:pPr>
      <w:r>
        <w:rPr>
          <w:rFonts w:hint="eastAsia" w:ascii="仿宋" w:hAnsi="仿宋" w:eastAsia="仿宋" w:cs="仿宋"/>
          <w:bCs/>
          <w:color w:val="auto"/>
          <w:sz w:val="24"/>
          <w:highlight w:val="none"/>
        </w:rPr>
        <w:t>时间：</w:t>
      </w:r>
    </w:p>
    <w:p>
      <w:pPr>
        <w:rPr>
          <w:color w:val="auto"/>
          <w:highlight w:val="none"/>
        </w:rPr>
      </w:pPr>
      <w:bookmarkStart w:id="47" w:name="_Toc17857"/>
      <w:bookmarkStart w:id="48" w:name="_Toc4305"/>
      <w:bookmarkStart w:id="49" w:name="_Toc31838"/>
      <w:bookmarkStart w:id="50" w:name="_Toc30971"/>
      <w:bookmarkStart w:id="51" w:name="_Toc22676"/>
      <w:r>
        <w:rPr>
          <w:rFonts w:hint="eastAsia"/>
          <w:color w:val="auto"/>
          <w:highlight w:val="none"/>
        </w:rPr>
        <w:br w:type="page"/>
      </w:r>
    </w:p>
    <w:p>
      <w:pPr>
        <w:pStyle w:val="3"/>
        <w:bidi w:val="0"/>
        <w:ind w:left="-1" w:leftChars="0" w:firstLine="0" w:firstLineChars="0"/>
        <w:rPr>
          <w:color w:val="auto"/>
          <w:highlight w:val="none"/>
        </w:rPr>
      </w:pPr>
      <w:r>
        <w:rPr>
          <w:rFonts w:hint="eastAsia"/>
          <w:color w:val="auto"/>
          <w:highlight w:val="none"/>
        </w:rPr>
        <w:t>具有独立承担民事责任的能力</w:t>
      </w:r>
      <w:bookmarkEnd w:id="47"/>
      <w:bookmarkEnd w:id="48"/>
      <w:bookmarkEnd w:id="49"/>
      <w:bookmarkEnd w:id="50"/>
      <w:bookmarkEnd w:id="51"/>
    </w:p>
    <w:p>
      <w:pPr>
        <w:pStyle w:val="7"/>
        <w:jc w:val="center"/>
        <w:rPr>
          <w:rFonts w:ascii="仿宋" w:hAnsi="仿宋" w:eastAsia="仿宋" w:cs="仿宋"/>
          <w:b/>
          <w:bCs/>
          <w:color w:val="auto"/>
          <w:highlight w:val="none"/>
        </w:rPr>
      </w:pPr>
    </w:p>
    <w:p>
      <w:pPr>
        <w:bidi w:val="0"/>
        <w:jc w:val="center"/>
        <w:rPr>
          <w:rStyle w:val="29"/>
          <w:rFonts w:ascii="仿宋" w:hAnsi="仿宋" w:eastAsia="仿宋" w:cs="仿宋"/>
          <w:color w:val="auto"/>
          <w:sz w:val="32"/>
          <w:szCs w:val="28"/>
          <w:highlight w:val="none"/>
        </w:rPr>
      </w:pPr>
      <w:r>
        <w:rPr>
          <w:rFonts w:hint="eastAsia" w:ascii="仿宋" w:hAnsi="仿宋" w:eastAsia="仿宋" w:cs="仿宋"/>
          <w:b w:val="0"/>
          <w:bCs w:val="0"/>
          <w:color w:val="auto"/>
          <w:sz w:val="32"/>
          <w:szCs w:val="36"/>
          <w:highlight w:val="none"/>
          <w:lang w:eastAsia="zh-CN"/>
        </w:rPr>
        <w:t>（</w:t>
      </w:r>
      <w:r>
        <w:rPr>
          <w:rFonts w:hint="eastAsia" w:ascii="仿宋" w:hAnsi="仿宋" w:eastAsia="仿宋" w:cs="仿宋"/>
          <w:b w:val="0"/>
          <w:bCs w:val="0"/>
          <w:color w:val="auto"/>
          <w:sz w:val="32"/>
          <w:szCs w:val="36"/>
          <w:highlight w:val="none"/>
          <w:lang w:val="en-US" w:eastAsia="zh-CN"/>
        </w:rPr>
        <w:t>按第三章要求提供</w:t>
      </w:r>
      <w:r>
        <w:rPr>
          <w:rFonts w:hint="eastAsia" w:ascii="仿宋" w:hAnsi="仿宋" w:eastAsia="仿宋" w:cs="仿宋"/>
          <w:b w:val="0"/>
          <w:bCs w:val="0"/>
          <w:color w:val="auto"/>
          <w:sz w:val="32"/>
          <w:szCs w:val="36"/>
          <w:highlight w:val="none"/>
          <w:lang w:eastAsia="zh-CN"/>
        </w:rPr>
        <w:t>）</w:t>
      </w:r>
    </w:p>
    <w:p>
      <w:pPr>
        <w:pStyle w:val="3"/>
        <w:bidi w:val="0"/>
        <w:ind w:left="0" w:leftChars="0" w:firstLine="0" w:firstLineChars="0"/>
        <w:rPr>
          <w:rStyle w:val="29"/>
          <w:rFonts w:ascii="仿宋" w:hAnsi="仿宋" w:eastAsia="仿宋" w:cs="仿宋"/>
          <w:color w:val="auto"/>
          <w:sz w:val="32"/>
          <w:szCs w:val="28"/>
          <w:highlight w:val="none"/>
        </w:rPr>
      </w:pPr>
      <w:r>
        <w:rPr>
          <w:rFonts w:hint="eastAsia" w:ascii="仿宋" w:hAnsi="仿宋" w:eastAsia="仿宋" w:cs="仿宋"/>
          <w:b/>
          <w:bCs/>
          <w:color w:val="auto"/>
          <w:highlight w:val="none"/>
        </w:rPr>
        <w:br w:type="page"/>
      </w:r>
      <w:bookmarkStart w:id="52" w:name="_Toc27186"/>
      <w:bookmarkStart w:id="53" w:name="_Toc15613"/>
      <w:bookmarkStart w:id="54" w:name="_Toc30158"/>
      <w:r>
        <w:rPr>
          <w:rFonts w:hint="eastAsia" w:ascii="Times New Roman" w:hAnsi="Times New Roman" w:eastAsia="仿宋" w:cs="Times New Roman"/>
          <w:b/>
          <w:color w:val="auto"/>
          <w:kern w:val="0"/>
          <w:sz w:val="32"/>
          <w:szCs w:val="20"/>
          <w:highlight w:val="none"/>
        </w:rPr>
        <w:t>具有健全的财务会计制度的证明材料</w:t>
      </w:r>
    </w:p>
    <w:p>
      <w:pPr>
        <w:bidi w:val="0"/>
        <w:jc w:val="center"/>
        <w:rPr>
          <w:color w:val="auto"/>
          <w:highlight w:val="none"/>
        </w:rPr>
      </w:pPr>
      <w:r>
        <w:rPr>
          <w:rFonts w:hint="eastAsia" w:ascii="仿宋" w:hAnsi="仿宋" w:eastAsia="仿宋" w:cs="仿宋"/>
          <w:b w:val="0"/>
          <w:bCs w:val="0"/>
          <w:color w:val="auto"/>
          <w:sz w:val="32"/>
          <w:szCs w:val="36"/>
          <w:highlight w:val="none"/>
          <w:lang w:eastAsia="zh-CN"/>
        </w:rPr>
        <w:t>（</w:t>
      </w:r>
      <w:r>
        <w:rPr>
          <w:rFonts w:hint="eastAsia" w:ascii="仿宋" w:hAnsi="仿宋" w:eastAsia="仿宋" w:cs="仿宋"/>
          <w:b w:val="0"/>
          <w:bCs w:val="0"/>
          <w:color w:val="auto"/>
          <w:sz w:val="32"/>
          <w:szCs w:val="36"/>
          <w:highlight w:val="none"/>
          <w:lang w:val="en-US" w:eastAsia="zh-CN"/>
        </w:rPr>
        <w:t>按第三章要求提供</w:t>
      </w:r>
      <w:r>
        <w:rPr>
          <w:rFonts w:hint="eastAsia" w:ascii="仿宋" w:hAnsi="仿宋" w:eastAsia="仿宋" w:cs="仿宋"/>
          <w:b w:val="0"/>
          <w:bCs w:val="0"/>
          <w:color w:val="auto"/>
          <w:sz w:val="32"/>
          <w:szCs w:val="36"/>
          <w:highlight w:val="none"/>
          <w:lang w:eastAsia="zh-CN"/>
        </w:rPr>
        <w:t>）</w:t>
      </w:r>
      <w:r>
        <w:rPr>
          <w:rFonts w:hint="eastAsia"/>
          <w:color w:val="auto"/>
          <w:highlight w:val="none"/>
        </w:rPr>
        <w:br w:type="page"/>
      </w:r>
      <w:bookmarkEnd w:id="52"/>
      <w:bookmarkEnd w:id="53"/>
      <w:bookmarkStart w:id="55" w:name="_Toc13706"/>
      <w:bookmarkStart w:id="56" w:name="_Toc25357"/>
      <w:bookmarkStart w:id="57" w:name="_Toc13904"/>
    </w:p>
    <w:p>
      <w:pPr>
        <w:pStyle w:val="3"/>
        <w:bidi w:val="0"/>
        <w:ind w:left="0" w:leftChars="0" w:firstLine="0" w:firstLineChars="0"/>
        <w:rPr>
          <w:color w:val="auto"/>
          <w:highlight w:val="none"/>
        </w:rPr>
      </w:pPr>
      <w:bookmarkStart w:id="58" w:name="_Toc15508"/>
      <w:bookmarkStart w:id="59" w:name="_Toc23146"/>
      <w:r>
        <w:rPr>
          <w:rFonts w:hint="eastAsia"/>
          <w:color w:val="auto"/>
          <w:highlight w:val="none"/>
        </w:rPr>
        <w:t>本项目</w:t>
      </w:r>
      <w:r>
        <w:rPr>
          <w:rFonts w:hint="eastAsia"/>
          <w:color w:val="auto"/>
          <w:highlight w:val="none"/>
          <w:lang w:eastAsia="zh-CN"/>
        </w:rPr>
        <w:t>其他</w:t>
      </w:r>
      <w:r>
        <w:rPr>
          <w:rFonts w:hint="eastAsia"/>
          <w:color w:val="auto"/>
          <w:highlight w:val="none"/>
        </w:rPr>
        <w:t>资格条件提供的证明材料</w:t>
      </w:r>
      <w:bookmarkEnd w:id="54"/>
      <w:bookmarkEnd w:id="55"/>
      <w:bookmarkEnd w:id="56"/>
      <w:bookmarkEnd w:id="57"/>
      <w:bookmarkEnd w:id="58"/>
      <w:bookmarkEnd w:id="59"/>
    </w:p>
    <w:p>
      <w:pPr>
        <w:pStyle w:val="7"/>
        <w:rPr>
          <w:rFonts w:ascii="仿宋" w:hAnsi="仿宋" w:eastAsia="仿宋" w:cs="仿宋"/>
          <w:color w:val="auto"/>
          <w:highlight w:val="none"/>
        </w:rPr>
      </w:pPr>
    </w:p>
    <w:p>
      <w:pPr>
        <w:bidi w:val="0"/>
        <w:jc w:val="center"/>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b w:val="0"/>
          <w:bCs w:val="0"/>
          <w:color w:val="auto"/>
          <w:sz w:val="32"/>
          <w:szCs w:val="36"/>
          <w:highlight w:val="none"/>
          <w:lang w:val="en-US" w:eastAsia="zh-CN"/>
        </w:rPr>
        <w:t>按第三章要求提供</w:t>
      </w:r>
      <w:r>
        <w:rPr>
          <w:rFonts w:hint="eastAsia" w:ascii="仿宋" w:hAnsi="仿宋" w:eastAsia="仿宋" w:cs="仿宋"/>
          <w:color w:val="auto"/>
          <w:highlight w:val="none"/>
        </w:rPr>
        <w:t>)</w:t>
      </w:r>
    </w:p>
    <w:p>
      <w:pPr>
        <w:pStyle w:val="28"/>
        <w:ind w:left="420" w:leftChars="200"/>
        <w:jc w:val="both"/>
        <w:rPr>
          <w:rFonts w:ascii="仿宋" w:hAnsi="仿宋" w:eastAsia="仿宋" w:cs="仿宋"/>
          <w:color w:val="auto"/>
          <w:highlight w:val="none"/>
        </w:rPr>
      </w:pPr>
    </w:p>
    <w:p>
      <w:pPr>
        <w:pStyle w:val="28"/>
        <w:jc w:val="both"/>
        <w:rPr>
          <w:rFonts w:ascii="仿宋" w:hAnsi="仿宋" w:eastAsia="仿宋" w:cs="仿宋"/>
          <w:iCs/>
          <w:color w:val="auto"/>
          <w:highlight w:val="none"/>
        </w:rPr>
      </w:pPr>
      <w:r>
        <w:rPr>
          <w:rFonts w:hint="eastAsia" w:ascii="仿宋" w:hAnsi="仿宋" w:eastAsia="仿宋" w:cs="仿宋"/>
          <w:iCs/>
          <w:color w:val="auto"/>
          <w:highlight w:val="none"/>
        </w:rPr>
        <w:t>（若未涉及，填“无”即可）</w:t>
      </w:r>
    </w:p>
    <w:p>
      <w:pPr>
        <w:pStyle w:val="3"/>
        <w:bidi w:val="0"/>
        <w:ind w:left="0" w:leftChars="0" w:firstLine="0" w:firstLineChars="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bookmarkStart w:id="60" w:name="_Toc25638"/>
      <w:bookmarkStart w:id="61" w:name="_Toc27661"/>
      <w:bookmarkStart w:id="62" w:name="_Toc12015"/>
      <w:bookmarkStart w:id="63" w:name="_Toc11351"/>
      <w:bookmarkStart w:id="64" w:name="_Toc15526"/>
      <w:bookmarkStart w:id="65" w:name="_Toc20589"/>
      <w:r>
        <w:rPr>
          <w:rStyle w:val="37"/>
          <w:rFonts w:hint="eastAsia"/>
          <w:b/>
          <w:color w:val="auto"/>
          <w:highlight w:val="none"/>
        </w:rPr>
        <w:t>法定代表人身份证明书</w:t>
      </w:r>
      <w:bookmarkEnd w:id="60"/>
      <w:bookmarkEnd w:id="61"/>
      <w:bookmarkEnd w:id="62"/>
      <w:bookmarkEnd w:id="63"/>
      <w:bookmarkEnd w:id="64"/>
      <w:bookmarkEnd w:id="65"/>
    </w:p>
    <w:p>
      <w:pPr>
        <w:pStyle w:val="28"/>
        <w:jc w:val="center"/>
        <w:rPr>
          <w:rFonts w:ascii="仿宋" w:hAnsi="仿宋" w:eastAsia="仿宋" w:cs="仿宋"/>
          <w:color w:val="auto"/>
          <w:highlight w:val="none"/>
        </w:rPr>
      </w:pPr>
    </w:p>
    <w:p>
      <w:pPr>
        <w:pStyle w:val="28"/>
        <w:jc w:val="center"/>
        <w:rPr>
          <w:rFonts w:ascii="仿宋" w:hAnsi="仿宋" w:eastAsia="仿宋" w:cs="仿宋"/>
          <w:b/>
          <w:bCs/>
          <w:color w:val="auto"/>
          <w:highlight w:val="none"/>
        </w:rPr>
      </w:pPr>
      <w:r>
        <w:rPr>
          <w:rFonts w:hint="eastAsia" w:ascii="仿宋" w:hAnsi="仿宋" w:eastAsia="仿宋" w:cs="仿宋"/>
          <w:b/>
          <w:bCs/>
          <w:color w:val="auto"/>
          <w:highlight w:val="none"/>
        </w:rPr>
        <w:t>（若为法定代表人/单位负责人参与则提供此页）</w:t>
      </w:r>
    </w:p>
    <w:p>
      <w:pPr>
        <w:pStyle w:val="28"/>
        <w:jc w:val="center"/>
        <w:rPr>
          <w:rFonts w:ascii="仿宋" w:hAnsi="仿宋" w:eastAsia="仿宋" w:cs="仿宋"/>
          <w:color w:val="auto"/>
          <w:highlight w:val="none"/>
        </w:rPr>
      </w:pPr>
    </w:p>
    <w:p>
      <w:pPr>
        <w:pStyle w:val="28"/>
        <w:jc w:val="center"/>
        <w:rPr>
          <w:rFonts w:ascii="仿宋" w:hAnsi="仿宋" w:eastAsia="仿宋" w:cs="仿宋"/>
          <w:color w:val="auto"/>
          <w:highlight w:val="none"/>
        </w:rPr>
      </w:pPr>
    </w:p>
    <w:p>
      <w:pPr>
        <w:pStyle w:val="28"/>
        <w:ind w:firstLine="480" w:firstLineChars="200"/>
        <w:rPr>
          <w:rFonts w:ascii="仿宋" w:hAnsi="仿宋" w:eastAsia="仿宋" w:cs="仿宋"/>
          <w:color w:val="auto"/>
          <w:highlight w:val="none"/>
        </w:rPr>
      </w:pPr>
      <w:r>
        <w:rPr>
          <w:rFonts w:hint="eastAsia" w:ascii="仿宋" w:hAnsi="仿宋" w:eastAsia="仿宋" w:cs="仿宋"/>
          <w:color w:val="auto"/>
          <w:highlight w:val="none"/>
        </w:rPr>
        <w:t>________(姓名）系___________________（</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名称）的法定代表人/单位负责人（职务：_____________,电话：_________________）。</w:t>
      </w:r>
    </w:p>
    <w:p>
      <w:pPr>
        <w:pStyle w:val="28"/>
        <w:rPr>
          <w:rFonts w:ascii="仿宋" w:hAnsi="仿宋" w:eastAsia="仿宋" w:cs="仿宋"/>
          <w:color w:val="auto"/>
          <w:highlight w:val="none"/>
        </w:rPr>
      </w:pPr>
      <w:r>
        <w:rPr>
          <w:rFonts w:hint="eastAsia" w:ascii="仿宋" w:hAnsi="仿宋" w:eastAsia="仿宋" w:cs="仿宋"/>
          <w:color w:val="auto"/>
          <w:highlight w:val="none"/>
        </w:rPr>
        <w:t>特此证明。</w:t>
      </w:r>
    </w:p>
    <w:p>
      <w:pPr>
        <w:pStyle w:val="28"/>
        <w:jc w:val="both"/>
        <w:rPr>
          <w:rFonts w:ascii="仿宋" w:hAnsi="仿宋" w:eastAsia="仿宋" w:cs="仿宋"/>
          <w:color w:val="auto"/>
          <w:highlight w:val="none"/>
        </w:rPr>
      </w:pPr>
    </w:p>
    <w:p>
      <w:pPr>
        <w:pStyle w:val="28"/>
        <w:jc w:val="both"/>
        <w:rPr>
          <w:rFonts w:ascii="仿宋" w:hAnsi="仿宋" w:eastAsia="仿宋" w:cs="仿宋"/>
          <w:color w:val="auto"/>
          <w:highlight w:val="none"/>
        </w:rPr>
      </w:pPr>
    </w:p>
    <w:p>
      <w:pPr>
        <w:adjustRightInd w:val="0"/>
        <w:spacing w:line="36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名称：        （盖章）</w:t>
      </w:r>
    </w:p>
    <w:p>
      <w:pPr>
        <w:pStyle w:val="7"/>
        <w:jc w:val="left"/>
        <w:rPr>
          <w:rFonts w:ascii="仿宋" w:hAnsi="仿宋" w:eastAsia="仿宋" w:cs="仿宋"/>
          <w:color w:val="auto"/>
          <w:sz w:val="24"/>
          <w:highlight w:val="none"/>
        </w:rPr>
      </w:pPr>
      <w:r>
        <w:rPr>
          <w:rFonts w:hint="eastAsia" w:ascii="仿宋" w:hAnsi="仿宋" w:eastAsia="仿宋" w:cs="仿宋"/>
          <w:bCs/>
          <w:color w:val="auto"/>
          <w:sz w:val="24"/>
          <w:highlight w:val="none"/>
        </w:rPr>
        <w:t>时间：</w:t>
      </w:r>
    </w:p>
    <w:p>
      <w:pPr>
        <w:pStyle w:val="28"/>
        <w:jc w:val="center"/>
        <w:rPr>
          <w:rFonts w:ascii="仿宋" w:hAnsi="仿宋" w:eastAsia="仿宋" w:cs="仿宋"/>
          <w:color w:val="auto"/>
          <w:highlight w:val="none"/>
        </w:rPr>
      </w:pPr>
    </w:p>
    <w:p>
      <w:pPr>
        <w:pStyle w:val="28"/>
        <w:jc w:val="center"/>
        <w:rPr>
          <w:rFonts w:ascii="仿宋" w:hAnsi="仿宋" w:eastAsia="仿宋" w:cs="仿宋"/>
          <w:color w:val="auto"/>
          <w:highlight w:val="none"/>
        </w:rPr>
      </w:pPr>
    </w:p>
    <w:p>
      <w:pPr>
        <w:pStyle w:val="28"/>
        <w:rPr>
          <w:rFonts w:ascii="仿宋" w:hAnsi="仿宋" w:eastAsia="仿宋" w:cs="仿宋"/>
          <w:color w:val="auto"/>
          <w:highlight w:val="none"/>
        </w:rPr>
      </w:pPr>
      <w:r>
        <w:rPr>
          <w:rFonts w:hint="eastAsia" w:ascii="仿宋" w:hAnsi="仿宋" w:eastAsia="仿宋" w:cs="仿宋"/>
          <w:color w:val="auto"/>
          <w:highlight w:val="none"/>
        </w:rPr>
        <w:t>注：</w:t>
      </w:r>
    </w:p>
    <w:p>
      <w:pPr>
        <w:pStyle w:val="28"/>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为自然人时提供“自然人身份证明材料”。</w:t>
      </w:r>
    </w:p>
    <w:p>
      <w:pPr>
        <w:pStyle w:val="28"/>
        <w:rPr>
          <w:rFonts w:ascii="仿宋" w:hAnsi="仿宋" w:eastAsia="仿宋" w:cs="仿宋"/>
          <w:color w:val="auto"/>
          <w:highlight w:val="none"/>
        </w:rPr>
      </w:pPr>
      <w:r>
        <w:rPr>
          <w:rFonts w:hint="eastAsia" w:ascii="仿宋" w:hAnsi="仿宋" w:eastAsia="仿宋" w:cs="仿宋"/>
          <w:color w:val="auto"/>
          <w:highlight w:val="none"/>
        </w:rPr>
        <w:t>2.应附法定代表人/单位负责人身份证明材料复印件（提供其在有效期的材料，如居民身份证正、反面复印件）。</w:t>
      </w:r>
    </w:p>
    <w:p>
      <w:pPr>
        <w:pStyle w:val="28"/>
        <w:rPr>
          <w:rFonts w:ascii="仿宋" w:hAnsi="仿宋" w:eastAsia="仿宋" w:cs="仿宋"/>
          <w:color w:val="auto"/>
          <w:highlight w:val="none"/>
        </w:rPr>
      </w:pPr>
      <w:r>
        <w:rPr>
          <w:rFonts w:hint="eastAsia" w:ascii="仿宋" w:hAnsi="仿宋" w:eastAsia="仿宋" w:cs="仿宋"/>
          <w:color w:val="auto"/>
          <w:highlight w:val="none"/>
        </w:rPr>
        <w:t>3.身份证明材料包括居民身份证或户口本或军官证或护照等。</w:t>
      </w:r>
    </w:p>
    <w:p>
      <w:pPr>
        <w:pStyle w:val="28"/>
        <w:jc w:val="both"/>
        <w:rPr>
          <w:rFonts w:ascii="仿宋" w:hAnsi="仿宋" w:eastAsia="仿宋" w:cs="仿宋"/>
          <w:color w:val="auto"/>
          <w:sz w:val="32"/>
          <w:szCs w:val="32"/>
          <w:highlight w:val="none"/>
        </w:rPr>
      </w:pPr>
    </w:p>
    <w:p>
      <w:pPr>
        <w:pStyle w:val="28"/>
        <w:jc w:val="center"/>
        <w:rPr>
          <w:rFonts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r>
      <w:r>
        <w:rPr>
          <w:rStyle w:val="29"/>
          <w:rFonts w:hint="eastAsia" w:ascii="仿宋" w:hAnsi="仿宋" w:eastAsia="仿宋" w:cs="仿宋"/>
          <w:b/>
          <w:bCs/>
          <w:color w:val="auto"/>
          <w:kern w:val="2"/>
          <w:sz w:val="32"/>
          <w:szCs w:val="28"/>
          <w:highlight w:val="none"/>
        </w:rPr>
        <w:t>法定代表人授权委托书</w:t>
      </w:r>
    </w:p>
    <w:p>
      <w:pPr>
        <w:pStyle w:val="28"/>
        <w:jc w:val="center"/>
        <w:rPr>
          <w:rFonts w:ascii="仿宋" w:hAnsi="仿宋" w:eastAsia="仿宋" w:cs="仿宋"/>
          <w:b/>
          <w:bCs/>
          <w:color w:val="auto"/>
          <w:highlight w:val="none"/>
        </w:rPr>
      </w:pPr>
    </w:p>
    <w:p>
      <w:pPr>
        <w:pStyle w:val="28"/>
        <w:jc w:val="center"/>
        <w:rPr>
          <w:rFonts w:ascii="仿宋" w:hAnsi="仿宋" w:eastAsia="仿宋" w:cs="仿宋"/>
          <w:b/>
          <w:bCs/>
          <w:color w:val="auto"/>
          <w:highlight w:val="none"/>
        </w:rPr>
      </w:pPr>
      <w:r>
        <w:rPr>
          <w:rFonts w:hint="eastAsia" w:ascii="仿宋" w:hAnsi="仿宋" w:eastAsia="仿宋" w:cs="仿宋"/>
          <w:b/>
          <w:bCs/>
          <w:color w:val="auto"/>
          <w:highlight w:val="none"/>
        </w:rPr>
        <w:t>（若委托授权代表参与则提供此页）</w:t>
      </w:r>
    </w:p>
    <w:p>
      <w:pPr>
        <w:pStyle w:val="28"/>
        <w:jc w:val="center"/>
        <w:rPr>
          <w:rFonts w:ascii="仿宋" w:hAnsi="仿宋" w:eastAsia="仿宋" w:cs="仿宋"/>
          <w:color w:val="auto"/>
          <w:highlight w:val="none"/>
        </w:rPr>
      </w:pPr>
    </w:p>
    <w:p>
      <w:pPr>
        <w:pStyle w:val="7"/>
        <w:snapToGrid w:val="0"/>
        <w:spacing w:after="0" w:line="500" w:lineRule="exact"/>
        <w:ind w:firstLine="480" w:firstLineChars="200"/>
        <w:rPr>
          <w:rFonts w:ascii="仿宋" w:hAnsi="仿宋" w:eastAsia="仿宋" w:cs="仿宋"/>
          <w:color w:val="auto"/>
          <w:sz w:val="24"/>
          <w:highlight w:val="none"/>
        </w:rPr>
      </w:pPr>
    </w:p>
    <w:p>
      <w:pPr>
        <w:pStyle w:val="7"/>
        <w:snapToGrid w:val="0"/>
        <w:spacing w:after="0" w:line="50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本授权委托书声明：我 </w:t>
      </w:r>
      <w:r>
        <w:rPr>
          <w:rFonts w:hint="eastAsia" w:ascii="仿宋" w:hAnsi="仿宋" w:eastAsia="仿宋" w:cs="仿宋"/>
          <w:color w:val="auto"/>
          <w:sz w:val="24"/>
          <w:highlight w:val="none"/>
          <w:u w:val="single"/>
        </w:rPr>
        <w:t xml:space="preserve">（姓名） </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供应商</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 xml:space="preserve"> 的法定代表人，现授权</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为我</w:t>
      </w:r>
      <w:r>
        <w:rPr>
          <w:rFonts w:hint="eastAsia" w:ascii="仿宋" w:hAnsi="仿宋" w:eastAsia="仿宋" w:cs="仿宋"/>
          <w:color w:val="auto"/>
          <w:sz w:val="24"/>
          <w:highlight w:val="none"/>
          <w:lang w:val="en-US" w:eastAsia="zh-CN"/>
        </w:rPr>
        <w:t>公司的</w:t>
      </w:r>
      <w:r>
        <w:rPr>
          <w:rFonts w:hint="eastAsia" w:ascii="仿宋" w:hAnsi="仿宋" w:eastAsia="仿宋" w:cs="仿宋"/>
          <w:color w:val="auto"/>
          <w:sz w:val="24"/>
          <w:highlight w:val="none"/>
        </w:rPr>
        <w:t>委托代理人，以本单位的名义参加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项目名称</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t>项目的</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活动。委托代理人在</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活动和评</w:t>
      </w:r>
      <w:r>
        <w:rPr>
          <w:rFonts w:hint="eastAsia" w:ascii="仿宋" w:hAnsi="仿宋" w:eastAsia="仿宋" w:cs="仿宋"/>
          <w:color w:val="auto"/>
          <w:sz w:val="24"/>
          <w:highlight w:val="none"/>
          <w:lang w:val="en-US" w:eastAsia="zh-CN"/>
        </w:rPr>
        <w:t>审</w:t>
      </w:r>
      <w:r>
        <w:rPr>
          <w:rFonts w:hint="eastAsia" w:ascii="仿宋" w:hAnsi="仿宋" w:eastAsia="仿宋" w:cs="仿宋"/>
          <w:color w:val="auto"/>
          <w:sz w:val="24"/>
          <w:highlight w:val="none"/>
        </w:rPr>
        <w:t>、谈判以及合同签订过程中所签署的一切文件和处理与之有关的一切事务，我及我公司均予以承认，并全部承担其产生的所有权利和义务。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委托代理人无转委托权。特此委托。</w:t>
      </w:r>
    </w:p>
    <w:p>
      <w:pPr>
        <w:snapToGrid w:val="0"/>
        <w:spacing w:line="560" w:lineRule="exact"/>
        <w:ind w:firstLine="480" w:firstLineChars="200"/>
        <w:rPr>
          <w:rFonts w:ascii="仿宋" w:hAnsi="仿宋" w:eastAsia="仿宋" w:cs="仿宋"/>
          <w:color w:val="auto"/>
          <w:sz w:val="24"/>
          <w:highlight w:val="none"/>
        </w:rPr>
      </w:pPr>
    </w:p>
    <w:p>
      <w:pPr>
        <w:snapToGrid w:val="0"/>
        <w:spacing w:line="560" w:lineRule="exact"/>
        <w:ind w:firstLine="480" w:firstLineChars="200"/>
        <w:rPr>
          <w:rFonts w:ascii="仿宋" w:hAnsi="仿宋" w:eastAsia="仿宋" w:cs="仿宋"/>
          <w:color w:val="auto"/>
          <w:sz w:val="24"/>
          <w:highlight w:val="none"/>
        </w:rPr>
      </w:pPr>
    </w:p>
    <w:p>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授权人(法定代表人):    （签字）         </w:t>
      </w:r>
    </w:p>
    <w:p>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委托代理人： （签字）                   </w:t>
      </w:r>
    </w:p>
    <w:p>
      <w:pPr>
        <w:snapToGrid w:val="0"/>
        <w:spacing w:line="560" w:lineRule="exact"/>
        <w:rPr>
          <w:rFonts w:ascii="仿宋" w:hAnsi="仿宋" w:eastAsia="仿宋" w:cs="仿宋"/>
          <w:color w:val="auto"/>
          <w:sz w:val="24"/>
          <w:highlight w:val="none"/>
        </w:rPr>
      </w:pPr>
    </w:p>
    <w:p>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        （盖章）</w:t>
      </w:r>
    </w:p>
    <w:p>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时间：</w:t>
      </w:r>
    </w:p>
    <w:p>
      <w:pPr>
        <w:pStyle w:val="7"/>
        <w:rPr>
          <w:rFonts w:ascii="仿宋" w:hAnsi="仿宋" w:eastAsia="仿宋" w:cs="仿宋"/>
          <w:color w:val="auto"/>
          <w:sz w:val="24"/>
          <w:highlight w:val="none"/>
        </w:rPr>
      </w:pPr>
      <w:r>
        <w:rPr>
          <w:rFonts w:hint="eastAsia" w:ascii="仿宋" w:hAnsi="仿宋" w:eastAsia="仿宋" w:cs="仿宋"/>
          <w:color w:val="auto"/>
          <w:highlight w:val="none"/>
        </w:rPr>
        <w:cr/>
      </w:r>
      <w:r>
        <w:rPr>
          <w:rFonts w:hint="eastAsia" w:ascii="仿宋" w:hAnsi="仿宋" w:eastAsia="仿宋" w:cs="仿宋"/>
          <w:color w:val="auto"/>
          <w:sz w:val="24"/>
          <w:highlight w:val="none"/>
        </w:rPr>
        <w:t>注：</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t>1.应附法定代表人/单位负责人和委托代理人的身份证明材料复印件（提供其在有效期的材料，如居民身份证正、反面复印件）。</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t>2.身份证明材料包括居民身份证或户口本或军官证或护照等。</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cr/>
      </w:r>
    </w:p>
    <w:p>
      <w:pPr>
        <w:pStyle w:val="3"/>
        <w:bidi w:val="0"/>
        <w:ind w:left="0" w:leftChars="0" w:firstLine="0" w:firstLineChars="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bookmarkStart w:id="66" w:name="_Toc2041"/>
      <w:bookmarkStart w:id="67" w:name="_Toc23967"/>
      <w:bookmarkStart w:id="68" w:name="_Toc12967"/>
      <w:bookmarkStart w:id="69" w:name="_Toc26969"/>
      <w:bookmarkStart w:id="70" w:name="_Toc16435"/>
      <w:bookmarkStart w:id="71" w:name="_Toc1074"/>
      <w:r>
        <w:rPr>
          <w:rStyle w:val="37"/>
          <w:rFonts w:hint="eastAsia"/>
          <w:b/>
          <w:color w:val="auto"/>
          <w:highlight w:val="none"/>
        </w:rPr>
        <w:t>采购需求偏离表</w:t>
      </w:r>
      <w:bookmarkEnd w:id="66"/>
      <w:bookmarkEnd w:id="67"/>
      <w:bookmarkEnd w:id="68"/>
      <w:bookmarkEnd w:id="69"/>
      <w:bookmarkEnd w:id="70"/>
      <w:bookmarkEnd w:id="71"/>
    </w:p>
    <w:p>
      <w:pPr>
        <w:pStyle w:val="7"/>
        <w:spacing w:line="300" w:lineRule="atLeast"/>
        <w:rPr>
          <w:rFonts w:ascii="仿宋" w:hAnsi="仿宋" w:eastAsia="仿宋" w:cs="仿宋"/>
          <w:color w:val="auto"/>
          <w:kern w:val="0"/>
          <w:sz w:val="24"/>
          <w:highlight w:val="none"/>
          <w:lang w:val="zh-TW" w:eastAsia="zh-TW"/>
        </w:rPr>
      </w:pPr>
    </w:p>
    <w:tbl>
      <w:tblPr>
        <w:tblStyle w:val="17"/>
        <w:tblW w:w="9171"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1030" w:hRule="atLeast"/>
          <w:jc w:val="center"/>
        </w:trPr>
        <w:tc>
          <w:tcPr>
            <w:tcW w:w="1135" w:type="dxa"/>
            <w:tcBorders>
              <w:tl2br w:val="nil"/>
              <w:tr2bl w:val="nil"/>
            </w:tcBorders>
            <w:shd w:val="clear" w:color="auto" w:fill="auto"/>
            <w:tcMar>
              <w:top w:w="80" w:type="dxa"/>
              <w:left w:w="80" w:type="dxa"/>
              <w:bottom w:w="80" w:type="dxa"/>
              <w:right w:w="80" w:type="dxa"/>
            </w:tcMar>
            <w:vAlign w:val="center"/>
          </w:tcPr>
          <w:p>
            <w:pPr>
              <w:widowControl/>
              <w:jc w:val="center"/>
              <w:rPr>
                <w:rFonts w:ascii="仿宋" w:hAnsi="仿宋" w:eastAsia="仿宋" w:cs="仿宋"/>
                <w:b/>
                <w:color w:val="auto"/>
                <w:kern w:val="0"/>
                <w:sz w:val="24"/>
                <w:highlight w:val="none"/>
                <w:shd w:val="clear" w:color="auto" w:fill="auto"/>
              </w:rPr>
            </w:pPr>
            <w:r>
              <w:rPr>
                <w:rFonts w:hint="eastAsia" w:ascii="仿宋" w:hAnsi="仿宋" w:eastAsia="仿宋" w:cs="仿宋"/>
                <w:b/>
                <w:color w:val="auto"/>
                <w:kern w:val="0"/>
                <w:sz w:val="24"/>
                <w:highlight w:val="none"/>
                <w:shd w:val="clear" w:color="auto" w:fill="auto"/>
                <w:lang w:val="zh-TW" w:eastAsia="zh-TW"/>
              </w:rPr>
              <w:t>序号</w:t>
            </w:r>
          </w:p>
        </w:tc>
        <w:tc>
          <w:tcPr>
            <w:tcW w:w="2144" w:type="dxa"/>
            <w:tcBorders>
              <w:tl2br w:val="nil"/>
              <w:tr2bl w:val="nil"/>
            </w:tcBorders>
            <w:shd w:val="clear" w:color="auto" w:fill="auto"/>
            <w:tcMar>
              <w:top w:w="80" w:type="dxa"/>
              <w:left w:w="80" w:type="dxa"/>
              <w:bottom w:w="80" w:type="dxa"/>
              <w:right w:w="80" w:type="dxa"/>
            </w:tcMar>
            <w:vAlign w:val="center"/>
          </w:tcPr>
          <w:p>
            <w:pPr>
              <w:widowControl/>
              <w:jc w:val="center"/>
              <w:rPr>
                <w:rFonts w:ascii="仿宋" w:hAnsi="仿宋" w:eastAsia="仿宋" w:cs="仿宋"/>
                <w:b/>
                <w:color w:val="auto"/>
                <w:sz w:val="24"/>
                <w:highlight w:val="none"/>
                <w:shd w:val="clear" w:color="auto" w:fill="auto"/>
              </w:rPr>
            </w:pPr>
            <w:r>
              <w:rPr>
                <w:rFonts w:hint="eastAsia" w:ascii="仿宋" w:hAnsi="仿宋" w:eastAsia="仿宋" w:cs="仿宋"/>
                <w:b/>
                <w:color w:val="auto"/>
                <w:kern w:val="0"/>
                <w:sz w:val="24"/>
                <w:highlight w:val="none"/>
                <w:shd w:val="clear" w:color="auto" w:fill="auto"/>
                <w:lang w:val="zh-TW" w:eastAsia="zh-TW"/>
              </w:rPr>
              <w:t>采购</w:t>
            </w:r>
            <w:r>
              <w:rPr>
                <w:rFonts w:hint="eastAsia" w:ascii="仿宋" w:hAnsi="仿宋" w:eastAsia="仿宋" w:cs="仿宋"/>
                <w:b/>
                <w:color w:val="auto"/>
                <w:kern w:val="0"/>
                <w:sz w:val="24"/>
                <w:highlight w:val="none"/>
                <w:shd w:val="clear" w:color="auto" w:fill="auto"/>
                <w:lang w:val="zh-TW"/>
              </w:rPr>
              <w:t>需求的</w:t>
            </w:r>
            <w:r>
              <w:rPr>
                <w:rFonts w:hint="eastAsia" w:ascii="仿宋" w:hAnsi="仿宋" w:eastAsia="仿宋" w:cs="仿宋"/>
                <w:b/>
                <w:color w:val="auto"/>
                <w:kern w:val="0"/>
                <w:sz w:val="24"/>
                <w:highlight w:val="none"/>
                <w:shd w:val="clear" w:color="auto" w:fill="auto"/>
                <w:lang w:val="zh-TW" w:eastAsia="zh-TW"/>
              </w:rPr>
              <w:t>要求</w:t>
            </w:r>
          </w:p>
        </w:tc>
        <w:tc>
          <w:tcPr>
            <w:tcW w:w="2655" w:type="dxa"/>
            <w:tcBorders>
              <w:tl2br w:val="nil"/>
              <w:tr2bl w:val="nil"/>
            </w:tcBorders>
            <w:shd w:val="clear" w:color="auto" w:fill="auto"/>
            <w:tcMar>
              <w:top w:w="80" w:type="dxa"/>
              <w:left w:w="80" w:type="dxa"/>
              <w:bottom w:w="80" w:type="dxa"/>
              <w:right w:w="80" w:type="dxa"/>
            </w:tcMar>
            <w:vAlign w:val="center"/>
          </w:tcPr>
          <w:p>
            <w:pPr>
              <w:widowControl/>
              <w:jc w:val="center"/>
              <w:rPr>
                <w:rFonts w:ascii="仿宋" w:hAnsi="仿宋" w:eastAsia="仿宋" w:cs="仿宋"/>
                <w:b/>
                <w:color w:val="auto"/>
                <w:sz w:val="24"/>
                <w:highlight w:val="none"/>
                <w:shd w:val="clear" w:color="auto" w:fill="auto"/>
              </w:rPr>
            </w:pPr>
            <w:r>
              <w:rPr>
                <w:rFonts w:hint="eastAsia" w:ascii="仿宋" w:hAnsi="仿宋" w:eastAsia="仿宋" w:cs="仿宋"/>
                <w:b/>
                <w:color w:val="auto"/>
                <w:kern w:val="0"/>
                <w:sz w:val="24"/>
                <w:highlight w:val="none"/>
                <w:shd w:val="clear" w:color="auto" w:fill="auto"/>
                <w:lang w:eastAsia="zh-CN"/>
              </w:rPr>
              <w:t>响应文件</w:t>
            </w:r>
            <w:r>
              <w:rPr>
                <w:rFonts w:hint="eastAsia" w:ascii="仿宋" w:hAnsi="仿宋" w:eastAsia="仿宋" w:cs="仿宋"/>
                <w:b/>
                <w:color w:val="auto"/>
                <w:kern w:val="0"/>
                <w:sz w:val="24"/>
                <w:highlight w:val="none"/>
                <w:shd w:val="clear" w:color="auto" w:fill="auto"/>
                <w:lang w:val="zh-TW" w:eastAsia="zh-TW"/>
              </w:rPr>
              <w:t>响应情况</w:t>
            </w:r>
          </w:p>
        </w:tc>
        <w:tc>
          <w:tcPr>
            <w:tcW w:w="1154" w:type="dxa"/>
            <w:tcBorders>
              <w:tl2br w:val="nil"/>
              <w:tr2bl w:val="nil"/>
            </w:tcBorders>
            <w:shd w:val="clear" w:color="auto" w:fill="auto"/>
            <w:tcMar>
              <w:top w:w="80" w:type="dxa"/>
              <w:left w:w="80" w:type="dxa"/>
              <w:bottom w:w="80" w:type="dxa"/>
              <w:right w:w="80" w:type="dxa"/>
            </w:tcMar>
            <w:vAlign w:val="center"/>
          </w:tcPr>
          <w:p>
            <w:pPr>
              <w:widowControl/>
              <w:jc w:val="center"/>
              <w:rPr>
                <w:rFonts w:ascii="仿宋" w:hAnsi="仿宋" w:eastAsia="仿宋" w:cs="仿宋"/>
                <w:b/>
                <w:color w:val="auto"/>
                <w:sz w:val="24"/>
                <w:highlight w:val="none"/>
                <w:shd w:val="clear" w:color="auto" w:fill="auto"/>
              </w:rPr>
            </w:pPr>
            <w:r>
              <w:rPr>
                <w:rFonts w:hint="eastAsia" w:ascii="仿宋" w:hAnsi="仿宋" w:eastAsia="仿宋" w:cs="仿宋"/>
                <w:b/>
                <w:color w:val="auto"/>
                <w:sz w:val="24"/>
                <w:highlight w:val="none"/>
                <w:shd w:val="clear" w:color="auto" w:fill="auto"/>
                <w:lang w:val="zh-TW" w:eastAsia="zh-TW"/>
              </w:rPr>
              <w:t>偏离情况</w:t>
            </w:r>
          </w:p>
        </w:tc>
        <w:tc>
          <w:tcPr>
            <w:tcW w:w="2083" w:type="dxa"/>
            <w:tcBorders>
              <w:tl2br w:val="nil"/>
              <w:tr2bl w:val="nil"/>
            </w:tcBorders>
            <w:shd w:val="clear" w:color="auto" w:fill="auto"/>
            <w:tcMar>
              <w:top w:w="80" w:type="dxa"/>
              <w:left w:w="80" w:type="dxa"/>
              <w:bottom w:w="80" w:type="dxa"/>
              <w:right w:w="80" w:type="dxa"/>
            </w:tcMar>
            <w:vAlign w:val="center"/>
          </w:tcPr>
          <w:p>
            <w:pPr>
              <w:jc w:val="center"/>
              <w:rPr>
                <w:rFonts w:ascii="仿宋" w:hAnsi="仿宋" w:eastAsia="仿宋" w:cs="仿宋"/>
                <w:b/>
                <w:color w:val="auto"/>
                <w:sz w:val="24"/>
                <w:highlight w:val="none"/>
                <w:shd w:val="clear" w:color="auto" w:fill="auto"/>
              </w:rPr>
            </w:pPr>
            <w:r>
              <w:rPr>
                <w:rFonts w:hint="eastAsia" w:ascii="仿宋" w:hAnsi="仿宋" w:eastAsia="仿宋" w:cs="仿宋"/>
                <w:b/>
                <w:color w:val="auto"/>
                <w:sz w:val="24"/>
                <w:highlight w:val="none"/>
                <w:shd w:val="clear" w:color="auto" w:fill="auto"/>
                <w:lang w:val="zh-TW" w:eastAsia="zh-TW"/>
              </w:rPr>
              <w:t>佐证材料对应</w:t>
            </w:r>
            <w:r>
              <w:rPr>
                <w:rFonts w:hint="eastAsia" w:ascii="仿宋" w:hAnsi="仿宋" w:eastAsia="仿宋" w:cs="仿宋"/>
                <w:b/>
                <w:color w:val="auto"/>
                <w:sz w:val="24"/>
                <w:highlight w:val="none"/>
                <w:shd w:val="clear" w:color="auto" w:fill="auto"/>
                <w:lang w:val="zh-TW" w:eastAsia="zh-CN"/>
              </w:rPr>
              <w:t>响应文件</w:t>
            </w:r>
            <w:r>
              <w:rPr>
                <w:rFonts w:hint="eastAsia" w:ascii="仿宋" w:hAnsi="仿宋" w:eastAsia="仿宋" w:cs="仿宋"/>
                <w:b/>
                <w:color w:val="auto"/>
                <w:sz w:val="24"/>
                <w:highlight w:val="none"/>
                <w:shd w:val="clear" w:color="auto" w:fill="auto"/>
                <w:lang w:val="zh-TW" w:eastAsia="zh-TW"/>
              </w:rPr>
              <w:t>页码</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09" w:hRule="atLeast"/>
          <w:jc w:val="center"/>
        </w:trPr>
        <w:tc>
          <w:tcPr>
            <w:tcW w:w="1135" w:type="dxa"/>
            <w:tcBorders>
              <w:tl2br w:val="nil"/>
              <w:tr2bl w:val="nil"/>
            </w:tcBorders>
            <w:shd w:val="clear" w:color="auto" w:fill="auto"/>
            <w:tcMar>
              <w:top w:w="80" w:type="dxa"/>
              <w:left w:w="80" w:type="dxa"/>
              <w:bottom w:w="80" w:type="dxa"/>
              <w:right w:w="80" w:type="dxa"/>
            </w:tcMar>
            <w:vAlign w:val="center"/>
          </w:tcPr>
          <w:p>
            <w:pPr>
              <w:jc w:val="center"/>
              <w:rPr>
                <w:rFonts w:ascii="仿宋" w:hAnsi="仿宋" w:eastAsia="仿宋" w:cs="仿宋"/>
                <w:color w:val="auto"/>
                <w:sz w:val="24"/>
                <w:highlight w:val="none"/>
                <w:shd w:val="clear" w:color="auto" w:fill="auto"/>
              </w:rPr>
            </w:pPr>
          </w:p>
        </w:tc>
        <w:tc>
          <w:tcPr>
            <w:tcW w:w="2144" w:type="dxa"/>
            <w:tcBorders>
              <w:tl2br w:val="nil"/>
              <w:tr2bl w:val="nil"/>
            </w:tcBorders>
            <w:shd w:val="clear" w:color="auto" w:fill="auto"/>
            <w:tcMar>
              <w:top w:w="80" w:type="dxa"/>
              <w:left w:w="80" w:type="dxa"/>
              <w:bottom w:w="80" w:type="dxa"/>
              <w:right w:w="80" w:type="dxa"/>
            </w:tcMar>
            <w:vAlign w:val="center"/>
          </w:tcPr>
          <w:p>
            <w:pPr>
              <w:widowControl/>
              <w:jc w:val="left"/>
              <w:rPr>
                <w:rFonts w:ascii="仿宋" w:hAnsi="仿宋" w:eastAsia="仿宋" w:cs="仿宋"/>
                <w:color w:val="auto"/>
                <w:sz w:val="24"/>
                <w:highlight w:val="none"/>
                <w:shd w:val="clear" w:color="auto" w:fill="auto"/>
              </w:rPr>
            </w:pPr>
          </w:p>
        </w:tc>
        <w:tc>
          <w:tcPr>
            <w:tcW w:w="2655" w:type="dxa"/>
            <w:tcBorders>
              <w:tl2br w:val="nil"/>
              <w:tr2bl w:val="nil"/>
            </w:tcBorders>
            <w:shd w:val="clear" w:color="auto" w:fill="auto"/>
            <w:tcMar>
              <w:top w:w="80" w:type="dxa"/>
              <w:left w:w="80" w:type="dxa"/>
              <w:bottom w:w="80" w:type="dxa"/>
              <w:right w:w="80" w:type="dxa"/>
            </w:tcMar>
            <w:vAlign w:val="center"/>
          </w:tcPr>
          <w:p>
            <w:pPr>
              <w:rPr>
                <w:rFonts w:ascii="仿宋" w:hAnsi="仿宋" w:eastAsia="仿宋" w:cs="仿宋"/>
                <w:color w:val="auto"/>
                <w:sz w:val="24"/>
                <w:highlight w:val="none"/>
                <w:shd w:val="clear" w:color="auto" w:fill="auto"/>
              </w:rPr>
            </w:pPr>
          </w:p>
        </w:tc>
        <w:tc>
          <w:tcPr>
            <w:tcW w:w="1154" w:type="dxa"/>
            <w:tcBorders>
              <w:tl2br w:val="nil"/>
              <w:tr2bl w:val="nil"/>
            </w:tcBorders>
            <w:shd w:val="clear" w:color="auto" w:fill="auto"/>
            <w:tcMar>
              <w:top w:w="80" w:type="dxa"/>
              <w:left w:w="80" w:type="dxa"/>
              <w:bottom w:w="80" w:type="dxa"/>
              <w:right w:w="80" w:type="dxa"/>
            </w:tcMar>
            <w:vAlign w:val="center"/>
          </w:tcPr>
          <w:p>
            <w:pPr>
              <w:jc w:val="center"/>
              <w:rPr>
                <w:rFonts w:ascii="仿宋" w:hAnsi="仿宋" w:eastAsia="仿宋" w:cs="仿宋"/>
                <w:color w:val="auto"/>
                <w:sz w:val="24"/>
                <w:highlight w:val="none"/>
                <w:shd w:val="clear" w:color="auto" w:fill="auto"/>
              </w:rPr>
            </w:pPr>
          </w:p>
        </w:tc>
        <w:tc>
          <w:tcPr>
            <w:tcW w:w="2083" w:type="dxa"/>
            <w:tcBorders>
              <w:tl2br w:val="nil"/>
              <w:tr2bl w:val="nil"/>
            </w:tcBorders>
            <w:shd w:val="clear" w:color="auto" w:fill="auto"/>
            <w:tcMar>
              <w:top w:w="80" w:type="dxa"/>
              <w:left w:w="80" w:type="dxa"/>
              <w:bottom w:w="80" w:type="dxa"/>
              <w:right w:w="80" w:type="dxa"/>
            </w:tcMar>
            <w:vAlign w:val="center"/>
          </w:tcPr>
          <w:p>
            <w:pPr>
              <w:rPr>
                <w:rFonts w:ascii="仿宋" w:hAnsi="仿宋" w:eastAsia="仿宋" w:cs="仿宋"/>
                <w:color w:val="auto"/>
                <w:sz w:val="24"/>
                <w:highlight w:val="none"/>
                <w:shd w:val="clear" w:color="auto" w:fill="aut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84" w:hRule="atLeast"/>
          <w:jc w:val="center"/>
        </w:trPr>
        <w:tc>
          <w:tcPr>
            <w:tcW w:w="1135" w:type="dxa"/>
            <w:tcBorders>
              <w:tl2br w:val="nil"/>
              <w:tr2bl w:val="nil"/>
            </w:tcBorders>
            <w:shd w:val="clear" w:color="auto" w:fill="auto"/>
            <w:tcMar>
              <w:top w:w="80" w:type="dxa"/>
              <w:left w:w="80" w:type="dxa"/>
              <w:bottom w:w="80" w:type="dxa"/>
              <w:right w:w="80" w:type="dxa"/>
            </w:tcMar>
            <w:vAlign w:val="center"/>
          </w:tcPr>
          <w:p>
            <w:pPr>
              <w:jc w:val="center"/>
              <w:rPr>
                <w:rFonts w:ascii="仿宋" w:hAnsi="仿宋" w:eastAsia="仿宋" w:cs="仿宋"/>
                <w:color w:val="auto"/>
                <w:sz w:val="24"/>
                <w:highlight w:val="none"/>
                <w:shd w:val="clear" w:color="auto" w:fill="auto"/>
              </w:rPr>
            </w:pPr>
          </w:p>
        </w:tc>
        <w:tc>
          <w:tcPr>
            <w:tcW w:w="2144" w:type="dxa"/>
            <w:tcBorders>
              <w:tl2br w:val="nil"/>
              <w:tr2bl w:val="nil"/>
            </w:tcBorders>
            <w:shd w:val="clear" w:color="auto" w:fill="auto"/>
            <w:tcMar>
              <w:top w:w="80" w:type="dxa"/>
              <w:left w:w="80" w:type="dxa"/>
              <w:bottom w:w="80" w:type="dxa"/>
              <w:right w:w="80" w:type="dxa"/>
            </w:tcMar>
            <w:vAlign w:val="center"/>
          </w:tcPr>
          <w:p>
            <w:pPr>
              <w:rPr>
                <w:rFonts w:ascii="仿宋" w:hAnsi="仿宋" w:eastAsia="仿宋" w:cs="仿宋"/>
                <w:color w:val="auto"/>
                <w:sz w:val="24"/>
                <w:highlight w:val="none"/>
                <w:shd w:val="clear" w:color="auto" w:fill="auto"/>
              </w:rPr>
            </w:pPr>
          </w:p>
        </w:tc>
        <w:tc>
          <w:tcPr>
            <w:tcW w:w="2655" w:type="dxa"/>
            <w:tcBorders>
              <w:tl2br w:val="nil"/>
              <w:tr2bl w:val="nil"/>
            </w:tcBorders>
            <w:shd w:val="clear" w:color="auto" w:fill="auto"/>
            <w:tcMar>
              <w:top w:w="80" w:type="dxa"/>
              <w:left w:w="80" w:type="dxa"/>
              <w:bottom w:w="80" w:type="dxa"/>
              <w:right w:w="80" w:type="dxa"/>
            </w:tcMar>
            <w:vAlign w:val="center"/>
          </w:tcPr>
          <w:p>
            <w:pPr>
              <w:rPr>
                <w:rFonts w:ascii="仿宋" w:hAnsi="仿宋" w:eastAsia="仿宋" w:cs="仿宋"/>
                <w:color w:val="auto"/>
                <w:sz w:val="24"/>
                <w:highlight w:val="none"/>
                <w:shd w:val="clear" w:color="auto" w:fill="auto"/>
              </w:rPr>
            </w:pPr>
          </w:p>
        </w:tc>
        <w:tc>
          <w:tcPr>
            <w:tcW w:w="1154" w:type="dxa"/>
            <w:tcBorders>
              <w:tl2br w:val="nil"/>
              <w:tr2bl w:val="nil"/>
            </w:tcBorders>
            <w:shd w:val="clear" w:color="auto" w:fill="auto"/>
            <w:tcMar>
              <w:top w:w="80" w:type="dxa"/>
              <w:left w:w="80" w:type="dxa"/>
              <w:bottom w:w="80" w:type="dxa"/>
              <w:right w:w="80" w:type="dxa"/>
            </w:tcMar>
            <w:vAlign w:val="center"/>
          </w:tcPr>
          <w:p>
            <w:pPr>
              <w:jc w:val="center"/>
              <w:rPr>
                <w:rFonts w:ascii="仿宋" w:hAnsi="仿宋" w:eastAsia="仿宋" w:cs="仿宋"/>
                <w:color w:val="auto"/>
                <w:sz w:val="24"/>
                <w:highlight w:val="none"/>
                <w:shd w:val="clear" w:color="auto" w:fill="auto"/>
              </w:rPr>
            </w:pPr>
          </w:p>
        </w:tc>
        <w:tc>
          <w:tcPr>
            <w:tcW w:w="2083" w:type="dxa"/>
            <w:tcBorders>
              <w:tl2br w:val="nil"/>
              <w:tr2bl w:val="nil"/>
            </w:tcBorders>
            <w:shd w:val="clear" w:color="auto" w:fill="auto"/>
            <w:tcMar>
              <w:top w:w="80" w:type="dxa"/>
              <w:left w:w="80" w:type="dxa"/>
              <w:bottom w:w="80" w:type="dxa"/>
              <w:right w:w="80" w:type="dxa"/>
            </w:tcMar>
            <w:vAlign w:val="center"/>
          </w:tcPr>
          <w:p>
            <w:pPr>
              <w:rPr>
                <w:rFonts w:ascii="仿宋" w:hAnsi="仿宋" w:eastAsia="仿宋" w:cs="仿宋"/>
                <w:color w:val="auto"/>
                <w:sz w:val="24"/>
                <w:highlight w:val="none"/>
                <w:shd w:val="clear" w:color="auto" w:fill="aut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9" w:hRule="atLeast"/>
          <w:jc w:val="center"/>
        </w:trPr>
        <w:tc>
          <w:tcPr>
            <w:tcW w:w="1135" w:type="dxa"/>
            <w:tcBorders>
              <w:tl2br w:val="nil"/>
              <w:tr2bl w:val="nil"/>
            </w:tcBorders>
            <w:shd w:val="clear" w:color="auto" w:fill="auto"/>
            <w:tcMar>
              <w:top w:w="80" w:type="dxa"/>
              <w:left w:w="80" w:type="dxa"/>
              <w:bottom w:w="80" w:type="dxa"/>
              <w:right w:w="80" w:type="dxa"/>
            </w:tcMar>
            <w:vAlign w:val="center"/>
          </w:tcPr>
          <w:p>
            <w:pPr>
              <w:jc w:val="center"/>
              <w:rPr>
                <w:rFonts w:ascii="仿宋" w:hAnsi="仿宋" w:eastAsia="仿宋" w:cs="仿宋"/>
                <w:color w:val="auto"/>
                <w:sz w:val="24"/>
                <w:highlight w:val="none"/>
                <w:shd w:val="clear" w:color="auto" w:fill="auto"/>
              </w:rPr>
            </w:pPr>
          </w:p>
        </w:tc>
        <w:tc>
          <w:tcPr>
            <w:tcW w:w="2144" w:type="dxa"/>
            <w:tcBorders>
              <w:tl2br w:val="nil"/>
              <w:tr2bl w:val="nil"/>
            </w:tcBorders>
            <w:shd w:val="clear" w:color="auto" w:fill="auto"/>
            <w:tcMar>
              <w:top w:w="80" w:type="dxa"/>
              <w:left w:w="80" w:type="dxa"/>
              <w:bottom w:w="80" w:type="dxa"/>
              <w:right w:w="80" w:type="dxa"/>
            </w:tcMar>
            <w:vAlign w:val="center"/>
          </w:tcPr>
          <w:p>
            <w:pPr>
              <w:widowControl/>
              <w:rPr>
                <w:rFonts w:ascii="仿宋" w:hAnsi="仿宋" w:eastAsia="仿宋" w:cs="仿宋"/>
                <w:color w:val="auto"/>
                <w:sz w:val="24"/>
                <w:highlight w:val="none"/>
                <w:shd w:val="clear" w:color="auto" w:fill="auto"/>
              </w:rPr>
            </w:pPr>
          </w:p>
        </w:tc>
        <w:tc>
          <w:tcPr>
            <w:tcW w:w="2655" w:type="dxa"/>
            <w:tcBorders>
              <w:tl2br w:val="nil"/>
              <w:tr2bl w:val="nil"/>
            </w:tcBorders>
            <w:shd w:val="clear" w:color="auto" w:fill="auto"/>
            <w:tcMar>
              <w:top w:w="80" w:type="dxa"/>
              <w:left w:w="80" w:type="dxa"/>
              <w:bottom w:w="80" w:type="dxa"/>
              <w:right w:w="80" w:type="dxa"/>
            </w:tcMar>
            <w:vAlign w:val="center"/>
          </w:tcPr>
          <w:p>
            <w:pPr>
              <w:widowControl/>
              <w:jc w:val="left"/>
              <w:rPr>
                <w:rFonts w:ascii="仿宋" w:hAnsi="仿宋" w:eastAsia="仿宋" w:cs="仿宋"/>
                <w:color w:val="auto"/>
                <w:sz w:val="24"/>
                <w:highlight w:val="none"/>
                <w:shd w:val="clear" w:color="auto" w:fill="auto"/>
              </w:rPr>
            </w:pPr>
          </w:p>
        </w:tc>
        <w:tc>
          <w:tcPr>
            <w:tcW w:w="1154" w:type="dxa"/>
            <w:tcBorders>
              <w:tl2br w:val="nil"/>
              <w:tr2bl w:val="nil"/>
            </w:tcBorders>
            <w:shd w:val="clear" w:color="auto" w:fill="auto"/>
            <w:tcMar>
              <w:top w:w="80" w:type="dxa"/>
              <w:left w:w="80" w:type="dxa"/>
              <w:bottom w:w="80" w:type="dxa"/>
              <w:right w:w="80" w:type="dxa"/>
            </w:tcMar>
            <w:vAlign w:val="center"/>
          </w:tcPr>
          <w:p>
            <w:pPr>
              <w:jc w:val="center"/>
              <w:rPr>
                <w:rFonts w:ascii="仿宋" w:hAnsi="仿宋" w:eastAsia="仿宋" w:cs="仿宋"/>
                <w:color w:val="auto"/>
                <w:sz w:val="24"/>
                <w:highlight w:val="none"/>
                <w:shd w:val="clear" w:color="auto" w:fill="auto"/>
              </w:rPr>
            </w:pPr>
          </w:p>
        </w:tc>
        <w:tc>
          <w:tcPr>
            <w:tcW w:w="2083" w:type="dxa"/>
            <w:tcBorders>
              <w:tl2br w:val="nil"/>
              <w:tr2bl w:val="nil"/>
            </w:tcBorders>
            <w:shd w:val="clear" w:color="auto" w:fill="auto"/>
            <w:tcMar>
              <w:top w:w="80" w:type="dxa"/>
              <w:left w:w="80" w:type="dxa"/>
              <w:bottom w:w="80" w:type="dxa"/>
              <w:right w:w="80" w:type="dxa"/>
            </w:tcMar>
            <w:vAlign w:val="center"/>
          </w:tcPr>
          <w:p>
            <w:pPr>
              <w:rPr>
                <w:rFonts w:ascii="仿宋" w:hAnsi="仿宋" w:eastAsia="仿宋" w:cs="仿宋"/>
                <w:color w:val="auto"/>
                <w:sz w:val="24"/>
                <w:highlight w:val="none"/>
                <w:shd w:val="clear" w:color="auto" w:fill="auto"/>
              </w:rPr>
            </w:pPr>
          </w:p>
        </w:tc>
      </w:tr>
    </w:tbl>
    <w:p>
      <w:pPr>
        <w:spacing w:line="360" w:lineRule="auto"/>
        <w:jc w:val="left"/>
        <w:rPr>
          <w:rFonts w:ascii="仿宋" w:hAnsi="仿宋" w:eastAsia="仿宋" w:cs="仿宋"/>
          <w:bCs/>
          <w:color w:val="auto"/>
          <w:sz w:val="24"/>
          <w:highlight w:val="none"/>
        </w:rPr>
      </w:pPr>
    </w:p>
    <w:p>
      <w:pPr>
        <w:spacing w:line="36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填表说明：</w:t>
      </w:r>
      <w:r>
        <w:rPr>
          <w:rFonts w:hint="eastAsia" w:ascii="仿宋" w:hAnsi="仿宋" w:eastAsia="仿宋" w:cs="仿宋"/>
          <w:bCs/>
          <w:color w:val="auto"/>
          <w:sz w:val="24"/>
          <w:highlight w:val="none"/>
        </w:rPr>
        <w:cr/>
      </w: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必须按采购需求的内容据实填写，不得虚假响应，否则将取消其</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或</w:t>
      </w:r>
      <w:r>
        <w:rPr>
          <w:rFonts w:hint="eastAsia" w:ascii="仿宋" w:hAnsi="仿宋" w:eastAsia="仿宋" w:cs="仿宋"/>
          <w:bCs/>
          <w:color w:val="auto"/>
          <w:sz w:val="24"/>
          <w:highlight w:val="none"/>
          <w:lang w:eastAsia="zh-CN"/>
        </w:rPr>
        <w:t>成交</w:t>
      </w:r>
      <w:r>
        <w:rPr>
          <w:rFonts w:hint="eastAsia" w:ascii="仿宋" w:hAnsi="仿宋" w:eastAsia="仿宋" w:cs="仿宋"/>
          <w:bCs/>
          <w:color w:val="auto"/>
          <w:sz w:val="24"/>
          <w:highlight w:val="none"/>
        </w:rPr>
        <w:t>资格并按规定追究其相关责任。</w:t>
      </w:r>
      <w:r>
        <w:rPr>
          <w:rFonts w:hint="eastAsia" w:ascii="仿宋" w:hAnsi="仿宋" w:eastAsia="仿宋" w:cs="仿宋"/>
          <w:bCs/>
          <w:color w:val="auto"/>
          <w:sz w:val="24"/>
          <w:highlight w:val="none"/>
        </w:rPr>
        <w:cr/>
      </w:r>
      <w:r>
        <w:rPr>
          <w:rFonts w:hint="eastAsia" w:ascii="仿宋" w:hAnsi="仿宋" w:eastAsia="仿宋" w:cs="仿宋"/>
          <w:bCs/>
          <w:color w:val="auto"/>
          <w:sz w:val="24"/>
          <w:highlight w:val="none"/>
        </w:rPr>
        <w:t>2.偏离情况请填写“无偏离”、“正偏离”或“负偏离”。</w:t>
      </w:r>
      <w:r>
        <w:rPr>
          <w:rFonts w:hint="eastAsia" w:ascii="仿宋" w:hAnsi="仿宋" w:eastAsia="仿宋" w:cs="仿宋"/>
          <w:bCs/>
          <w:color w:val="auto"/>
          <w:sz w:val="24"/>
          <w:highlight w:val="none"/>
        </w:rPr>
        <w:cr/>
      </w:r>
      <w:r>
        <w:rPr>
          <w:rFonts w:hint="eastAsia" w:ascii="仿宋" w:hAnsi="仿宋" w:eastAsia="仿宋" w:cs="仿宋"/>
          <w:bCs/>
          <w:color w:val="auto"/>
          <w:sz w:val="24"/>
          <w:highlight w:val="none"/>
        </w:rPr>
        <w:t>3.需提供的佐证材料，包括但不仅限于(......)等。</w:t>
      </w:r>
      <w:r>
        <w:rPr>
          <w:rFonts w:hint="eastAsia" w:ascii="仿宋" w:hAnsi="仿宋" w:eastAsia="仿宋" w:cs="仿宋"/>
          <w:bCs/>
          <w:color w:val="auto"/>
          <w:sz w:val="24"/>
          <w:highlight w:val="none"/>
        </w:rPr>
        <w:cr/>
      </w:r>
    </w:p>
    <w:p>
      <w:pPr>
        <w:pStyle w:val="15"/>
        <w:ind w:firstLine="0"/>
        <w:rPr>
          <w:rFonts w:ascii="仿宋" w:hAnsi="仿宋" w:eastAsia="仿宋" w:cs="仿宋"/>
          <w:color w:val="auto"/>
          <w:highlight w:val="none"/>
          <w:lang w:val="zh-TW" w:eastAsia="zh-TW"/>
        </w:rPr>
      </w:pPr>
    </w:p>
    <w:p>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        （盖章）</w:t>
      </w:r>
    </w:p>
    <w:p>
      <w:pPr>
        <w:snapToGrid w:val="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时间：</w:t>
      </w:r>
    </w:p>
    <w:p>
      <w:pPr>
        <w:pStyle w:val="28"/>
        <w:jc w:val="center"/>
        <w:rPr>
          <w:rFonts w:ascii="仿宋" w:hAnsi="仿宋" w:eastAsia="仿宋" w:cs="仿宋"/>
          <w:color w:val="auto"/>
          <w:sz w:val="32"/>
          <w:szCs w:val="32"/>
          <w:highlight w:val="none"/>
        </w:rPr>
      </w:pPr>
    </w:p>
    <w:p>
      <w:pPr>
        <w:pStyle w:val="3"/>
        <w:bidi w:val="0"/>
        <w:ind w:left="0" w:leftChars="0" w:firstLine="0" w:firstLineChars="0"/>
        <w:rPr>
          <w:rFonts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r>
      <w:bookmarkStart w:id="72" w:name="_Toc31686"/>
      <w:bookmarkStart w:id="73" w:name="_Toc21082"/>
      <w:bookmarkStart w:id="74" w:name="_Toc28634"/>
      <w:bookmarkStart w:id="75" w:name="_Toc1369"/>
      <w:bookmarkStart w:id="76" w:name="_Toc24806"/>
      <w:bookmarkStart w:id="77" w:name="_Toc26839"/>
      <w:r>
        <w:rPr>
          <w:rStyle w:val="37"/>
          <w:rFonts w:hint="eastAsia"/>
          <w:b/>
          <w:color w:val="auto"/>
          <w:highlight w:val="none"/>
        </w:rPr>
        <w:t>评分需要提供的证明材料</w:t>
      </w:r>
      <w:bookmarkEnd w:id="72"/>
      <w:bookmarkEnd w:id="73"/>
      <w:bookmarkEnd w:id="74"/>
      <w:bookmarkEnd w:id="75"/>
      <w:bookmarkEnd w:id="76"/>
      <w:bookmarkEnd w:id="77"/>
    </w:p>
    <w:p>
      <w:pPr>
        <w:pStyle w:val="28"/>
        <w:ind w:firstLine="480" w:firstLineChars="200"/>
        <w:jc w:val="both"/>
        <w:rPr>
          <w:rFonts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应根据评分</w:t>
      </w:r>
      <w:r>
        <w:rPr>
          <w:rFonts w:hint="eastAsia" w:ascii="仿宋" w:hAnsi="仿宋" w:eastAsia="仿宋" w:cs="仿宋"/>
          <w:color w:val="auto"/>
          <w:highlight w:val="none"/>
          <w:lang w:val="en-US" w:eastAsia="zh-CN"/>
        </w:rPr>
        <w:t>标准</w:t>
      </w:r>
      <w:r>
        <w:rPr>
          <w:rFonts w:hint="eastAsia" w:ascii="仿宋" w:hAnsi="仿宋" w:eastAsia="仿宋" w:cs="仿宋"/>
          <w:color w:val="auto"/>
          <w:highlight w:val="none"/>
        </w:rPr>
        <w:t>中评审因素的顺序依次提供证明材料，内容和格式自拟。</w:t>
      </w:r>
    </w:p>
    <w:p>
      <w:pPr>
        <w:pStyle w:val="28"/>
        <w:jc w:val="center"/>
        <w:rPr>
          <w:rFonts w:ascii="仿宋" w:hAnsi="仿宋" w:eastAsia="仿宋" w:cs="仿宋"/>
          <w:b/>
          <w:bCs/>
          <w:color w:val="auto"/>
          <w:highlight w:val="none"/>
        </w:rPr>
      </w:pP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（一）暂用评审因素一代替：</w:t>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（二）暂用评审因素二代替：</w:t>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pPr>
        <w:rPr>
          <w:rFonts w:ascii="仿宋" w:hAnsi="仿宋" w:eastAsia="仿宋" w:cs="仿宋"/>
          <w:color w:val="auto"/>
          <w:sz w:val="24"/>
          <w:szCs w:val="24"/>
          <w:highlight w:val="none"/>
        </w:rPr>
      </w:pP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（三）暂用评审因素三代替：</w:t>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pPr>
        <w:spacing w:line="700" w:lineRule="exact"/>
        <w:jc w:val="center"/>
        <w:rPr>
          <w:rStyle w:val="29"/>
          <w:rFonts w:ascii="仿宋" w:hAnsi="仿宋" w:eastAsia="仿宋" w:cs="仿宋"/>
          <w:color w:val="auto"/>
          <w:sz w:val="32"/>
          <w:szCs w:val="28"/>
          <w:highlight w:val="none"/>
        </w:rPr>
      </w:pPr>
      <w:r>
        <w:rPr>
          <w:rFonts w:hint="eastAsia" w:ascii="仿宋" w:hAnsi="仿宋" w:eastAsia="仿宋" w:cs="仿宋"/>
          <w:b/>
          <w:bCs/>
          <w:color w:val="auto"/>
          <w:sz w:val="32"/>
          <w:szCs w:val="32"/>
          <w:highlight w:val="none"/>
        </w:rPr>
        <w:br w:type="page"/>
      </w:r>
      <w:bookmarkStart w:id="78" w:name="_Toc24494"/>
      <w:bookmarkStart w:id="79" w:name="_Toc32605"/>
      <w:bookmarkStart w:id="80" w:name="_Toc3871"/>
    </w:p>
    <w:p>
      <w:pPr>
        <w:pStyle w:val="3"/>
        <w:bidi w:val="0"/>
        <w:ind w:left="0" w:leftChars="0" w:firstLine="0" w:firstLineChars="0"/>
        <w:rPr>
          <w:color w:val="auto"/>
          <w:highlight w:val="none"/>
        </w:rPr>
      </w:pPr>
      <w:bookmarkStart w:id="81" w:name="_Toc15065"/>
      <w:r>
        <w:rPr>
          <w:rFonts w:hint="eastAsia"/>
          <w:color w:val="auto"/>
          <w:highlight w:val="none"/>
        </w:rPr>
        <w:t>报价单</w:t>
      </w:r>
      <w:bookmarkEnd w:id="81"/>
    </w:p>
    <w:p>
      <w:pPr>
        <w:ind w:firstLine="660"/>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我单位作为</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TW" w:eastAsia="zh-TW"/>
        </w:rPr>
        <w:t>对此次评审活动中我方所承诺的条款已经完全明确</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TW" w:eastAsia="zh-TW"/>
        </w:rPr>
        <w:t>也深知所承诺的事项和作出的报价可能给我方带来的风险和后果。如果我方在评审活动中有弄虚作假等违法违规行为，以及</w:t>
      </w:r>
      <w:r>
        <w:rPr>
          <w:rFonts w:hint="eastAsia" w:ascii="仿宋" w:hAnsi="仿宋" w:eastAsia="仿宋" w:cs="仿宋"/>
          <w:color w:val="auto"/>
          <w:sz w:val="24"/>
          <w:szCs w:val="24"/>
          <w:highlight w:val="none"/>
          <w:lang w:val="zh-TW" w:eastAsia="zh-CN"/>
        </w:rPr>
        <w:t>成交</w:t>
      </w:r>
      <w:r>
        <w:rPr>
          <w:rFonts w:hint="eastAsia" w:ascii="仿宋" w:hAnsi="仿宋" w:eastAsia="仿宋" w:cs="仿宋"/>
          <w:color w:val="auto"/>
          <w:sz w:val="24"/>
          <w:szCs w:val="24"/>
          <w:highlight w:val="none"/>
          <w:lang w:val="zh-TW" w:eastAsia="zh-TW"/>
        </w:rPr>
        <w:t>后因报价低或不执行承诺条款而不履约</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TW" w:eastAsia="zh-TW"/>
        </w:rPr>
        <w:t>本单位愿承担一切责任（包括赔偿损失、取消评审及</w:t>
      </w:r>
      <w:r>
        <w:rPr>
          <w:rFonts w:hint="eastAsia" w:ascii="仿宋" w:hAnsi="仿宋" w:eastAsia="仿宋" w:cs="仿宋"/>
          <w:color w:val="auto"/>
          <w:sz w:val="24"/>
          <w:szCs w:val="24"/>
          <w:highlight w:val="none"/>
          <w:lang w:val="zh-TW" w:eastAsia="zh-CN"/>
        </w:rPr>
        <w:t>成交</w:t>
      </w:r>
      <w:r>
        <w:rPr>
          <w:rFonts w:hint="eastAsia" w:ascii="仿宋" w:hAnsi="仿宋" w:eastAsia="仿宋" w:cs="仿宋"/>
          <w:color w:val="auto"/>
          <w:sz w:val="24"/>
          <w:szCs w:val="24"/>
          <w:highlight w:val="none"/>
          <w:lang w:val="zh-TW" w:eastAsia="zh-TW"/>
        </w:rPr>
        <w:t>资格等），我单位本次报价为：</w:t>
      </w:r>
    </w:p>
    <w:p>
      <w:pPr>
        <w:pStyle w:val="7"/>
        <w:rPr>
          <w:rFonts w:ascii="仿宋" w:hAnsi="仿宋" w:eastAsia="仿宋" w:cs="仿宋"/>
          <w:b/>
          <w:bCs/>
          <w:color w:val="auto"/>
          <w:highlight w:val="none"/>
          <w:lang w:val="zh-TW" w:eastAsia="zh-TW"/>
        </w:rPr>
      </w:pPr>
      <w:r>
        <w:rPr>
          <w:rFonts w:hint="eastAsia" w:ascii="仿宋" w:hAnsi="仿宋" w:eastAsia="仿宋" w:cs="仿宋"/>
          <w:b/>
          <w:bCs/>
          <w:color w:val="auto"/>
          <w:highlight w:val="none"/>
          <w:lang w:val="zh-TW" w:eastAsia="zh-TW"/>
        </w:rPr>
        <w:t>注意事项</w:t>
      </w:r>
      <w:r>
        <w:rPr>
          <w:rFonts w:hint="eastAsia" w:ascii="仿宋" w:hAnsi="仿宋" w:eastAsia="仿宋" w:cs="仿宋"/>
          <w:b/>
          <w:bCs/>
          <w:color w:val="auto"/>
          <w:highlight w:val="none"/>
          <w:lang w:val="zh-TW"/>
        </w:rPr>
        <w:t>：</w:t>
      </w:r>
      <w:r>
        <w:rPr>
          <w:rFonts w:hint="eastAsia" w:ascii="仿宋" w:hAnsi="仿宋" w:eastAsia="仿宋" w:cs="仿宋"/>
          <w:b/>
          <w:bCs/>
          <w:color w:val="auto"/>
          <w:highlight w:val="none"/>
          <w:lang w:val="zh-TW" w:eastAsia="zh-TW"/>
        </w:rPr>
        <w:t>所有报价均用人民币表示。运输、安装、调试、检验、培训、调换、税金和保险等费用以及采购文件规定的其他费用均应包含在报价中。</w:t>
      </w:r>
    </w:p>
    <w:p>
      <w:pPr>
        <w:pStyle w:val="7"/>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rPr>
        <w:t>.报价一览表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3180"/>
        <w:gridCol w:w="1648"/>
        <w:gridCol w:w="1544"/>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6" w:type="dxa"/>
            <w:vAlign w:val="center"/>
          </w:tcPr>
          <w:p>
            <w:pPr>
              <w:pStyle w:val="7"/>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3180" w:type="dxa"/>
            <w:vAlign w:val="center"/>
          </w:tcPr>
          <w:p>
            <w:pPr>
              <w:pStyle w:val="7"/>
              <w:jc w:val="center"/>
              <w:rPr>
                <w:rFonts w:hint="default"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服务内容</w:t>
            </w:r>
          </w:p>
        </w:tc>
        <w:tc>
          <w:tcPr>
            <w:tcW w:w="1648" w:type="dxa"/>
            <w:vAlign w:val="center"/>
          </w:tcPr>
          <w:p>
            <w:pPr>
              <w:pStyle w:val="7"/>
              <w:jc w:val="center"/>
              <w:rPr>
                <w:rFonts w:hint="default"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报价（元）</w:t>
            </w:r>
          </w:p>
        </w:tc>
        <w:tc>
          <w:tcPr>
            <w:tcW w:w="1544" w:type="dxa"/>
            <w:vAlign w:val="center"/>
          </w:tcPr>
          <w:p>
            <w:pPr>
              <w:pStyle w:val="7"/>
              <w:jc w:val="center"/>
              <w:rPr>
                <w:rFonts w:hint="default"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质保期</w:t>
            </w:r>
          </w:p>
        </w:tc>
        <w:tc>
          <w:tcPr>
            <w:tcW w:w="1544" w:type="dxa"/>
            <w:vAlign w:val="center"/>
          </w:tcPr>
          <w:p>
            <w:pPr>
              <w:pStyle w:val="7"/>
              <w:jc w:val="center"/>
              <w:rPr>
                <w:rFonts w:hint="default"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jc w:val="center"/>
        </w:trPr>
        <w:tc>
          <w:tcPr>
            <w:tcW w:w="596" w:type="dxa"/>
            <w:vAlign w:val="center"/>
          </w:tcPr>
          <w:p>
            <w:pPr>
              <w:pStyle w:val="7"/>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1</w:t>
            </w:r>
          </w:p>
        </w:tc>
        <w:tc>
          <w:tcPr>
            <w:tcW w:w="3180" w:type="dxa"/>
            <w:vAlign w:val="center"/>
          </w:tcPr>
          <w:p>
            <w:pPr>
              <w:keepNext w:val="0"/>
              <w:keepLines w:val="0"/>
              <w:pageBreakBefore w:val="0"/>
              <w:widowControl w:val="0"/>
              <w:kinsoku/>
              <w:wordWrap/>
              <w:overflowPunct/>
              <w:topLinePunct w:val="0"/>
              <w:autoSpaceDE/>
              <w:autoSpaceDN/>
              <w:bidi w:val="0"/>
              <w:adjustRightInd/>
              <w:snapToGrid/>
              <w:spacing w:before="635" w:beforeLines="200" w:after="318" w:afterLines="100" w:line="360" w:lineRule="auto"/>
              <w:ind w:left="0" w:leftChars="0" w:firstLine="0" w:firstLineChars="0"/>
              <w:jc w:val="center"/>
              <w:textAlignment w:val="auto"/>
              <w:outlineLvl w:val="0"/>
              <w:rPr>
                <w:rFonts w:hint="default" w:ascii="仿宋" w:hAnsi="仿宋" w:eastAsia="仿宋" w:cs="仿宋"/>
                <w:b/>
                <w:bCs/>
                <w:color w:val="auto"/>
                <w:sz w:val="24"/>
                <w:szCs w:val="24"/>
                <w:highlight w:val="none"/>
                <w:vertAlign w:val="baseline"/>
                <w:lang w:val="en-US" w:eastAsia="zh-TW"/>
              </w:rPr>
            </w:pPr>
            <w:r>
              <w:rPr>
                <w:rFonts w:hint="default" w:ascii="仿宋" w:hAnsi="仿宋" w:eastAsia="仿宋" w:cs="仿宋"/>
                <w:b/>
                <w:bCs/>
                <w:color w:val="auto"/>
                <w:sz w:val="24"/>
                <w:szCs w:val="24"/>
                <w:highlight w:val="none"/>
                <w:vertAlign w:val="baseline"/>
                <w:lang w:val="en-US" w:eastAsia="zh-TW"/>
              </w:rPr>
              <w:t>四川省人民医院2024年排污在线监测一体化改造施工</w:t>
            </w:r>
          </w:p>
        </w:tc>
        <w:tc>
          <w:tcPr>
            <w:tcW w:w="1648" w:type="dxa"/>
            <w:vAlign w:val="center"/>
          </w:tcPr>
          <w:p>
            <w:pPr>
              <w:pStyle w:val="7"/>
              <w:jc w:val="both"/>
              <w:rPr>
                <w:rFonts w:hint="default" w:ascii="仿宋" w:hAnsi="仿宋" w:eastAsia="仿宋" w:cs="仿宋"/>
                <w:b/>
                <w:bCs/>
                <w:color w:val="auto"/>
                <w:sz w:val="24"/>
                <w:szCs w:val="24"/>
                <w:highlight w:val="none"/>
                <w:vertAlign w:val="baseline"/>
                <w:lang w:val="en-US" w:eastAsia="zh-CN"/>
              </w:rPr>
            </w:pPr>
          </w:p>
        </w:tc>
        <w:tc>
          <w:tcPr>
            <w:tcW w:w="1544" w:type="dxa"/>
            <w:vAlign w:val="center"/>
          </w:tcPr>
          <w:p>
            <w:pPr>
              <w:pStyle w:val="7"/>
              <w:jc w:val="center"/>
              <w:rPr>
                <w:rFonts w:hint="eastAsia" w:ascii="仿宋" w:hAnsi="仿宋" w:eastAsia="仿宋" w:cs="仿宋"/>
                <w:b/>
                <w:bCs/>
                <w:color w:val="auto"/>
                <w:sz w:val="24"/>
                <w:szCs w:val="24"/>
                <w:highlight w:val="none"/>
                <w:vertAlign w:val="baseline"/>
                <w:lang w:val="zh-TW" w:eastAsia="zh-TW"/>
              </w:rPr>
            </w:pPr>
          </w:p>
        </w:tc>
        <w:tc>
          <w:tcPr>
            <w:tcW w:w="1544" w:type="dxa"/>
            <w:vAlign w:val="center"/>
          </w:tcPr>
          <w:p>
            <w:pPr>
              <w:pStyle w:val="7"/>
              <w:jc w:val="center"/>
              <w:rPr>
                <w:rFonts w:hint="eastAsia" w:ascii="仿宋" w:hAnsi="仿宋" w:eastAsia="仿宋" w:cs="仿宋"/>
                <w:b/>
                <w:bCs/>
                <w:color w:val="auto"/>
                <w:sz w:val="24"/>
                <w:szCs w:val="24"/>
                <w:highlight w:val="none"/>
                <w:vertAlign w:val="baseline"/>
                <w:lang w:val="zh-TW" w:eastAsia="zh-TW"/>
              </w:rPr>
            </w:pPr>
            <w:r>
              <w:rPr>
                <w:rFonts w:hint="eastAsia" w:ascii="仿宋" w:hAnsi="仿宋" w:eastAsia="仿宋" w:cs="仿宋"/>
                <w:b/>
                <w:bCs/>
                <w:color w:val="auto"/>
                <w:sz w:val="24"/>
                <w:szCs w:val="24"/>
                <w:highlight w:val="none"/>
                <w:vertAlign w:val="baseline"/>
                <w:lang w:val="zh-TW" w:eastAsia="zh-TW"/>
              </w:rPr>
              <w:t>除《工程质量保修书》约定的法定质保范围外，本项目质保不低于1年(质保期为竣工验收合格之日起开始计算)。</w:t>
            </w:r>
          </w:p>
        </w:tc>
      </w:tr>
    </w:tbl>
    <w:p>
      <w:pPr>
        <w:pStyle w:val="7"/>
        <w:rPr>
          <w:rFonts w:ascii="仿宋" w:hAnsi="仿宋" w:eastAsia="仿宋" w:cs="仿宋"/>
          <w:color w:val="auto"/>
          <w:highlight w:val="none"/>
        </w:rPr>
      </w:pPr>
    </w:p>
    <w:p>
      <w:pPr>
        <w:widowControl/>
        <w:jc w:val="left"/>
        <w:rPr>
          <w:rFonts w:hint="eastAsia" w:ascii="仿宋" w:hAnsi="仿宋" w:eastAsia="仿宋" w:cs="仿宋"/>
          <w:color w:val="auto"/>
          <w:sz w:val="24"/>
          <w:szCs w:val="24"/>
          <w:highlight w:val="yellow"/>
          <w:lang w:val="en-US" w:eastAsia="zh-CN"/>
        </w:rPr>
      </w:pPr>
    </w:p>
    <w:p>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lang w:val="zh-TW" w:eastAsia="zh-TW"/>
        </w:rPr>
        <w:t>名称：                             （供应商公章）</w:t>
      </w:r>
    </w:p>
    <w:p>
      <w:pPr>
        <w:pStyle w:val="7"/>
        <w:rPr>
          <w:rFonts w:ascii="仿宋" w:hAnsi="仿宋" w:eastAsia="仿宋" w:cs="仿宋"/>
          <w:color w:val="auto"/>
          <w:highlight w:val="none"/>
          <w:lang w:val="zh-TW" w:eastAsia="zh-TW"/>
        </w:rPr>
      </w:pPr>
    </w:p>
    <w:p>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法定代表（负责人）或授权代表人</w:t>
      </w:r>
    </w:p>
    <w:p>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（签字或加盖个人名章）：</w:t>
      </w:r>
    </w:p>
    <w:p>
      <w:pPr>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_____</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TW" w:eastAsia="zh-TW"/>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TW" w:eastAsia="zh-TW"/>
        </w:rPr>
        <w:t>月</w:t>
      </w:r>
      <w:r>
        <w:rPr>
          <w:rFonts w:hint="eastAsia" w:ascii="仿宋" w:hAnsi="仿宋" w:eastAsia="仿宋" w:cs="仿宋"/>
          <w:color w:val="auto"/>
          <w:sz w:val="24"/>
          <w:szCs w:val="24"/>
          <w:highlight w:val="none"/>
          <w:u w:val="single"/>
        </w:rPr>
        <w:t xml:space="preserve">  </w:t>
      </w:r>
      <w:bookmarkStart w:id="82" w:name="_Toc14685"/>
      <w:bookmarkStart w:id="83" w:name="_Toc29032"/>
      <w:bookmarkStart w:id="84" w:name="_Toc30002"/>
      <w:r>
        <w:rPr>
          <w:rFonts w:hint="eastAsia" w:ascii="仿宋" w:hAnsi="仿宋" w:eastAsia="仿宋" w:cs="仿宋"/>
          <w:color w:val="auto"/>
          <w:sz w:val="24"/>
          <w:szCs w:val="24"/>
          <w:highlight w:val="none"/>
          <w:u w:val="single"/>
          <w:lang w:val="en-US" w:eastAsia="zh-CN"/>
        </w:rPr>
        <w:t>日</w:t>
      </w:r>
    </w:p>
    <w:p>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br w:type="page"/>
      </w:r>
    </w:p>
    <w:p>
      <w:pPr>
        <w:pStyle w:val="3"/>
        <w:bidi w:val="0"/>
        <w:ind w:left="0" w:leftChars="0" w:firstLine="0" w:firstLineChars="0"/>
        <w:rPr>
          <w:color w:val="auto"/>
          <w:highlight w:val="none"/>
        </w:rPr>
      </w:pPr>
      <w:r>
        <w:rPr>
          <w:rFonts w:hint="eastAsia"/>
          <w:color w:val="auto"/>
          <w:highlight w:val="none"/>
        </w:rPr>
        <w:t>供应商认为需要提供的其他材料</w:t>
      </w:r>
      <w:bookmarkEnd w:id="78"/>
      <w:bookmarkEnd w:id="79"/>
      <w:bookmarkEnd w:id="80"/>
      <w:bookmarkEnd w:id="82"/>
      <w:bookmarkEnd w:id="83"/>
      <w:bookmarkEnd w:id="84"/>
    </w:p>
    <w:p>
      <w:pPr>
        <w:pStyle w:val="7"/>
        <w:jc w:val="center"/>
        <w:rPr>
          <w:rFonts w:ascii="仿宋" w:hAnsi="仿宋" w:eastAsia="仿宋" w:cs="仿宋"/>
          <w:color w:val="auto"/>
          <w:highlight w:val="none"/>
        </w:rPr>
      </w:pPr>
    </w:p>
    <w:p>
      <w:pPr>
        <w:pStyle w:val="7"/>
        <w:jc w:val="center"/>
        <w:rPr>
          <w:rFonts w:ascii="仿宋" w:hAnsi="仿宋" w:eastAsia="仿宋" w:cs="仿宋"/>
          <w:color w:val="auto"/>
          <w:highlight w:val="none"/>
        </w:rPr>
      </w:pPr>
    </w:p>
    <w:p>
      <w:pPr>
        <w:pStyle w:val="7"/>
        <w:jc w:val="center"/>
        <w:rPr>
          <w:rFonts w:ascii="仿宋" w:hAnsi="仿宋" w:eastAsia="仿宋" w:cs="仿宋"/>
          <w:color w:val="auto"/>
          <w:highlight w:val="none"/>
        </w:rPr>
      </w:pPr>
    </w:p>
    <w:p>
      <w:pPr>
        <w:pStyle w:val="7"/>
        <w:jc w:val="center"/>
        <w:rPr>
          <w:rFonts w:ascii="仿宋" w:hAnsi="仿宋" w:eastAsia="仿宋" w:cs="仿宋"/>
          <w:b/>
          <w:bCs/>
          <w:color w:val="auto"/>
          <w:sz w:val="32"/>
          <w:szCs w:val="36"/>
          <w:highlight w:val="none"/>
        </w:rPr>
      </w:pPr>
      <w:r>
        <w:rPr>
          <w:rFonts w:hint="eastAsia" w:ascii="仿宋" w:hAnsi="仿宋" w:eastAsia="仿宋" w:cs="仿宋"/>
          <w:b/>
          <w:bCs/>
          <w:color w:val="auto"/>
          <w:sz w:val="32"/>
          <w:szCs w:val="36"/>
          <w:highlight w:val="none"/>
        </w:rPr>
        <w:t>格式自拟</w:t>
      </w:r>
    </w:p>
    <w:p>
      <w:pPr>
        <w:rPr>
          <w:rFonts w:hint="eastAsia" w:ascii="黑体" w:hAnsi="黑体" w:eastAsia="黑体" w:cs="黑体"/>
          <w:b/>
          <w:color w:val="auto"/>
          <w:sz w:val="36"/>
          <w:szCs w:val="32"/>
          <w:highlight w:val="none"/>
        </w:rPr>
      </w:pPr>
      <w:bookmarkStart w:id="85" w:name="_Toc5447"/>
      <w:bookmarkStart w:id="86" w:name="_Toc20691"/>
      <w:r>
        <w:rPr>
          <w:rFonts w:hint="eastAsia" w:ascii="黑体" w:hAnsi="黑体" w:eastAsia="黑体" w:cs="黑体"/>
          <w:b/>
          <w:color w:val="auto"/>
          <w:sz w:val="36"/>
          <w:szCs w:val="32"/>
          <w:highlight w:val="none"/>
        </w:rPr>
        <w:br w:type="page"/>
      </w:r>
    </w:p>
    <w:p>
      <w:pPr>
        <w:pStyle w:val="2"/>
        <w:bidi w:val="0"/>
        <w:rPr>
          <w:color w:val="auto"/>
          <w:highlight w:val="none"/>
        </w:rPr>
      </w:pPr>
      <w:bookmarkStart w:id="87" w:name="_Toc14043"/>
      <w:r>
        <w:rPr>
          <w:rFonts w:hint="eastAsia"/>
          <w:color w:val="auto"/>
          <w:highlight w:val="none"/>
        </w:rPr>
        <w:t>合同条款（仅</w:t>
      </w:r>
      <w:r>
        <w:rPr>
          <w:rFonts w:hint="eastAsia"/>
          <w:color w:val="auto"/>
          <w:highlight w:val="none"/>
          <w:lang w:eastAsia="zh-CN"/>
        </w:rPr>
        <w:t>成交</w:t>
      </w:r>
      <w:r>
        <w:rPr>
          <w:rFonts w:hint="eastAsia"/>
          <w:color w:val="auto"/>
          <w:highlight w:val="none"/>
        </w:rPr>
        <w:t>后使用）</w:t>
      </w:r>
      <w:bookmarkEnd w:id="85"/>
      <w:bookmarkEnd w:id="86"/>
      <w:bookmarkEnd w:id="87"/>
    </w:p>
    <w:p>
      <w:pPr>
        <w:pStyle w:val="7"/>
        <w:jc w:val="center"/>
        <w:rPr>
          <w:rFonts w:ascii="仿宋" w:hAnsi="仿宋" w:eastAsia="仿宋" w:cs="仿宋"/>
          <w:color w:val="auto"/>
          <w:sz w:val="44"/>
          <w:szCs w:val="44"/>
          <w:highlight w:val="none"/>
        </w:rPr>
      </w:pPr>
      <w:r>
        <w:rPr>
          <w:rFonts w:hint="eastAsia" w:ascii="仿宋" w:hAnsi="仿宋" w:eastAsia="仿宋" w:cs="仿宋"/>
          <w:b/>
          <w:color w:val="auto"/>
          <w:highlight w:val="none"/>
        </w:rPr>
        <w:t>（仅供参考，特别提醒：采购合同的签订不得偏离采购文件要约及响应文件承诺的实质性内容</w:t>
      </w:r>
      <w:r>
        <w:rPr>
          <w:rFonts w:hint="eastAsia" w:ascii="仿宋" w:hAnsi="仿宋" w:eastAsia="仿宋" w:cs="仿宋"/>
          <w:b/>
          <w:bCs/>
          <w:color w:val="auto"/>
          <w:highlight w:val="none"/>
        </w:rPr>
        <w:t>）</w:t>
      </w:r>
    </w:p>
    <w:p>
      <w:pPr>
        <w:pStyle w:val="12"/>
        <w:spacing w:line="360" w:lineRule="auto"/>
        <w:jc w:val="left"/>
        <w:rPr>
          <w:rFonts w:hint="default" w:ascii="仿宋" w:hAnsi="仿宋" w:eastAsia="仿宋" w:cs="仿宋"/>
          <w:color w:val="auto"/>
          <w:sz w:val="16"/>
          <w:szCs w:val="20"/>
          <w:highlight w:val="none"/>
          <w:lang w:val="en-US" w:eastAsia="zh-CN"/>
        </w:rPr>
      </w:pPr>
      <w:r>
        <w:rPr>
          <w:rFonts w:hint="eastAsia" w:ascii="仿宋" w:hAnsi="仿宋" w:eastAsia="仿宋" w:cs="仿宋"/>
          <w:color w:val="auto"/>
          <w:sz w:val="22"/>
          <w:highlight w:val="none"/>
        </w:rPr>
        <w:t>合同编号：</w:t>
      </w:r>
      <w:r>
        <w:rPr>
          <w:rFonts w:hint="eastAsia" w:ascii="仿宋" w:hAnsi="仿宋" w:eastAsia="仿宋" w:cs="仿宋"/>
          <w:color w:val="auto"/>
          <w:sz w:val="22"/>
          <w:highlight w:val="none"/>
          <w:lang w:val="en-US" w:eastAsia="zh-CN"/>
        </w:rPr>
        <w:t>.....</w:t>
      </w:r>
    </w:p>
    <w:p>
      <w:pPr>
        <w:jc w:val="center"/>
        <w:rPr>
          <w:rFonts w:hint="eastAsia" w:ascii="仿宋" w:hAnsi="仿宋" w:eastAsia="仿宋" w:cs="仿宋"/>
          <w:sz w:val="84"/>
          <w:szCs w:val="84"/>
          <w:highlight w:val="none"/>
        </w:rPr>
      </w:pPr>
      <w:r>
        <w:rPr>
          <w:rFonts w:hint="eastAsia" w:ascii="仿宋" w:hAnsi="仿宋" w:eastAsia="仿宋" w:cs="仿宋"/>
          <w:sz w:val="84"/>
          <w:szCs w:val="84"/>
          <w:highlight w:val="none"/>
        </w:rPr>
        <w:t>施工合同</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spacing w:line="360" w:lineRule="auto"/>
        <w:ind w:firstLine="1606" w:firstLineChars="500"/>
        <w:jc w:val="left"/>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发包人：</w:t>
      </w:r>
      <w:r>
        <w:rPr>
          <w:rFonts w:hint="eastAsia" w:ascii="仿宋" w:hAnsi="仿宋" w:eastAsia="仿宋" w:cs="仿宋"/>
          <w:b/>
          <w:sz w:val="32"/>
          <w:szCs w:val="32"/>
          <w:highlight w:val="none"/>
          <w:u w:val="single"/>
        </w:rPr>
        <w:t>四川省医学科学院·四川省人民医院</w:t>
      </w:r>
    </w:p>
    <w:p>
      <w:pPr>
        <w:spacing w:line="360" w:lineRule="auto"/>
        <w:ind w:firstLine="1606" w:firstLineChars="500"/>
        <w:jc w:val="left"/>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承包人：</w:t>
      </w:r>
    </w:p>
    <w:p>
      <w:pPr>
        <w:rPr>
          <w:rFonts w:hint="eastAsia" w:ascii="仿宋" w:hAnsi="仿宋" w:eastAsia="仿宋" w:cs="仿宋"/>
          <w:highlight w:val="none"/>
        </w:rPr>
      </w:pPr>
    </w:p>
    <w:p>
      <w:pPr>
        <w:rPr>
          <w:rFonts w:hint="eastAsia" w:ascii="仿宋" w:hAnsi="仿宋" w:eastAsia="仿宋" w:cs="仿宋"/>
          <w:highlight w:val="none"/>
        </w:rPr>
      </w:pPr>
    </w:p>
    <w:p>
      <w:pPr>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t>202</w:t>
      </w:r>
      <w:r>
        <w:rPr>
          <w:rFonts w:hint="eastAsia" w:ascii="仿宋" w:hAnsi="仿宋" w:eastAsia="仿宋" w:cs="仿宋"/>
          <w:sz w:val="30"/>
          <w:szCs w:val="30"/>
          <w:highlight w:val="none"/>
          <w:lang w:val="en-US" w:eastAsia="zh-CN"/>
        </w:rPr>
        <w:t>4</w:t>
      </w:r>
      <w:r>
        <w:rPr>
          <w:rFonts w:hint="eastAsia" w:ascii="仿宋" w:hAnsi="仿宋" w:eastAsia="仿宋" w:cs="仿宋"/>
          <w:sz w:val="30"/>
          <w:szCs w:val="30"/>
          <w:highlight w:val="none"/>
        </w:rPr>
        <w:t>年  月</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tabs>
          <w:tab w:val="center" w:pos="4410"/>
        </w:tabs>
        <w:spacing w:line="460" w:lineRule="exact"/>
        <w:jc w:val="center"/>
        <w:rPr>
          <w:rFonts w:hint="eastAsia" w:ascii="仿宋" w:hAnsi="仿宋" w:eastAsia="仿宋" w:cs="仿宋"/>
          <w:b/>
          <w:bCs/>
          <w:sz w:val="36"/>
          <w:szCs w:val="36"/>
          <w:highlight w:val="none"/>
        </w:rPr>
      </w:pPr>
      <w:r>
        <w:rPr>
          <w:rFonts w:hint="eastAsia" w:ascii="仿宋" w:hAnsi="仿宋" w:eastAsia="仿宋" w:cs="仿宋"/>
          <w:highlight w:val="none"/>
        </w:rPr>
        <w:br w:type="page"/>
      </w:r>
      <w:r>
        <w:rPr>
          <w:rFonts w:hint="eastAsia" w:ascii="仿宋" w:hAnsi="仿宋" w:eastAsia="仿宋" w:cs="仿宋"/>
          <w:b/>
          <w:bCs/>
          <w:sz w:val="36"/>
          <w:szCs w:val="36"/>
          <w:highlight w:val="none"/>
        </w:rPr>
        <w:t>第一部分 合同协议书</w:t>
      </w:r>
    </w:p>
    <w:p>
      <w:pPr>
        <w:tabs>
          <w:tab w:val="center" w:pos="4410"/>
        </w:tabs>
        <w:rPr>
          <w:rFonts w:hint="eastAsia" w:ascii="仿宋" w:hAnsi="仿宋" w:eastAsia="仿宋" w:cs="仿宋"/>
          <w:szCs w:val="21"/>
          <w:highlight w:val="none"/>
        </w:rPr>
      </w:pPr>
    </w:p>
    <w:p>
      <w:pPr>
        <w:spacing w:line="460" w:lineRule="exact"/>
        <w:rPr>
          <w:rFonts w:hint="eastAsia" w:ascii="仿宋" w:hAnsi="仿宋" w:eastAsia="仿宋" w:cs="仿宋"/>
          <w:b/>
          <w:sz w:val="28"/>
          <w:szCs w:val="28"/>
          <w:highlight w:val="none"/>
          <w:u w:val="single"/>
        </w:rPr>
      </w:pPr>
      <w:r>
        <w:rPr>
          <w:rFonts w:hint="eastAsia" w:ascii="仿宋" w:hAnsi="仿宋" w:eastAsia="仿宋" w:cs="仿宋"/>
          <w:b/>
          <w:sz w:val="28"/>
          <w:szCs w:val="28"/>
          <w:highlight w:val="none"/>
        </w:rPr>
        <w:t>发包人（全称）：</w:t>
      </w:r>
      <w:r>
        <w:rPr>
          <w:rFonts w:hint="eastAsia" w:ascii="仿宋" w:hAnsi="仿宋" w:eastAsia="仿宋" w:cs="仿宋"/>
          <w:b/>
          <w:sz w:val="28"/>
          <w:szCs w:val="28"/>
          <w:highlight w:val="none"/>
          <w:u w:val="single"/>
        </w:rPr>
        <w:t>四川省医学科学院·四川省人民医院</w:t>
      </w:r>
    </w:p>
    <w:p>
      <w:pPr>
        <w:spacing w:line="460" w:lineRule="exact"/>
        <w:rPr>
          <w:rFonts w:hint="eastAsia" w:ascii="仿宋" w:hAnsi="仿宋" w:eastAsia="仿宋" w:cs="仿宋"/>
          <w:b/>
          <w:sz w:val="28"/>
          <w:szCs w:val="28"/>
          <w:highlight w:val="none"/>
          <w:u w:val="single"/>
        </w:rPr>
      </w:pPr>
      <w:r>
        <w:rPr>
          <w:rFonts w:hint="eastAsia" w:ascii="仿宋" w:hAnsi="仿宋" w:eastAsia="仿宋" w:cs="仿宋"/>
          <w:b/>
          <w:sz w:val="28"/>
          <w:szCs w:val="28"/>
          <w:highlight w:val="none"/>
        </w:rPr>
        <w:t>承包人（全称）：</w:t>
      </w:r>
    </w:p>
    <w:p>
      <w:pPr>
        <w:spacing w:line="460" w:lineRule="exact"/>
        <w:rPr>
          <w:rFonts w:hint="eastAsia" w:ascii="仿宋" w:hAnsi="仿宋" w:eastAsia="仿宋" w:cs="仿宋"/>
          <w:b/>
          <w:sz w:val="28"/>
          <w:szCs w:val="28"/>
          <w:highlight w:val="none"/>
          <w:u w:val="single"/>
        </w:rPr>
      </w:pPr>
    </w:p>
    <w:p>
      <w:pPr>
        <w:keepNext w:val="0"/>
        <w:keepLines w:val="0"/>
        <w:pageBreakBefore w:val="0"/>
        <w:widowControl w:val="0"/>
        <w:kinsoku/>
        <w:wordWrap/>
        <w:overflowPunct/>
        <w:topLinePunct w:val="0"/>
        <w:autoSpaceDE/>
        <w:autoSpaceDN/>
        <w:bidi w:val="0"/>
        <w:adjustRightInd/>
        <w:snapToGrid/>
        <w:spacing w:before="635" w:beforeLines="200" w:after="318" w:afterLines="100" w:line="480" w:lineRule="auto"/>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根据《中华人民共和国政府采购法》、《中华人民共和国民法典》、《中华人民共和国建筑法》及有关法律规定，遵循平等、自愿、公平和诚实信用的原则，双方就</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sz w:val="28"/>
          <w:szCs w:val="28"/>
          <w:highlight w:val="none"/>
        </w:rPr>
        <w:t>工程施工及有关事项协商一致，共同达成如下协议：</w:t>
      </w:r>
    </w:p>
    <w:p>
      <w:pPr>
        <w:pStyle w:val="4"/>
        <w:keepNext w:val="0"/>
        <w:keepLines w:val="0"/>
        <w:spacing w:line="460" w:lineRule="exact"/>
        <w:ind w:firstLine="562" w:firstLineChars="200"/>
        <w:rPr>
          <w:rFonts w:hint="eastAsia" w:ascii="仿宋" w:hAnsi="仿宋" w:eastAsia="仿宋" w:cs="仿宋"/>
          <w:bCs w:val="0"/>
          <w:highlight w:val="none"/>
        </w:rPr>
      </w:pPr>
      <w:bookmarkStart w:id="88" w:name="_Toc351203481"/>
      <w:r>
        <w:rPr>
          <w:rFonts w:hint="eastAsia" w:ascii="仿宋" w:hAnsi="仿宋" w:eastAsia="仿宋" w:cs="仿宋"/>
          <w:highlight w:val="none"/>
        </w:rPr>
        <w:t>一、工程概况</w:t>
      </w:r>
      <w:bookmarkEnd w:id="88"/>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bCs/>
          <w:sz w:val="28"/>
          <w:szCs w:val="28"/>
          <w:highlight w:val="none"/>
        </w:rPr>
        <w:t>1.工程名称</w:t>
      </w:r>
      <w:r>
        <w:rPr>
          <w:rFonts w:hint="eastAsia" w:ascii="仿宋" w:hAnsi="仿宋" w:eastAsia="仿宋" w:cs="仿宋"/>
          <w:sz w:val="28"/>
          <w:szCs w:val="28"/>
          <w:highlight w:val="none"/>
        </w:rPr>
        <w:t>：</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2.工程地点：</w:t>
      </w:r>
      <w:r>
        <w:rPr>
          <w:rFonts w:hint="eastAsia" w:ascii="仿宋" w:hAnsi="仿宋" w:eastAsia="仿宋" w:cs="仿宋"/>
          <w:bCs/>
          <w:sz w:val="28"/>
          <w:szCs w:val="28"/>
          <w:highlight w:val="none"/>
          <w:lang w:eastAsia="zh-CN"/>
        </w:rPr>
        <w:t>四川省人民医院（成都市一环路西二段32号）</w:t>
      </w:r>
      <w:r>
        <w:rPr>
          <w:rFonts w:hint="eastAsia" w:ascii="仿宋" w:hAnsi="仿宋" w:eastAsia="仿宋" w:cs="仿宋"/>
          <w:bCs/>
          <w:sz w:val="28"/>
          <w:szCs w:val="28"/>
          <w:highlight w:val="none"/>
        </w:rPr>
        <w:t>。</w:t>
      </w:r>
    </w:p>
    <w:p>
      <w:pPr>
        <w:spacing w:line="460" w:lineRule="exact"/>
        <w:ind w:firstLine="560" w:firstLineChars="200"/>
        <w:jc w:val="left"/>
        <w:rPr>
          <w:rFonts w:hint="eastAsia" w:ascii="仿宋" w:hAnsi="仿宋" w:eastAsia="仿宋" w:cs="仿宋"/>
          <w:bCs/>
          <w:sz w:val="28"/>
          <w:szCs w:val="28"/>
          <w:highlight w:val="none"/>
        </w:rPr>
      </w:pPr>
      <w:r>
        <w:rPr>
          <w:rFonts w:hint="eastAsia" w:ascii="仿宋" w:hAnsi="仿宋" w:eastAsia="仿宋" w:cs="仿宋"/>
          <w:bCs/>
          <w:sz w:val="28"/>
          <w:szCs w:val="28"/>
          <w:highlight w:val="none"/>
        </w:rPr>
        <w:t>3.工程内容：。</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bCs/>
          <w:sz w:val="28"/>
          <w:szCs w:val="28"/>
          <w:highlight w:val="none"/>
        </w:rPr>
        <w:t>4.工程承包范围：</w:t>
      </w:r>
    </w:p>
    <w:p>
      <w:pPr>
        <w:pStyle w:val="4"/>
        <w:keepNext w:val="0"/>
        <w:keepLines w:val="0"/>
        <w:spacing w:line="460" w:lineRule="exact"/>
        <w:ind w:firstLine="562" w:firstLineChars="200"/>
        <w:rPr>
          <w:rFonts w:hint="eastAsia" w:ascii="仿宋" w:hAnsi="仿宋" w:eastAsia="仿宋" w:cs="仿宋"/>
          <w:bCs w:val="0"/>
          <w:highlight w:val="none"/>
        </w:rPr>
      </w:pPr>
      <w:bookmarkStart w:id="89" w:name="_Toc351203482"/>
      <w:r>
        <w:rPr>
          <w:rFonts w:hint="eastAsia" w:ascii="仿宋" w:hAnsi="仿宋" w:eastAsia="仿宋" w:cs="仿宋"/>
          <w:bCs w:val="0"/>
          <w:highlight w:val="none"/>
        </w:rPr>
        <w:t>二、合同工期</w:t>
      </w:r>
      <w:bookmarkEnd w:id="89"/>
    </w:p>
    <w:p>
      <w:pPr>
        <w:spacing w:line="460" w:lineRule="exact"/>
        <w:ind w:firstLine="560" w:firstLineChars="2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合同签订后3个工作日内。</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计划开工日期：</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日（以监理工程师签发的开工令为准）。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计划竣工日期：</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日。</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工期总日历天数：</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天。工期总日历天数与根据前述计划开竣工日期计算的工期天数不一致的，以工期总日历天数为准。</w:t>
      </w:r>
    </w:p>
    <w:p>
      <w:pPr>
        <w:pStyle w:val="4"/>
        <w:keepNext w:val="0"/>
        <w:keepLines w:val="0"/>
        <w:spacing w:line="460" w:lineRule="exact"/>
        <w:ind w:firstLine="562" w:firstLineChars="200"/>
        <w:rPr>
          <w:rFonts w:hint="eastAsia" w:ascii="仿宋" w:hAnsi="仿宋" w:eastAsia="仿宋" w:cs="仿宋"/>
          <w:bCs w:val="0"/>
          <w:highlight w:val="none"/>
        </w:rPr>
      </w:pPr>
      <w:bookmarkStart w:id="90" w:name="_Toc351203483"/>
      <w:r>
        <w:rPr>
          <w:rFonts w:hint="eastAsia" w:ascii="仿宋" w:hAnsi="仿宋" w:eastAsia="仿宋" w:cs="仿宋"/>
          <w:bCs w:val="0"/>
          <w:highlight w:val="none"/>
        </w:rPr>
        <w:t>三、质量标准</w:t>
      </w:r>
      <w:bookmarkEnd w:id="90"/>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工程质量符合</w:t>
      </w:r>
      <w:r>
        <w:rPr>
          <w:rFonts w:hint="eastAsia" w:ascii="仿宋" w:hAnsi="仿宋" w:eastAsia="仿宋" w:cs="仿宋"/>
          <w:b/>
          <w:sz w:val="28"/>
          <w:szCs w:val="28"/>
          <w:highlight w:val="none"/>
          <w:u w:val="single"/>
        </w:rPr>
        <w:t>国家现行验收合格</w:t>
      </w:r>
      <w:r>
        <w:rPr>
          <w:rFonts w:hint="eastAsia" w:ascii="仿宋" w:hAnsi="仿宋" w:eastAsia="仿宋" w:cs="仿宋"/>
          <w:sz w:val="28"/>
          <w:szCs w:val="28"/>
          <w:highlight w:val="none"/>
        </w:rPr>
        <w:t>标准。</w:t>
      </w:r>
    </w:p>
    <w:p>
      <w:pPr>
        <w:pStyle w:val="4"/>
        <w:keepNext w:val="0"/>
        <w:keepLines w:val="0"/>
        <w:spacing w:line="460" w:lineRule="exact"/>
        <w:ind w:firstLine="562" w:firstLineChars="200"/>
        <w:rPr>
          <w:rFonts w:hint="eastAsia" w:ascii="仿宋" w:hAnsi="仿宋" w:eastAsia="仿宋" w:cs="仿宋"/>
          <w:bCs w:val="0"/>
          <w:highlight w:val="none"/>
        </w:rPr>
      </w:pPr>
      <w:bookmarkStart w:id="91" w:name="_Toc351203484"/>
      <w:r>
        <w:rPr>
          <w:rFonts w:hint="eastAsia" w:ascii="仿宋" w:hAnsi="仿宋" w:eastAsia="仿宋" w:cs="仿宋"/>
          <w:bCs w:val="0"/>
          <w:highlight w:val="none"/>
        </w:rPr>
        <w:t>四、签约合同价与合同价格形式</w:t>
      </w:r>
      <w:bookmarkEnd w:id="91"/>
      <w:r>
        <w:rPr>
          <w:rFonts w:hint="eastAsia" w:ascii="仿宋" w:hAnsi="仿宋" w:eastAsia="仿宋" w:cs="仿宋"/>
          <w:bCs w:val="0"/>
          <w:highlight w:val="none"/>
        </w:rPr>
        <w:tab/>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1.签约合同价为：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人民币（小写）￥ 元(人民币)；最终价款以甲方结算审核金额为准。(大写)元，若最终审核金额超出</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元，需另行协商签订结算协议。</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2.合同价格形式：(固定综合单价/固定总价)</w:t>
      </w:r>
    </w:p>
    <w:p>
      <w:pPr>
        <w:spacing w:before="120" w:after="120" w:line="460" w:lineRule="exact"/>
        <w:ind w:firstLine="562" w:firstLineChars="200"/>
        <w:rPr>
          <w:rFonts w:hint="eastAsia" w:ascii="仿宋" w:hAnsi="仿宋" w:eastAsia="仿宋" w:cs="仿宋"/>
          <w:b/>
          <w:sz w:val="28"/>
          <w:szCs w:val="28"/>
          <w:highlight w:val="none"/>
        </w:rPr>
      </w:pPr>
      <w:bookmarkStart w:id="92" w:name="_Toc351203485"/>
      <w:r>
        <w:rPr>
          <w:rFonts w:hint="eastAsia" w:ascii="仿宋" w:hAnsi="仿宋" w:eastAsia="仿宋" w:cs="仿宋"/>
          <w:b/>
          <w:sz w:val="28"/>
          <w:szCs w:val="28"/>
          <w:highlight w:val="none"/>
        </w:rPr>
        <w:t>五、</w:t>
      </w:r>
      <w:bookmarkEnd w:id="92"/>
      <w:r>
        <w:rPr>
          <w:rFonts w:hint="eastAsia" w:ascii="仿宋" w:hAnsi="仿宋" w:eastAsia="仿宋" w:cs="仿宋"/>
          <w:b/>
          <w:sz w:val="28"/>
          <w:szCs w:val="28"/>
          <w:highlight w:val="none"/>
        </w:rPr>
        <w:t>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before="120" w:after="120" w:line="460" w:lineRule="exact"/>
        <w:ind w:firstLine="562" w:firstLineChars="200"/>
        <w:rPr>
          <w:rFonts w:hint="eastAsia" w:ascii="仿宋" w:hAnsi="仿宋" w:eastAsia="仿宋" w:cs="仿宋"/>
          <w:sz w:val="28"/>
          <w:szCs w:val="28"/>
          <w:highlight w:val="none"/>
        </w:rPr>
      </w:pPr>
      <w:bookmarkStart w:id="93" w:name="_Toc351203486"/>
      <w:r>
        <w:rPr>
          <w:rFonts w:hint="eastAsia" w:ascii="仿宋" w:hAnsi="仿宋" w:eastAsia="仿宋" w:cs="仿宋"/>
          <w:b/>
          <w:sz w:val="28"/>
          <w:szCs w:val="28"/>
          <w:highlight w:val="none"/>
        </w:rPr>
        <w:t>六、合同文件构成</w:t>
      </w:r>
      <w:bookmarkEnd w:id="93"/>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本合同与下列文件一起构成合同文件，组成合同的各项文件应互相解释，互为说明。</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pPr>
        <w:pStyle w:val="4"/>
        <w:keepNext w:val="0"/>
        <w:keepLines w:val="0"/>
        <w:spacing w:line="460" w:lineRule="exact"/>
        <w:ind w:firstLine="562" w:firstLineChars="200"/>
        <w:rPr>
          <w:rFonts w:hint="eastAsia" w:ascii="仿宋" w:hAnsi="仿宋" w:eastAsia="仿宋" w:cs="仿宋"/>
          <w:bCs w:val="0"/>
          <w:highlight w:val="none"/>
        </w:rPr>
      </w:pPr>
      <w:bookmarkStart w:id="94" w:name="_Toc351203487"/>
      <w:r>
        <w:rPr>
          <w:rFonts w:hint="eastAsia" w:ascii="仿宋" w:hAnsi="仿宋" w:eastAsia="仿宋" w:cs="仿宋"/>
          <w:bCs w:val="0"/>
          <w:highlight w:val="none"/>
        </w:rPr>
        <w:t>七、承诺</w:t>
      </w:r>
      <w:bookmarkEnd w:id="94"/>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1.发包人承诺按照合同约定的期限和方式支付合同价款。</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2.承包人承诺按照法律规定及合同约定组织完成工程施工，确保工程质量和安全，不进行转包及违法分包，并在缺陷责任期及保修期内承担相应的工程维修责任。</w:t>
      </w:r>
    </w:p>
    <w:p>
      <w:pPr>
        <w:spacing w:before="120" w:after="120" w:line="460" w:lineRule="exact"/>
        <w:ind w:firstLine="562" w:firstLineChars="200"/>
        <w:rPr>
          <w:rFonts w:hint="eastAsia" w:ascii="仿宋" w:hAnsi="仿宋" w:eastAsia="仿宋" w:cs="仿宋"/>
          <w:sz w:val="28"/>
          <w:szCs w:val="28"/>
          <w:highlight w:val="none"/>
        </w:rPr>
      </w:pPr>
      <w:bookmarkStart w:id="95" w:name="_Toc351203489"/>
      <w:r>
        <w:rPr>
          <w:rFonts w:hint="eastAsia" w:ascii="仿宋" w:hAnsi="仿宋" w:eastAsia="仿宋" w:cs="仿宋"/>
          <w:b/>
          <w:sz w:val="28"/>
          <w:szCs w:val="28"/>
          <w:highlight w:val="none"/>
        </w:rPr>
        <w:t>八、签订时间</w:t>
      </w:r>
      <w:bookmarkEnd w:id="95"/>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本合同于</w:t>
      </w:r>
      <w:r>
        <w:rPr>
          <w:rFonts w:hint="eastAsia" w:ascii="仿宋" w:hAnsi="仿宋" w:eastAsia="仿宋" w:cs="仿宋"/>
          <w:bCs/>
          <w:sz w:val="28"/>
          <w:szCs w:val="28"/>
          <w:highlight w:val="none"/>
          <w:u w:val="single"/>
        </w:rPr>
        <w:t>20</w:t>
      </w:r>
      <w:r>
        <w:rPr>
          <w:rFonts w:hint="eastAsia" w:ascii="仿宋" w:hAnsi="仿宋" w:eastAsia="仿宋" w:cs="仿宋"/>
          <w:bCs/>
          <w:sz w:val="28"/>
          <w:szCs w:val="28"/>
          <w:highlight w:val="none"/>
          <w:u w:val="single"/>
          <w:lang w:val="en-US" w:eastAsia="zh-CN"/>
        </w:rPr>
        <w:t xml:space="preserve">24 </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日签订。</w:t>
      </w:r>
    </w:p>
    <w:p>
      <w:pPr>
        <w:spacing w:before="120" w:after="120" w:line="460" w:lineRule="exact"/>
        <w:ind w:firstLine="562" w:firstLineChars="200"/>
        <w:rPr>
          <w:rFonts w:hint="eastAsia" w:ascii="仿宋" w:hAnsi="仿宋" w:eastAsia="仿宋" w:cs="仿宋"/>
          <w:sz w:val="28"/>
          <w:szCs w:val="28"/>
          <w:highlight w:val="none"/>
        </w:rPr>
      </w:pPr>
      <w:bookmarkStart w:id="96" w:name="_Toc351203490"/>
      <w:r>
        <w:rPr>
          <w:rFonts w:hint="eastAsia" w:ascii="仿宋" w:hAnsi="仿宋" w:eastAsia="仿宋" w:cs="仿宋"/>
          <w:b/>
          <w:sz w:val="28"/>
          <w:szCs w:val="28"/>
          <w:highlight w:val="none"/>
        </w:rPr>
        <w:t>九、签订地点</w:t>
      </w:r>
      <w:bookmarkEnd w:id="96"/>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本合同在</w:t>
      </w:r>
      <w:r>
        <w:rPr>
          <w:rFonts w:hint="eastAsia" w:ascii="仿宋" w:hAnsi="仿宋" w:eastAsia="仿宋" w:cs="仿宋"/>
          <w:b/>
          <w:bCs/>
          <w:sz w:val="28"/>
          <w:szCs w:val="28"/>
          <w:highlight w:val="none"/>
          <w:u w:val="single"/>
        </w:rPr>
        <w:t>成都市</w:t>
      </w:r>
      <w:r>
        <w:rPr>
          <w:rFonts w:hint="eastAsia" w:ascii="仿宋" w:hAnsi="仿宋" w:eastAsia="仿宋" w:cs="仿宋"/>
          <w:bCs/>
          <w:sz w:val="28"/>
          <w:szCs w:val="28"/>
          <w:highlight w:val="none"/>
        </w:rPr>
        <w:t>签订。</w:t>
      </w:r>
    </w:p>
    <w:p>
      <w:pPr>
        <w:spacing w:before="120" w:after="120" w:line="460" w:lineRule="exact"/>
        <w:ind w:firstLine="562" w:firstLineChars="200"/>
        <w:rPr>
          <w:rFonts w:hint="eastAsia" w:ascii="仿宋" w:hAnsi="仿宋" w:eastAsia="仿宋" w:cs="仿宋"/>
          <w:sz w:val="28"/>
          <w:szCs w:val="28"/>
          <w:highlight w:val="none"/>
        </w:rPr>
      </w:pPr>
      <w:bookmarkStart w:id="97" w:name="_Toc351203491"/>
      <w:r>
        <w:rPr>
          <w:rFonts w:hint="eastAsia" w:ascii="仿宋" w:hAnsi="仿宋" w:eastAsia="仿宋" w:cs="仿宋"/>
          <w:b/>
          <w:sz w:val="28"/>
          <w:szCs w:val="28"/>
          <w:highlight w:val="none"/>
        </w:rPr>
        <w:t>十、补充协议</w:t>
      </w:r>
      <w:bookmarkEnd w:id="97"/>
    </w:p>
    <w:p>
      <w:pPr>
        <w:spacing w:line="46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合同未尽事宜，合同当事人另行签订补充协议，补充协议是合同的组成部分。</w:t>
      </w:r>
    </w:p>
    <w:p>
      <w:pPr>
        <w:spacing w:before="120" w:after="120" w:line="460" w:lineRule="exact"/>
        <w:ind w:firstLine="562" w:firstLineChars="200"/>
        <w:rPr>
          <w:rFonts w:hint="eastAsia" w:ascii="仿宋" w:hAnsi="仿宋" w:eastAsia="仿宋" w:cs="仿宋"/>
          <w:sz w:val="28"/>
          <w:szCs w:val="28"/>
          <w:highlight w:val="none"/>
        </w:rPr>
      </w:pPr>
      <w:bookmarkStart w:id="98" w:name="_Toc351203492"/>
      <w:r>
        <w:rPr>
          <w:rFonts w:hint="eastAsia" w:ascii="仿宋" w:hAnsi="仿宋" w:eastAsia="仿宋" w:cs="仿宋"/>
          <w:b/>
          <w:sz w:val="28"/>
          <w:szCs w:val="28"/>
          <w:highlight w:val="none"/>
        </w:rPr>
        <w:t>十一、合同生效</w:t>
      </w:r>
      <w:bookmarkEnd w:id="98"/>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本合同自</w:t>
      </w:r>
      <w:r>
        <w:rPr>
          <w:rFonts w:hint="eastAsia" w:ascii="仿宋" w:hAnsi="仿宋" w:eastAsia="仿宋" w:cs="仿宋"/>
          <w:bCs/>
          <w:sz w:val="28"/>
          <w:szCs w:val="28"/>
          <w:highlight w:val="none"/>
          <w:u w:val="single"/>
        </w:rPr>
        <w:t>双方签字盖章后</w:t>
      </w:r>
      <w:r>
        <w:rPr>
          <w:rFonts w:hint="eastAsia" w:ascii="仿宋" w:hAnsi="仿宋" w:eastAsia="仿宋" w:cs="仿宋"/>
          <w:bCs/>
          <w:sz w:val="28"/>
          <w:szCs w:val="28"/>
          <w:highlight w:val="none"/>
        </w:rPr>
        <w:t>生效。</w:t>
      </w:r>
    </w:p>
    <w:p>
      <w:pPr>
        <w:spacing w:before="120" w:after="120" w:line="460" w:lineRule="exact"/>
        <w:ind w:firstLine="562" w:firstLineChars="200"/>
        <w:rPr>
          <w:rFonts w:hint="eastAsia" w:ascii="仿宋" w:hAnsi="仿宋" w:eastAsia="仿宋" w:cs="仿宋"/>
          <w:sz w:val="28"/>
          <w:szCs w:val="28"/>
          <w:highlight w:val="none"/>
        </w:rPr>
      </w:pPr>
      <w:bookmarkStart w:id="99" w:name="_Toc351203493"/>
      <w:r>
        <w:rPr>
          <w:rFonts w:hint="eastAsia" w:ascii="仿宋" w:hAnsi="仿宋" w:eastAsia="仿宋" w:cs="仿宋"/>
          <w:b/>
          <w:sz w:val="28"/>
          <w:szCs w:val="28"/>
          <w:highlight w:val="none"/>
        </w:rPr>
        <w:t>十二、合同份数</w:t>
      </w:r>
      <w:bookmarkEnd w:id="99"/>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本合同一式拾份，其中：正本叁份，副本柒份，均具有同等法律效力。发包人执正本贰份，副本肆份，承包人执正本壹份，副本叁份。</w:t>
      </w:r>
    </w:p>
    <w:p>
      <w:pPr>
        <w:spacing w:line="460" w:lineRule="exact"/>
        <w:ind w:firstLine="560" w:firstLineChars="200"/>
        <w:rPr>
          <w:rFonts w:hint="eastAsia" w:ascii="仿宋" w:hAnsi="仿宋" w:eastAsia="仿宋" w:cs="仿宋"/>
          <w:bCs/>
          <w:sz w:val="28"/>
          <w:szCs w:val="28"/>
          <w:highlight w:val="none"/>
        </w:rPr>
      </w:pPr>
    </w:p>
    <w:p>
      <w:pPr>
        <w:spacing w:line="460" w:lineRule="exact"/>
        <w:rPr>
          <w:rFonts w:hint="eastAsia" w:ascii="仿宋" w:hAnsi="仿宋" w:eastAsia="仿宋" w:cs="仿宋"/>
          <w:bCs/>
          <w:sz w:val="28"/>
          <w:szCs w:val="28"/>
          <w:highlight w:val="non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u w:val="single"/>
        </w:rPr>
        <w:t>四川省人民医院</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r>
    </w:p>
    <w:p>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第二部分合同条款</w:t>
      </w:r>
    </w:p>
    <w:p>
      <w:pPr>
        <w:spacing w:before="120" w:after="120" w:line="460" w:lineRule="exact"/>
        <w:ind w:firstLine="562" w:firstLineChars="200"/>
        <w:rPr>
          <w:rFonts w:hint="eastAsia" w:ascii="仿宋" w:hAnsi="仿宋" w:eastAsia="仿宋" w:cs="仿宋"/>
          <w:b/>
          <w:sz w:val="28"/>
          <w:szCs w:val="28"/>
          <w:highlight w:val="none"/>
        </w:rPr>
      </w:pPr>
      <w:bookmarkStart w:id="100" w:name="_Toc351203633"/>
      <w:r>
        <w:rPr>
          <w:rFonts w:hint="eastAsia" w:ascii="仿宋" w:hAnsi="仿宋" w:eastAsia="仿宋" w:cs="仿宋"/>
          <w:b/>
          <w:sz w:val="28"/>
          <w:szCs w:val="28"/>
          <w:highlight w:val="none"/>
        </w:rPr>
        <w:t>1</w:t>
      </w:r>
      <w:bookmarkStart w:id="101" w:name="_Toc296503156"/>
      <w:bookmarkStart w:id="102" w:name="_Toc297048342"/>
      <w:bookmarkStart w:id="103" w:name="_Toc296890984"/>
      <w:bookmarkStart w:id="104" w:name="_Toc296346657"/>
      <w:bookmarkStart w:id="105" w:name="_Toc292559866"/>
      <w:bookmarkStart w:id="106" w:name="_Toc296347155"/>
      <w:bookmarkStart w:id="107" w:name="_Toc297120456"/>
      <w:bookmarkStart w:id="108" w:name="_Toc296891196"/>
      <w:bookmarkStart w:id="109" w:name="_Toc296944495"/>
      <w:bookmarkStart w:id="110" w:name="_Toc292559361"/>
      <w:r>
        <w:rPr>
          <w:rFonts w:hint="eastAsia" w:ascii="仿宋" w:hAnsi="仿宋" w:eastAsia="仿宋" w:cs="仿宋"/>
          <w:b/>
          <w:sz w:val="28"/>
          <w:szCs w:val="28"/>
          <w:highlight w:val="none"/>
        </w:rPr>
        <w:t>. 一般约定</w:t>
      </w:r>
      <w:bookmarkEnd w:id="100"/>
      <w:bookmarkEnd w:id="101"/>
      <w:bookmarkEnd w:id="102"/>
      <w:bookmarkEnd w:id="103"/>
      <w:bookmarkEnd w:id="104"/>
      <w:bookmarkEnd w:id="105"/>
      <w:bookmarkEnd w:id="106"/>
      <w:bookmarkEnd w:id="107"/>
      <w:bookmarkEnd w:id="108"/>
      <w:bookmarkEnd w:id="109"/>
      <w:bookmarkEnd w:id="110"/>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 合同当事人及其他相关方</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1.1.1监理人：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 设计人：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1.2法律 </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适用于合同的其他规范性文件：《中华人民共和国政府采购法》、《中华人民共和国民法典》、</w:t>
      </w:r>
      <w:r>
        <w:rPr>
          <w:rFonts w:hint="eastAsia" w:ascii="仿宋" w:hAnsi="仿宋" w:eastAsia="仿宋" w:cs="仿宋"/>
          <w:sz w:val="28"/>
          <w:szCs w:val="28"/>
          <w:highlight w:val="none"/>
          <w:u w:val="single"/>
        </w:rPr>
        <w:t xml:space="preserve">《中华人民共和国建筑法》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 标准和规范</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1.3.1适用于工程的标准规范包括：</w:t>
      </w:r>
      <w:r>
        <w:rPr>
          <w:rFonts w:hint="eastAsia" w:ascii="仿宋" w:hAnsi="仿宋" w:eastAsia="仿宋" w:cs="仿宋"/>
          <w:sz w:val="28"/>
          <w:szCs w:val="28"/>
          <w:highlight w:val="none"/>
          <w:u w:val="single"/>
        </w:rPr>
        <w:t xml:space="preserve">执行国家、四川省现行技术规范、施工规范、质量标准及操作规定 </w:t>
      </w:r>
      <w:r>
        <w:rPr>
          <w:rFonts w:hint="eastAsia" w:ascii="仿宋" w:hAnsi="仿宋" w:eastAsia="仿宋" w:cs="仿宋"/>
          <w:sz w:val="28"/>
          <w:szCs w:val="28"/>
          <w:highlight w:val="none"/>
        </w:rPr>
        <w:t xml:space="preserve"> 。</w:t>
      </w:r>
    </w:p>
    <w:p>
      <w:pPr>
        <w:spacing w:line="460" w:lineRule="exact"/>
        <w:ind w:firstLine="560" w:firstLineChars="200"/>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1.3.2 发包人提供国外标准、规范的名称：</w:t>
      </w:r>
      <w:r>
        <w:rPr>
          <w:rFonts w:hint="eastAsia" w:ascii="仿宋" w:hAnsi="仿宋" w:eastAsia="仿宋" w:cs="仿宋"/>
          <w:kern w:val="0"/>
          <w:sz w:val="28"/>
          <w:szCs w:val="28"/>
          <w:highlight w:val="none"/>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highlight w:val="none"/>
        </w:rPr>
        <w:t>；</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发包人提供国外标准、规范的份数：</w:t>
      </w:r>
      <w:r>
        <w:rPr>
          <w:rFonts w:hint="eastAsia" w:ascii="仿宋" w:hAnsi="仿宋" w:eastAsia="仿宋" w:cs="仿宋"/>
          <w:kern w:val="0"/>
          <w:sz w:val="28"/>
          <w:szCs w:val="28"/>
          <w:highlight w:val="none"/>
          <w:u w:val="single"/>
        </w:rPr>
        <w:t>发生时承包人按发包人要求提供</w:t>
      </w:r>
      <w:r>
        <w:rPr>
          <w:rFonts w:hint="eastAsia" w:ascii="仿宋" w:hAnsi="仿宋" w:eastAsia="仿宋" w:cs="仿宋"/>
          <w:kern w:val="0"/>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发包人提供国外标准、规范的名称：</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kern w:val="0"/>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1.3.3发包人对工程的技术标准和功能要求的特殊要求：。</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 合同文件构成</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本合同与下列文件一起构成合同文件，组成合同的各项文件应互相解释，互为说明。</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上述各项合同文件包括合同当事人就该项合同文件所作出的补充和修改，属于同一类内容的文件，应以最新签署的为准。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 图纸和承包人文件</w:t>
      </w:r>
      <w:r>
        <w:rPr>
          <w:rFonts w:hint="eastAsia" w:ascii="仿宋" w:hAnsi="仿宋" w:eastAsia="仿宋" w:cs="仿宋"/>
          <w:sz w:val="28"/>
          <w:szCs w:val="28"/>
          <w:highlight w:val="none"/>
        </w:rPr>
        <w:tab/>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1.5.1 图纸的提供</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发包人向承包人提供图纸的期限：</w:t>
      </w:r>
      <w:r>
        <w:rPr>
          <w:rFonts w:hint="eastAsia" w:ascii="仿宋" w:hAnsi="仿宋" w:eastAsia="仿宋" w:cs="仿宋"/>
          <w:sz w:val="28"/>
          <w:szCs w:val="28"/>
          <w:highlight w:val="none"/>
          <w:u w:val="single"/>
        </w:rPr>
        <w:t>发包人与承包人签订合同协议7日内，承包人需要更多份数时，应自费复制</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发包人向承包人提供图纸的数量：</w:t>
      </w:r>
      <w:r>
        <w:rPr>
          <w:rFonts w:hint="eastAsia" w:ascii="仿宋" w:hAnsi="仿宋" w:eastAsia="仿宋" w:cs="仿宋"/>
          <w:sz w:val="28"/>
          <w:szCs w:val="28"/>
          <w:highlight w:val="none"/>
          <w:u w:val="single"/>
        </w:rPr>
        <w:t>三套（含两套做竣工图的图纸）</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1.5.2 承包人文件</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需要由承包人提供的文件，包括：</w:t>
      </w:r>
      <w:r>
        <w:rPr>
          <w:rFonts w:hint="eastAsia" w:ascii="仿宋" w:hAnsi="仿宋" w:eastAsia="仿宋" w:cs="仿宋"/>
          <w:sz w:val="28"/>
          <w:szCs w:val="28"/>
          <w:highlight w:val="none"/>
          <w:u w:val="single"/>
        </w:rPr>
        <w:t>投标文件中已标价工程量清单、施工组织设计、进度计划（总进度、月进度、周进度）、以及与现场安全、质量、进度、资金等有关的文件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承包人提供的文件的期限为：</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承包人提供的文件的数量为：</w:t>
      </w:r>
      <w:r>
        <w:rPr>
          <w:rFonts w:hint="eastAsia" w:ascii="仿宋" w:hAnsi="仿宋" w:eastAsia="仿宋" w:cs="仿宋"/>
          <w:sz w:val="28"/>
          <w:szCs w:val="28"/>
          <w:highlight w:val="none"/>
          <w:u w:val="single"/>
        </w:rPr>
        <w:t xml:space="preserve">不少于三份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承包人提供的文件的形式为：</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发包人审批承包人文件的期限：</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1.5.3 现场图纸准备</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关于现场图纸准备的约定：</w:t>
      </w:r>
      <w:r>
        <w:rPr>
          <w:rFonts w:hint="eastAsia" w:ascii="仿宋" w:hAnsi="仿宋" w:eastAsia="仿宋" w:cs="仿宋"/>
          <w:sz w:val="28"/>
          <w:szCs w:val="28"/>
          <w:highlight w:val="none"/>
          <w:u w:val="single"/>
        </w:rPr>
        <w:t xml:space="preserve">发生时承包人按发包人要求提供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1.6 联络</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1.6.1发包人和承包人应当在</w:t>
      </w:r>
      <w:r>
        <w:rPr>
          <w:rFonts w:hint="eastAsia" w:ascii="仿宋" w:hAnsi="仿宋" w:eastAsia="仿宋" w:cs="仿宋"/>
          <w:sz w:val="28"/>
          <w:szCs w:val="28"/>
          <w:highlight w:val="none"/>
          <w:u w:val="single"/>
        </w:rPr>
        <w:t>7</w:t>
      </w:r>
      <w:r>
        <w:rPr>
          <w:rFonts w:hint="eastAsia" w:ascii="仿宋" w:hAnsi="仿宋" w:eastAsia="仿宋" w:cs="仿宋"/>
          <w:kern w:val="0"/>
          <w:sz w:val="28"/>
          <w:szCs w:val="28"/>
          <w:highlight w:val="none"/>
        </w:rPr>
        <w:t>天内将与合同有关的通知、批准、证明、证书、指示、指令、要求、请求、同意、意见、确定和决定等书面函件送达对方当事人。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 知识产权</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highlight w:val="none"/>
          <w:u w:val="single"/>
        </w:rPr>
        <w:t>发包人</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关于发包人提供的上述文件的使用限制的要求：</w:t>
      </w:r>
      <w:r>
        <w:rPr>
          <w:rFonts w:hint="eastAsia" w:ascii="仿宋" w:hAnsi="仿宋" w:eastAsia="仿宋" w:cs="仿宋"/>
          <w:sz w:val="28"/>
          <w:szCs w:val="28"/>
          <w:highlight w:val="none"/>
          <w:u w:val="single"/>
        </w:rPr>
        <w:t>永久</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1.7.2 关于承包人为实施工程所编制文件的著作权的归属：</w:t>
      </w:r>
      <w:r>
        <w:rPr>
          <w:rFonts w:hint="eastAsia" w:ascii="仿宋" w:hAnsi="仿宋" w:eastAsia="仿宋" w:cs="仿宋"/>
          <w:sz w:val="28"/>
          <w:szCs w:val="28"/>
          <w:highlight w:val="none"/>
          <w:u w:val="single"/>
        </w:rPr>
        <w:t xml:space="preserve">发包人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关于承包人提供的上述文件的使用限制的要求：</w:t>
      </w:r>
      <w:r>
        <w:rPr>
          <w:rFonts w:hint="eastAsia" w:ascii="仿宋" w:hAnsi="仿宋" w:eastAsia="仿宋" w:cs="仿宋"/>
          <w:sz w:val="28"/>
          <w:szCs w:val="28"/>
          <w:highlight w:val="none"/>
          <w:u w:val="single"/>
        </w:rPr>
        <w:t>永久</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sz w:val="28"/>
          <w:szCs w:val="28"/>
          <w:highlight w:val="none"/>
        </w:rPr>
        <w:t>1.7.3 承包人在施工过程中所采用的专利、专有技术、技术秘密的使用费的承担方式：</w:t>
      </w:r>
      <w:r>
        <w:rPr>
          <w:rFonts w:hint="eastAsia" w:ascii="仿宋" w:hAnsi="仿宋" w:eastAsia="仿宋" w:cs="仿宋"/>
          <w:sz w:val="28"/>
          <w:szCs w:val="28"/>
          <w:highlight w:val="none"/>
          <w:u w:val="single"/>
        </w:rPr>
        <w:t>承包人承担</w:t>
      </w:r>
      <w:r>
        <w:rPr>
          <w:rFonts w:hint="eastAsia" w:ascii="仿宋" w:hAnsi="仿宋" w:eastAsia="仿宋" w:cs="仿宋"/>
          <w:kern w:val="0"/>
          <w:sz w:val="28"/>
          <w:szCs w:val="28"/>
          <w:highlight w:val="none"/>
        </w:rPr>
        <w:t>。</w:t>
      </w:r>
    </w:p>
    <w:p>
      <w:pPr>
        <w:spacing w:before="120" w:after="120" w:line="460" w:lineRule="exact"/>
        <w:ind w:firstLine="562" w:firstLineChars="200"/>
        <w:rPr>
          <w:rFonts w:hint="eastAsia" w:ascii="仿宋" w:hAnsi="仿宋" w:eastAsia="仿宋" w:cs="仿宋"/>
          <w:b/>
          <w:sz w:val="28"/>
          <w:szCs w:val="28"/>
          <w:highlight w:val="none"/>
        </w:rPr>
      </w:pPr>
      <w:bookmarkStart w:id="111" w:name="_Toc351203634"/>
      <w:r>
        <w:rPr>
          <w:rFonts w:hint="eastAsia" w:ascii="仿宋" w:hAnsi="仿宋" w:eastAsia="仿宋" w:cs="仿宋"/>
          <w:b/>
          <w:sz w:val="28"/>
          <w:szCs w:val="28"/>
          <w:highlight w:val="none"/>
        </w:rPr>
        <w:t>2</w:t>
      </w:r>
      <w:bookmarkStart w:id="112" w:name="_Toc292559362"/>
      <w:bookmarkStart w:id="113" w:name="_Toc296346658"/>
      <w:bookmarkStart w:id="114" w:name="_Toc296944496"/>
      <w:bookmarkStart w:id="115" w:name="_Toc296891197"/>
      <w:bookmarkStart w:id="116" w:name="_Toc296503157"/>
      <w:bookmarkStart w:id="117" w:name="_Toc296347156"/>
      <w:bookmarkStart w:id="118" w:name="_Toc292559867"/>
      <w:bookmarkStart w:id="119" w:name="_Toc296890985"/>
      <w:bookmarkStart w:id="120" w:name="_Toc297120457"/>
      <w:bookmarkStart w:id="121" w:name="_Toc297048343"/>
      <w:r>
        <w:rPr>
          <w:rFonts w:hint="eastAsia" w:ascii="仿宋" w:hAnsi="仿宋" w:eastAsia="仿宋" w:cs="仿宋"/>
          <w:b/>
          <w:sz w:val="28"/>
          <w:szCs w:val="28"/>
          <w:highlight w:val="none"/>
        </w:rPr>
        <w:t>. 发包人</w:t>
      </w:r>
      <w:bookmarkEnd w:id="111"/>
    </w:p>
    <w:bookmarkEnd w:id="112"/>
    <w:bookmarkEnd w:id="113"/>
    <w:bookmarkEnd w:id="114"/>
    <w:bookmarkEnd w:id="115"/>
    <w:bookmarkEnd w:id="116"/>
    <w:bookmarkEnd w:id="117"/>
    <w:bookmarkEnd w:id="118"/>
    <w:bookmarkEnd w:id="119"/>
    <w:bookmarkEnd w:id="120"/>
    <w:bookmarkEnd w:id="121"/>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2.1 发包人代表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发包人代表：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发包人对发包人代表的授权范围如下：</w:t>
      </w:r>
      <w:r>
        <w:rPr>
          <w:rFonts w:hint="eastAsia" w:ascii="仿宋" w:hAnsi="仿宋" w:eastAsia="仿宋" w:cs="仿宋"/>
          <w:sz w:val="28"/>
          <w:szCs w:val="28"/>
          <w:highlight w:val="none"/>
          <w:u w:val="single"/>
        </w:rPr>
        <w:t>实施本工程的组织管理工作</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2.2 发包人人员</w:t>
      </w:r>
    </w:p>
    <w:p>
      <w:pPr>
        <w:spacing w:line="460" w:lineRule="exact"/>
        <w:ind w:firstLine="560" w:firstLineChars="200"/>
        <w:rPr>
          <w:rFonts w:hint="eastAsia" w:ascii="仿宋" w:hAnsi="仿宋" w:eastAsia="仿宋" w:cs="仿宋"/>
          <w:b/>
          <w:sz w:val="28"/>
          <w:szCs w:val="28"/>
          <w:highlight w:val="none"/>
        </w:rPr>
      </w:pPr>
      <w:r>
        <w:rPr>
          <w:rFonts w:hint="eastAsia" w:ascii="仿宋" w:hAnsi="仿宋" w:eastAsia="仿宋" w:cs="仿宋"/>
          <w:sz w:val="28"/>
          <w:szCs w:val="28"/>
          <w:highlight w:val="none"/>
        </w:rPr>
        <w:t>发包人派驻施工现场人员：</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 施工现场、施工条件和基础资料的提供</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2.3.1 提供施工现场</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关于发包人移交施工现场的期限要求：</w:t>
      </w:r>
      <w:r>
        <w:rPr>
          <w:rFonts w:hint="eastAsia" w:ascii="仿宋" w:hAnsi="仿宋" w:eastAsia="仿宋" w:cs="仿宋"/>
          <w:sz w:val="28"/>
          <w:szCs w:val="28"/>
          <w:highlight w:val="none"/>
          <w:u w:val="single"/>
        </w:rPr>
        <w:t>发包人将已具备施工条件的施工现场在开工前移交给承包方</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2.3.2 提供施工条件</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关于发包人应负责提供施工所需要的条件，包括：</w:t>
      </w:r>
      <w:r>
        <w:rPr>
          <w:rFonts w:hint="eastAsia" w:ascii="仿宋" w:hAnsi="仿宋" w:eastAsia="仿宋" w:cs="仿宋"/>
          <w:sz w:val="28"/>
          <w:szCs w:val="28"/>
          <w:highlight w:val="none"/>
          <w:u w:val="single"/>
        </w:rPr>
        <w:t>发包人负责在开工前提供施工用水、用电的接口,由施工单位自行接入施工现场，施工中发生的水电费用由承包人承担，水电费见本合同第12.6条。</w:t>
      </w:r>
    </w:p>
    <w:p>
      <w:pPr>
        <w:spacing w:before="120" w:after="120" w:line="460" w:lineRule="exact"/>
        <w:ind w:firstLine="562" w:firstLineChars="200"/>
        <w:rPr>
          <w:rFonts w:hint="eastAsia" w:ascii="仿宋" w:hAnsi="仿宋" w:eastAsia="仿宋" w:cs="仿宋"/>
          <w:b/>
          <w:sz w:val="28"/>
          <w:szCs w:val="28"/>
          <w:highlight w:val="none"/>
        </w:rPr>
      </w:pPr>
      <w:bookmarkStart w:id="122" w:name="_Toc351203635"/>
      <w:r>
        <w:rPr>
          <w:rFonts w:hint="eastAsia" w:ascii="仿宋" w:hAnsi="仿宋" w:eastAsia="仿宋" w:cs="仿宋"/>
          <w:b/>
          <w:sz w:val="28"/>
          <w:szCs w:val="28"/>
          <w:highlight w:val="none"/>
        </w:rPr>
        <w:t>3</w:t>
      </w:r>
      <w:bookmarkStart w:id="123" w:name="_Toc292559363"/>
      <w:bookmarkStart w:id="124" w:name="_Toc296503158"/>
      <w:bookmarkStart w:id="125" w:name="_Toc296347157"/>
      <w:bookmarkStart w:id="126" w:name="_Toc297048344"/>
      <w:bookmarkStart w:id="127" w:name="_Toc292559868"/>
      <w:bookmarkStart w:id="128" w:name="_Toc296944497"/>
      <w:bookmarkStart w:id="129" w:name="_Toc296890986"/>
      <w:bookmarkStart w:id="130" w:name="_Toc296346659"/>
      <w:bookmarkStart w:id="131" w:name="_Toc297120458"/>
      <w:bookmarkStart w:id="132" w:name="_Toc296891198"/>
      <w:r>
        <w:rPr>
          <w:rFonts w:hint="eastAsia" w:ascii="仿宋" w:hAnsi="仿宋" w:eastAsia="仿宋" w:cs="仿宋"/>
          <w:b/>
          <w:sz w:val="28"/>
          <w:szCs w:val="28"/>
          <w:highlight w:val="none"/>
        </w:rPr>
        <w:t>. 承包人</w:t>
      </w:r>
      <w:bookmarkEnd w:id="122"/>
    </w:p>
    <w:bookmarkEnd w:id="123"/>
    <w:bookmarkEnd w:id="124"/>
    <w:bookmarkEnd w:id="125"/>
    <w:bookmarkEnd w:id="126"/>
    <w:bookmarkEnd w:id="127"/>
    <w:bookmarkEnd w:id="128"/>
    <w:bookmarkEnd w:id="129"/>
    <w:bookmarkEnd w:id="130"/>
    <w:bookmarkEnd w:id="131"/>
    <w:bookmarkEnd w:id="132"/>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 承包人的一般义务</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（1）</w:t>
      </w:r>
      <w:r>
        <w:rPr>
          <w:rFonts w:hint="eastAsia" w:ascii="仿宋" w:hAnsi="仿宋" w:eastAsia="仿宋" w:cs="仿宋"/>
          <w:sz w:val="28"/>
          <w:szCs w:val="28"/>
          <w:highlight w:val="none"/>
        </w:rPr>
        <w:t>承包人提交的竣工资料的内容：</w:t>
      </w:r>
      <w:r>
        <w:rPr>
          <w:rFonts w:hint="eastAsia" w:ascii="仿宋" w:hAnsi="仿宋" w:eastAsia="仿宋" w:cs="仿宋"/>
          <w:sz w:val="28"/>
          <w:szCs w:val="28"/>
          <w:highlight w:val="none"/>
          <w:u w:val="single"/>
        </w:rPr>
        <w:t>施工方案、隐蔽验收资料、系统调试资料、竣工图等完成竣工结算审核的全部资料</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承包人需要提交的竣工资料套数：</w:t>
      </w:r>
      <w:r>
        <w:rPr>
          <w:rFonts w:hint="eastAsia" w:ascii="仿宋" w:hAnsi="仿宋" w:eastAsia="仿宋" w:cs="仿宋"/>
          <w:sz w:val="28"/>
          <w:szCs w:val="28"/>
          <w:highlight w:val="none"/>
          <w:u w:val="single"/>
        </w:rPr>
        <w:t>贰套</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承包人提交的竣工资料的费用承担：</w:t>
      </w:r>
      <w:r>
        <w:rPr>
          <w:rFonts w:hint="eastAsia" w:ascii="仿宋" w:hAnsi="仿宋" w:eastAsia="仿宋" w:cs="仿宋"/>
          <w:sz w:val="28"/>
          <w:szCs w:val="28"/>
          <w:highlight w:val="none"/>
          <w:u w:val="single"/>
        </w:rPr>
        <w:t>承包人</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承包人提交的竣工资料移交时间：</w:t>
      </w:r>
      <w:r>
        <w:rPr>
          <w:rFonts w:hint="eastAsia" w:ascii="仿宋" w:hAnsi="仿宋" w:eastAsia="仿宋" w:cs="仿宋"/>
          <w:sz w:val="28"/>
          <w:szCs w:val="28"/>
          <w:highlight w:val="none"/>
          <w:u w:val="single"/>
        </w:rPr>
        <w:t>工程竣工验收合格后28日以内</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承包人提交的竣工资料形式要求：</w:t>
      </w:r>
      <w:r>
        <w:rPr>
          <w:rFonts w:hint="eastAsia" w:ascii="仿宋" w:hAnsi="仿宋" w:eastAsia="仿宋" w:cs="仿宋"/>
          <w:sz w:val="28"/>
          <w:szCs w:val="28"/>
          <w:highlight w:val="none"/>
          <w:u w:val="single"/>
        </w:rPr>
        <w:t>装订成册的纸质全套资料（竣工图和经济资料需提供电子版本）</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（2）承包人应履行的其他义务：</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1）应提供计划、报表的名称及完成时间：</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承包人进场</w:t>
      </w:r>
      <w:r>
        <w:rPr>
          <w:rFonts w:hint="eastAsia" w:ascii="仿宋" w:hAnsi="仿宋" w:eastAsia="仿宋" w:cs="仿宋"/>
          <w:sz w:val="28"/>
          <w:szCs w:val="28"/>
          <w:highlight w:val="none"/>
          <w:u w:val="single"/>
          <w:lang w:val="en-US" w:eastAsia="zh-CN"/>
        </w:rPr>
        <w:t>5</w:t>
      </w:r>
      <w:r>
        <w:rPr>
          <w:rFonts w:hint="eastAsia" w:ascii="仿宋" w:hAnsi="仿宋" w:eastAsia="仿宋" w:cs="仿宋"/>
          <w:sz w:val="28"/>
          <w:szCs w:val="28"/>
          <w:highlight w:val="none"/>
          <w:u w:val="single"/>
        </w:rPr>
        <w:t>个工作日内</w:t>
      </w:r>
      <w:r>
        <w:rPr>
          <w:rFonts w:hint="eastAsia" w:ascii="仿宋" w:hAnsi="仿宋" w:eastAsia="仿宋" w:cs="仿宋"/>
          <w:sz w:val="28"/>
          <w:szCs w:val="28"/>
          <w:highlight w:val="none"/>
        </w:rPr>
        <w:t>提供项目总进度计划，_</w:t>
      </w:r>
      <w:r>
        <w:rPr>
          <w:rFonts w:hint="eastAsia" w:ascii="仿宋" w:hAnsi="仿宋" w:eastAsia="仿宋" w:cs="仿宋"/>
          <w:sz w:val="28"/>
          <w:szCs w:val="28"/>
          <w:highlight w:val="none"/>
          <w:u w:val="single"/>
        </w:rPr>
        <w:t>每月    日</w:t>
      </w:r>
      <w:r>
        <w:rPr>
          <w:rFonts w:hint="eastAsia" w:ascii="仿宋" w:hAnsi="仿宋" w:eastAsia="仿宋" w:cs="仿宋"/>
          <w:sz w:val="28"/>
          <w:szCs w:val="28"/>
          <w:highlight w:val="none"/>
        </w:rPr>
        <w:t>前提供下月工程进度计划报表，一式三份，先送监理单位在4日内审定后，送发包方核定，发包方在5个工作日内审定后，自留一份，返回监理方一份，承包方一份。</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2）承担施工安全保卫工作及非夜间施工照明的责任和要求：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根据发包方及总监理工程师批准的施工组织设计和工程的具体情况采取相应的防护措施并负责安全保卫，费用由承包人负责。</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施工场地周围地下管线和邻近建筑物、构筑物（含文物保护建筑）、古树名木的保护要求及费用承担：承包人按照有关规定做好保护工作，如有损坏，承包人应负责修复和赔偿，保护时所发生的费用由承包人承担。</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投标报价内，包干使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7）双方约定承包人应做的其他工作：</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①承包人对合同工程的管理：在工程施工期间，为加强管理和认真履行合同义务，承包人应按投标文件所报名单委派项目经理和项目技术负责人，应保证及时到位并常驻现场进行对本合同工程的管理，并保持其岗位的相对稳定。</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投标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③安全、保卫与环境保护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在实施和完成本合同工程及其缺陷的修复的整个过程中，承包人应该：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a、充分关注和保障所有在现场工作人员的安全，采取有效措施，使现场和合同工程的实施保持有条不紊，以免使上述人员的安全受到威胁。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b、为了保护本合同工程免遭损坏，或为了现场附近和过往群众、车辆的安全与方便，在确有必要的时候和地方，或当监理工程师或有关主管部门要求时，应自费提供照明、警卫、护棚、警示标志等安全防护设施；</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c、承包人应熟悉和遵守环境保护法，并切实执行技术规范中有关环境保护方面的要求和规定。</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④工程的照管与维护：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⑤弥补损失和损害的责任；</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在承包人负责照管与维护期间，如果本合同工程或其组成部分等损失和损害，不论出于什么原因（不可抗力除外），承包人均应自费弥补，达到合同要求。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⑥料场使用费：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除另有规定外，承包人应承担并支付为获得本合同工程所需的材料等所发生的料场使用费及其他开支或补偿费。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⑦施工对邻近房产和群众的干扰：</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⑧配合管线单位施工：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在管线单位进行施工时，承包人应按照发包人的要求在发包人指定的时间、地点为管线单位提供足够的工作面，为管线单位施工提供方便。</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⑨竣工验收时的现场清理：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 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 xml:space="preserve">3.2.1 </w:t>
      </w:r>
      <w:r>
        <w:rPr>
          <w:rFonts w:hint="eastAsia" w:ascii="仿宋" w:hAnsi="仿宋" w:eastAsia="仿宋" w:cs="仿宋"/>
          <w:sz w:val="28"/>
          <w:szCs w:val="28"/>
          <w:highlight w:val="none"/>
        </w:rPr>
        <w:t>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身份证号：</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承包人对项目经理的授权范围如下：</w:t>
      </w:r>
      <w:r>
        <w:rPr>
          <w:rFonts w:hint="eastAsia" w:ascii="仿宋" w:hAnsi="仿宋" w:eastAsia="仿宋" w:cs="仿宋"/>
          <w:sz w:val="28"/>
          <w:szCs w:val="28"/>
          <w:highlight w:val="none"/>
          <w:u w:val="single"/>
        </w:rPr>
        <w:t>进行本工程的施工组织管理工作</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关于项目经理每月在施工现场的时间要求：</w:t>
      </w:r>
      <w:r>
        <w:rPr>
          <w:rFonts w:hint="eastAsia" w:ascii="仿宋" w:hAnsi="仿宋" w:eastAsia="仿宋" w:cs="仿宋"/>
          <w:sz w:val="28"/>
          <w:szCs w:val="28"/>
          <w:highlight w:val="none"/>
          <w:u w:val="single"/>
        </w:rPr>
        <w:t>项目部主要人员（项目经理、项目技术负责人、质检负责人、安全检查人员、项目工长、内业管理员等）必须常驻现场（每月不少于22天），每少一天罚款200-2000元/人。同时发包人有权拒付工程款，并保留有权终止合同，且不得返还承包人履约保证金的权利。</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kern w:val="0"/>
          <w:sz w:val="28"/>
          <w:szCs w:val="28"/>
          <w:highlight w:val="none"/>
        </w:rPr>
        <w:t>项目经理未经批准，擅自离开施工现场的违约责任：</w:t>
      </w:r>
      <w:r>
        <w:rPr>
          <w:rFonts w:hint="eastAsia" w:ascii="仿宋" w:hAnsi="仿宋" w:eastAsia="仿宋" w:cs="仿宋"/>
          <w:sz w:val="28"/>
          <w:szCs w:val="28"/>
          <w:highlight w:val="none"/>
          <w:u w:val="single"/>
        </w:rPr>
        <w:t>罚款2000元/次</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 工程照管与成品、半成品保护</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承包人负责照管工程及工程相关的材料、工程设备的起始时间：</w:t>
      </w:r>
      <w:r>
        <w:rPr>
          <w:rFonts w:hint="eastAsia" w:ascii="仿宋" w:hAnsi="仿宋" w:eastAsia="仿宋" w:cs="仿宋"/>
          <w:kern w:val="0"/>
          <w:sz w:val="28"/>
          <w:szCs w:val="28"/>
          <w:highlight w:val="none"/>
          <w:u w:val="single"/>
        </w:rPr>
        <w:t>从开工之日起至工程交付发包人使用止</w:t>
      </w:r>
      <w:r>
        <w:rPr>
          <w:rFonts w:hint="eastAsia" w:ascii="仿宋" w:hAnsi="仿宋" w:eastAsia="仿宋" w:cs="仿宋"/>
          <w:kern w:val="0"/>
          <w:sz w:val="28"/>
          <w:szCs w:val="28"/>
          <w:highlight w:val="none"/>
        </w:rPr>
        <w:t>。</w:t>
      </w:r>
    </w:p>
    <w:p>
      <w:pPr>
        <w:spacing w:before="120" w:after="120" w:line="460" w:lineRule="exact"/>
        <w:ind w:firstLine="562" w:firstLineChars="200"/>
        <w:jc w:val="left"/>
        <w:rPr>
          <w:rFonts w:hint="eastAsia" w:ascii="仿宋" w:hAnsi="仿宋" w:eastAsia="仿宋" w:cs="仿宋"/>
          <w:b/>
          <w:sz w:val="28"/>
          <w:szCs w:val="28"/>
          <w:highlight w:val="none"/>
        </w:rPr>
      </w:pPr>
      <w:bookmarkStart w:id="133" w:name="_Toc296944501"/>
      <w:bookmarkStart w:id="134" w:name="_Toc267251413"/>
      <w:bookmarkStart w:id="135" w:name="_Toc292559366"/>
      <w:bookmarkStart w:id="136" w:name="_Toc297048348"/>
      <w:bookmarkStart w:id="137" w:name="_Toc297120462"/>
      <w:bookmarkStart w:id="138" w:name="_Toc296503162"/>
      <w:bookmarkStart w:id="139" w:name="_Toc296346663"/>
      <w:bookmarkStart w:id="140" w:name="_Toc296891202"/>
      <w:bookmarkStart w:id="141" w:name="_Toc296347161"/>
      <w:bookmarkStart w:id="142" w:name="_Toc292559871"/>
      <w:bookmarkStart w:id="143" w:name="_Toc296890990"/>
      <w:r>
        <w:rPr>
          <w:rFonts w:hint="eastAsia" w:ascii="仿宋" w:hAnsi="仿宋" w:eastAsia="仿宋" w:cs="仿宋"/>
          <w:b/>
          <w:sz w:val="28"/>
          <w:szCs w:val="28"/>
          <w:highlight w:val="none"/>
        </w:rPr>
        <w:t>4、监</w:t>
      </w:r>
      <w:bookmarkEnd w:id="133"/>
      <w:bookmarkEnd w:id="134"/>
      <w:bookmarkEnd w:id="135"/>
      <w:bookmarkEnd w:id="136"/>
      <w:bookmarkEnd w:id="137"/>
      <w:bookmarkEnd w:id="138"/>
      <w:bookmarkEnd w:id="139"/>
      <w:bookmarkEnd w:id="140"/>
      <w:bookmarkEnd w:id="141"/>
      <w:bookmarkEnd w:id="142"/>
      <w:bookmarkEnd w:id="143"/>
      <w:r>
        <w:rPr>
          <w:rFonts w:hint="eastAsia" w:ascii="仿宋" w:hAnsi="仿宋" w:eastAsia="仿宋" w:cs="仿宋"/>
          <w:b/>
          <w:sz w:val="28"/>
          <w:szCs w:val="28"/>
          <w:highlight w:val="none"/>
        </w:rPr>
        <w:t>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4.1监理人的一般规定</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关于监理人的监理内容：</w:t>
      </w:r>
      <w:r>
        <w:rPr>
          <w:rFonts w:hint="eastAsia" w:ascii="仿宋" w:hAnsi="仿宋" w:eastAsia="仿宋" w:cs="仿宋"/>
          <w:sz w:val="28"/>
          <w:szCs w:val="28"/>
          <w:highlight w:val="none"/>
          <w:u w:val="single"/>
        </w:rPr>
        <w:t>承担工程质量、安全_、施工进度的监督（参与本工程全过程施工工程质量、安全生产的监督），包括后期签证、变更、结算审核等相关内容。</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关于监理人的监理权限：</w:t>
      </w:r>
      <w:r>
        <w:rPr>
          <w:rFonts w:hint="eastAsia" w:ascii="仿宋" w:hAnsi="仿宋" w:eastAsia="仿宋" w:cs="仿宋"/>
          <w:sz w:val="28"/>
          <w:szCs w:val="28"/>
          <w:highlight w:val="none"/>
          <w:u w:val="single"/>
        </w:rPr>
        <w:t>重大工程的计量、增加清单以外的工程项目、设计变更、单价调整等。</w:t>
      </w:r>
      <w:r>
        <w:rPr>
          <w:rFonts w:hint="eastAsia" w:ascii="仿宋" w:hAnsi="仿宋" w:eastAsia="仿宋" w:cs="仿宋"/>
          <w:sz w:val="28"/>
          <w:szCs w:val="28"/>
          <w:highlight w:val="none"/>
        </w:rPr>
        <w:t xml:space="preserve">。 </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 监理人员</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总监理工程师：</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职    务：</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监理工程师执业资格证书号：</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rPr>
        <w:t>   </w:t>
      </w:r>
      <w:r>
        <w:rPr>
          <w:rFonts w:hint="eastAsia" w:ascii="仿宋" w:hAnsi="仿宋" w:eastAsia="仿宋" w:cs="仿宋"/>
          <w:sz w:val="28"/>
          <w:szCs w:val="28"/>
          <w:highlight w:val="none"/>
        </w:rPr>
        <w:t>；关于监理人的其他约定：</w:t>
      </w:r>
      <w:r>
        <w:rPr>
          <w:rFonts w:hint="eastAsia" w:ascii="仿宋" w:hAnsi="仿宋" w:eastAsia="仿宋" w:cs="仿宋"/>
          <w:sz w:val="28"/>
          <w:szCs w:val="28"/>
          <w:highlight w:val="none"/>
          <w:u w:val="single"/>
        </w:rPr>
        <w:t>对工程施工过程中质量、进度、造价、安全生产、文明施工及质量缺陷进行全过程监理。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4.3 商定或确定</w:t>
      </w:r>
    </w:p>
    <w:p>
      <w:pPr>
        <w:spacing w:line="460" w:lineRule="exact"/>
        <w:ind w:firstLine="560" w:firstLineChars="200"/>
        <w:rPr>
          <w:rFonts w:hint="eastAsia" w:ascii="仿宋" w:hAnsi="仿宋" w:eastAsia="仿宋" w:cs="仿宋"/>
          <w:sz w:val="28"/>
          <w:szCs w:val="28"/>
          <w:highlight w:val="none"/>
        </w:rPr>
      </w:pPr>
      <w:bookmarkStart w:id="144" w:name="_Toc267251418"/>
      <w:r>
        <w:rPr>
          <w:rFonts w:hint="eastAsia" w:ascii="仿宋" w:hAnsi="仿宋" w:eastAsia="仿宋" w:cs="仿宋"/>
          <w:sz w:val="28"/>
          <w:szCs w:val="28"/>
          <w:highlight w:val="none"/>
        </w:rPr>
        <w:t>在发包人和承包人不能通过协商达成一致意见时，发包人授权监理人对以下事项进行确定：</w:t>
      </w:r>
      <w:bookmarkStart w:id="145" w:name="_Toc351203637"/>
      <w:r>
        <w:rPr>
          <w:rFonts w:hint="eastAsia" w:ascii="仿宋" w:hAnsi="仿宋" w:eastAsia="仿宋" w:cs="仿宋"/>
          <w:sz w:val="28"/>
          <w:szCs w:val="28"/>
          <w:highlight w:val="none"/>
          <w:u w:val="single"/>
        </w:rPr>
        <w:t>发包人、监理人和承包人共同协商。</w:t>
      </w:r>
    </w:p>
    <w:p>
      <w:pPr>
        <w:spacing w:before="120" w:after="120"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5</w:t>
      </w:r>
      <w:bookmarkEnd w:id="144"/>
      <w:bookmarkStart w:id="146" w:name="_Toc297048349"/>
      <w:bookmarkStart w:id="147" w:name="_Toc296346664"/>
      <w:bookmarkStart w:id="148" w:name="_Toc292559367"/>
      <w:bookmarkStart w:id="149" w:name="_Toc296347162"/>
      <w:bookmarkStart w:id="150" w:name="_Toc297120463"/>
      <w:bookmarkStart w:id="151" w:name="_Toc296891203"/>
      <w:bookmarkStart w:id="152" w:name="_Toc296503163"/>
      <w:bookmarkStart w:id="153" w:name="_Toc296944502"/>
      <w:bookmarkStart w:id="154" w:name="_Toc296890991"/>
      <w:bookmarkStart w:id="155" w:name="_Toc292559872"/>
      <w:r>
        <w:rPr>
          <w:rFonts w:hint="eastAsia" w:ascii="仿宋" w:hAnsi="仿宋" w:eastAsia="仿宋" w:cs="仿宋"/>
          <w:b/>
          <w:sz w:val="28"/>
          <w:szCs w:val="28"/>
          <w:highlight w:val="none"/>
        </w:rPr>
        <w:t>. 工程质量</w:t>
      </w:r>
      <w:bookmarkEnd w:id="145"/>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5.1 质量要求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特殊质量标准和要求：</w:t>
      </w:r>
      <w:r>
        <w:rPr>
          <w:rFonts w:hint="eastAsia" w:ascii="仿宋" w:hAnsi="仿宋" w:eastAsia="仿宋" w:cs="仿宋"/>
          <w:sz w:val="28"/>
          <w:szCs w:val="28"/>
          <w:highlight w:val="none"/>
          <w:u w:val="single"/>
        </w:rPr>
        <w:t>按现行质量验收合格标准执行</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竣工验收前施工单位须提供第三方专业空气质量检测单位（须取得了中国计量认证（CMA）的资质认定）检测合格的报告（检测指标包括TVOC、甲醛、苯、氨、氡），检测要求按照GB50325-2010（2013版）执行，否则不予验收。</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5.2隐蔽工程检查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承包人提前通知监理人隐蔽工程检查的期限的约定：</w:t>
      </w:r>
      <w:r>
        <w:rPr>
          <w:rFonts w:hint="eastAsia" w:ascii="仿宋" w:hAnsi="仿宋" w:eastAsia="仿宋" w:cs="仿宋"/>
          <w:sz w:val="28"/>
          <w:szCs w:val="28"/>
          <w:highlight w:val="none"/>
          <w:u w:val="single"/>
        </w:rPr>
        <w:t>提前2天通知监理人和发包人</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监理人不能按时进行检查时，应提前</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小时提交书面延期要求。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小时。</w:t>
      </w:r>
    </w:p>
    <w:p>
      <w:pPr>
        <w:spacing w:before="120" w:after="120" w:line="460" w:lineRule="exact"/>
        <w:ind w:firstLine="562" w:firstLineChars="200"/>
        <w:jc w:val="left"/>
        <w:rPr>
          <w:rFonts w:hint="eastAsia" w:ascii="仿宋" w:hAnsi="仿宋" w:eastAsia="仿宋" w:cs="仿宋"/>
          <w:b/>
          <w:sz w:val="28"/>
          <w:szCs w:val="28"/>
          <w:highlight w:val="none"/>
        </w:rPr>
      </w:pPr>
      <w:bookmarkStart w:id="156" w:name="_Toc351203638"/>
      <w:r>
        <w:rPr>
          <w:rFonts w:hint="eastAsia" w:ascii="仿宋" w:hAnsi="仿宋" w:eastAsia="仿宋" w:cs="仿宋"/>
          <w:b/>
          <w:sz w:val="28"/>
          <w:szCs w:val="28"/>
          <w:highlight w:val="none"/>
        </w:rPr>
        <w:t>6. 安全文明施工与环境保护</w:t>
      </w:r>
      <w:bookmarkEnd w:id="156"/>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承包人应按照法律规定进行施工，开工前做好安全技术交底工作，施工过程中做好各项安全防护措施。</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承包人在工程施工期间，应当采取措施保持施工现场平整，物料堆放整齐。工程所在地有关政府行政管理部门有特殊要求的，按照其要求执行。</w:t>
      </w:r>
    </w:p>
    <w:p>
      <w:pPr>
        <w:spacing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7</w:t>
      </w:r>
      <w:bookmarkStart w:id="157" w:name="_Toc303539125"/>
      <w:bookmarkStart w:id="158" w:name="_Toc304295546"/>
      <w:bookmarkStart w:id="159" w:name="_Toc297123516"/>
      <w:bookmarkStart w:id="160" w:name="_Toc300934968"/>
      <w:bookmarkStart w:id="161" w:name="_Toc297216175"/>
      <w:bookmarkStart w:id="162" w:name="_Toc312678010"/>
      <w:bookmarkStart w:id="163" w:name="_Toc312677484"/>
      <w:r>
        <w:rPr>
          <w:rFonts w:hint="eastAsia" w:ascii="仿宋" w:hAnsi="仿宋" w:eastAsia="仿宋" w:cs="仿宋"/>
          <w:b/>
          <w:sz w:val="28"/>
          <w:szCs w:val="28"/>
          <w:highlight w:val="none"/>
        </w:rPr>
        <w:t>. 工期延误</w:t>
      </w:r>
    </w:p>
    <w:bookmarkEnd w:id="157"/>
    <w:bookmarkEnd w:id="158"/>
    <w:bookmarkEnd w:id="159"/>
    <w:bookmarkEnd w:id="160"/>
    <w:bookmarkEnd w:id="161"/>
    <w:bookmarkEnd w:id="162"/>
    <w:bookmarkEnd w:id="163"/>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 1 因发包人原因导致工期延误</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工期顺延，合同价不改变。</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164" w:name="_Toc318581169"/>
      <w:bookmarkStart w:id="165" w:name="_Toc312677486"/>
      <w:bookmarkStart w:id="166" w:name="_Toc312678012"/>
      <w:bookmarkStart w:id="167" w:name="_Toc297123518"/>
      <w:bookmarkStart w:id="168" w:name="_Toc303539127"/>
      <w:bookmarkStart w:id="169" w:name="_Toc297216177"/>
      <w:bookmarkStart w:id="170" w:name="_Toc300934970"/>
      <w:bookmarkStart w:id="171" w:name="_Toc304295548"/>
      <w:r>
        <w:rPr>
          <w:rFonts w:hint="eastAsia" w:ascii="仿宋" w:hAnsi="仿宋" w:eastAsia="仿宋" w:cs="仿宋"/>
          <w:sz w:val="28"/>
          <w:szCs w:val="28"/>
          <w:highlight w:val="none"/>
        </w:rPr>
        <w:t>.2 因承包人原因导致工期延误</w:t>
      </w:r>
    </w:p>
    <w:bookmarkEnd w:id="164"/>
    <w:bookmarkEnd w:id="165"/>
    <w:bookmarkEnd w:id="166"/>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w:t>
      </w:r>
      <w:bookmarkStart w:id="172" w:name="_Toc312677487"/>
      <w:bookmarkStart w:id="173" w:name="_Toc312678013"/>
      <w:bookmarkStart w:id="174" w:name="_Toc318581170"/>
      <w:r>
        <w:rPr>
          <w:rFonts w:hint="eastAsia" w:ascii="仿宋" w:hAnsi="仿宋" w:eastAsia="仿宋" w:cs="仿宋"/>
          <w:sz w:val="28"/>
          <w:szCs w:val="28"/>
          <w:highlight w:val="none"/>
        </w:rPr>
        <w:t>承包人原因造成工期延误，逾期竣工违约金的计算方法为：</w:t>
      </w:r>
      <w:r>
        <w:rPr>
          <w:rFonts w:hint="eastAsia" w:ascii="仿宋" w:hAnsi="仿宋" w:eastAsia="仿宋" w:cs="仿宋"/>
          <w:sz w:val="28"/>
          <w:szCs w:val="28"/>
          <w:highlight w:val="none"/>
          <w:u w:val="single"/>
        </w:rPr>
        <w:t>工期每拖延1天支付合同结算金额的0.1%的违约金</w:t>
      </w:r>
      <w:r>
        <w:rPr>
          <w:rFonts w:hint="eastAsia" w:ascii="仿宋" w:hAnsi="仿宋" w:eastAsia="仿宋" w:cs="仿宋"/>
          <w:sz w:val="28"/>
          <w:szCs w:val="28"/>
          <w:highlight w:val="none"/>
        </w:rPr>
        <w:t>。</w:t>
      </w:r>
      <w:bookmarkEnd w:id="167"/>
      <w:bookmarkEnd w:id="168"/>
      <w:bookmarkEnd w:id="169"/>
      <w:bookmarkEnd w:id="170"/>
      <w:bookmarkEnd w:id="171"/>
      <w:bookmarkEnd w:id="172"/>
      <w:bookmarkEnd w:id="173"/>
    </w:p>
    <w:bookmarkEnd w:id="174"/>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因承包人原因造成工期延误，逾</w:t>
      </w:r>
      <w:bookmarkStart w:id="175" w:name="_Toc312678014"/>
      <w:bookmarkStart w:id="176" w:name="_Toc318581171"/>
      <w:r>
        <w:rPr>
          <w:rFonts w:hint="eastAsia" w:ascii="仿宋" w:hAnsi="仿宋" w:eastAsia="仿宋" w:cs="仿宋"/>
          <w:sz w:val="28"/>
          <w:szCs w:val="28"/>
          <w:highlight w:val="none"/>
        </w:rPr>
        <w:t>期竣工违约金的上限：</w:t>
      </w:r>
      <w:r>
        <w:rPr>
          <w:rFonts w:hint="eastAsia" w:ascii="仿宋" w:hAnsi="仿宋" w:eastAsia="仿宋" w:cs="仿宋"/>
          <w:sz w:val="28"/>
          <w:szCs w:val="28"/>
          <w:highlight w:val="none"/>
          <w:u w:val="single"/>
        </w:rPr>
        <w:t>合同价款的10%</w:t>
      </w:r>
      <w:r>
        <w:rPr>
          <w:rFonts w:hint="eastAsia" w:ascii="仿宋" w:hAnsi="仿宋" w:eastAsia="仿宋" w:cs="仿宋"/>
          <w:sz w:val="28"/>
          <w:szCs w:val="28"/>
          <w:highlight w:val="none"/>
        </w:rPr>
        <w:t>。</w:t>
      </w:r>
    </w:p>
    <w:bookmarkEnd w:id="175"/>
    <w:bookmarkEnd w:id="176"/>
    <w:p>
      <w:pPr>
        <w:spacing w:before="120" w:after="120" w:line="460" w:lineRule="exact"/>
        <w:ind w:firstLine="562" w:firstLineChars="200"/>
        <w:jc w:val="left"/>
        <w:rPr>
          <w:rFonts w:hint="eastAsia" w:ascii="仿宋" w:hAnsi="仿宋" w:eastAsia="仿宋" w:cs="仿宋"/>
          <w:b/>
          <w:sz w:val="28"/>
          <w:szCs w:val="28"/>
          <w:highlight w:val="none"/>
        </w:rPr>
      </w:pPr>
      <w:bookmarkStart w:id="177" w:name="_Toc351203640"/>
      <w:r>
        <w:rPr>
          <w:rFonts w:hint="eastAsia" w:ascii="仿宋" w:hAnsi="仿宋" w:eastAsia="仿宋" w:cs="仿宋"/>
          <w:b/>
          <w:sz w:val="28"/>
          <w:szCs w:val="28"/>
          <w:highlight w:val="none"/>
        </w:rPr>
        <w:t>8. 材料与设备</w:t>
      </w:r>
      <w:bookmarkEnd w:id="177"/>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8.1承包人采购材料与工程设备</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承包人应按照设计和有关标准要求采购，并提供产品合格证明及出厂证明，对材料、工程设备质量负责。</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中标所报单价均不调整。若有特殊原因需更换品牌，在采购前2个月报监理人及发包人，经监理人及发包人认可后方能采购。</w:t>
      </w:r>
      <w:r>
        <w:rPr>
          <w:rFonts w:hint="eastAsia" w:ascii="仿宋" w:hAnsi="仿宋" w:eastAsia="仿宋" w:cs="仿宋"/>
          <w:b/>
          <w:sz w:val="28"/>
          <w:szCs w:val="28"/>
          <w:highlight w:val="none"/>
          <w:u w:val="single"/>
        </w:rPr>
        <w:t>未经发包人进行质量认定的主要材料，不得用于本工程项目，若因此给发包人造成的损失则由承包人承担。</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46"/>
    <w:bookmarkEnd w:id="147"/>
    <w:bookmarkEnd w:id="148"/>
    <w:bookmarkEnd w:id="149"/>
    <w:bookmarkEnd w:id="150"/>
    <w:bookmarkEnd w:id="151"/>
    <w:bookmarkEnd w:id="152"/>
    <w:bookmarkEnd w:id="153"/>
    <w:bookmarkEnd w:id="154"/>
    <w:bookmarkEnd w:id="155"/>
    <w:p>
      <w:pPr>
        <w:spacing w:line="460" w:lineRule="exact"/>
        <w:ind w:firstLine="560" w:firstLineChars="200"/>
        <w:jc w:val="left"/>
        <w:rPr>
          <w:rFonts w:hint="eastAsia" w:ascii="仿宋" w:hAnsi="仿宋" w:eastAsia="仿宋" w:cs="仿宋"/>
          <w:kern w:val="0"/>
          <w:sz w:val="28"/>
          <w:szCs w:val="28"/>
          <w:highlight w:val="none"/>
          <w:u w:val="single"/>
        </w:rPr>
      </w:pPr>
      <w:bookmarkStart w:id="178" w:name="_Toc303539137"/>
      <w:bookmarkStart w:id="179" w:name="_Toc296891208"/>
      <w:bookmarkStart w:id="180" w:name="_Toc267251424"/>
      <w:bookmarkStart w:id="181" w:name="_Toc312678020"/>
      <w:bookmarkStart w:id="182" w:name="_Toc296890996"/>
      <w:bookmarkStart w:id="183" w:name="_Toc280868656"/>
      <w:bookmarkStart w:id="184" w:name="_Toc296346669"/>
      <w:bookmarkStart w:id="185" w:name="_Toc312677494"/>
      <w:bookmarkStart w:id="186" w:name="_Toc297216187"/>
      <w:bookmarkStart w:id="187" w:name="_Toc297123528"/>
      <w:bookmarkStart w:id="188" w:name="_Toc280868655"/>
      <w:bookmarkStart w:id="189" w:name="_Toc296347167"/>
      <w:bookmarkStart w:id="190" w:name="_Toc297048354"/>
      <w:bookmarkStart w:id="191" w:name="_Toc318581173"/>
      <w:bookmarkStart w:id="192" w:name="_Toc304295557"/>
      <w:bookmarkStart w:id="193" w:name="_Toc297120468"/>
      <w:bookmarkStart w:id="194" w:name="_Toc300934980"/>
      <w:bookmarkStart w:id="195" w:name="_Toc296944507"/>
      <w:bookmarkStart w:id="196" w:name="_Toc296503168"/>
      <w:r>
        <w:rPr>
          <w:rFonts w:hint="eastAsia" w:ascii="仿宋" w:hAnsi="仿宋" w:eastAsia="仿宋" w:cs="仿宋"/>
          <w:sz w:val="28"/>
          <w:szCs w:val="28"/>
          <w:highlight w:val="none"/>
        </w:rPr>
        <w:t>8.2 样品</w:t>
      </w:r>
    </w:p>
    <w:p>
      <w:pPr>
        <w:autoSpaceDE w:val="0"/>
        <w:autoSpaceDN w:val="0"/>
        <w:adjustRightInd w:val="0"/>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样品的报送与封存</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需要承包人报送样品的材料或工程设备，样品的种类、名称、规格、数量要求：</w:t>
      </w:r>
      <w:r>
        <w:rPr>
          <w:rFonts w:hint="eastAsia" w:ascii="仿宋" w:hAnsi="仿宋" w:eastAsia="仿宋" w:cs="仿宋"/>
          <w:sz w:val="28"/>
          <w:szCs w:val="28"/>
          <w:highlight w:val="none"/>
          <w:u w:val="single"/>
        </w:rPr>
        <w:t>材料在采购前应将样品送发包人，经发包人认可进行封样后方可进行采购，承包人投标时已将可能发生的费用自行充分考虑在报价中包干使用，不另行签证</w:t>
      </w:r>
      <w:r>
        <w:rPr>
          <w:rFonts w:hint="eastAsia" w:ascii="仿宋" w:hAnsi="仿宋" w:eastAsia="仿宋" w:cs="仿宋"/>
          <w:sz w:val="28"/>
          <w:szCs w:val="28"/>
          <w:highlight w:val="none"/>
        </w:rPr>
        <w:t>。</w:t>
      </w:r>
    </w:p>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Pr>
        <w:autoSpaceDE w:val="0"/>
        <w:autoSpaceDN w:val="0"/>
        <w:adjustRightInd w:val="0"/>
        <w:spacing w:before="120" w:after="120" w:line="460" w:lineRule="exact"/>
        <w:ind w:firstLine="562" w:firstLineChars="200"/>
        <w:jc w:val="left"/>
        <w:rPr>
          <w:rFonts w:hint="eastAsia" w:ascii="仿宋" w:hAnsi="仿宋" w:eastAsia="仿宋" w:cs="仿宋"/>
          <w:b/>
          <w:sz w:val="28"/>
          <w:szCs w:val="28"/>
          <w:highlight w:val="none"/>
        </w:rPr>
      </w:pPr>
      <w:bookmarkStart w:id="197" w:name="_Toc297123540"/>
      <w:bookmarkStart w:id="198" w:name="_Toc292559903"/>
      <w:bookmarkStart w:id="199" w:name="_Toc296944532"/>
      <w:bookmarkStart w:id="200" w:name="_Toc296891233"/>
      <w:bookmarkStart w:id="201" w:name="_Toc303539146"/>
      <w:bookmarkStart w:id="202" w:name="_Toc297048379"/>
      <w:bookmarkStart w:id="203" w:name="_Toc296347192"/>
      <w:bookmarkStart w:id="204" w:name="_Toc292559398"/>
      <w:bookmarkStart w:id="205" w:name="_Toc296891021"/>
      <w:bookmarkStart w:id="206" w:name="_Toc300934989"/>
      <w:bookmarkStart w:id="207" w:name="_Toc297120493"/>
      <w:bookmarkStart w:id="208" w:name="_Toc296346694"/>
      <w:bookmarkStart w:id="209" w:name="_Toc351203642"/>
      <w:bookmarkStart w:id="210" w:name="_Toc296503193"/>
      <w:bookmarkStart w:id="211" w:name="_Toc304295566"/>
      <w:bookmarkStart w:id="212" w:name="_Toc297216199"/>
      <w:bookmarkStart w:id="213" w:name="_Toc312677499"/>
      <w:bookmarkStart w:id="214" w:name="_Toc312678025"/>
      <w:bookmarkStart w:id="215" w:name="_Toc267251439"/>
      <w:bookmarkStart w:id="216" w:name="_Toc267251440"/>
      <w:bookmarkStart w:id="217" w:name="_Toc267251433"/>
      <w:bookmarkStart w:id="218" w:name="_Toc267251441"/>
      <w:bookmarkStart w:id="219" w:name="_Toc267251437"/>
      <w:bookmarkStart w:id="220" w:name="_Toc267251435"/>
      <w:r>
        <w:rPr>
          <w:rFonts w:hint="eastAsia" w:ascii="仿宋" w:hAnsi="仿宋" w:eastAsia="仿宋" w:cs="仿宋"/>
          <w:b/>
          <w:sz w:val="28"/>
          <w:szCs w:val="28"/>
          <w:highlight w:val="none"/>
        </w:rPr>
        <w:t>9. 变更</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bookmarkEnd w:id="213"/>
    <w:bookmarkEnd w:id="214"/>
    <w:p>
      <w:pPr>
        <w:spacing w:line="460" w:lineRule="exact"/>
        <w:ind w:firstLine="560" w:firstLineChars="200"/>
        <w:rPr>
          <w:rFonts w:hint="eastAsia" w:ascii="仿宋" w:hAnsi="仿宋" w:eastAsia="仿宋" w:cs="仿宋"/>
          <w:sz w:val="28"/>
          <w:szCs w:val="28"/>
          <w:highlight w:val="none"/>
        </w:rPr>
      </w:pPr>
      <w:bookmarkStart w:id="221" w:name="_Toc296944533"/>
      <w:bookmarkStart w:id="222" w:name="_Toc296346695"/>
      <w:bookmarkStart w:id="223" w:name="_Toc297123541"/>
      <w:bookmarkStart w:id="224" w:name="_Toc292559904"/>
      <w:bookmarkStart w:id="225" w:name="_Toc297216200"/>
      <w:bookmarkStart w:id="226" w:name="_Toc304295567"/>
      <w:bookmarkStart w:id="227" w:name="_Toc303539147"/>
      <w:bookmarkStart w:id="228" w:name="_Toc296891234"/>
      <w:bookmarkStart w:id="229" w:name="_Toc297048380"/>
      <w:bookmarkStart w:id="230" w:name="_Toc292559399"/>
      <w:bookmarkStart w:id="231" w:name="_Toc312678026"/>
      <w:bookmarkStart w:id="232" w:name="_Toc297120494"/>
      <w:bookmarkStart w:id="233" w:name="_Toc312677500"/>
      <w:bookmarkStart w:id="234" w:name="_Toc296891022"/>
      <w:bookmarkStart w:id="235" w:name="_Toc296503194"/>
      <w:bookmarkStart w:id="236" w:name="_Toc296347193"/>
      <w:bookmarkStart w:id="237" w:name="_Toc300934990"/>
      <w:r>
        <w:rPr>
          <w:rFonts w:hint="eastAsia" w:ascii="仿宋" w:hAnsi="仿宋" w:eastAsia="仿宋" w:cs="仿宋"/>
          <w:sz w:val="28"/>
          <w:szCs w:val="28"/>
          <w:highlight w:val="none"/>
        </w:rPr>
        <w:t>9.1变更的范围</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关于变更的范围的约定：</w:t>
      </w:r>
      <w:r>
        <w:rPr>
          <w:rFonts w:hint="eastAsia" w:ascii="仿宋" w:hAnsi="仿宋" w:eastAsia="仿宋" w:cs="仿宋"/>
          <w:sz w:val="28"/>
          <w:szCs w:val="28"/>
          <w:highlight w:val="none"/>
          <w:u w:val="single"/>
        </w:rPr>
        <w:t>由发包人确定。</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9.2 变更估价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变更估价原则:关于变更估价的约定按下列方法进行：</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1）已标价工程量清单中已有适用于变更工程的价格，按已标价工程量清单中已有的价格变更合同价款；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2）已标价工程量清单中只有类似于变更工程的价格，可以参照类似价格变更合同价款。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3）已标价工程量清单中没有适用或类似于变更工程价格的，该项目需重新确定综合单价。</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重新确定综合单价办法：按2020《四川省建设工程工程量清单计价定额》及相关配套文件组价后乘以投标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Pr>
        <w:spacing w:line="460" w:lineRule="exact"/>
        <w:ind w:firstLine="560" w:firstLineChars="200"/>
        <w:rPr>
          <w:rFonts w:hint="eastAsia" w:ascii="仿宋" w:hAnsi="仿宋" w:eastAsia="仿宋" w:cs="仿宋"/>
          <w:sz w:val="28"/>
          <w:szCs w:val="28"/>
          <w:highlight w:val="none"/>
        </w:rPr>
      </w:pPr>
      <w:bookmarkStart w:id="238" w:name="_Toc337558796"/>
      <w:bookmarkStart w:id="239" w:name="_Toc296346592"/>
      <w:bookmarkStart w:id="240" w:name="_Toc296503091"/>
      <w:bookmarkStart w:id="241" w:name="_Toc351203576"/>
      <w:r>
        <w:rPr>
          <w:rFonts w:hint="eastAsia" w:ascii="仿宋" w:hAnsi="仿宋" w:eastAsia="仿宋" w:cs="仿宋"/>
          <w:sz w:val="28"/>
          <w:szCs w:val="28"/>
          <w:highlight w:val="none"/>
        </w:rPr>
        <w:t>9.3计日工</w:t>
      </w:r>
      <w:bookmarkEnd w:id="238"/>
      <w:bookmarkEnd w:id="239"/>
      <w:bookmarkEnd w:id="240"/>
      <w:bookmarkEnd w:id="241"/>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9.4暂列金</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暂列金属于发包人所有。只能按照监理人的指示并在发包人同意后使用，并对合同价格进行相应调整。</w:t>
      </w:r>
    </w:p>
    <w:p>
      <w:pPr>
        <w:autoSpaceDE w:val="0"/>
        <w:autoSpaceDN w:val="0"/>
        <w:adjustRightInd w:val="0"/>
        <w:spacing w:before="120" w:after="120" w:line="460" w:lineRule="exact"/>
        <w:ind w:firstLine="562" w:firstLineChars="200"/>
        <w:jc w:val="left"/>
        <w:rPr>
          <w:rFonts w:hint="eastAsia" w:ascii="仿宋" w:hAnsi="仿宋" w:eastAsia="仿宋" w:cs="仿宋"/>
          <w:b/>
          <w:sz w:val="28"/>
          <w:szCs w:val="28"/>
          <w:highlight w:val="none"/>
        </w:rPr>
      </w:pPr>
      <w:bookmarkStart w:id="242" w:name="_Toc351203643"/>
      <w:r>
        <w:rPr>
          <w:rFonts w:hint="eastAsia" w:ascii="仿宋" w:hAnsi="仿宋" w:eastAsia="仿宋" w:cs="仿宋"/>
          <w:b/>
          <w:sz w:val="28"/>
          <w:szCs w:val="28"/>
          <w:highlight w:val="none"/>
        </w:rPr>
        <w:t>10. 价格调整</w:t>
      </w:r>
      <w:bookmarkEnd w:id="242"/>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1)新增材料价格确定采用造价信息进行价格调整。信息价中没有的材料由发包人组织认质认价确定。</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a.圆钢（Φ10以内）、圆钢（Φ10以上）、螺纹钢HRB400、HRB400E，均以成都市《工程造价信息》中“市(区)县市场价格”中成都市的市场综合价作为施工当期信息价。</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b.钢结构中钢材（Q345B，Q235B，Q235等）均按成都市《工程造价信息》 “市场价格”中成都市的市场价格中厚板（Q235（各种厚度））的信息价作为施工当期信息价。</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pPr>
        <w:spacing w:line="460" w:lineRule="exact"/>
        <w:ind w:firstLine="536" w:firstLineChars="200"/>
        <w:jc w:val="left"/>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2)可调材料价格调整:本项目无可调材料。</w:t>
      </w:r>
    </w:p>
    <w:bookmarkEnd w:id="215"/>
    <w:bookmarkEnd w:id="216"/>
    <w:bookmarkEnd w:id="217"/>
    <w:bookmarkEnd w:id="218"/>
    <w:bookmarkEnd w:id="219"/>
    <w:bookmarkEnd w:id="220"/>
    <w:p>
      <w:pPr>
        <w:spacing w:before="120" w:after="120" w:line="460" w:lineRule="exact"/>
        <w:ind w:firstLine="562" w:firstLineChars="200"/>
        <w:jc w:val="left"/>
        <w:rPr>
          <w:rFonts w:hint="eastAsia" w:ascii="仿宋" w:hAnsi="仿宋" w:eastAsia="仿宋" w:cs="仿宋"/>
          <w:b/>
          <w:sz w:val="28"/>
          <w:szCs w:val="28"/>
          <w:highlight w:val="none"/>
        </w:rPr>
      </w:pPr>
      <w:bookmarkStart w:id="243" w:name="_Toc296503205"/>
      <w:bookmarkStart w:id="244" w:name="_Toc296891033"/>
      <w:bookmarkStart w:id="245" w:name="_Toc292559915"/>
      <w:bookmarkStart w:id="246" w:name="_Toc292559410"/>
      <w:bookmarkStart w:id="247" w:name="_Toc296891245"/>
      <w:bookmarkStart w:id="248" w:name="_Toc297048391"/>
      <w:bookmarkStart w:id="249" w:name="_Toc296347204"/>
      <w:bookmarkStart w:id="250" w:name="_Toc297120505"/>
      <w:bookmarkStart w:id="251" w:name="_Toc296944544"/>
      <w:bookmarkStart w:id="252" w:name="_Toc296346706"/>
      <w:bookmarkStart w:id="253" w:name="_Toc351203644"/>
      <w:bookmarkStart w:id="254" w:name="_Toc297123552"/>
      <w:bookmarkStart w:id="255" w:name="_Toc297216211"/>
      <w:bookmarkStart w:id="256" w:name="_Toc304295579"/>
      <w:bookmarkStart w:id="257" w:name="_Toc300935002"/>
      <w:bookmarkStart w:id="258" w:name="_Toc303539159"/>
      <w:bookmarkStart w:id="259" w:name="_Toc312678040"/>
      <w:r>
        <w:rPr>
          <w:rFonts w:hint="eastAsia" w:ascii="仿宋" w:hAnsi="仿宋" w:eastAsia="仿宋" w:cs="仿宋"/>
          <w:b/>
          <w:sz w:val="28"/>
          <w:szCs w:val="28"/>
          <w:highlight w:val="none"/>
        </w:rPr>
        <w:t xml:space="preserve">11. </w:t>
      </w:r>
      <w:bookmarkEnd w:id="243"/>
      <w:bookmarkEnd w:id="244"/>
      <w:bookmarkEnd w:id="245"/>
      <w:bookmarkEnd w:id="246"/>
      <w:bookmarkEnd w:id="247"/>
      <w:bookmarkEnd w:id="248"/>
      <w:bookmarkEnd w:id="249"/>
      <w:bookmarkEnd w:id="250"/>
      <w:bookmarkEnd w:id="251"/>
      <w:bookmarkEnd w:id="252"/>
      <w:r>
        <w:rPr>
          <w:rFonts w:hint="eastAsia" w:ascii="仿宋" w:hAnsi="仿宋" w:eastAsia="仿宋" w:cs="仿宋"/>
          <w:b/>
          <w:sz w:val="28"/>
          <w:szCs w:val="28"/>
          <w:highlight w:val="none"/>
        </w:rPr>
        <w:t>合同价格、计量与支付</w:t>
      </w:r>
      <w:bookmarkEnd w:id="253"/>
    </w:p>
    <w:bookmarkEnd w:id="254"/>
    <w:bookmarkEnd w:id="255"/>
    <w:bookmarkEnd w:id="256"/>
    <w:bookmarkEnd w:id="257"/>
    <w:bookmarkEnd w:id="258"/>
    <w:bookmarkEnd w:id="259"/>
    <w:p>
      <w:pPr>
        <w:spacing w:line="460" w:lineRule="exact"/>
        <w:ind w:firstLine="560" w:firstLineChars="200"/>
        <w:rPr>
          <w:rFonts w:hint="eastAsia" w:ascii="仿宋" w:hAnsi="仿宋" w:eastAsia="仿宋" w:cs="仿宋"/>
          <w:sz w:val="28"/>
          <w:szCs w:val="28"/>
          <w:highlight w:val="none"/>
        </w:rPr>
      </w:pPr>
      <w:bookmarkStart w:id="260" w:name="_Toc292559916"/>
      <w:bookmarkStart w:id="261" w:name="_Toc292559411"/>
      <w:bookmarkStart w:id="262" w:name="_Toc267251461"/>
      <w:bookmarkStart w:id="263" w:name="_Toc296891034"/>
      <w:bookmarkStart w:id="264" w:name="_Toc296891246"/>
      <w:bookmarkStart w:id="265" w:name="_Toc297120506"/>
      <w:bookmarkStart w:id="266" w:name="_Toc296503206"/>
      <w:bookmarkStart w:id="267" w:name="_Toc296944545"/>
      <w:bookmarkStart w:id="268" w:name="_Toc296347205"/>
      <w:bookmarkStart w:id="269" w:name="_Toc296346707"/>
      <w:bookmarkStart w:id="270" w:name="_Toc297048392"/>
      <w:bookmarkStart w:id="271" w:name="_Toc300935003"/>
      <w:bookmarkStart w:id="272" w:name="_Toc297123553"/>
      <w:bookmarkStart w:id="273" w:name="_Toc297216212"/>
      <w:bookmarkStart w:id="274" w:name="_Toc303539160"/>
      <w:bookmarkStart w:id="275" w:name="_Toc304295580"/>
      <w:bookmarkStart w:id="276" w:name="_Toc312678041"/>
      <w:r>
        <w:rPr>
          <w:rFonts w:hint="eastAsia" w:ascii="仿宋" w:hAnsi="仿宋" w:eastAsia="仿宋" w:cs="仿宋"/>
          <w:sz w:val="28"/>
          <w:szCs w:val="28"/>
          <w:highlight w:val="none"/>
        </w:rPr>
        <w:t>合</w:t>
      </w:r>
      <w:bookmarkEnd w:id="260"/>
      <w:bookmarkEnd w:id="261"/>
      <w:bookmarkEnd w:id="262"/>
      <w:r>
        <w:rPr>
          <w:rFonts w:hint="eastAsia" w:ascii="仿宋" w:hAnsi="仿宋" w:eastAsia="仿宋" w:cs="仿宋"/>
          <w:sz w:val="28"/>
          <w:szCs w:val="28"/>
          <w:highlight w:val="none"/>
        </w:rPr>
        <w:t>同价</w:t>
      </w:r>
      <w:bookmarkEnd w:id="263"/>
      <w:bookmarkEnd w:id="264"/>
      <w:bookmarkEnd w:id="265"/>
      <w:bookmarkEnd w:id="266"/>
      <w:bookmarkEnd w:id="267"/>
      <w:bookmarkEnd w:id="268"/>
      <w:bookmarkEnd w:id="269"/>
      <w:bookmarkEnd w:id="270"/>
      <w:r>
        <w:rPr>
          <w:rFonts w:hint="eastAsia" w:ascii="仿宋" w:hAnsi="仿宋" w:eastAsia="仿宋" w:cs="仿宋"/>
          <w:sz w:val="28"/>
          <w:szCs w:val="28"/>
          <w:highlight w:val="none"/>
        </w:rPr>
        <w:t>格形式</w:t>
      </w:r>
      <w:bookmarkEnd w:id="271"/>
      <w:bookmarkEnd w:id="272"/>
      <w:bookmarkEnd w:id="273"/>
      <w:bookmarkEnd w:id="274"/>
      <w:bookmarkEnd w:id="275"/>
      <w:bookmarkEnd w:id="276"/>
      <w:r>
        <w:rPr>
          <w:rFonts w:hint="eastAsia" w:ascii="仿宋" w:hAnsi="仿宋" w:eastAsia="仿宋" w:cs="仿宋"/>
          <w:sz w:val="28"/>
          <w:szCs w:val="28"/>
          <w:highlight w:val="none"/>
        </w:rPr>
        <w:t>:</w:t>
      </w:r>
      <w:r>
        <w:rPr>
          <w:rFonts w:hint="eastAsia" w:ascii="仿宋" w:hAnsi="仿宋" w:eastAsia="仿宋" w:cs="仿宋"/>
          <w:b/>
          <w:sz w:val="28"/>
          <w:szCs w:val="28"/>
          <w:highlight w:val="none"/>
        </w:rPr>
        <w:t xml:space="preserve"> (固定综合单价合同与固定总价合同二选一)</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（1）固定综合单价合同。</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综合单价包含的风险范围：经业主和监理确认的重大设计变更引起的新增项目或发包人提供的工程量清单漏项项目的合同价款调整，工程量以实际为准。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投标报价的价格执行，投标报价上没有的材料价格按招标人认可的价格执行，按工程审定最高限价计价原则编制新增项目单价后，按最高限价与投标报价总体水平同比例下浮确定新增项目单价(其中新增认质认价材料不下浮)。</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r>
        <w:rPr>
          <w:rFonts w:hint="eastAsia" w:ascii="仿宋" w:hAnsi="仿宋" w:eastAsia="仿宋" w:cs="仿宋"/>
          <w:b/>
          <w:sz w:val="28"/>
          <w:szCs w:val="28"/>
          <w:highlight w:val="none"/>
        </w:rPr>
        <w:t>：①措施费：除安全施工费、文明施工费、临时设施费按文件执行外，模板费按投标报价单价执行，工程量按实计算；其余措施费包干使用，不再调整；</w:t>
      </w:r>
      <w:r>
        <w:rPr>
          <w:rFonts w:hint="eastAsia" w:ascii="仿宋" w:hAnsi="仿宋" w:eastAsia="仿宋" w:cs="仿宋"/>
          <w:sz w:val="28"/>
          <w:szCs w:val="28"/>
          <w:highlight w:val="none"/>
        </w:rPr>
        <w:t>②人工费、机械费按政策性文件规定执行，其中机械费的风险系数为±10%。；③实际完成的工程量与清单工程量无论有多大量差，综合单价不作调整；</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（2）固定总价合同。</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总价包含的风险范围：。</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p>
    <w:p>
      <w:pPr>
        <w:spacing w:line="460" w:lineRule="exact"/>
        <w:ind w:firstLine="562" w:firstLineChars="200"/>
        <w:rPr>
          <w:rFonts w:hint="eastAsia" w:ascii="仿宋" w:hAnsi="仿宋" w:eastAsia="仿宋" w:cs="仿宋"/>
          <w:b/>
          <w:sz w:val="28"/>
          <w:szCs w:val="28"/>
          <w:highlight w:val="none"/>
        </w:rPr>
      </w:pPr>
      <w:bookmarkStart w:id="277" w:name="_Toc297123554"/>
      <w:bookmarkStart w:id="278" w:name="_Toc297216213"/>
      <w:bookmarkStart w:id="279" w:name="_Toc303539161"/>
      <w:bookmarkStart w:id="280" w:name="_Toc312678042"/>
      <w:bookmarkStart w:id="281" w:name="_Toc304295581"/>
      <w:bookmarkStart w:id="282" w:name="_Toc300935004"/>
      <w:bookmarkStart w:id="283" w:name="_Toc296503207"/>
      <w:bookmarkStart w:id="284" w:name="_Toc296891035"/>
      <w:bookmarkStart w:id="285" w:name="_Toc296891247"/>
      <w:bookmarkStart w:id="286" w:name="_Toc296944546"/>
      <w:bookmarkStart w:id="287" w:name="_Toc292559412"/>
      <w:bookmarkStart w:id="288" w:name="_Toc296347206"/>
      <w:bookmarkStart w:id="289" w:name="_Toc297048393"/>
      <w:bookmarkStart w:id="290" w:name="_Toc296346708"/>
      <w:bookmarkStart w:id="291" w:name="_Toc297120507"/>
      <w:bookmarkStart w:id="292" w:name="_Toc292559917"/>
      <w:r>
        <w:rPr>
          <w:rFonts w:hint="eastAsia" w:ascii="仿宋" w:hAnsi="仿宋" w:eastAsia="仿宋" w:cs="仿宋"/>
          <w:b/>
          <w:sz w:val="28"/>
          <w:szCs w:val="28"/>
          <w:highlight w:val="none"/>
        </w:rPr>
        <w:t>12. 工程款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12.1履约担保（如果有）</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承包人是否提供履约担保：</w:t>
      </w:r>
      <w:r>
        <w:rPr>
          <w:rFonts w:hint="eastAsia" w:ascii="仿宋" w:hAnsi="仿宋" w:eastAsia="仿宋" w:cs="仿宋"/>
          <w:sz w:val="28"/>
          <w:szCs w:val="28"/>
          <w:highlight w:val="none"/>
          <w:u w:val="single"/>
          <w:lang w:val="en-US" w:eastAsia="zh-CN"/>
        </w:rPr>
        <w:t>采购合同签订后7个工作日内</w:t>
      </w:r>
      <w:r>
        <w:rPr>
          <w:rFonts w:hint="eastAsia" w:ascii="仿宋" w:hAnsi="仿宋" w:eastAsia="仿宋" w:cs="仿宋"/>
          <w:sz w:val="28"/>
          <w:szCs w:val="28"/>
          <w:highlight w:val="none"/>
          <w:u w:val="single"/>
        </w:rPr>
        <w:t>按中标价的</w:t>
      </w:r>
      <w:r>
        <w:rPr>
          <w:rFonts w:hint="eastAsia" w:ascii="仿宋" w:hAnsi="仿宋" w:eastAsia="仿宋" w:cs="仿宋"/>
          <w:sz w:val="28"/>
          <w:szCs w:val="28"/>
          <w:highlight w:val="none"/>
          <w:u w:val="single"/>
          <w:lang w:val="en-US" w:eastAsia="zh-CN"/>
        </w:rPr>
        <w:t>5</w:t>
      </w:r>
      <w:r>
        <w:rPr>
          <w:rFonts w:hint="eastAsia" w:ascii="仿宋" w:hAnsi="仿宋" w:eastAsia="仿宋" w:cs="仿宋"/>
          <w:sz w:val="28"/>
          <w:szCs w:val="28"/>
          <w:highlight w:val="none"/>
          <w:u w:val="single"/>
        </w:rPr>
        <w:t>％提交履约保证金（银行转账或银行保函）</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承包人提供履约担保的形式、金额及期限的：</w:t>
      </w:r>
      <w:r>
        <w:rPr>
          <w:rFonts w:hint="eastAsia" w:ascii="仿宋" w:hAnsi="仿宋" w:eastAsia="仿宋" w:cs="仿宋"/>
          <w:sz w:val="28"/>
          <w:szCs w:val="28"/>
          <w:highlight w:val="none"/>
          <w:u w:val="single"/>
        </w:rPr>
        <w:t>履约保证金/银行保函在工程竣工验收合格后无息退还。</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12.2 安全文明施工费支付</w:t>
      </w:r>
    </w:p>
    <w:p>
      <w:pPr>
        <w:pStyle w:val="7"/>
        <w:rPr>
          <w:rFonts w:hint="eastAsia" w:ascii="仿宋" w:hAnsi="仿宋" w:eastAsia="仿宋" w:cs="仿宋"/>
          <w:highlight w:val="none"/>
        </w:rPr>
      </w:pPr>
      <w:r>
        <w:rPr>
          <w:rFonts w:hint="eastAsia" w:ascii="仿宋" w:hAnsi="仿宋" w:eastAsia="仿宋" w:cs="仿宋"/>
          <w:sz w:val="28"/>
          <w:szCs w:val="28"/>
          <w:highlight w:val="none"/>
        </w:rPr>
        <w:t xml:space="preserve">    该项目安全文明施工费为：</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元</w:t>
      </w:r>
    </w:p>
    <w:p>
      <w:pPr>
        <w:spacing w:line="460" w:lineRule="exact"/>
        <w:ind w:firstLine="560" w:firstLineChars="200"/>
        <w:rPr>
          <w:rFonts w:hint="eastAsia" w:ascii="仿宋" w:hAnsi="仿宋" w:eastAsia="仿宋" w:cs="仿宋"/>
          <w:b/>
          <w:sz w:val="28"/>
          <w:szCs w:val="28"/>
          <w:highlight w:val="none"/>
        </w:rPr>
      </w:pPr>
      <w:r>
        <w:rPr>
          <w:rFonts w:hint="eastAsia" w:ascii="仿宋" w:hAnsi="仿宋" w:eastAsia="仿宋" w:cs="仿宋"/>
          <w:kern w:val="0"/>
          <w:sz w:val="28"/>
          <w:szCs w:val="28"/>
          <w:highlight w:val="none"/>
        </w:rPr>
        <w:t>发包人应在开工后28天内预付安全文明施工费基本费总额的50%，剩余50%基本费与进度款同期支付。结算时根据2020《四川省建设工程工程量清单计价定额》及《四川省建设工程安全文明施工措施费计价管理办法》的有关规定按实际完成工程量进行计价。</w:t>
      </w:r>
    </w:p>
    <w:bookmarkEnd w:id="277"/>
    <w:bookmarkEnd w:id="278"/>
    <w:bookmarkEnd w:id="279"/>
    <w:bookmarkEnd w:id="280"/>
    <w:bookmarkEnd w:id="281"/>
    <w:bookmarkEnd w:id="282"/>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 预付款的支付</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预付款支付比例或金额：</w:t>
      </w:r>
      <w:r>
        <w:rPr>
          <w:rFonts w:hint="eastAsia" w:ascii="仿宋" w:hAnsi="仿宋" w:eastAsia="仿宋" w:cs="仿宋"/>
          <w:sz w:val="28"/>
          <w:szCs w:val="28"/>
          <w:highlight w:val="none"/>
          <w:u w:val="single"/>
        </w:rPr>
        <w:t>按合同价（扣除招标人部分）的    %</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预付款支付期限：</w:t>
      </w:r>
      <w:r>
        <w:rPr>
          <w:rFonts w:hint="eastAsia" w:ascii="仿宋" w:hAnsi="仿宋" w:eastAsia="仿宋" w:cs="仿宋"/>
          <w:sz w:val="28"/>
          <w:szCs w:val="28"/>
          <w:highlight w:val="none"/>
          <w:u w:val="single"/>
        </w:rPr>
        <w:t>开工      个工作日内</w:t>
      </w:r>
      <w:r>
        <w:rPr>
          <w:rFonts w:hint="eastAsia" w:ascii="仿宋" w:hAnsi="仿宋" w:eastAsia="仿宋" w:cs="仿宋"/>
          <w:sz w:val="28"/>
          <w:szCs w:val="28"/>
          <w:highlight w:val="none"/>
        </w:rPr>
        <w:t>。</w:t>
      </w:r>
    </w:p>
    <w:bookmarkEnd w:id="283"/>
    <w:bookmarkEnd w:id="284"/>
    <w:bookmarkEnd w:id="285"/>
    <w:bookmarkEnd w:id="286"/>
    <w:bookmarkEnd w:id="287"/>
    <w:bookmarkEnd w:id="288"/>
    <w:bookmarkEnd w:id="289"/>
    <w:bookmarkEnd w:id="290"/>
    <w:bookmarkEnd w:id="291"/>
    <w:bookmarkEnd w:id="292"/>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12.4 计量</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工程量计算规则：</w:t>
      </w:r>
      <w:r>
        <w:rPr>
          <w:rFonts w:hint="eastAsia" w:ascii="仿宋" w:hAnsi="仿宋" w:eastAsia="仿宋" w:cs="仿宋"/>
          <w:sz w:val="28"/>
          <w:szCs w:val="28"/>
          <w:highlight w:val="none"/>
          <w:u w:val="single"/>
        </w:rPr>
        <w:t>工程量清单中的工程量计算规则按工程量清单编制说明和2020《四川省建设工程工程量清单计价定额》的有关规定执行。</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按发包人规定的报表格式填报已完工程量月进度报表，并提交电子文档1份 。</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12.5工程款支付</w:t>
      </w:r>
    </w:p>
    <w:p>
      <w:pPr>
        <w:spacing w:line="460" w:lineRule="exact"/>
        <w:ind w:firstLine="562" w:firstLineChars="200"/>
        <w:jc w:val="left"/>
        <w:rPr>
          <w:rFonts w:hint="eastAsia" w:ascii="仿宋" w:hAnsi="仿宋" w:eastAsia="仿宋" w:cs="仿宋"/>
          <w:b/>
          <w:sz w:val="28"/>
          <w:szCs w:val="28"/>
          <w:highlight w:val="none"/>
          <w:u w:val="single"/>
          <w:lang w:val="en-US" w:eastAsia="zh-CN"/>
        </w:rPr>
      </w:pPr>
      <w:r>
        <w:rPr>
          <w:rFonts w:hint="eastAsia" w:ascii="仿宋" w:hAnsi="仿宋" w:eastAsia="仿宋" w:cs="仿宋"/>
          <w:b/>
          <w:sz w:val="28"/>
          <w:szCs w:val="28"/>
          <w:highlight w:val="none"/>
          <w:u w:val="single"/>
        </w:rPr>
        <w:t>……</w:t>
      </w:r>
      <w:r>
        <w:rPr>
          <w:rFonts w:hint="eastAsia" w:ascii="仿宋" w:hAnsi="仿宋" w:eastAsia="仿宋" w:cs="仿宋"/>
          <w:b/>
          <w:sz w:val="28"/>
          <w:szCs w:val="28"/>
          <w:highlight w:val="none"/>
          <w:u w:val="single"/>
          <w:lang w:val="en-US" w:eastAsia="zh-CN"/>
        </w:rPr>
        <w:t xml:space="preserve">                 </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支付：</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zh-CN"/>
        </w:rPr>
        <w:t>；质</w:t>
      </w:r>
      <w:r>
        <w:rPr>
          <w:rFonts w:hint="eastAsia" w:ascii="仿宋" w:hAnsi="仿宋" w:eastAsia="仿宋" w:cs="仿宋"/>
          <w:sz w:val="28"/>
          <w:szCs w:val="28"/>
          <w:highlight w:val="none"/>
        </w:rPr>
        <w:t>保期</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年，质保期满，经业主确认无质量问题后无息退还质量保证金。</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质量保证金：</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质量保证金的退还：</w:t>
      </w:r>
      <w:r>
        <w:rPr>
          <w:rFonts w:hint="eastAsia" w:ascii="仿宋" w:hAnsi="仿宋" w:eastAsia="仿宋" w:cs="仿宋"/>
          <w:sz w:val="28"/>
          <w:szCs w:val="28"/>
          <w:highlight w:val="none"/>
        </w:rPr>
        <w:t>质保期满</w:t>
      </w:r>
      <w:r>
        <w:rPr>
          <w:rFonts w:hint="eastAsia" w:ascii="仿宋" w:hAnsi="仿宋" w:eastAsia="仿宋" w:cs="仿宋"/>
          <w:sz w:val="28"/>
          <w:szCs w:val="28"/>
          <w:highlight w:val="none"/>
          <w:lang w:val="zh-CN"/>
        </w:rPr>
        <w:t>后，承包人向发包人申请到期应返还承包人质量保证金，发包人在</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zh-CN"/>
        </w:rPr>
        <w:t>天内会同维护和使用部门、承包人按合同约定的内容核实承包是否完成缺陷责任，如无异议，发包人在核实后</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zh-CN"/>
        </w:rPr>
        <w:t>天内将剩余质保金一次性无息支付承包人（其中防水质保金为质量保证金的20%，在质保期满后</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zh-CN"/>
        </w:rPr>
        <w:t>日内无息退还）。</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12.6 水电费</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因发包人支付的水电费已包含在</w:t>
      </w:r>
      <w:r>
        <w:rPr>
          <w:rFonts w:hint="eastAsia" w:ascii="仿宋" w:hAnsi="仿宋" w:eastAsia="仿宋" w:cs="仿宋"/>
          <w:sz w:val="28"/>
          <w:szCs w:val="28"/>
          <w:highlight w:val="none"/>
          <w:lang w:val="en-US" w:eastAsia="zh-CN"/>
        </w:rPr>
        <w:t>合同总价</w:t>
      </w:r>
      <w:r>
        <w:rPr>
          <w:rFonts w:hint="eastAsia" w:ascii="仿宋" w:hAnsi="仿宋" w:eastAsia="仿宋" w:cs="仿宋"/>
          <w:sz w:val="28"/>
          <w:szCs w:val="28"/>
          <w:highlight w:val="none"/>
        </w:rPr>
        <w:t>中，承包人须在合同签订后</w:t>
      </w:r>
      <w:r>
        <w:rPr>
          <w:rFonts w:hint="eastAsia" w:ascii="仿宋" w:hAnsi="仿宋" w:eastAsia="仿宋" w:cs="仿宋"/>
          <w:sz w:val="28"/>
          <w:szCs w:val="28"/>
          <w:highlight w:val="none"/>
          <w:u w:val="single"/>
          <w:lang w:val="en-US" w:eastAsia="zh-CN"/>
        </w:rPr>
        <w:t xml:space="preserve">  20 </w:t>
      </w:r>
      <w:r>
        <w:rPr>
          <w:rFonts w:hint="eastAsia" w:ascii="仿宋" w:hAnsi="仿宋" w:eastAsia="仿宋" w:cs="仿宋"/>
          <w:sz w:val="28"/>
          <w:szCs w:val="28"/>
          <w:highlight w:val="none"/>
        </w:rPr>
        <w:t>日内向发包人缴纳施工中使用的水电费，电费</w:t>
      </w:r>
      <w:r>
        <w:rPr>
          <w:rFonts w:hint="eastAsia" w:ascii="仿宋" w:hAnsi="仿宋" w:eastAsia="仿宋" w:cs="仿宋"/>
          <w:sz w:val="28"/>
          <w:szCs w:val="28"/>
          <w:highlight w:val="none"/>
          <w:lang w:val="en-US" w:eastAsia="zh-CN"/>
        </w:rPr>
        <w:t>1000</w:t>
      </w:r>
      <w:r>
        <w:rPr>
          <w:rFonts w:hint="eastAsia" w:ascii="仿宋" w:hAnsi="仿宋" w:eastAsia="仿宋" w:cs="仿宋"/>
          <w:sz w:val="28"/>
          <w:szCs w:val="28"/>
          <w:highlight w:val="none"/>
        </w:rPr>
        <w:t xml:space="preserve">  元，水费 </w:t>
      </w:r>
      <w:r>
        <w:rPr>
          <w:rFonts w:hint="eastAsia" w:ascii="仿宋" w:hAnsi="仿宋" w:eastAsia="仿宋" w:cs="仿宋"/>
          <w:sz w:val="28"/>
          <w:szCs w:val="28"/>
          <w:highlight w:val="none"/>
          <w:lang w:val="en-US" w:eastAsia="zh-CN"/>
        </w:rPr>
        <w:t>400</w:t>
      </w:r>
      <w:r>
        <w:rPr>
          <w:rFonts w:hint="eastAsia" w:ascii="仿宋" w:hAnsi="仿宋" w:eastAsia="仿宋" w:cs="仿宋"/>
          <w:sz w:val="28"/>
          <w:szCs w:val="28"/>
          <w:highlight w:val="none"/>
        </w:rPr>
        <w:t xml:space="preserve"> 元。</w:t>
      </w:r>
    </w:p>
    <w:p>
      <w:pPr>
        <w:spacing w:line="460" w:lineRule="exact"/>
        <w:ind w:firstLine="562" w:firstLineChars="200"/>
        <w:rPr>
          <w:rFonts w:hint="eastAsia" w:ascii="仿宋" w:hAnsi="仿宋" w:eastAsia="仿宋" w:cs="仿宋"/>
          <w:b/>
          <w:sz w:val="28"/>
          <w:szCs w:val="28"/>
          <w:highlight w:val="none"/>
        </w:rPr>
      </w:pPr>
      <w:bookmarkStart w:id="293" w:name="_Toc267251473"/>
      <w:bookmarkStart w:id="294" w:name="_Toc267251476"/>
      <w:bookmarkStart w:id="295" w:name="_Toc280868709"/>
      <w:bookmarkStart w:id="296" w:name="_Toc267251471"/>
      <w:bookmarkStart w:id="297" w:name="_Toc267251472"/>
      <w:bookmarkStart w:id="298" w:name="_Toc267251475"/>
      <w:bookmarkStart w:id="299" w:name="_Toc267251470"/>
      <w:bookmarkStart w:id="300" w:name="_Toc267251474"/>
      <w:r>
        <w:rPr>
          <w:rFonts w:hint="eastAsia" w:ascii="仿宋" w:hAnsi="仿宋" w:eastAsia="仿宋" w:cs="仿宋"/>
          <w:b/>
          <w:sz w:val="28"/>
          <w:szCs w:val="28"/>
          <w:highlight w:val="none"/>
        </w:rPr>
        <w:t>13. 竣工结算</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13.1竣工结算审核</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发包人收到承包人合格的竣工结算及结算资料后即对工程结算进行审核，双方对审核结果确认后，已经确认的结算造价作为工程最终结算价款。结算依据包括但不限于以下内容：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（1）施工合同（含补充合同）、协议书（含协议书附件）；</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（2）招标文件（含补充文件、预算控制价）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（3）投标文件（含工程量清单报价表）；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（4）承包人编制的结算书（加盖承包人公章和造价编制人员资格证章）；并经监理人、发包人审核；</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（5）工程竣工图纸及资料（经监理人、发包人盖章确认）；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（6）经审定的施工组织设计、施工方案；</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（7）设计变更单（需有编号）；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（8）现场签证单（需有编号）；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（9）技术核定单（需有编号，经监理人、发包人盖章确认）；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（10）工程原始地貌方格网（经监理人、发包人确认）；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（11）双方确认的索赔事项及价款；</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（12）材料（设备）核价单、进场验收单（需有编号）；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（13）施工图纸会审纪要；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（14）隐蔽工程验收记录；</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（15）施工企业取费证。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（16）提供其他涉及工程价款的相关资料。</w:t>
      </w:r>
    </w:p>
    <w:p>
      <w:pPr>
        <w:spacing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特别条款:中标后或结算时若发现承包人有违背招标/采购文件要求的情况（如：投标工程量清单与分项报价汇总不一致或承包人在投标时对招标文件规定不能修改的内容作过修改等），发包人有权按最不利于承包人的方式处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bookmarkEnd w:id="293"/>
    <w:bookmarkEnd w:id="294"/>
    <w:bookmarkEnd w:id="295"/>
    <w:bookmarkEnd w:id="296"/>
    <w:bookmarkEnd w:id="297"/>
    <w:bookmarkEnd w:id="298"/>
    <w:bookmarkEnd w:id="299"/>
    <w:bookmarkEnd w:id="300"/>
    <w:p>
      <w:pPr>
        <w:spacing w:before="120" w:after="120" w:line="460" w:lineRule="exact"/>
        <w:ind w:firstLine="562" w:firstLineChars="200"/>
        <w:jc w:val="left"/>
        <w:rPr>
          <w:rFonts w:hint="eastAsia" w:ascii="仿宋" w:hAnsi="仿宋" w:eastAsia="仿宋" w:cs="仿宋"/>
          <w:b/>
          <w:sz w:val="28"/>
          <w:szCs w:val="28"/>
          <w:highlight w:val="none"/>
        </w:rPr>
      </w:pPr>
      <w:bookmarkStart w:id="301" w:name="_Toc351203647"/>
      <w:bookmarkStart w:id="302" w:name="_Toc267251483"/>
      <w:bookmarkStart w:id="303" w:name="_Toc267251485"/>
      <w:bookmarkStart w:id="304" w:name="_Toc267251489"/>
      <w:bookmarkStart w:id="305" w:name="_Toc267251488"/>
      <w:bookmarkStart w:id="306" w:name="_Toc267251490"/>
      <w:bookmarkStart w:id="307" w:name="_Toc267251486"/>
      <w:bookmarkStart w:id="308" w:name="_Toc267251492"/>
      <w:bookmarkStart w:id="309" w:name="_Toc267251495"/>
      <w:bookmarkStart w:id="310" w:name="_Toc267251499"/>
      <w:bookmarkStart w:id="311" w:name="_Toc267251498"/>
      <w:bookmarkStart w:id="312" w:name="_Toc267251497"/>
      <w:bookmarkStart w:id="313" w:name="_Toc267251502"/>
      <w:bookmarkStart w:id="314" w:name="_Toc267251494"/>
      <w:bookmarkStart w:id="315" w:name="_Toc267251501"/>
      <w:bookmarkStart w:id="316" w:name="_Toc267251496"/>
      <w:bookmarkStart w:id="317" w:name="_Toc267251491"/>
      <w:bookmarkStart w:id="318" w:name="_Toc267251493"/>
      <w:bookmarkStart w:id="319" w:name="_Toc267251503"/>
      <w:bookmarkStart w:id="320" w:name="_Toc267251506"/>
      <w:bookmarkStart w:id="321" w:name="_Toc267251504"/>
      <w:bookmarkStart w:id="322" w:name="_Toc267251507"/>
      <w:bookmarkStart w:id="323" w:name="_Toc267251508"/>
      <w:bookmarkStart w:id="324" w:name="_Toc267251509"/>
      <w:bookmarkStart w:id="325" w:name="_Toc267251515"/>
      <w:bookmarkStart w:id="326" w:name="_Toc267251510"/>
      <w:bookmarkStart w:id="327" w:name="_Toc267251513"/>
      <w:bookmarkStart w:id="328" w:name="_Toc267251511"/>
      <w:bookmarkStart w:id="329" w:name="_Toc267251514"/>
      <w:r>
        <w:rPr>
          <w:rFonts w:hint="eastAsia" w:ascii="仿宋" w:hAnsi="仿宋" w:eastAsia="仿宋" w:cs="仿宋"/>
          <w:b/>
          <w:sz w:val="28"/>
          <w:szCs w:val="28"/>
          <w:highlight w:val="none"/>
        </w:rPr>
        <w:t>14. 缺陷责任期与保修</w:t>
      </w:r>
      <w:bookmarkEnd w:id="301"/>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14.1缺陷责任期</w:t>
      </w:r>
      <w:bookmarkEnd w:id="302"/>
      <w:r>
        <w:rPr>
          <w:rFonts w:hint="eastAsia" w:ascii="仿宋" w:hAnsi="仿宋" w:eastAsia="仿宋" w:cs="仿宋"/>
          <w:sz w:val="28"/>
          <w:szCs w:val="28"/>
          <w:highlight w:val="none"/>
          <w:u w:val="single"/>
        </w:rPr>
        <w:t>24个月</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14.2保修</w:t>
      </w:r>
    </w:p>
    <w:bookmarkEnd w:id="303"/>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工程保修期为：</w:t>
      </w:r>
      <w:r>
        <w:rPr>
          <w:rFonts w:hint="eastAsia" w:ascii="仿宋" w:hAnsi="仿宋" w:eastAsia="仿宋" w:cs="仿宋"/>
          <w:kern w:val="0"/>
          <w:sz w:val="28"/>
          <w:szCs w:val="28"/>
          <w:highlight w:val="none"/>
          <w:u w:val="single"/>
        </w:rPr>
        <w:t>工程质量保修范围、期限和责任（详见附件一《工程质量保修书》）</w:t>
      </w:r>
      <w:r>
        <w:rPr>
          <w:rFonts w:hint="eastAsia" w:ascii="仿宋" w:hAnsi="仿宋" w:eastAsia="仿宋" w:cs="仿宋"/>
          <w:kern w:val="0"/>
          <w:sz w:val="28"/>
          <w:szCs w:val="28"/>
          <w:highlight w:val="none"/>
        </w:rPr>
        <w:t>。</w:t>
      </w:r>
    </w:p>
    <w:bookmarkEnd w:id="304"/>
    <w:bookmarkEnd w:id="305"/>
    <w:bookmarkEnd w:id="306"/>
    <w:bookmarkEnd w:id="307"/>
    <w:p>
      <w:pPr>
        <w:spacing w:line="460" w:lineRule="exact"/>
        <w:ind w:firstLine="562" w:firstLineChars="200"/>
        <w:jc w:val="left"/>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15.发包人违约</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因发包人违反合同约定造成暂停施工的违约责任：须书面向发包方提出要求，承包方在发包方解决后无条件继续施工，工期顺延，合同价不做调整。</w:t>
      </w:r>
    </w:p>
    <w:p>
      <w:pPr>
        <w:spacing w:line="460" w:lineRule="exact"/>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16.承包人违约</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16.1承包人违约的责任</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承包人违约责任的承担方式和计算方法：</w:t>
      </w:r>
      <w:r>
        <w:rPr>
          <w:rFonts w:hint="eastAsia" w:ascii="仿宋" w:hAnsi="仿宋" w:eastAsia="仿宋" w:cs="仿宋"/>
          <w:bCs/>
          <w:sz w:val="28"/>
          <w:szCs w:val="28"/>
          <w:highlight w:val="none"/>
        </w:rPr>
        <w:t>工期每拖延1天支付合同结算金额的0.1%的违约金；承包人违法转包工程</w:t>
      </w:r>
      <w:r>
        <w:rPr>
          <w:rFonts w:hint="eastAsia" w:ascii="仿宋" w:hAnsi="仿宋" w:eastAsia="仿宋" w:cs="仿宋"/>
          <w:kern w:val="0"/>
          <w:sz w:val="28"/>
          <w:szCs w:val="28"/>
          <w:highlight w:val="none"/>
        </w:rPr>
        <w:t>，</w:t>
      </w:r>
      <w:r>
        <w:rPr>
          <w:rFonts w:hint="eastAsia" w:ascii="仿宋" w:hAnsi="仿宋" w:eastAsia="仿宋" w:cs="仿宋"/>
          <w:sz w:val="28"/>
          <w:szCs w:val="28"/>
          <w:highlight w:val="none"/>
        </w:rPr>
        <w:t>发包人有权拒付工程款，并保留终止合同</w:t>
      </w:r>
      <w:r>
        <w:rPr>
          <w:rFonts w:hint="eastAsia" w:ascii="仿宋" w:hAnsi="仿宋" w:eastAsia="仿宋" w:cs="仿宋"/>
          <w:kern w:val="0"/>
          <w:sz w:val="28"/>
          <w:szCs w:val="28"/>
          <w:highlight w:val="none"/>
        </w:rPr>
        <w:t>的权利</w:t>
      </w:r>
      <w:r>
        <w:rPr>
          <w:rFonts w:hint="eastAsia" w:ascii="仿宋" w:hAnsi="仿宋" w:eastAsia="仿宋" w:cs="仿宋"/>
          <w:sz w:val="28"/>
          <w:szCs w:val="28"/>
          <w:highlight w:val="none"/>
        </w:rPr>
        <w:t>，</w:t>
      </w:r>
      <w:r>
        <w:rPr>
          <w:rFonts w:hint="eastAsia" w:ascii="仿宋" w:hAnsi="仿宋" w:eastAsia="仿宋" w:cs="仿宋"/>
          <w:kern w:val="0"/>
          <w:sz w:val="28"/>
          <w:szCs w:val="28"/>
          <w:highlight w:val="none"/>
        </w:rPr>
        <w:t>承包人必须承担发包人因此而造成的所有损失。</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16.2 因承包人违约解除合同</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关于承包人违约解除合同的特别约定：剩余工程款不再支付，承包人必须承担发包人因此而造成的所有损失。</w:t>
      </w:r>
    </w:p>
    <w:bookmarkEnd w:id="308"/>
    <w:bookmarkEnd w:id="309"/>
    <w:bookmarkEnd w:id="310"/>
    <w:bookmarkEnd w:id="311"/>
    <w:bookmarkEnd w:id="312"/>
    <w:bookmarkEnd w:id="313"/>
    <w:bookmarkEnd w:id="314"/>
    <w:bookmarkEnd w:id="315"/>
    <w:bookmarkEnd w:id="316"/>
    <w:bookmarkEnd w:id="317"/>
    <w:bookmarkEnd w:id="318"/>
    <w:bookmarkEnd w:id="319"/>
    <w:p>
      <w:pPr>
        <w:spacing w:before="120" w:after="120" w:line="460" w:lineRule="exact"/>
        <w:ind w:firstLine="560" w:firstLineChars="200"/>
        <w:jc w:val="left"/>
        <w:rPr>
          <w:rFonts w:hint="eastAsia" w:ascii="仿宋" w:hAnsi="仿宋" w:eastAsia="仿宋" w:cs="仿宋"/>
          <w:sz w:val="28"/>
          <w:szCs w:val="28"/>
          <w:highlight w:val="none"/>
        </w:rPr>
      </w:pPr>
      <w:bookmarkStart w:id="330" w:name="_Toc351203651"/>
      <w:r>
        <w:rPr>
          <w:rFonts w:hint="eastAsia" w:ascii="仿宋" w:hAnsi="仿宋" w:eastAsia="仿宋" w:cs="仿宋"/>
          <w:sz w:val="28"/>
          <w:szCs w:val="28"/>
          <w:highlight w:val="none"/>
        </w:rPr>
        <w:t>17. 争议解决</w:t>
      </w:r>
      <w:bookmarkEnd w:id="330"/>
    </w:p>
    <w:bookmarkEnd w:id="320"/>
    <w:bookmarkEnd w:id="321"/>
    <w:bookmarkEnd w:id="322"/>
    <w:bookmarkEnd w:id="323"/>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因合同及合同有关事项发生的争议，向</w:t>
      </w:r>
      <w:r>
        <w:rPr>
          <w:rFonts w:hint="eastAsia" w:ascii="仿宋" w:hAnsi="仿宋" w:eastAsia="仿宋" w:cs="仿宋"/>
          <w:sz w:val="28"/>
          <w:szCs w:val="28"/>
          <w:highlight w:val="none"/>
          <w:u w:val="single"/>
        </w:rPr>
        <w:t xml:space="preserve">  成都市青羊区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人民法院起诉。</w:t>
      </w:r>
      <w:bookmarkEnd w:id="324"/>
      <w:bookmarkEnd w:id="325"/>
      <w:bookmarkEnd w:id="326"/>
      <w:bookmarkEnd w:id="327"/>
      <w:bookmarkEnd w:id="328"/>
      <w:bookmarkEnd w:id="329"/>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附件一：工程质量保修书</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附件二：廉洁合同</w:t>
      </w:r>
    </w:p>
    <w:p>
      <w:pPr>
        <w:spacing w:line="460" w:lineRule="exact"/>
        <w:rPr>
          <w:rFonts w:hint="eastAsia" w:ascii="仿宋" w:hAnsi="仿宋" w:eastAsia="仿宋" w:cs="仿宋"/>
          <w:sz w:val="28"/>
          <w:szCs w:val="28"/>
          <w:highlight w:val="none"/>
        </w:rPr>
      </w:pPr>
      <w:bookmarkStart w:id="331" w:name="_Toc351203652"/>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u w:val="single"/>
        </w:rPr>
        <w:t>四川省人民医院</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r>
    </w:p>
    <w:p>
      <w:pPr>
        <w:spacing w:line="360" w:lineRule="auto"/>
        <w:rPr>
          <w:rFonts w:hint="eastAsia" w:ascii="仿宋" w:hAnsi="仿宋" w:eastAsia="仿宋" w:cs="仿宋"/>
          <w:sz w:val="28"/>
          <w:szCs w:val="28"/>
          <w:highlight w:val="none"/>
          <w:u w:val="single"/>
        </w:rPr>
      </w:pPr>
      <w:r>
        <w:rPr>
          <w:rFonts w:hint="eastAsia" w:ascii="仿宋" w:hAnsi="仿宋" w:eastAsia="仿宋" w:cs="仿宋"/>
          <w:b/>
          <w:sz w:val="36"/>
          <w:szCs w:val="36"/>
          <w:highlight w:val="none"/>
        </w:rPr>
        <w:t>附件</w:t>
      </w:r>
      <w:bookmarkEnd w:id="331"/>
      <w:r>
        <w:rPr>
          <w:rFonts w:hint="eastAsia" w:ascii="仿宋" w:hAnsi="仿宋" w:eastAsia="仿宋" w:cs="仿宋"/>
          <w:b/>
          <w:sz w:val="36"/>
          <w:szCs w:val="36"/>
          <w:highlight w:val="none"/>
        </w:rPr>
        <w:t>一</w:t>
      </w:r>
    </w:p>
    <w:p>
      <w:pPr>
        <w:spacing w:line="360" w:lineRule="auto"/>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工程质量保修书</w:t>
      </w:r>
    </w:p>
    <w:p>
      <w:pPr>
        <w:spacing w:line="360" w:lineRule="auto"/>
        <w:jc w:val="center"/>
        <w:rPr>
          <w:rFonts w:hint="eastAsia" w:ascii="仿宋" w:hAnsi="仿宋" w:eastAsia="仿宋" w:cs="仿宋"/>
          <w:sz w:val="36"/>
          <w:szCs w:val="36"/>
          <w:highlight w:val="none"/>
        </w:rPr>
      </w:pP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发包人（全称）：</w:t>
      </w:r>
      <w:r>
        <w:rPr>
          <w:rFonts w:hint="eastAsia" w:ascii="仿宋" w:hAnsi="仿宋" w:eastAsia="仿宋" w:cs="仿宋"/>
          <w:sz w:val="28"/>
          <w:szCs w:val="28"/>
          <w:highlight w:val="none"/>
          <w:u w:val="single"/>
        </w:rPr>
        <w:t>四川省医学科学院·四川省人民医院</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承包人（全称）：</w:t>
      </w:r>
    </w:p>
    <w:p>
      <w:pPr>
        <w:spacing w:line="360" w:lineRule="auto"/>
        <w:rPr>
          <w:rFonts w:hint="eastAsia" w:ascii="仿宋" w:hAnsi="仿宋" w:eastAsia="仿宋" w:cs="仿宋"/>
          <w:sz w:val="28"/>
          <w:szCs w:val="28"/>
          <w:highlight w:val="none"/>
        </w:rPr>
      </w:pP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发包人和承包人根据《中华人民共和国建筑法》和《建设工程质量管理条例》，经协商一致就（工程全称）签订工程质量保修书。</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一、工程质量保修范围和内容</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承包人在质量保修期内，按照有关法律规定和合同约定，承担工程质量保修责任。</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二、质量保修期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根据《建设工程质量管理条例》及有关规定，工程的质量保修期如下：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1．地基基础工程和主体结构工程为设计文件规定的工程合理使用年限；</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2．屋面防水工程、有防水要求的卫生间、房间和外墙面的防渗为</w:t>
      </w:r>
      <w:r>
        <w:rPr>
          <w:rFonts w:hint="eastAsia" w:ascii="仿宋" w:hAnsi="仿宋" w:eastAsia="仿宋" w:cs="仿宋"/>
          <w:sz w:val="28"/>
          <w:szCs w:val="28"/>
          <w:highlight w:val="none"/>
          <w:u w:val="single"/>
        </w:rPr>
        <w:t xml:space="preserve"> 5 </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3．装修工程为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4．电气管线、给排水管道、设备安装工程为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5．供热与供冷系统为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个采暖期、供冷期；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6．住宅小区内的给排水设施、道路等配套工程为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7．其他项目保修期限约定如下：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质量保修期自工程竣工验收合格之日起计算。</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三、缺陷责任期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工程缺陷责任期为</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个月，缺陷责任期自工程竣工验收合格之日起计算。单位工程先于全部工程进行验收，单位工程缺陷责任期自单位工程验收合格之日起算。</w:t>
      </w:r>
    </w:p>
    <w:p>
      <w:pPr>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四、质量保修责任</w:t>
      </w:r>
      <w:r>
        <w:rPr>
          <w:rFonts w:hint="eastAsia" w:ascii="仿宋" w:hAnsi="仿宋" w:eastAsia="仿宋" w:cs="仿宋"/>
          <w:sz w:val="28"/>
          <w:szCs w:val="28"/>
          <w:highlight w:val="none"/>
        </w:rPr>
        <w:t>（</w:t>
      </w:r>
      <w:r>
        <w:rPr>
          <w:rFonts w:hint="eastAsia" w:ascii="仿宋" w:hAnsi="仿宋" w:eastAsia="仿宋" w:cs="仿宋"/>
          <w:b/>
          <w:sz w:val="28"/>
          <w:szCs w:val="28"/>
          <w:highlight w:val="none"/>
        </w:rPr>
        <w:t>由项目牵头人填写/添加内容</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1．属于保修范围、内容的项目，承包人应当在接到保修通知之时起小时内派人保修。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2．发生紧急事故需抢修的，承包人在接到事故通知后，应当在小时内到达事故现场抢修。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3．对于涉及结构安全的质量问题，应当立即向当地建设行政主管部门和有关部门报告，采取安全防范措施，并由原设计人或者具有相应资质等级的设计人提出质量保修方案，承包人实施质量保修。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4．质量保修完成后，由发包人组织验收。</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五、保修费用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保修费用由造成质量缺陷的责任方承担。</w:t>
      </w:r>
    </w:p>
    <w:p>
      <w:pPr>
        <w:spacing w:line="360" w:lineRule="auto"/>
        <w:ind w:firstLine="562" w:firstLineChars="200"/>
        <w:jc w:val="left"/>
        <w:rPr>
          <w:rFonts w:hint="eastAsia" w:ascii="仿宋" w:hAnsi="仿宋" w:eastAsia="仿宋" w:cs="仿宋"/>
          <w:sz w:val="28"/>
          <w:szCs w:val="28"/>
          <w:highlight w:val="none"/>
        </w:rPr>
      </w:pPr>
      <w:r>
        <w:rPr>
          <w:rFonts w:hint="eastAsia" w:ascii="仿宋" w:hAnsi="仿宋" w:eastAsia="仿宋" w:cs="仿宋"/>
          <w:b/>
          <w:sz w:val="28"/>
          <w:szCs w:val="28"/>
          <w:highlight w:val="none"/>
        </w:rPr>
        <w:t>六、双方约定的其他工程质量保修事项</w:t>
      </w:r>
      <w:r>
        <w:rPr>
          <w:rFonts w:hint="eastAsia" w:ascii="仿宋" w:hAnsi="仿宋" w:eastAsia="仿宋" w:cs="仿宋"/>
          <w:sz w:val="28"/>
          <w:szCs w:val="28"/>
          <w:highlight w:val="none"/>
          <w:u w:val="single"/>
        </w:rPr>
        <w:t>：承包人不在约定期限内派人进行质量保修，发包人可以委托他人修理，发生的费用从质量保修金中扣除。</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工程质量保修书由发包人、承包人在工程竣工验收前共同签署，作为施工合同附件，其有效期限至保修期满。</w:t>
      </w:r>
    </w:p>
    <w:p>
      <w:pPr>
        <w:spacing w:line="360" w:lineRule="auto"/>
        <w:ind w:firstLine="420"/>
        <w:rPr>
          <w:rFonts w:hint="eastAsia" w:ascii="仿宋" w:hAnsi="仿宋" w:eastAsia="仿宋" w:cs="仿宋"/>
          <w:sz w:val="28"/>
          <w:szCs w:val="28"/>
          <w:highlight w:val="non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rPr>
        <w:t>四川省人民医院</w:t>
      </w:r>
      <w:r>
        <w:rPr>
          <w:rFonts w:hint="eastAsia" w:ascii="仿宋" w:hAnsi="仿宋" w:eastAsia="仿宋" w:cs="仿宋"/>
          <w:kern w:val="10"/>
          <w:sz w:val="28"/>
          <w:szCs w:val="28"/>
          <w:highlight w:val="none"/>
          <w:lang w:val="en-US" w:eastAsia="zh-CN"/>
        </w:rPr>
        <w:t xml:space="preserve">   </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法定代表人或其委托代理人：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pStyle w:val="7"/>
        <w:rPr>
          <w:rFonts w:hint="eastAsia"/>
          <w:b/>
          <w:bCs/>
          <w:color w:val="auto"/>
          <w:sz w:val="44"/>
          <w:szCs w:val="52"/>
          <w:highlight w:val="none"/>
        </w:rPr>
      </w:pPr>
      <w:r>
        <w:rPr>
          <w:rFonts w:hint="eastAsia" w:ascii="仿宋" w:hAnsi="仿宋" w:eastAsia="仿宋" w:cs="仿宋"/>
          <w:b/>
          <w:sz w:val="36"/>
          <w:szCs w:val="36"/>
          <w:highlight w:val="none"/>
        </w:rPr>
        <w:br w:type="page"/>
      </w:r>
    </w:p>
    <w:p>
      <w:pPr>
        <w:jc w:val="center"/>
        <w:rPr>
          <w:b/>
          <w:bCs/>
          <w:color w:val="auto"/>
          <w:sz w:val="44"/>
          <w:szCs w:val="52"/>
          <w:highlight w:val="none"/>
        </w:rPr>
      </w:pPr>
      <w:r>
        <w:rPr>
          <w:rFonts w:hint="eastAsia"/>
          <w:b/>
          <w:bCs/>
          <w:color w:val="auto"/>
          <w:sz w:val="44"/>
          <w:szCs w:val="52"/>
          <w:highlight w:val="none"/>
        </w:rPr>
        <w:t>廉洁购销协议</w:t>
      </w:r>
    </w:p>
    <w:p>
      <w:pPr>
        <w:rPr>
          <w:rFonts w:ascii="仿宋" w:hAnsi="仿宋" w:eastAsia="仿宋"/>
          <w:color w:val="auto"/>
          <w:sz w:val="28"/>
          <w:szCs w:val="28"/>
          <w:highlight w:val="none"/>
        </w:rPr>
      </w:pPr>
      <w:r>
        <w:rPr>
          <w:rFonts w:hint="eastAsia" w:ascii="仿宋" w:hAnsi="仿宋" w:eastAsia="仿宋"/>
          <w:color w:val="auto"/>
          <w:sz w:val="28"/>
          <w:szCs w:val="28"/>
          <w:highlight w:val="none"/>
        </w:rPr>
        <w:t>甲方：四川省人民医院</w:t>
      </w:r>
    </w:p>
    <w:p>
      <w:pPr>
        <w:rPr>
          <w:rFonts w:ascii="仿宋" w:hAnsi="仿宋" w:eastAsia="仿宋"/>
          <w:color w:val="auto"/>
          <w:sz w:val="28"/>
          <w:szCs w:val="28"/>
          <w:highlight w:val="none"/>
        </w:rPr>
      </w:pPr>
      <w:r>
        <w:rPr>
          <w:rFonts w:hint="eastAsia" w:ascii="仿宋" w:hAnsi="仿宋" w:eastAsia="仿宋"/>
          <w:color w:val="auto"/>
          <w:sz w:val="28"/>
          <w:szCs w:val="28"/>
          <w:highlight w:val="none"/>
        </w:rPr>
        <w:t>乙方：</w:t>
      </w:r>
    </w:p>
    <w:p>
      <w:pPr>
        <w:ind w:firstLine="560" w:firstLineChars="200"/>
        <w:rPr>
          <w:rFonts w:ascii="仿宋" w:hAnsi="仿宋" w:eastAsia="仿宋"/>
          <w:color w:val="auto"/>
          <w:sz w:val="28"/>
          <w:szCs w:val="28"/>
          <w:highlight w:val="none"/>
        </w:rPr>
      </w:pP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为进一步加强廉政建设,预防医药购销领域不正之风,我院与供应商签订如下协议,共同遵守:</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七、乙方违反上述承诺者，甲方单方面终止合作协议，并依法追究乙方的违约责任。</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八、本协议一式三份,归口管理部门、供应商、招标采购中心各执一份。</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举报受理部门：审计部</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举报电话：87393203</w:t>
      </w: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举报邮箱：scsyjsc@163.com</w:t>
      </w:r>
    </w:p>
    <w:p>
      <w:pPr>
        <w:ind w:firstLine="560" w:firstLineChars="200"/>
        <w:rPr>
          <w:rFonts w:ascii="仿宋" w:hAnsi="仿宋" w:eastAsia="仿宋"/>
          <w:color w:val="auto"/>
          <w:sz w:val="28"/>
          <w:szCs w:val="28"/>
          <w:highlight w:val="none"/>
        </w:rPr>
      </w:pP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甲方：四川省人民医院(盖章)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供应单位(盖章)</w:t>
      </w:r>
    </w:p>
    <w:p>
      <w:pPr>
        <w:ind w:firstLine="560" w:firstLineChars="200"/>
        <w:rPr>
          <w:rFonts w:ascii="仿宋" w:hAnsi="仿宋" w:eastAsia="仿宋"/>
          <w:color w:val="auto"/>
          <w:sz w:val="28"/>
          <w:szCs w:val="28"/>
          <w:highlight w:val="none"/>
        </w:rPr>
      </w:pPr>
    </w:p>
    <w:p>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甲方代表签字：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乙方代表签字:</w:t>
      </w:r>
    </w:p>
    <w:p>
      <w:pPr>
        <w:ind w:firstLine="4200" w:firstLineChars="1500"/>
        <w:rPr>
          <w:rFonts w:ascii="仿宋" w:hAnsi="仿宋" w:eastAsia="仿宋"/>
          <w:color w:val="auto"/>
          <w:sz w:val="28"/>
          <w:szCs w:val="28"/>
          <w:highlight w:val="none"/>
        </w:rPr>
      </w:pPr>
    </w:p>
    <w:p>
      <w:pPr>
        <w:jc w:val="right"/>
        <w:rPr>
          <w:rStyle w:val="30"/>
          <w:rFonts w:ascii="宋体" w:hAnsi="宋体" w:eastAsia="宋体" w:cs="宋体"/>
          <w:b/>
          <w:bCs/>
          <w:color w:val="auto"/>
          <w:sz w:val="32"/>
          <w:szCs w:val="32"/>
          <w:highlight w:val="none"/>
        </w:rPr>
      </w:pPr>
      <w:r>
        <w:rPr>
          <w:rFonts w:hint="eastAsia"/>
          <w:color w:val="auto"/>
          <w:highlight w:val="none"/>
        </w:rPr>
        <w:t>年   月   日</w:t>
      </w:r>
    </w:p>
    <w:p>
      <w:pPr>
        <w:rPr>
          <w:color w:val="auto"/>
          <w:highlight w:val="none"/>
        </w:rPr>
      </w:pPr>
    </w:p>
    <w:sectPr>
      <w:headerReference r:id="rId6" w:type="default"/>
      <w:footerReference r:id="rId7" w:type="default"/>
      <w:pgSz w:w="11905" w:h="16838"/>
      <w:pgMar w:top="1440" w:right="1803" w:bottom="1440" w:left="1803" w:header="850" w:footer="992" w:gutter="0"/>
      <w:pgBorders>
        <w:top w:val="none" w:sz="0" w:space="0"/>
        <w:left w:val="none" w:sz="0" w:space="0"/>
        <w:bottom w:val="none" w:sz="0" w:space="0"/>
        <w:right w:val="none" w:sz="0" w:space="0"/>
      </w:pgBorders>
      <w:pgNumType w:fmt="decimal" w:start="1"/>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6E567A0-28CD-4AC8-AB2A-F2228C7027D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D55C639-88C9-40C8-949E-2C6D5D1E06E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925774F8-173B-4CDC-8CC8-133533D5964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w:altName w:val="Times New Roman"/>
    <w:panose1 w:val="00000000000000000000"/>
    <w:charset w:val="00"/>
    <w:family w:val="auto"/>
    <w:pitch w:val="default"/>
    <w:sig w:usb0="00000000" w:usb1="00000000" w:usb2="00000010" w:usb3="00000000" w:csb0="00000001" w:csb1="00000000"/>
  </w:font>
  <w:font w:name="等线">
    <w:panose1 w:val="02010600030101010101"/>
    <w:charset w:val="86"/>
    <w:family w:val="auto"/>
    <w:pitch w:val="default"/>
    <w:sig w:usb0="A00002BF" w:usb1="38CF7CFA" w:usb2="00000016" w:usb3="00000000" w:csb0="0004000F" w:csb1="00000000"/>
    <w:embedRegular r:id="rId4" w:fontKey="{C3221E58-22B0-4D81-890F-6BED95A113E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hint="default" w:eastAsiaTheme="minorEastAsia"/>
        <w:color w:val="0000FF"/>
        <w:highlight w:val="green"/>
        <w:lang w:val="en-US" w:eastAsia="zh-CN"/>
      </w:rPr>
    </w:pPr>
    <w:r>
      <w:rPr>
        <w:rFonts w:hint="eastAsia"/>
        <w:color w:val="auto"/>
        <w:highlight w:val="none"/>
        <w:lang w:val="en-US" w:eastAsia="zh-CN"/>
      </w:rPr>
      <w:t>PTWJ-202301（院内竞争性谈判）-试行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hint="default" w:eastAsiaTheme="minorEastAsia"/>
        <w:color w:val="0000FF"/>
        <w:highlight w:val="green"/>
        <w:lang w:val="en-US" w:eastAsia="zh-CN"/>
      </w:rPr>
    </w:pPr>
    <w:r>
      <w:rPr>
        <w:rFonts w:hint="eastAsia"/>
        <w:color w:val="auto"/>
        <w:highlight w:val="none"/>
        <w:lang w:val="en-US" w:eastAsia="zh-CN"/>
      </w:rPr>
      <w:t>PTWJ-202301（院内竞争性谈判）-试行</w:t>
    </w:r>
  </w:p>
  <w:p>
    <w:pPr>
      <w:pStyle w:val="1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hint="default" w:eastAsiaTheme="minorEastAsia"/>
        <w:color w:val="auto"/>
        <w:highlight w:val="yellow"/>
        <w:lang w:val="en-US" w:eastAsia="zh-CN"/>
      </w:rPr>
    </w:pPr>
    <w:r>
      <w:rPr>
        <w:rFonts w:hint="eastAsia"/>
        <w:color w:val="auto"/>
        <w:highlight w:val="none"/>
        <w:lang w:val="en-US" w:eastAsia="zh-CN"/>
      </w:rPr>
      <w:t>PTWJ-202301（院内竞争性谈判）-试行</w:t>
    </w:r>
  </w:p>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6D22D8F"/>
    <w:multiLevelType w:val="singleLevel"/>
    <w:tmpl w:val="B6D22D8F"/>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1"/>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1">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2">
    <w:nsid w:val="7F7BC1FC"/>
    <w:multiLevelType w:val="singleLevel"/>
    <w:tmpl w:val="7F7BC1FC"/>
    <w:lvl w:ilvl="0" w:tentative="0">
      <w:start w:val="1"/>
      <w:numFmt w:val="decimal"/>
      <w:lvlText w:val="(%1)"/>
      <w:lvlJc w:val="left"/>
      <w:pPr>
        <w:ind w:left="425" w:hanging="425"/>
      </w:pPr>
      <w:rPr>
        <w:rFonts w:hint="default"/>
      </w:rPr>
    </w:lvl>
  </w:abstractNum>
  <w:num w:numId="1">
    <w:abstractNumId w:val="7"/>
  </w:num>
  <w:num w:numId="2">
    <w:abstractNumId w:val="4"/>
  </w:num>
  <w:num w:numId="3">
    <w:abstractNumId w:val="9"/>
  </w:num>
  <w:num w:numId="4">
    <w:abstractNumId w:val="11"/>
  </w:num>
  <w:num w:numId="5">
    <w:abstractNumId w:val="6"/>
  </w:num>
  <w:num w:numId="6">
    <w:abstractNumId w:val="10"/>
  </w:num>
  <w:num w:numId="7">
    <w:abstractNumId w:val="8"/>
  </w:num>
  <w:num w:numId="8">
    <w:abstractNumId w:val="3"/>
  </w:num>
  <w:num w:numId="9">
    <w:abstractNumId w:val="1"/>
  </w:num>
  <w:num w:numId="10">
    <w:abstractNumId w:val="0"/>
  </w:num>
  <w:num w:numId="11">
    <w:abstractNumId w:val="2"/>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jN2MxYTkwNTI4NmVmNzdlOGFkYTIzODA3Mjc1ZGEifQ=="/>
  </w:docVars>
  <w:rsids>
    <w:rsidRoot w:val="7D040AB6"/>
    <w:rsid w:val="0000488D"/>
    <w:rsid w:val="000278AB"/>
    <w:rsid w:val="00077AA7"/>
    <w:rsid w:val="000C337E"/>
    <w:rsid w:val="0022301C"/>
    <w:rsid w:val="002B5793"/>
    <w:rsid w:val="00461368"/>
    <w:rsid w:val="004F4DC4"/>
    <w:rsid w:val="005A705A"/>
    <w:rsid w:val="0064444C"/>
    <w:rsid w:val="00677BCD"/>
    <w:rsid w:val="006F4109"/>
    <w:rsid w:val="007365C1"/>
    <w:rsid w:val="00746494"/>
    <w:rsid w:val="007760AF"/>
    <w:rsid w:val="00780419"/>
    <w:rsid w:val="00823167"/>
    <w:rsid w:val="008439DA"/>
    <w:rsid w:val="008F14FA"/>
    <w:rsid w:val="008F26A3"/>
    <w:rsid w:val="0094161B"/>
    <w:rsid w:val="00A12C4A"/>
    <w:rsid w:val="00A72CD1"/>
    <w:rsid w:val="00B16CD7"/>
    <w:rsid w:val="00B2440D"/>
    <w:rsid w:val="00B63B3D"/>
    <w:rsid w:val="00BC1C51"/>
    <w:rsid w:val="00BE12C0"/>
    <w:rsid w:val="00C16D65"/>
    <w:rsid w:val="00C80DB0"/>
    <w:rsid w:val="00C866E7"/>
    <w:rsid w:val="00D644BF"/>
    <w:rsid w:val="00DF3B6A"/>
    <w:rsid w:val="00F3202A"/>
    <w:rsid w:val="00F523A1"/>
    <w:rsid w:val="00F90C3B"/>
    <w:rsid w:val="00FF60E3"/>
    <w:rsid w:val="02B41380"/>
    <w:rsid w:val="057F4B9F"/>
    <w:rsid w:val="058C78B0"/>
    <w:rsid w:val="05E13064"/>
    <w:rsid w:val="078909F5"/>
    <w:rsid w:val="093A3733"/>
    <w:rsid w:val="0B4276FF"/>
    <w:rsid w:val="0B4508AE"/>
    <w:rsid w:val="0C414D7E"/>
    <w:rsid w:val="0E0B7FF0"/>
    <w:rsid w:val="117A5014"/>
    <w:rsid w:val="11C15BEE"/>
    <w:rsid w:val="127F05A0"/>
    <w:rsid w:val="12EA1E51"/>
    <w:rsid w:val="136D78F8"/>
    <w:rsid w:val="146C3D6E"/>
    <w:rsid w:val="162A4F7D"/>
    <w:rsid w:val="1694071B"/>
    <w:rsid w:val="17F1147E"/>
    <w:rsid w:val="1994787E"/>
    <w:rsid w:val="1DBC5F24"/>
    <w:rsid w:val="1DD000AF"/>
    <w:rsid w:val="1E09745A"/>
    <w:rsid w:val="1E8F4CF1"/>
    <w:rsid w:val="209B1B14"/>
    <w:rsid w:val="2173335D"/>
    <w:rsid w:val="256A304B"/>
    <w:rsid w:val="26614BE2"/>
    <w:rsid w:val="28531188"/>
    <w:rsid w:val="29C5318E"/>
    <w:rsid w:val="2A3335F4"/>
    <w:rsid w:val="2AAD33E1"/>
    <w:rsid w:val="2C9A0A9E"/>
    <w:rsid w:val="2CC93AF1"/>
    <w:rsid w:val="2CE462F8"/>
    <w:rsid w:val="2DA70D65"/>
    <w:rsid w:val="31BB7529"/>
    <w:rsid w:val="33233306"/>
    <w:rsid w:val="343706EB"/>
    <w:rsid w:val="351A08D0"/>
    <w:rsid w:val="37BF3B20"/>
    <w:rsid w:val="38AE5E8C"/>
    <w:rsid w:val="3A335BDD"/>
    <w:rsid w:val="3A900FE8"/>
    <w:rsid w:val="3AD033BC"/>
    <w:rsid w:val="3D375AA1"/>
    <w:rsid w:val="42075FF8"/>
    <w:rsid w:val="468567BB"/>
    <w:rsid w:val="4782487D"/>
    <w:rsid w:val="4BAD0151"/>
    <w:rsid w:val="4BD53683"/>
    <w:rsid w:val="4C8F75A2"/>
    <w:rsid w:val="4E8C008E"/>
    <w:rsid w:val="506A72A7"/>
    <w:rsid w:val="50771A9C"/>
    <w:rsid w:val="50DB22B8"/>
    <w:rsid w:val="52EC23F5"/>
    <w:rsid w:val="5455382C"/>
    <w:rsid w:val="545E542E"/>
    <w:rsid w:val="55D86C2C"/>
    <w:rsid w:val="58AF50EF"/>
    <w:rsid w:val="5B837899"/>
    <w:rsid w:val="5EFC3EB9"/>
    <w:rsid w:val="60C53B7A"/>
    <w:rsid w:val="63A9427A"/>
    <w:rsid w:val="63D462B1"/>
    <w:rsid w:val="641A3596"/>
    <w:rsid w:val="65E40ADA"/>
    <w:rsid w:val="66330B86"/>
    <w:rsid w:val="66E22203"/>
    <w:rsid w:val="67447585"/>
    <w:rsid w:val="69D50CF4"/>
    <w:rsid w:val="6C1340F8"/>
    <w:rsid w:val="6C487AFD"/>
    <w:rsid w:val="6CB24363"/>
    <w:rsid w:val="6DA52693"/>
    <w:rsid w:val="6DE728CA"/>
    <w:rsid w:val="6FA23F69"/>
    <w:rsid w:val="6FCF0795"/>
    <w:rsid w:val="70884B98"/>
    <w:rsid w:val="71646B2B"/>
    <w:rsid w:val="741C016E"/>
    <w:rsid w:val="754D1D92"/>
    <w:rsid w:val="79023B0B"/>
    <w:rsid w:val="7B5F74F8"/>
    <w:rsid w:val="7B690630"/>
    <w:rsid w:val="7CE74C9B"/>
    <w:rsid w:val="7CF47CCC"/>
    <w:rsid w:val="7D040AB6"/>
    <w:rsid w:val="7D4119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autoRedefine/>
    <w:qFormat/>
    <w:uiPriority w:val="0"/>
    <w:pPr>
      <w:keepNext/>
      <w:keepLines/>
      <w:numPr>
        <w:ilvl w:val="0"/>
        <w:numId w:val="1"/>
      </w:numPr>
      <w:spacing w:beforeLines="0" w:beforeAutospacing="0" w:afterLines="0" w:afterAutospacing="0" w:line="360" w:lineRule="auto"/>
      <w:ind w:firstLine="0"/>
      <w:jc w:val="center"/>
      <w:outlineLvl w:val="0"/>
    </w:pPr>
    <w:rPr>
      <w:rFonts w:eastAsia="黑体" w:asciiTheme="minorAscii" w:hAnsiTheme="minorAscii" w:cstheme="minorBidi"/>
      <w:b/>
      <w:kern w:val="44"/>
      <w:sz w:val="36"/>
    </w:rPr>
  </w:style>
  <w:style w:type="paragraph" w:styleId="3">
    <w:name w:val="heading 2"/>
    <w:basedOn w:val="1"/>
    <w:next w:val="1"/>
    <w:link w:val="37"/>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4"/>
    <w:autoRedefine/>
    <w:qFormat/>
    <w:uiPriority w:val="0"/>
    <w:pPr>
      <w:jc w:val="left"/>
    </w:pPr>
  </w:style>
  <w:style w:type="paragraph" w:styleId="7">
    <w:name w:val="Body Text"/>
    <w:basedOn w:val="1"/>
    <w:next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29"/>
    <w:autoRedefine/>
    <w:qFormat/>
    <w:uiPriority w:val="0"/>
    <w:pPr>
      <w:spacing w:after="120" w:line="480" w:lineRule="auto"/>
      <w:ind w:left="420" w:leftChars="200"/>
    </w:pPr>
    <w:rPr>
      <w:szCs w:val="20"/>
    </w:rPr>
  </w:style>
  <w:style w:type="paragraph" w:styleId="10">
    <w:name w:val="Balloon Text"/>
    <w:basedOn w:val="1"/>
    <w:link w:val="36"/>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annotation subject"/>
    <w:basedOn w:val="6"/>
    <w:next w:val="6"/>
    <w:link w:val="35"/>
    <w:autoRedefine/>
    <w:qFormat/>
    <w:uiPriority w:val="0"/>
    <w:rPr>
      <w:b/>
      <w:bCs/>
    </w:rPr>
  </w:style>
  <w:style w:type="paragraph" w:styleId="15">
    <w:name w:val="Body Text First Indent"/>
    <w:basedOn w:val="7"/>
    <w:link w:val="30"/>
    <w:autoRedefine/>
    <w:qFormat/>
    <w:uiPriority w:val="0"/>
    <w:pPr>
      <w:snapToGrid w:val="0"/>
      <w:spacing w:before="40" w:after="40" w:line="288" w:lineRule="auto"/>
      <w:ind w:firstLine="482"/>
    </w:pPr>
    <w:rPr>
      <w:rFonts w:ascii="仿宋_GB2312" w:hAnsi="仿宋_GB2312" w:eastAsia="仿宋_GB2312"/>
      <w:szCs w:val="20"/>
    </w:rPr>
  </w:style>
  <w:style w:type="paragraph" w:styleId="16">
    <w:name w:val="Body Text First Indent 2"/>
    <w:basedOn w:val="8"/>
    <w:next w:val="1"/>
    <w:link w:val="33"/>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annotation reference"/>
    <w:basedOn w:val="19"/>
    <w:qFormat/>
    <w:uiPriority w:val="0"/>
    <w:rPr>
      <w:sz w:val="21"/>
      <w:szCs w:val="21"/>
    </w:rPr>
  </w:style>
  <w:style w:type="paragraph" w:customStyle="1" w:styleId="21">
    <w:name w:val="标题 5（有编号）（绿盟科技）"/>
    <w:basedOn w:val="22"/>
    <w:next w:val="23"/>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2">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3">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4">
    <w:name w:val="13、表格内居中正文"/>
    <w:basedOn w:val="1"/>
    <w:qFormat/>
    <w:uiPriority w:val="0"/>
    <w:pPr>
      <w:wordWrap w:val="0"/>
      <w:topLinePunct/>
      <w:spacing w:line="360" w:lineRule="exact"/>
      <w:jc w:val="center"/>
    </w:pPr>
    <w:rPr>
      <w:rFonts w:ascii="宋体" w:hAnsi="宋体" w:eastAsia="宋体"/>
    </w:rPr>
  </w:style>
  <w:style w:type="paragraph" w:customStyle="1" w:styleId="2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6">
    <w:name w:val="List Paragraph"/>
    <w:basedOn w:val="1"/>
    <w:qFormat/>
    <w:uiPriority w:val="0"/>
    <w:pPr>
      <w:spacing w:line="500" w:lineRule="exact"/>
      <w:ind w:firstLine="420" w:firstLineChars="200"/>
    </w:pPr>
    <w:rPr>
      <w:szCs w:val="24"/>
    </w:rPr>
  </w:style>
  <w:style w:type="paragraph" w:customStyle="1" w:styleId="27">
    <w:name w:val="正文首行缩进两字符"/>
    <w:basedOn w:val="1"/>
    <w:qFormat/>
    <w:uiPriority w:val="0"/>
    <w:pPr>
      <w:spacing w:line="360" w:lineRule="auto"/>
      <w:ind w:firstLine="200" w:firstLineChars="200"/>
    </w:pPr>
  </w:style>
  <w:style w:type="paragraph" w:customStyle="1" w:styleId="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9">
    <w:name w:val="正文文本缩进 2 Char"/>
    <w:link w:val="9"/>
    <w:qFormat/>
    <w:uiPriority w:val="0"/>
    <w:rPr>
      <w:szCs w:val="20"/>
    </w:rPr>
  </w:style>
  <w:style w:type="character" w:customStyle="1" w:styleId="30">
    <w:name w:val="正文首行缩进 Char"/>
    <w:link w:val="15"/>
    <w:qFormat/>
    <w:uiPriority w:val="0"/>
    <w:rPr>
      <w:rFonts w:ascii="仿宋_GB2312" w:hAnsi="仿宋_GB2312" w:eastAsia="仿宋_GB2312"/>
      <w:szCs w:val="20"/>
    </w:rPr>
  </w:style>
  <w:style w:type="paragraph" w:customStyle="1" w:styleId="31">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2">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3">
    <w:name w:val="正文首行缩进 2 Char"/>
    <w:link w:val="16"/>
    <w:qFormat/>
    <w:uiPriority w:val="99"/>
    <w:rPr>
      <w:rFonts w:ascii="宋体" w:hAnsi="Times New Roman"/>
      <w:kern w:val="0"/>
      <w:sz w:val="21"/>
      <w:szCs w:val="24"/>
    </w:rPr>
  </w:style>
  <w:style w:type="character" w:customStyle="1" w:styleId="34">
    <w:name w:val="批注文字 Char"/>
    <w:basedOn w:val="19"/>
    <w:link w:val="6"/>
    <w:qFormat/>
    <w:uiPriority w:val="0"/>
    <w:rPr>
      <w:kern w:val="2"/>
      <w:sz w:val="21"/>
      <w:szCs w:val="22"/>
    </w:rPr>
  </w:style>
  <w:style w:type="character" w:customStyle="1" w:styleId="35">
    <w:name w:val="批注主题 Char"/>
    <w:basedOn w:val="34"/>
    <w:link w:val="14"/>
    <w:qFormat/>
    <w:uiPriority w:val="0"/>
    <w:rPr>
      <w:b/>
      <w:bCs/>
      <w:kern w:val="2"/>
      <w:sz w:val="21"/>
      <w:szCs w:val="22"/>
    </w:rPr>
  </w:style>
  <w:style w:type="character" w:customStyle="1" w:styleId="36">
    <w:name w:val="批注框文本 Char"/>
    <w:basedOn w:val="19"/>
    <w:link w:val="10"/>
    <w:qFormat/>
    <w:uiPriority w:val="0"/>
    <w:rPr>
      <w:kern w:val="2"/>
      <w:sz w:val="18"/>
      <w:szCs w:val="18"/>
    </w:rPr>
  </w:style>
  <w:style w:type="character" w:customStyle="1" w:styleId="37">
    <w:name w:val="标题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23907</Words>
  <Characters>24801</Characters>
  <Lines>109</Lines>
  <Paragraphs>30</Paragraphs>
  <TotalTime>4</TotalTime>
  <ScaleCrop>false</ScaleCrop>
  <LinksUpToDate>false</LinksUpToDate>
  <CharactersWithSpaces>25940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2022-05-24T01:05:00Z</dcterms:created>
  <dc:creator>7</dc:creator>
  <cp:lastModifiedBy>小周周周周</cp:lastModifiedBy>
  <dcterms:modified xsi:type="dcterms:W3CDTF">2024-09-02T08:53:36Z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063E7973BB3A4326BDF4083AA433712E</vt:lpwstr>
  </property>
</Properties>
</file>