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四川省人民医院渗透测试及重保服务采购项目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20358"/>
      <w:bookmarkStart w:id="1" w:name="_Toc3240"/>
      <w:bookmarkStart w:id="2" w:name="_Toc21919"/>
      <w:bookmarkStart w:id="3" w:name="_Toc62832406"/>
      <w:bookmarkStart w:id="4" w:name="_Toc471310326"/>
      <w:bookmarkStart w:id="5" w:name="_Toc1907"/>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四川省人民医院渗透测试及重保服务采购项目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Times New Roman" w:hAnsi="Times New Roman" w:eastAsia="仿宋" w:cs="Times New Roman"/>
                <w:b w:val="0"/>
                <w:bCs w:val="0"/>
                <w:sz w:val="22"/>
                <w:lang w:eastAsia="zh-CN"/>
              </w:rPr>
              <w:t>CGZX-YXX20260564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214000</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。限高</w:t>
            </w:r>
            <w:r>
              <w:rPr>
                <w:rFonts w:hint="eastAsia" w:ascii="仿宋" w:hAnsi="仿宋" w:eastAsia="仿宋" w:cs="仿宋"/>
                <w:sz w:val="22"/>
                <w:u w:val="none"/>
                <w:lang w:eastAsia="zh-CN"/>
              </w:rPr>
              <w:t>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不举行</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29B6DCFA">
            <w:pPr>
              <w:widowControl w:val="0"/>
              <w:autoSpaceDE w:val="0"/>
              <w:autoSpaceDN w:val="0"/>
              <w:adjustRightInd w:val="0"/>
              <w:spacing w:line="360" w:lineRule="auto"/>
              <w:ind w:left="210" w:leftChars="100"/>
              <w:jc w:val="both"/>
              <w:rPr>
                <w:rFonts w:ascii="Times New Roman" w:hAnsi="Times New Roman" w:eastAsia="仿宋" w:cs="Times New Roman"/>
                <w:sz w:val="22"/>
                <w:szCs w:val="22"/>
                <w:lang w:val="en-US" w:eastAsia="zh-CN" w:bidi="ar-SA"/>
              </w:rPr>
            </w:pPr>
            <w:r>
              <w:rPr>
                <w:rFonts w:ascii="Times New Roman" w:hAnsi="Times New Roman" w:eastAsia="仿宋" w:cs="Times New Roman"/>
                <w:sz w:val="24"/>
                <w:szCs w:val="24"/>
                <w:lang w:val="en-US" w:eastAsia="zh-CN" w:bidi="ar-SA"/>
              </w:rPr>
              <w:sym w:font="Wingdings" w:char="00A8"/>
            </w:r>
            <w:r>
              <w:rPr>
                <w:rFonts w:ascii="Times New Roman" w:hAnsi="Times New Roman" w:eastAsia="仿宋" w:cs="Times New Roman"/>
                <w:sz w:val="22"/>
                <w:szCs w:val="22"/>
                <w:lang w:val="en-US" w:eastAsia="zh-CN" w:bidi="ar-SA"/>
              </w:rPr>
              <w:t xml:space="preserve">收取       </w:t>
            </w:r>
          </w:p>
          <w:p w14:paraId="28BF8982">
            <w:pPr>
              <w:widowControl w:val="0"/>
              <w:numPr>
                <w:ilvl w:val="0"/>
                <w:numId w:val="6"/>
              </w:numPr>
              <w:tabs>
                <w:tab w:val="left" w:pos="220"/>
                <w:tab w:val="clear" w:pos="0"/>
              </w:tabs>
              <w:autoSpaceDE w:val="0"/>
              <w:autoSpaceDN w:val="0"/>
              <w:adjustRightInd w:val="0"/>
              <w:spacing w:line="360" w:lineRule="auto"/>
              <w:ind w:left="210" w:leftChars="100" w:firstLine="1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交款金额：</w:t>
            </w:r>
            <w:r>
              <w:rPr>
                <w:rFonts w:ascii="Times New Roman" w:hAnsi="Times New Roman" w:eastAsia="仿宋" w:cs="Times New Roman"/>
                <w:sz w:val="22"/>
                <w:szCs w:val="24"/>
                <w:u w:val="single"/>
                <w:lang w:val="en-US" w:eastAsia="zh-CN" w:bidi="ar-SA"/>
              </w:rPr>
              <w:t xml:space="preserve">       </w:t>
            </w:r>
          </w:p>
          <w:p w14:paraId="231A850D">
            <w:pPr>
              <w:widowControl w:val="0"/>
              <w:numPr>
                <w:ilvl w:val="0"/>
                <w:numId w:val="6"/>
              </w:numPr>
              <w:tabs>
                <w:tab w:val="left" w:pos="220"/>
                <w:tab w:val="clear" w:pos="0"/>
              </w:tabs>
              <w:autoSpaceDE w:val="0"/>
              <w:autoSpaceDN w:val="0"/>
              <w:adjustRightInd w:val="0"/>
              <w:spacing w:line="360" w:lineRule="auto"/>
              <w:ind w:left="210" w:leftChars="100" w:firstLine="1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交款方式：履约保证金可以以支票、汇票、本票或者金融机构出具的保函等非现金形式提交（包括网银转账，电汇等方式）；</w:t>
            </w:r>
          </w:p>
          <w:p w14:paraId="227766D0">
            <w:pPr>
              <w:widowControl w:val="0"/>
              <w:numPr>
                <w:ilvl w:val="0"/>
                <w:numId w:val="7"/>
              </w:numPr>
              <w:tabs>
                <w:tab w:val="left" w:pos="220"/>
              </w:tabs>
              <w:autoSpaceDE w:val="0"/>
              <w:autoSpaceDN w:val="0"/>
              <w:adjustRightInd w:val="0"/>
              <w:spacing w:line="360" w:lineRule="auto"/>
              <w:ind w:hanging="205"/>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收款单位：四川省人民医院</w:t>
            </w:r>
          </w:p>
          <w:p w14:paraId="393305C9">
            <w:pPr>
              <w:widowControl w:val="0"/>
              <w:numPr>
                <w:ilvl w:val="0"/>
                <w:numId w:val="7"/>
              </w:numPr>
              <w:tabs>
                <w:tab w:val="left" w:pos="220"/>
              </w:tabs>
              <w:autoSpaceDE w:val="0"/>
              <w:autoSpaceDN w:val="0"/>
              <w:adjustRightInd w:val="0"/>
              <w:spacing w:line="360" w:lineRule="auto"/>
              <w:ind w:hanging="205"/>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开户行：建设银行成都青羊支行</w:t>
            </w:r>
          </w:p>
          <w:p w14:paraId="6FF676DA">
            <w:pPr>
              <w:widowControl w:val="0"/>
              <w:numPr>
                <w:ilvl w:val="0"/>
                <w:numId w:val="7"/>
              </w:numPr>
              <w:tabs>
                <w:tab w:val="left" w:pos="220"/>
              </w:tabs>
              <w:autoSpaceDE w:val="0"/>
              <w:autoSpaceDN w:val="0"/>
              <w:adjustRightInd w:val="0"/>
              <w:spacing w:line="360" w:lineRule="auto"/>
              <w:ind w:hanging="205"/>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银行账号；5100 1446 4360 5037 4282</w:t>
            </w:r>
          </w:p>
          <w:p w14:paraId="2BB21CB6">
            <w:pPr>
              <w:widowControl w:val="0"/>
              <w:numPr>
                <w:ilvl w:val="0"/>
                <w:numId w:val="6"/>
              </w:numPr>
              <w:tabs>
                <w:tab w:val="left" w:pos="220"/>
                <w:tab w:val="clear" w:pos="0"/>
              </w:tabs>
              <w:autoSpaceDE w:val="0"/>
              <w:autoSpaceDN w:val="0"/>
              <w:adjustRightInd w:val="0"/>
              <w:spacing w:line="360" w:lineRule="auto"/>
              <w:ind w:left="210" w:leftChars="100" w:firstLine="1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交款时间：</w:t>
            </w:r>
          </w:p>
          <w:p w14:paraId="1DCA5BE1">
            <w:pPr>
              <w:widowControl w:val="0"/>
              <w:tabs>
                <w:tab w:val="left" w:pos="220"/>
              </w:tabs>
              <w:autoSpaceDE w:val="0"/>
              <w:autoSpaceDN w:val="0"/>
              <w:adjustRightInd w:val="0"/>
              <w:spacing w:line="360" w:lineRule="auto"/>
              <w:ind w:left="210" w:leftChars="10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sym w:font="Wingdings" w:char="00A8"/>
            </w:r>
            <w:r>
              <w:rPr>
                <w:rFonts w:ascii="Times New Roman" w:hAnsi="Times New Roman" w:eastAsia="仿宋" w:cs="Times New Roman"/>
                <w:sz w:val="22"/>
                <w:szCs w:val="22"/>
                <w:lang w:val="zh-CN" w:eastAsia="zh-CN" w:bidi="ar-SA"/>
              </w:rPr>
              <w:t>采购合同签订后</w:t>
            </w:r>
            <w:r>
              <w:rPr>
                <w:rFonts w:ascii="Times New Roman" w:hAnsi="Times New Roman" w:eastAsia="仿宋" w:cs="Times New Roman"/>
                <w:sz w:val="22"/>
                <w:szCs w:val="22"/>
                <w:u w:val="single"/>
                <w:lang w:val="zh-CN" w:eastAsia="zh-CN" w:bidi="ar-SA"/>
              </w:rPr>
              <w:t>7</w:t>
            </w:r>
            <w:r>
              <w:rPr>
                <w:rFonts w:ascii="Times New Roman" w:hAnsi="Times New Roman" w:eastAsia="仿宋" w:cs="Times New Roman"/>
                <w:sz w:val="22"/>
                <w:szCs w:val="22"/>
                <w:lang w:val="zh-CN" w:eastAsia="zh-CN" w:bidi="ar-SA"/>
              </w:rPr>
              <w:t>个工作日内；</w:t>
            </w:r>
          </w:p>
          <w:p w14:paraId="4E293C0E">
            <w:pPr>
              <w:widowControl w:val="0"/>
              <w:tabs>
                <w:tab w:val="left" w:pos="220"/>
              </w:tabs>
              <w:autoSpaceDE w:val="0"/>
              <w:autoSpaceDN w:val="0"/>
              <w:adjustRightInd w:val="0"/>
              <w:spacing w:line="360" w:lineRule="auto"/>
              <w:ind w:left="210" w:leftChars="100"/>
              <w:jc w:val="both"/>
              <w:rPr>
                <w:rFonts w:ascii="Times New Roman" w:hAnsi="Times New Roman" w:eastAsia="仿宋" w:cs="Times New Roman"/>
                <w:sz w:val="22"/>
                <w:szCs w:val="22"/>
                <w:lang w:val="en-US" w:eastAsia="zh-CN" w:bidi="ar-SA"/>
              </w:rPr>
            </w:pPr>
            <w:r>
              <w:rPr>
                <w:rFonts w:ascii="Times New Roman" w:hAnsi="Times New Roman" w:eastAsia="仿宋" w:cs="Times New Roman"/>
                <w:sz w:val="22"/>
                <w:szCs w:val="22"/>
                <w:lang w:val="zh-CN" w:eastAsia="zh-CN" w:bidi="ar-SA"/>
              </w:rPr>
              <w:sym w:font="Wingdings" w:char="00A8"/>
            </w:r>
            <w:r>
              <w:rPr>
                <w:rFonts w:ascii="Times New Roman" w:hAnsi="Times New Roman" w:eastAsia="仿宋" w:cs="Times New Roman"/>
                <w:sz w:val="22"/>
                <w:szCs w:val="22"/>
                <w:lang w:val="en-US" w:eastAsia="zh-CN" w:bidi="ar-SA"/>
              </w:rPr>
              <w:t>结果公告发出后</w:t>
            </w:r>
            <w:r>
              <w:rPr>
                <w:rFonts w:ascii="Times New Roman" w:hAnsi="Times New Roman" w:eastAsia="仿宋" w:cs="Times New Roman"/>
                <w:sz w:val="22"/>
                <w:szCs w:val="22"/>
                <w:u w:val="single"/>
                <w:lang w:val="en-US" w:eastAsia="zh-CN" w:bidi="ar-SA"/>
              </w:rPr>
              <w:t>7</w:t>
            </w:r>
            <w:r>
              <w:rPr>
                <w:rFonts w:ascii="Times New Roman" w:hAnsi="Times New Roman" w:eastAsia="仿宋" w:cs="Times New Roman"/>
                <w:sz w:val="22"/>
                <w:szCs w:val="22"/>
                <w:lang w:val="en-US" w:eastAsia="zh-CN" w:bidi="ar-SA"/>
              </w:rPr>
              <w:t>个</w:t>
            </w:r>
            <w:r>
              <w:rPr>
                <w:rFonts w:ascii="Times New Roman" w:hAnsi="Times New Roman" w:eastAsia="仿宋" w:cs="Times New Roman"/>
                <w:sz w:val="22"/>
                <w:szCs w:val="22"/>
                <w:lang w:val="zh-CN" w:eastAsia="zh-CN" w:bidi="ar-SA"/>
              </w:rPr>
              <w:t>工作日内。</w:t>
            </w:r>
          </w:p>
          <w:p w14:paraId="606C0D9F">
            <w:pPr>
              <w:widowControl w:val="0"/>
              <w:numPr>
                <w:ilvl w:val="0"/>
                <w:numId w:val="6"/>
              </w:numPr>
              <w:tabs>
                <w:tab w:val="left" w:pos="220"/>
                <w:tab w:val="clear" w:pos="0"/>
              </w:tabs>
              <w:autoSpaceDE w:val="0"/>
              <w:autoSpaceDN w:val="0"/>
              <w:adjustRightInd w:val="0"/>
              <w:spacing w:line="360" w:lineRule="auto"/>
              <w:ind w:left="210" w:leftChars="100" w:firstLine="1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退还时间及方式：</w:t>
            </w:r>
            <w:r>
              <w:rPr>
                <w:rFonts w:hint="eastAsia" w:ascii="Times New Roman" w:hAnsi="Times New Roman" w:eastAsia="仿宋" w:cs="Times New Roman"/>
                <w:sz w:val="22"/>
                <w:szCs w:val="22"/>
                <w:u w:val="single"/>
                <w:lang w:val="zh-CN" w:eastAsia="zh-CN" w:bidi="ar-SA"/>
              </w:rPr>
              <w:t>XXX</w:t>
            </w:r>
            <w:r>
              <w:rPr>
                <w:rFonts w:ascii="Times New Roman" w:hAnsi="Times New Roman" w:eastAsia="仿宋" w:cs="Times New Roman"/>
                <w:sz w:val="22"/>
                <w:szCs w:val="22"/>
                <w:u w:val="single"/>
                <w:lang w:val="zh-CN" w:eastAsia="zh-CN" w:bidi="ar-SA"/>
              </w:rPr>
              <w:t>后</w:t>
            </w:r>
            <w:r>
              <w:rPr>
                <w:rFonts w:ascii="Times New Roman" w:hAnsi="Times New Roman" w:eastAsia="仿宋" w:cs="Times New Roman"/>
                <w:sz w:val="22"/>
                <w:szCs w:val="22"/>
                <w:lang w:val="zh-CN" w:eastAsia="zh-CN" w:bidi="ar-SA"/>
              </w:rPr>
              <w:t>采购人接到</w:t>
            </w:r>
            <w:r>
              <w:rPr>
                <w:rFonts w:ascii="Times New Roman" w:hAnsi="Times New Roman" w:eastAsia="仿宋" w:cs="Times New Roman"/>
                <w:sz w:val="22"/>
                <w:szCs w:val="22"/>
                <w:lang w:val="en-US" w:eastAsia="zh-CN" w:bidi="ar-SA"/>
              </w:rPr>
              <w:t>供应商</w:t>
            </w:r>
            <w:r>
              <w:rPr>
                <w:rFonts w:ascii="Times New Roman" w:hAnsi="Times New Roman" w:eastAsia="仿宋" w:cs="Times New Roman"/>
                <w:sz w:val="22"/>
                <w:szCs w:val="22"/>
                <w:lang w:val="zh-CN" w:eastAsia="zh-CN" w:bidi="ar-SA"/>
              </w:rPr>
              <w:t>退款申请之日起</w:t>
            </w:r>
            <w:r>
              <w:rPr>
                <w:rFonts w:ascii="Times New Roman" w:hAnsi="Times New Roman" w:eastAsia="仿宋" w:cs="Times New Roman"/>
                <w:sz w:val="22"/>
                <w:szCs w:val="22"/>
                <w:u w:val="single"/>
                <w:lang w:val="zh-CN" w:eastAsia="zh-CN" w:bidi="ar-SA"/>
              </w:rPr>
              <w:t>30</w:t>
            </w:r>
            <w:r>
              <w:rPr>
                <w:rFonts w:ascii="Times New Roman" w:hAnsi="Times New Roman" w:eastAsia="仿宋" w:cs="Times New Roman"/>
                <w:sz w:val="22"/>
                <w:szCs w:val="22"/>
                <w:lang w:val="zh-CN" w:eastAsia="zh-CN" w:bidi="ar-SA"/>
              </w:rPr>
              <w:t>个工作日内无息退还；</w:t>
            </w:r>
          </w:p>
          <w:p w14:paraId="671E28F4">
            <w:pPr>
              <w:widowControl w:val="0"/>
              <w:numPr>
                <w:ilvl w:val="0"/>
                <w:numId w:val="6"/>
              </w:numPr>
              <w:tabs>
                <w:tab w:val="left" w:pos="220"/>
                <w:tab w:val="clear" w:pos="0"/>
              </w:tabs>
              <w:autoSpaceDE w:val="0"/>
              <w:autoSpaceDN w:val="0"/>
              <w:adjustRightInd w:val="0"/>
              <w:spacing w:line="360" w:lineRule="auto"/>
              <w:ind w:left="210" w:leftChars="100" w:firstLine="1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履约保证金不予退还情形：</w:t>
            </w:r>
          </w:p>
          <w:p w14:paraId="6526B511">
            <w:pPr>
              <w:widowControl w:val="0"/>
              <w:numPr>
                <w:ilvl w:val="0"/>
                <w:numId w:val="8"/>
              </w:numPr>
              <w:tabs>
                <w:tab w:val="left" w:pos="218"/>
                <w:tab w:val="clear" w:pos="0"/>
              </w:tabs>
              <w:autoSpaceDE w:val="0"/>
              <w:autoSpaceDN w:val="0"/>
              <w:adjustRightInd w:val="0"/>
              <w:spacing w:line="360" w:lineRule="auto"/>
              <w:ind w:left="218" w:leftChars="104" w:firstLine="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成交供应商不履行与采购人订立的合同的，给采购人造成的损失超过履约保证金数额的，还应当对超过部分予以赔偿；</w:t>
            </w:r>
          </w:p>
          <w:p w14:paraId="27645C3B">
            <w:pPr>
              <w:widowControl w:val="0"/>
              <w:numPr>
                <w:ilvl w:val="0"/>
                <w:numId w:val="8"/>
              </w:numPr>
              <w:tabs>
                <w:tab w:val="left" w:pos="218"/>
                <w:tab w:val="clear" w:pos="0"/>
              </w:tabs>
              <w:autoSpaceDE w:val="0"/>
              <w:autoSpaceDN w:val="0"/>
              <w:adjustRightInd w:val="0"/>
              <w:spacing w:line="360" w:lineRule="auto"/>
              <w:ind w:left="218" w:leftChars="104" w:firstLine="0"/>
              <w:jc w:val="both"/>
              <w:rPr>
                <w:rFonts w:ascii="Times New Roman" w:hAnsi="Times New Roman" w:eastAsia="仿宋" w:cs="Times New Roman"/>
                <w:sz w:val="22"/>
                <w:szCs w:val="22"/>
                <w:lang w:val="zh-CN" w:eastAsia="zh-CN" w:bidi="ar-SA"/>
              </w:rPr>
            </w:pPr>
            <w:r>
              <w:rPr>
                <w:rFonts w:ascii="Times New Roman" w:hAnsi="Times New Roman" w:eastAsia="仿宋" w:cs="Times New Roman"/>
                <w:sz w:val="22"/>
                <w:szCs w:val="22"/>
                <w:lang w:val="zh-CN" w:eastAsia="zh-CN" w:bidi="ar-SA"/>
              </w:rPr>
              <w:t>项目验收结果不合格的；</w:t>
            </w:r>
          </w:p>
          <w:p w14:paraId="4147E6AA">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ascii="Times New Roman" w:hAnsi="Times New Roman" w:eastAsia="仿宋" w:cs="Times New Roman"/>
                <w:sz w:val="22"/>
                <w:szCs w:val="22"/>
                <w:lang w:val="zh-CN" w:eastAsia="zh-CN" w:bidi="ar-SA"/>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刘</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2329"/>
      <w:bookmarkStart w:id="7" w:name="_Toc14460"/>
      <w:bookmarkStart w:id="8" w:name="_Toc24154"/>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32181"/>
      <w:bookmarkStart w:id="10" w:name="_Toc28050"/>
      <w:bookmarkStart w:id="11" w:name="_Toc1940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12668"/>
      <w:bookmarkStart w:id="13" w:name="_Toc16403"/>
      <w:bookmarkStart w:id="14" w:name="_Toc398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w:t>
      </w:r>
      <w:r>
        <w:rPr>
          <w:rFonts w:hint="eastAsia" w:ascii="仿宋" w:hAnsi="仿宋" w:eastAsia="仿宋" w:cs="仿宋"/>
          <w:sz w:val="24"/>
          <w:szCs w:val="24"/>
          <w:highlight w:val="none"/>
          <w:lang w:val="en-US" w:eastAsia="zh-CN"/>
        </w:rPr>
        <w:t>一名供应商提供渗透测试及重保服务。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3"/>
        <w:gridCol w:w="2381"/>
        <w:gridCol w:w="3473"/>
        <w:gridCol w:w="782"/>
        <w:gridCol w:w="799"/>
        <w:gridCol w:w="1650"/>
      </w:tblGrid>
      <w:tr w14:paraId="3AC3B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jc w:val="center"/>
        </w:trPr>
        <w:tc>
          <w:tcPr>
            <w:tcW w:w="763" w:type="dxa"/>
            <w:shd w:val="clear" w:color="auto" w:fill="auto"/>
            <w:tcMar>
              <w:top w:w="0" w:type="dxa"/>
              <w:left w:w="105" w:type="dxa"/>
              <w:bottom w:w="0" w:type="dxa"/>
              <w:right w:w="105" w:type="dxa"/>
            </w:tcMar>
            <w:vAlign w:val="center"/>
          </w:tcPr>
          <w:p w14:paraId="5B4CB12C">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序号</w:t>
            </w:r>
          </w:p>
        </w:tc>
        <w:tc>
          <w:tcPr>
            <w:tcW w:w="2381" w:type="dxa"/>
            <w:shd w:val="clear" w:color="auto" w:fill="auto"/>
            <w:tcMar>
              <w:top w:w="0" w:type="dxa"/>
              <w:left w:w="105" w:type="dxa"/>
              <w:bottom w:w="0" w:type="dxa"/>
              <w:right w:w="105" w:type="dxa"/>
            </w:tcMar>
            <w:vAlign w:val="center"/>
          </w:tcPr>
          <w:p w14:paraId="7DB83008">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品名</w:t>
            </w:r>
          </w:p>
        </w:tc>
        <w:tc>
          <w:tcPr>
            <w:tcW w:w="3473" w:type="dxa"/>
            <w:shd w:val="clear" w:color="auto" w:fill="auto"/>
            <w:tcMar>
              <w:top w:w="0" w:type="dxa"/>
              <w:left w:w="105" w:type="dxa"/>
              <w:bottom w:w="0" w:type="dxa"/>
              <w:right w:w="105" w:type="dxa"/>
            </w:tcMar>
            <w:vAlign w:val="center"/>
          </w:tcPr>
          <w:p w14:paraId="5E1A76D1">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详细描述</w:t>
            </w:r>
          </w:p>
        </w:tc>
        <w:tc>
          <w:tcPr>
            <w:tcW w:w="782" w:type="dxa"/>
            <w:shd w:val="clear" w:color="auto" w:fill="auto"/>
            <w:tcMar>
              <w:top w:w="0" w:type="dxa"/>
              <w:left w:w="105" w:type="dxa"/>
              <w:bottom w:w="0" w:type="dxa"/>
              <w:right w:w="105" w:type="dxa"/>
            </w:tcMar>
            <w:vAlign w:val="center"/>
          </w:tcPr>
          <w:p w14:paraId="275AFF29">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数量</w:t>
            </w:r>
          </w:p>
        </w:tc>
        <w:tc>
          <w:tcPr>
            <w:tcW w:w="799" w:type="dxa"/>
            <w:shd w:val="clear" w:color="auto" w:fill="auto"/>
            <w:tcMar>
              <w:top w:w="0" w:type="dxa"/>
              <w:left w:w="105" w:type="dxa"/>
              <w:bottom w:w="0" w:type="dxa"/>
              <w:right w:w="105" w:type="dxa"/>
            </w:tcMar>
            <w:vAlign w:val="center"/>
          </w:tcPr>
          <w:p w14:paraId="3A535C58">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单位</w:t>
            </w:r>
          </w:p>
        </w:tc>
        <w:tc>
          <w:tcPr>
            <w:tcW w:w="1650" w:type="dxa"/>
            <w:shd w:val="clear" w:color="auto" w:fill="auto"/>
            <w:tcMar>
              <w:top w:w="0" w:type="dxa"/>
              <w:left w:w="105" w:type="dxa"/>
              <w:bottom w:w="0" w:type="dxa"/>
              <w:right w:w="105" w:type="dxa"/>
            </w:tcMar>
            <w:vAlign w:val="center"/>
          </w:tcPr>
          <w:p w14:paraId="797C4B97">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限高单价（元）</w:t>
            </w:r>
          </w:p>
        </w:tc>
      </w:tr>
      <w:tr w14:paraId="4738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3" w:type="dxa"/>
            <w:shd w:val="clear" w:color="auto" w:fill="auto"/>
            <w:tcMar>
              <w:top w:w="0" w:type="dxa"/>
              <w:left w:w="105" w:type="dxa"/>
              <w:bottom w:w="0" w:type="dxa"/>
              <w:right w:w="105" w:type="dxa"/>
            </w:tcMar>
            <w:vAlign w:val="center"/>
          </w:tcPr>
          <w:p w14:paraId="187A905E">
            <w:pPr>
              <w:pStyle w:val="14"/>
              <w:keepNext w:val="0"/>
              <w:keepLines w:val="0"/>
              <w:widowControl/>
              <w:suppressLineNumbers w:val="0"/>
              <w:wordWrap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1</w:t>
            </w:r>
          </w:p>
        </w:tc>
        <w:tc>
          <w:tcPr>
            <w:tcW w:w="2381" w:type="dxa"/>
            <w:shd w:val="clear" w:color="auto" w:fill="auto"/>
            <w:tcMar>
              <w:top w:w="0" w:type="dxa"/>
              <w:left w:w="105" w:type="dxa"/>
              <w:bottom w:w="0" w:type="dxa"/>
              <w:right w:w="105" w:type="dxa"/>
            </w:tcMar>
            <w:vAlign w:val="center"/>
          </w:tcPr>
          <w:p w14:paraId="391992B3">
            <w:pPr>
              <w:pStyle w:val="14"/>
              <w:keepNext w:val="0"/>
              <w:keepLines w:val="0"/>
              <w:widowControl/>
              <w:suppressLineNumbers w:val="0"/>
              <w:wordWrap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color w:val="000000"/>
                <w:sz w:val="24"/>
                <w:szCs w:val="24"/>
              </w:rPr>
              <w:t>渗透测试及重保服务</w:t>
            </w:r>
          </w:p>
        </w:tc>
        <w:tc>
          <w:tcPr>
            <w:tcW w:w="3473" w:type="dxa"/>
            <w:shd w:val="clear" w:color="auto" w:fill="auto"/>
            <w:tcMar>
              <w:top w:w="0" w:type="dxa"/>
              <w:left w:w="105" w:type="dxa"/>
              <w:bottom w:w="0" w:type="dxa"/>
              <w:right w:w="105" w:type="dxa"/>
            </w:tcMar>
            <w:vAlign w:val="center"/>
          </w:tcPr>
          <w:p w14:paraId="5E4F4ED7">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color w:val="000000"/>
                <w:sz w:val="24"/>
                <w:szCs w:val="24"/>
              </w:rPr>
              <w:t>四川省人民医院2026-2027渗透测试及重保服务</w:t>
            </w:r>
          </w:p>
        </w:tc>
        <w:tc>
          <w:tcPr>
            <w:tcW w:w="782" w:type="dxa"/>
            <w:shd w:val="clear" w:color="auto" w:fill="auto"/>
            <w:tcMar>
              <w:top w:w="0" w:type="dxa"/>
              <w:left w:w="105" w:type="dxa"/>
              <w:bottom w:w="0" w:type="dxa"/>
              <w:right w:w="105" w:type="dxa"/>
            </w:tcMar>
            <w:vAlign w:val="center"/>
          </w:tcPr>
          <w:p w14:paraId="383075CE">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799" w:type="dxa"/>
            <w:shd w:val="clear" w:color="auto" w:fill="auto"/>
            <w:tcMar>
              <w:top w:w="0" w:type="dxa"/>
              <w:left w:w="105" w:type="dxa"/>
              <w:bottom w:w="0" w:type="dxa"/>
              <w:right w:w="105" w:type="dxa"/>
            </w:tcMar>
            <w:vAlign w:val="center"/>
          </w:tcPr>
          <w:p w14:paraId="65F33DC7">
            <w:pPr>
              <w:pStyle w:val="14"/>
              <w:keepNext w:val="0"/>
              <w:keepLines w:val="0"/>
              <w:widowControl/>
              <w:suppressLineNumbers w:val="0"/>
              <w:autoSpaceDE w:val="0"/>
              <w:autoSpaceDN/>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w:t>
            </w:r>
          </w:p>
        </w:tc>
        <w:tc>
          <w:tcPr>
            <w:tcW w:w="1650" w:type="dxa"/>
            <w:shd w:val="clear" w:color="auto" w:fill="auto"/>
            <w:tcMar>
              <w:top w:w="0" w:type="dxa"/>
              <w:left w:w="105" w:type="dxa"/>
              <w:bottom w:w="0" w:type="dxa"/>
              <w:right w:w="105" w:type="dxa"/>
            </w:tcMar>
            <w:vAlign w:val="center"/>
          </w:tcPr>
          <w:p w14:paraId="584898FA">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214000</w:t>
            </w:r>
          </w:p>
        </w:tc>
      </w:tr>
    </w:tbl>
    <w:p w14:paraId="4E566339">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default" w:ascii="仿宋" w:hAnsi="仿宋" w:eastAsia="仿宋" w:cs="仿宋"/>
          <w:b/>
          <w:bCs/>
          <w:kern w:val="0"/>
          <w:sz w:val="24"/>
          <w:szCs w:val="24"/>
          <w:lang w:val="en-US" w:eastAsia="zh-CN" w:bidi="ar"/>
        </w:rPr>
      </w:pPr>
      <w:r>
        <w:rPr>
          <w:rStyle w:val="21"/>
          <w:rFonts w:hint="eastAsia" w:ascii="宋体" w:hAnsi="宋体" w:eastAsia="宋体" w:cs="宋体"/>
          <w:b/>
          <w:bCs/>
          <w:kern w:val="2"/>
          <w:sz w:val="24"/>
          <w:szCs w:val="24"/>
        </w:rPr>
        <w:t>★</w:t>
      </w:r>
      <w:r>
        <w:rPr>
          <w:rFonts w:hint="eastAsia" w:ascii="仿宋" w:hAnsi="仿宋" w:eastAsia="仿宋" w:cs="仿宋"/>
          <w:b/>
          <w:bCs/>
          <w:kern w:val="0"/>
          <w:sz w:val="24"/>
          <w:szCs w:val="24"/>
          <w:lang w:val="en-US" w:eastAsia="zh-CN" w:bidi="ar"/>
        </w:rPr>
        <w:t>2.接口清单</w:t>
      </w:r>
    </w:p>
    <w:p w14:paraId="3299B6F0">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无</w:t>
      </w:r>
    </w:p>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default" w:ascii="仿宋" w:hAnsi="仿宋" w:eastAsia="仿宋" w:cs="仿宋"/>
          <w:sz w:val="24"/>
          <w:szCs w:val="24"/>
          <w:lang w:val="en-US"/>
        </w:rPr>
      </w:pPr>
      <w:r>
        <w:rPr>
          <w:rFonts w:hint="eastAsia" w:ascii="仿宋" w:hAnsi="仿宋" w:eastAsia="仿宋" w:cs="仿宋"/>
          <w:b/>
          <w:bCs/>
          <w:kern w:val="0"/>
          <w:sz w:val="24"/>
          <w:szCs w:val="24"/>
          <w:lang w:val="en-US" w:eastAsia="zh-CN" w:bidi="ar"/>
        </w:rPr>
        <w:t>三、技术</w:t>
      </w:r>
      <w:r>
        <w:rPr>
          <w:rFonts w:hint="eastAsia" w:ascii="仿宋" w:hAnsi="仿宋" w:eastAsia="仿宋" w:cs="仿宋"/>
          <w:b/>
          <w:bCs/>
          <w:sz w:val="24"/>
          <w:szCs w:val="24"/>
          <w:lang w:val="en-US" w:eastAsia="zh-CN"/>
        </w:rPr>
        <w:t>、服务</w:t>
      </w:r>
      <w:r>
        <w:rPr>
          <w:rFonts w:hint="eastAsia" w:ascii="仿宋" w:hAnsi="仿宋" w:eastAsia="仿宋" w:cs="仿宋"/>
          <w:b/>
          <w:bCs/>
          <w:sz w:val="24"/>
          <w:szCs w:val="24"/>
        </w:rPr>
        <w:t>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b/>
          <w:bCs/>
          <w:sz w:val="24"/>
          <w:szCs w:val="24"/>
          <w:lang w:val="en-US" w:eastAsia="zh-CN"/>
        </w:rPr>
        <w:t>1.技术要求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9"/>
        <w:gridCol w:w="1789"/>
        <w:gridCol w:w="1424"/>
        <w:gridCol w:w="5906"/>
      </w:tblGrid>
      <w:tr w14:paraId="17E8A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05" w:hRule="atLeast"/>
        </w:trPr>
        <w:tc>
          <w:tcPr>
            <w:tcW w:w="729" w:type="dxa"/>
            <w:shd w:val="clear" w:color="auto" w:fill="auto"/>
            <w:tcMar>
              <w:top w:w="0" w:type="dxa"/>
              <w:left w:w="105" w:type="dxa"/>
              <w:bottom w:w="0" w:type="dxa"/>
              <w:right w:w="105" w:type="dxa"/>
            </w:tcMar>
            <w:vAlign w:val="center"/>
          </w:tcPr>
          <w:p w14:paraId="4D8A4D00">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序号</w:t>
            </w:r>
          </w:p>
        </w:tc>
        <w:tc>
          <w:tcPr>
            <w:tcW w:w="1789" w:type="dxa"/>
            <w:shd w:val="clear" w:color="auto" w:fill="auto"/>
            <w:tcMar>
              <w:top w:w="0" w:type="dxa"/>
              <w:left w:w="105" w:type="dxa"/>
              <w:bottom w:w="0" w:type="dxa"/>
              <w:right w:w="105" w:type="dxa"/>
            </w:tcMar>
            <w:vAlign w:val="center"/>
          </w:tcPr>
          <w:p w14:paraId="4AF730C6">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名称</w:t>
            </w:r>
          </w:p>
        </w:tc>
        <w:tc>
          <w:tcPr>
            <w:tcW w:w="1424" w:type="dxa"/>
            <w:shd w:val="clear" w:color="auto" w:fill="auto"/>
            <w:tcMar>
              <w:top w:w="0" w:type="dxa"/>
              <w:left w:w="105" w:type="dxa"/>
              <w:bottom w:w="0" w:type="dxa"/>
              <w:right w:w="105" w:type="dxa"/>
            </w:tcMar>
            <w:vAlign w:val="center"/>
          </w:tcPr>
          <w:p w14:paraId="2DAD6CA4">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模块</w:t>
            </w:r>
          </w:p>
        </w:tc>
        <w:tc>
          <w:tcPr>
            <w:tcW w:w="5906" w:type="dxa"/>
            <w:shd w:val="clear" w:color="auto" w:fill="auto"/>
            <w:tcMar>
              <w:top w:w="0" w:type="dxa"/>
              <w:left w:w="105" w:type="dxa"/>
              <w:bottom w:w="0" w:type="dxa"/>
              <w:right w:w="105" w:type="dxa"/>
            </w:tcMar>
            <w:vAlign w:val="center"/>
          </w:tcPr>
          <w:p w14:paraId="286CDDE4">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rPr>
            </w:pPr>
            <w:r>
              <w:rPr>
                <w:rStyle w:val="21"/>
                <w:rFonts w:hint="eastAsia" w:ascii="仿宋" w:hAnsi="仿宋" w:eastAsia="仿宋" w:cs="仿宋"/>
                <w:color w:val="auto"/>
                <w:sz w:val="24"/>
                <w:szCs w:val="24"/>
                <w:u w:val="none"/>
              </w:rPr>
              <w:t>参数</w:t>
            </w:r>
          </w:p>
        </w:tc>
      </w:tr>
      <w:tr w14:paraId="220B7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0C124D29">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1</w:t>
            </w:r>
          </w:p>
        </w:tc>
        <w:tc>
          <w:tcPr>
            <w:tcW w:w="1789" w:type="dxa"/>
            <w:vMerge w:val="restart"/>
            <w:shd w:val="clear" w:color="auto" w:fill="auto"/>
            <w:tcMar>
              <w:top w:w="0" w:type="dxa"/>
              <w:left w:w="105" w:type="dxa"/>
              <w:bottom w:w="0" w:type="dxa"/>
              <w:right w:w="105" w:type="dxa"/>
            </w:tcMar>
            <w:vAlign w:val="center"/>
          </w:tcPr>
          <w:p w14:paraId="679C4E84">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四川省人民医院2026-2027渗透测试及重保服务</w:t>
            </w:r>
          </w:p>
        </w:tc>
        <w:tc>
          <w:tcPr>
            <w:tcW w:w="1424" w:type="dxa"/>
            <w:shd w:val="clear" w:color="auto" w:fill="auto"/>
            <w:tcMar>
              <w:top w:w="0" w:type="dxa"/>
              <w:left w:w="105" w:type="dxa"/>
              <w:bottom w:w="0" w:type="dxa"/>
              <w:right w:w="105" w:type="dxa"/>
            </w:tcMar>
            <w:vAlign w:val="center"/>
          </w:tcPr>
          <w:p w14:paraId="07FB50AE">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10FAF93C">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服务期内针对</w:t>
            </w:r>
            <w:r>
              <w:rPr>
                <w:rFonts w:hint="eastAsia" w:ascii="仿宋" w:hAnsi="仿宋" w:eastAsia="仿宋" w:cs="仿宋"/>
                <w:color w:val="auto"/>
                <w:sz w:val="24"/>
                <w:szCs w:val="24"/>
                <w:u w:val="none"/>
                <w:lang w:eastAsia="zh-CN"/>
              </w:rPr>
              <w:t>采购人</w:t>
            </w:r>
            <w:r>
              <w:rPr>
                <w:rFonts w:hint="eastAsia" w:ascii="仿宋" w:hAnsi="仿宋" w:eastAsia="仿宋" w:cs="仿宋"/>
                <w:color w:val="auto"/>
                <w:sz w:val="24"/>
                <w:szCs w:val="24"/>
                <w:u w:val="none"/>
              </w:rPr>
              <w:t>指定的至少20个系统开展渗透测试，协助采购人进行漏洞修复并提供修复后的复测</w:t>
            </w: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u w:val="none"/>
                <w:lang w:val="en-US" w:eastAsia="zh-CN"/>
              </w:rPr>
              <w:t>复测到漏洞全部处理为止</w:t>
            </w:r>
            <w:r>
              <w:rPr>
                <w:rFonts w:hint="eastAsia" w:ascii="仿宋" w:hAnsi="仿宋" w:eastAsia="仿宋" w:cs="仿宋"/>
                <w:color w:val="auto"/>
                <w:sz w:val="24"/>
                <w:szCs w:val="24"/>
                <w:u w:val="none"/>
              </w:rPr>
              <w:t>。</w:t>
            </w:r>
          </w:p>
        </w:tc>
      </w:tr>
      <w:tr w14:paraId="6032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3E691152">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2</w:t>
            </w:r>
          </w:p>
        </w:tc>
        <w:tc>
          <w:tcPr>
            <w:tcW w:w="1789" w:type="dxa"/>
            <w:vMerge w:val="continue"/>
            <w:shd w:val="clear" w:color="auto" w:fill="auto"/>
            <w:tcMar>
              <w:top w:w="0" w:type="dxa"/>
              <w:left w:w="105" w:type="dxa"/>
              <w:bottom w:w="0" w:type="dxa"/>
              <w:right w:w="105" w:type="dxa"/>
            </w:tcMar>
            <w:vAlign w:val="center"/>
          </w:tcPr>
          <w:p w14:paraId="2B8D6AFA">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2FB91EC6">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5D4D4743">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本次服务需保证采购人信息系统正常运行前提下，模拟黑客攻击行为通过远程或本地方式对信息系统进行非破坏性的入侵测试，查找针对应用程序的各种漏洞，帮助采购人理解应用系统当前的安全状况，发现在系统复杂结构中的最脆弱链路并针对安全隐患提出解决办法，切实保证信息系统安全。</w:t>
            </w:r>
          </w:p>
        </w:tc>
      </w:tr>
      <w:tr w14:paraId="176C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432EECDA">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3</w:t>
            </w:r>
          </w:p>
        </w:tc>
        <w:tc>
          <w:tcPr>
            <w:tcW w:w="1789" w:type="dxa"/>
            <w:vMerge w:val="continue"/>
            <w:shd w:val="clear" w:color="auto" w:fill="auto"/>
            <w:tcMar>
              <w:top w:w="0" w:type="dxa"/>
              <w:left w:w="105" w:type="dxa"/>
              <w:bottom w:w="0" w:type="dxa"/>
              <w:right w:w="105" w:type="dxa"/>
            </w:tcMar>
            <w:vAlign w:val="center"/>
          </w:tcPr>
          <w:p w14:paraId="6777384D">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54B6F8F8">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239639C4">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根据采购人安全需求及重要业务系统结构，设计针对性的渗透测试方案，并提交至采购人进行评审。</w:t>
            </w:r>
          </w:p>
        </w:tc>
      </w:tr>
      <w:tr w14:paraId="12C3B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56BBAEE0">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4</w:t>
            </w:r>
          </w:p>
        </w:tc>
        <w:tc>
          <w:tcPr>
            <w:tcW w:w="1789" w:type="dxa"/>
            <w:vMerge w:val="continue"/>
            <w:shd w:val="clear" w:color="auto" w:fill="auto"/>
            <w:tcMar>
              <w:top w:w="0" w:type="dxa"/>
              <w:left w:w="105" w:type="dxa"/>
              <w:bottom w:w="0" w:type="dxa"/>
              <w:right w:w="105" w:type="dxa"/>
            </w:tcMar>
            <w:vAlign w:val="center"/>
          </w:tcPr>
          <w:p w14:paraId="7A1DD706">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10FB5990">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110453B0">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在得到采购人授权后方可开始实施渗透工作，采购人授权后，通过模拟黑客攻击行为通过本地或远程方式对目标对象进行非破坏性的入侵测试。</w:t>
            </w:r>
          </w:p>
        </w:tc>
      </w:tr>
      <w:tr w14:paraId="34B2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3ECFC1DD">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5</w:t>
            </w:r>
          </w:p>
        </w:tc>
        <w:tc>
          <w:tcPr>
            <w:tcW w:w="1789" w:type="dxa"/>
            <w:vMerge w:val="continue"/>
            <w:shd w:val="clear" w:color="auto" w:fill="auto"/>
            <w:tcMar>
              <w:top w:w="0" w:type="dxa"/>
              <w:left w:w="105" w:type="dxa"/>
              <w:bottom w:w="0" w:type="dxa"/>
              <w:right w:w="105" w:type="dxa"/>
            </w:tcMar>
            <w:vAlign w:val="center"/>
          </w:tcPr>
          <w:p w14:paraId="67036009">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3FC44894">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03FD2F1C">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在</w:t>
            </w:r>
            <w:r>
              <w:rPr>
                <w:rFonts w:hint="eastAsia" w:ascii="仿宋" w:hAnsi="仿宋" w:eastAsia="仿宋" w:cs="仿宋"/>
                <w:color w:val="auto"/>
                <w:sz w:val="24"/>
                <w:szCs w:val="24"/>
                <w:u w:val="none"/>
                <w:lang w:eastAsia="zh-CN"/>
              </w:rPr>
              <w:t>响应</w:t>
            </w:r>
            <w:r>
              <w:rPr>
                <w:rFonts w:hint="eastAsia" w:ascii="仿宋" w:hAnsi="仿宋" w:eastAsia="仿宋" w:cs="仿宋"/>
                <w:color w:val="auto"/>
                <w:sz w:val="24"/>
                <w:szCs w:val="24"/>
                <w:u w:val="none"/>
              </w:rPr>
              <w:t>文件技术部分详细说明渗透测试的实施流程、渗透测试方法、实施过程中用到的工具、实施过程中可供考量的具体工作指标及各阶段输出成果。</w:t>
            </w:r>
          </w:p>
        </w:tc>
      </w:tr>
      <w:tr w14:paraId="72A35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26FEF667">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6</w:t>
            </w:r>
          </w:p>
        </w:tc>
        <w:tc>
          <w:tcPr>
            <w:tcW w:w="1789" w:type="dxa"/>
            <w:vMerge w:val="continue"/>
            <w:shd w:val="clear" w:color="auto" w:fill="auto"/>
            <w:tcMar>
              <w:top w:w="0" w:type="dxa"/>
              <w:left w:w="105" w:type="dxa"/>
              <w:bottom w:w="0" w:type="dxa"/>
              <w:right w:w="105" w:type="dxa"/>
            </w:tcMar>
            <w:vAlign w:val="center"/>
          </w:tcPr>
          <w:p w14:paraId="23116820">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5296018D">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3A208754">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提供的渗透测试方案必须包括但不限于：</w:t>
            </w:r>
          </w:p>
          <w:p w14:paraId="48F09EC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righ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①渗透方法和流程 </w:t>
            </w:r>
          </w:p>
          <w:p w14:paraId="6B54F660">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righ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②渗透测试风险评估和控制方案 </w:t>
            </w:r>
          </w:p>
          <w:p w14:paraId="3D134921">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righ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③渗透测试须采用国内外商业检测工具或自有检测工具</w:t>
            </w:r>
          </w:p>
          <w:p w14:paraId="6EA313A0">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righ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④提供渗透测试所面临的主要风险及相应的风险规避措施</w:t>
            </w:r>
          </w:p>
        </w:tc>
      </w:tr>
      <w:tr w14:paraId="53A2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7603CE3C">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7</w:t>
            </w:r>
          </w:p>
        </w:tc>
        <w:tc>
          <w:tcPr>
            <w:tcW w:w="1789" w:type="dxa"/>
            <w:vMerge w:val="continue"/>
            <w:shd w:val="clear" w:color="auto" w:fill="auto"/>
            <w:tcMar>
              <w:top w:w="0" w:type="dxa"/>
              <w:left w:w="105" w:type="dxa"/>
              <w:bottom w:w="0" w:type="dxa"/>
              <w:right w:w="105" w:type="dxa"/>
            </w:tcMar>
            <w:vAlign w:val="center"/>
          </w:tcPr>
          <w:p w14:paraId="459BAB5A">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1059E28D">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1BFD36EB">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渗透测试应至少包括但不限于以下范围的漏洞： </w:t>
            </w:r>
          </w:p>
          <w:p w14:paraId="504B4B4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①WEB应用系统渗透 </w:t>
            </w:r>
          </w:p>
          <w:p w14:paraId="3A63947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②主机操作系统渗透 </w:t>
            </w:r>
          </w:p>
          <w:p w14:paraId="0AE6FBF1">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③数据库系统渗透</w:t>
            </w:r>
          </w:p>
        </w:tc>
      </w:tr>
      <w:tr w14:paraId="227C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1B6D8EC3">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8</w:t>
            </w:r>
          </w:p>
        </w:tc>
        <w:tc>
          <w:tcPr>
            <w:tcW w:w="1789" w:type="dxa"/>
            <w:vMerge w:val="continue"/>
            <w:shd w:val="clear" w:color="auto" w:fill="auto"/>
            <w:tcMar>
              <w:top w:w="0" w:type="dxa"/>
              <w:left w:w="105" w:type="dxa"/>
              <w:bottom w:w="0" w:type="dxa"/>
              <w:right w:w="105" w:type="dxa"/>
            </w:tcMar>
            <w:vAlign w:val="center"/>
          </w:tcPr>
          <w:p w14:paraId="546814E9">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3EBDE9DA">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36118EBD">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渗透测试内容包括但不限于： </w:t>
            </w:r>
          </w:p>
          <w:p w14:paraId="5192E13E">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①身份验证类 </w:t>
            </w:r>
          </w:p>
          <w:p w14:paraId="347177BB">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②会话管理类 </w:t>
            </w:r>
          </w:p>
          <w:p w14:paraId="6CF2D2C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③访问控制类 </w:t>
            </w:r>
          </w:p>
          <w:p w14:paraId="12FB4ED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④输入处理类 </w:t>
            </w:r>
          </w:p>
          <w:p w14:paraId="4A6AD610">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⑤信息泄露类 </w:t>
            </w:r>
          </w:p>
          <w:p w14:paraId="44586629">
            <w:pPr>
              <w:pStyle w:val="14"/>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firstLine="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⑥第三方应用类</w:t>
            </w:r>
          </w:p>
        </w:tc>
      </w:tr>
      <w:tr w14:paraId="015B8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6545BD79">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9</w:t>
            </w:r>
          </w:p>
        </w:tc>
        <w:tc>
          <w:tcPr>
            <w:tcW w:w="1789" w:type="dxa"/>
            <w:vMerge w:val="continue"/>
            <w:shd w:val="clear" w:color="auto" w:fill="auto"/>
            <w:tcMar>
              <w:top w:w="0" w:type="dxa"/>
              <w:left w:w="105" w:type="dxa"/>
              <w:bottom w:w="0" w:type="dxa"/>
              <w:right w:w="105" w:type="dxa"/>
            </w:tcMar>
            <w:vAlign w:val="center"/>
          </w:tcPr>
          <w:p w14:paraId="1CF2BF5A">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5717903D">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1EA2BD95">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渗透测试人员需针对使用不同技术手段发现不同纬度的漏洞进行验证，形成记录和报告。渗透测试人员在授权许可的情况下以目标业务系统为跳板进行横向渗透，发掘更深层次的漏洞并展现漏洞被利用后的危害。</w:t>
            </w:r>
          </w:p>
        </w:tc>
      </w:tr>
      <w:tr w14:paraId="064D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64D42272">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10</w:t>
            </w:r>
          </w:p>
        </w:tc>
        <w:tc>
          <w:tcPr>
            <w:tcW w:w="1789" w:type="dxa"/>
            <w:vMerge w:val="continue"/>
            <w:shd w:val="clear" w:color="auto" w:fill="auto"/>
            <w:tcMar>
              <w:top w:w="0" w:type="dxa"/>
              <w:left w:w="105" w:type="dxa"/>
              <w:bottom w:w="0" w:type="dxa"/>
              <w:right w:w="105" w:type="dxa"/>
            </w:tcMar>
            <w:vAlign w:val="center"/>
          </w:tcPr>
          <w:p w14:paraId="076642A9">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3CC15B09">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77168B39">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所使用服务工具包括但不限于网络安全等级保护检查工具、API和应用系统安全审计系统工具等。</w:t>
            </w:r>
          </w:p>
        </w:tc>
      </w:tr>
      <w:tr w14:paraId="02A7F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51F1C516">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11</w:t>
            </w:r>
          </w:p>
        </w:tc>
        <w:tc>
          <w:tcPr>
            <w:tcW w:w="1789" w:type="dxa"/>
            <w:vMerge w:val="continue"/>
            <w:shd w:val="clear" w:color="auto" w:fill="auto"/>
            <w:tcMar>
              <w:top w:w="0" w:type="dxa"/>
              <w:left w:w="105" w:type="dxa"/>
              <w:bottom w:w="0" w:type="dxa"/>
              <w:right w:w="105" w:type="dxa"/>
            </w:tcMar>
            <w:vAlign w:val="center"/>
          </w:tcPr>
          <w:p w14:paraId="0B946A8A">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7521941E">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★渗透测试</w:t>
            </w:r>
          </w:p>
        </w:tc>
        <w:tc>
          <w:tcPr>
            <w:tcW w:w="5906" w:type="dxa"/>
            <w:shd w:val="clear" w:color="auto" w:fill="auto"/>
            <w:tcMar>
              <w:top w:w="0" w:type="dxa"/>
              <w:left w:w="105" w:type="dxa"/>
              <w:bottom w:w="0" w:type="dxa"/>
              <w:right w:w="105" w:type="dxa"/>
            </w:tcMar>
            <w:vAlign w:val="center"/>
          </w:tcPr>
          <w:p w14:paraId="206222CA">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编写渗透测试报告并提交给采购人，报告应该阐明采购人业务系统中存在的安全隐患以及专业的漏洞风险处置建议。</w:t>
            </w:r>
          </w:p>
        </w:tc>
      </w:tr>
      <w:tr w14:paraId="1AD6F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39ED4D72">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12</w:t>
            </w:r>
          </w:p>
        </w:tc>
        <w:tc>
          <w:tcPr>
            <w:tcW w:w="1789" w:type="dxa"/>
            <w:vMerge w:val="continue"/>
            <w:shd w:val="clear" w:color="auto" w:fill="auto"/>
            <w:tcMar>
              <w:top w:w="0" w:type="dxa"/>
              <w:left w:w="105" w:type="dxa"/>
              <w:bottom w:w="0" w:type="dxa"/>
              <w:right w:w="105" w:type="dxa"/>
            </w:tcMar>
            <w:vAlign w:val="center"/>
          </w:tcPr>
          <w:p w14:paraId="557EBD92">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12258A5A">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2C890C1A">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提供资产授权≥100个，围绕资产、漏洞、威胁、事件，提供一年7*24小时的远程安全托管运营服务。</w:t>
            </w:r>
          </w:p>
        </w:tc>
      </w:tr>
      <w:tr w14:paraId="38C30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7C84EB0B">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13</w:t>
            </w:r>
          </w:p>
        </w:tc>
        <w:tc>
          <w:tcPr>
            <w:tcW w:w="1789" w:type="dxa"/>
            <w:vMerge w:val="continue"/>
            <w:shd w:val="clear" w:color="auto" w:fill="auto"/>
            <w:tcMar>
              <w:top w:w="0" w:type="dxa"/>
              <w:left w:w="105" w:type="dxa"/>
              <w:bottom w:w="0" w:type="dxa"/>
              <w:right w:w="105" w:type="dxa"/>
            </w:tcMar>
            <w:vAlign w:val="center"/>
          </w:tcPr>
          <w:p w14:paraId="267A96F9">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669F857B">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4AE57F92">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服务工具提供 API 数据接口，支持与其他平台进行对接，实现服务工具和其他平台的数据实时同步对接</w:t>
            </w:r>
            <w:r>
              <w:rPr>
                <w:rFonts w:hint="eastAsia" w:ascii="仿宋" w:hAnsi="仿宋" w:eastAsia="仿宋" w:cs="仿宋"/>
                <w:b/>
                <w:bCs/>
                <w:color w:val="auto"/>
                <w:sz w:val="24"/>
                <w:szCs w:val="24"/>
                <w:u w:val="none"/>
              </w:rPr>
              <w:t>（提供官网彩页资料或白皮书或功能界面截图证明文件）</w:t>
            </w:r>
            <w:r>
              <w:rPr>
                <w:rFonts w:hint="eastAsia" w:ascii="仿宋" w:hAnsi="仿宋" w:eastAsia="仿宋" w:cs="仿宋"/>
                <w:color w:val="auto"/>
                <w:sz w:val="24"/>
                <w:szCs w:val="24"/>
                <w:u w:val="none"/>
              </w:rPr>
              <w:t>。</w:t>
            </w:r>
          </w:p>
        </w:tc>
      </w:tr>
      <w:tr w14:paraId="5165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122A7828">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default"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14</w:t>
            </w:r>
          </w:p>
        </w:tc>
        <w:tc>
          <w:tcPr>
            <w:tcW w:w="1789" w:type="dxa"/>
            <w:vMerge w:val="continue"/>
            <w:shd w:val="clear" w:color="auto" w:fill="auto"/>
            <w:tcMar>
              <w:top w:w="0" w:type="dxa"/>
              <w:left w:w="105" w:type="dxa"/>
              <w:bottom w:w="0" w:type="dxa"/>
              <w:right w:w="105" w:type="dxa"/>
            </w:tcMar>
            <w:vAlign w:val="center"/>
          </w:tcPr>
          <w:p w14:paraId="5905260F">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536F663D">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1EB5B6FD">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支持从等保视角进行资产管理，查看内容包括</w:t>
            </w:r>
            <w:r>
              <w:rPr>
                <w:rFonts w:hint="eastAsia" w:ascii="仿宋" w:hAnsi="仿宋" w:eastAsia="仿宋" w:cs="仿宋"/>
                <w:color w:val="auto"/>
                <w:sz w:val="24"/>
                <w:szCs w:val="24"/>
                <w:u w:val="none"/>
                <w:lang w:val="en-US" w:eastAsia="zh-CN"/>
              </w:rPr>
              <w:t>但</w:t>
            </w:r>
            <w:r>
              <w:rPr>
                <w:rFonts w:hint="eastAsia" w:ascii="仿宋" w:hAnsi="仿宋" w:eastAsia="仿宋" w:cs="仿宋"/>
                <w:color w:val="auto"/>
                <w:sz w:val="24"/>
                <w:szCs w:val="24"/>
                <w:u w:val="none"/>
              </w:rPr>
              <w:t>不限于基础的等保信息、业务拓扑、关联 web 业务系统、部门负责人、测评情况</w:t>
            </w:r>
            <w:bookmarkStart w:id="106" w:name="_GoBack"/>
            <w:bookmarkEnd w:id="106"/>
            <w:r>
              <w:rPr>
                <w:rFonts w:hint="eastAsia" w:ascii="仿宋" w:hAnsi="仿宋" w:eastAsia="仿宋" w:cs="仿宋"/>
                <w:b/>
                <w:bCs/>
                <w:color w:val="auto"/>
                <w:sz w:val="24"/>
                <w:szCs w:val="24"/>
                <w:u w:val="none"/>
              </w:rPr>
              <w:t>（提供官网彩页资料或白皮书或功能界面截图证明文件）</w:t>
            </w:r>
            <w:r>
              <w:rPr>
                <w:rFonts w:hint="eastAsia" w:ascii="仿宋" w:hAnsi="仿宋" w:eastAsia="仿宋" w:cs="仿宋"/>
                <w:color w:val="auto"/>
                <w:sz w:val="24"/>
                <w:szCs w:val="24"/>
                <w:u w:val="none"/>
              </w:rPr>
              <w:t>。</w:t>
            </w:r>
          </w:p>
        </w:tc>
      </w:tr>
      <w:tr w14:paraId="4E04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2FCB0B08">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15</w:t>
            </w:r>
          </w:p>
        </w:tc>
        <w:tc>
          <w:tcPr>
            <w:tcW w:w="1789" w:type="dxa"/>
            <w:vMerge w:val="continue"/>
            <w:shd w:val="clear" w:color="auto" w:fill="auto"/>
            <w:tcMar>
              <w:top w:w="0" w:type="dxa"/>
              <w:left w:w="105" w:type="dxa"/>
              <w:bottom w:w="0" w:type="dxa"/>
              <w:right w:w="105" w:type="dxa"/>
            </w:tcMar>
            <w:vAlign w:val="center"/>
          </w:tcPr>
          <w:p w14:paraId="15401D58">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3E2CB122">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6427F953">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支持web漏洞扫描结果+V功能，加V表示该漏洞可靠性达到90%以上</w:t>
            </w:r>
            <w:r>
              <w:rPr>
                <w:rFonts w:hint="eastAsia" w:ascii="仿宋" w:hAnsi="仿宋" w:eastAsia="仿宋" w:cs="仿宋"/>
                <w:b/>
                <w:bCs/>
                <w:color w:val="auto"/>
                <w:sz w:val="24"/>
                <w:szCs w:val="24"/>
                <w:u w:val="none"/>
              </w:rPr>
              <w:t>（提供官网彩页资料或白皮书或功能界面截图证明文件）</w:t>
            </w:r>
            <w:r>
              <w:rPr>
                <w:rFonts w:hint="eastAsia" w:ascii="仿宋" w:hAnsi="仿宋" w:eastAsia="仿宋" w:cs="仿宋"/>
                <w:color w:val="auto"/>
                <w:sz w:val="24"/>
                <w:szCs w:val="24"/>
                <w:u w:val="none"/>
              </w:rPr>
              <w:t>。</w:t>
            </w:r>
          </w:p>
        </w:tc>
      </w:tr>
      <w:tr w14:paraId="2EA3F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0748CB95">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16</w:t>
            </w:r>
          </w:p>
        </w:tc>
        <w:tc>
          <w:tcPr>
            <w:tcW w:w="1789" w:type="dxa"/>
            <w:vMerge w:val="continue"/>
            <w:shd w:val="clear" w:color="auto" w:fill="auto"/>
            <w:tcMar>
              <w:top w:w="0" w:type="dxa"/>
              <w:left w:w="105" w:type="dxa"/>
              <w:bottom w:w="0" w:type="dxa"/>
              <w:right w:w="105" w:type="dxa"/>
            </w:tcMar>
            <w:vAlign w:val="center"/>
          </w:tcPr>
          <w:p w14:paraId="2CB99618">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37DC24C7">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170E563B">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支持漏洞情报及时更新，包括不仅限于 CVE、CNVD、CNNVD、EXP、POC 等关键标签</w:t>
            </w:r>
            <w:r>
              <w:rPr>
                <w:rFonts w:hint="eastAsia" w:ascii="仿宋" w:hAnsi="仿宋" w:eastAsia="仿宋" w:cs="仿宋"/>
                <w:b/>
                <w:bCs/>
                <w:color w:val="auto"/>
                <w:sz w:val="24"/>
                <w:szCs w:val="24"/>
                <w:u w:val="none"/>
              </w:rPr>
              <w:t>（提供官网彩页资料或白皮书或功能界面截图证明文件）。</w:t>
            </w:r>
          </w:p>
        </w:tc>
      </w:tr>
      <w:tr w14:paraId="7ECFA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35B1C674">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17</w:t>
            </w:r>
          </w:p>
        </w:tc>
        <w:tc>
          <w:tcPr>
            <w:tcW w:w="1789" w:type="dxa"/>
            <w:vMerge w:val="continue"/>
            <w:shd w:val="clear" w:color="auto" w:fill="auto"/>
            <w:tcMar>
              <w:top w:w="0" w:type="dxa"/>
              <w:left w:w="105" w:type="dxa"/>
              <w:bottom w:w="0" w:type="dxa"/>
              <w:right w:w="105" w:type="dxa"/>
            </w:tcMar>
            <w:vAlign w:val="center"/>
          </w:tcPr>
          <w:p w14:paraId="45791CC7">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7E738770">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327BBD0B">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服务提供方具备内部服务知识库，提供运营知识包括不仅限于攻击、威胁狩猎、风险管理、应急响应、代码审计、事件闭环、安全运维7个维度，储备内容不少于3000万字</w:t>
            </w:r>
            <w:r>
              <w:rPr>
                <w:rFonts w:hint="eastAsia" w:ascii="仿宋" w:hAnsi="仿宋" w:eastAsia="仿宋" w:cs="仿宋"/>
                <w:b/>
                <w:bCs/>
                <w:color w:val="auto"/>
                <w:sz w:val="24"/>
                <w:szCs w:val="24"/>
                <w:u w:val="none"/>
              </w:rPr>
              <w:t>（提供官网彩页资料或白皮书或功能界面截图证明文件）</w:t>
            </w:r>
            <w:r>
              <w:rPr>
                <w:rFonts w:hint="eastAsia" w:ascii="仿宋" w:hAnsi="仿宋" w:eastAsia="仿宋" w:cs="仿宋"/>
                <w:color w:val="auto"/>
                <w:sz w:val="24"/>
                <w:szCs w:val="24"/>
                <w:u w:val="none"/>
              </w:rPr>
              <w:t>。</w:t>
            </w:r>
          </w:p>
        </w:tc>
      </w:tr>
      <w:tr w14:paraId="039C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57C8E29F">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18</w:t>
            </w:r>
          </w:p>
        </w:tc>
        <w:tc>
          <w:tcPr>
            <w:tcW w:w="1789" w:type="dxa"/>
            <w:vMerge w:val="continue"/>
            <w:shd w:val="clear" w:color="auto" w:fill="auto"/>
            <w:tcMar>
              <w:top w:w="0" w:type="dxa"/>
              <w:left w:w="105" w:type="dxa"/>
              <w:bottom w:w="0" w:type="dxa"/>
              <w:right w:w="105" w:type="dxa"/>
            </w:tcMar>
            <w:vAlign w:val="center"/>
          </w:tcPr>
          <w:p w14:paraId="0353C9A2">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0BCCDB42">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23BF8550">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云端服务专家在研判事件并确认真实存在后，可通过微信公众号、企业微信、钉钉群等方式快速推送采购人</w:t>
            </w:r>
            <w:r>
              <w:rPr>
                <w:rFonts w:hint="eastAsia" w:ascii="仿宋" w:hAnsi="仿宋" w:eastAsia="仿宋" w:cs="仿宋"/>
                <w:b/>
                <w:bCs/>
                <w:color w:val="auto"/>
                <w:sz w:val="24"/>
                <w:szCs w:val="24"/>
                <w:u w:val="none"/>
              </w:rPr>
              <w:t>（提供官网彩页资料或白皮书或功能界面截图证明文件）</w:t>
            </w:r>
            <w:r>
              <w:rPr>
                <w:rFonts w:hint="eastAsia" w:ascii="仿宋" w:hAnsi="仿宋" w:eastAsia="仿宋" w:cs="仿宋"/>
                <w:color w:val="auto"/>
                <w:sz w:val="24"/>
                <w:szCs w:val="24"/>
                <w:u w:val="none"/>
              </w:rPr>
              <w:t>。</w:t>
            </w:r>
          </w:p>
        </w:tc>
      </w:tr>
      <w:tr w14:paraId="209B3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291ABA9D">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19</w:t>
            </w:r>
          </w:p>
        </w:tc>
        <w:tc>
          <w:tcPr>
            <w:tcW w:w="1789" w:type="dxa"/>
            <w:vMerge w:val="continue"/>
            <w:shd w:val="clear" w:color="auto" w:fill="auto"/>
            <w:tcMar>
              <w:top w:w="0" w:type="dxa"/>
              <w:left w:w="105" w:type="dxa"/>
              <w:bottom w:w="0" w:type="dxa"/>
              <w:right w:w="105" w:type="dxa"/>
            </w:tcMar>
            <w:vAlign w:val="center"/>
          </w:tcPr>
          <w:p w14:paraId="383A87B6">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2E672D2A">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0E7542A3">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供应商提供服务界面支持展示最近 24 小时的各阶段安全运营状况</w:t>
            </w:r>
            <w:r>
              <w:rPr>
                <w:rFonts w:hint="eastAsia" w:ascii="仿宋" w:hAnsi="仿宋" w:eastAsia="仿宋" w:cs="仿宋"/>
                <w:b/>
                <w:bCs/>
                <w:color w:val="auto"/>
                <w:sz w:val="24"/>
                <w:szCs w:val="24"/>
                <w:u w:val="none"/>
              </w:rPr>
              <w:t>（提供官网彩页资料或白皮书或功能界面截图证明文件）</w:t>
            </w:r>
            <w:r>
              <w:rPr>
                <w:rFonts w:hint="eastAsia" w:ascii="仿宋" w:hAnsi="仿宋" w:eastAsia="仿宋" w:cs="仿宋"/>
                <w:color w:val="auto"/>
                <w:sz w:val="24"/>
                <w:szCs w:val="24"/>
                <w:u w:val="none"/>
              </w:rPr>
              <w:t>。</w:t>
            </w:r>
          </w:p>
        </w:tc>
      </w:tr>
      <w:tr w14:paraId="60DC9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273816A4">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20</w:t>
            </w:r>
          </w:p>
        </w:tc>
        <w:tc>
          <w:tcPr>
            <w:tcW w:w="1789" w:type="dxa"/>
            <w:vMerge w:val="continue"/>
            <w:shd w:val="clear" w:color="auto" w:fill="auto"/>
            <w:tcMar>
              <w:top w:w="0" w:type="dxa"/>
              <w:left w:w="105" w:type="dxa"/>
              <w:bottom w:w="0" w:type="dxa"/>
              <w:right w:w="105" w:type="dxa"/>
            </w:tcMar>
            <w:vAlign w:val="center"/>
          </w:tcPr>
          <w:p w14:paraId="0C711CA1">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7C617BD2">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2F1F3093">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服务工具：包括但不限于网络脆弱性扫描工具、Web 应用安全检测工具、数据库扫描工具</w:t>
            </w:r>
            <w:r>
              <w:rPr>
                <w:rFonts w:hint="eastAsia" w:ascii="仿宋" w:hAnsi="仿宋" w:eastAsia="仿宋" w:cs="仿宋"/>
                <w:b/>
                <w:bCs/>
                <w:color w:val="auto"/>
                <w:sz w:val="24"/>
                <w:szCs w:val="24"/>
                <w:u w:val="none"/>
              </w:rPr>
              <w:t>（提供官网彩页资料或白皮书或功能界面截图证明文件）</w:t>
            </w:r>
            <w:r>
              <w:rPr>
                <w:rFonts w:hint="eastAsia" w:ascii="仿宋" w:hAnsi="仿宋" w:eastAsia="仿宋" w:cs="仿宋"/>
                <w:color w:val="auto"/>
                <w:sz w:val="24"/>
                <w:szCs w:val="24"/>
                <w:u w:val="none"/>
              </w:rPr>
              <w:t>。</w:t>
            </w:r>
          </w:p>
        </w:tc>
      </w:tr>
      <w:tr w14:paraId="1DBC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61E0B279">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21</w:t>
            </w:r>
          </w:p>
        </w:tc>
        <w:tc>
          <w:tcPr>
            <w:tcW w:w="1789" w:type="dxa"/>
            <w:vMerge w:val="continue"/>
            <w:shd w:val="clear" w:color="auto" w:fill="auto"/>
            <w:tcMar>
              <w:top w:w="0" w:type="dxa"/>
              <w:left w:w="105" w:type="dxa"/>
              <w:bottom w:w="0" w:type="dxa"/>
              <w:right w:w="105" w:type="dxa"/>
            </w:tcMar>
            <w:vAlign w:val="center"/>
          </w:tcPr>
          <w:p w14:paraId="0063C94A">
            <w:pPr>
              <w:keepNext w:val="0"/>
              <w:keepLines w:val="0"/>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2A9CCC6E">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28DCB69E">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支持漏洞情报及时更新，包括不仅限于CVE、CNVD、CNNVD关键标签。</w:t>
            </w:r>
          </w:p>
        </w:tc>
      </w:tr>
      <w:tr w14:paraId="0F942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72C3C395">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rPr>
              <w:t>2</w:t>
            </w:r>
            <w:r>
              <w:rPr>
                <w:rFonts w:hint="eastAsia" w:ascii="仿宋" w:hAnsi="仿宋" w:eastAsia="仿宋" w:cs="仿宋"/>
                <w:color w:val="auto"/>
                <w:sz w:val="24"/>
                <w:szCs w:val="24"/>
                <w:u w:val="none"/>
                <w:lang w:val="en-US" w:eastAsia="zh-CN"/>
              </w:rPr>
              <w:t>2</w:t>
            </w:r>
          </w:p>
        </w:tc>
        <w:tc>
          <w:tcPr>
            <w:tcW w:w="1789" w:type="dxa"/>
            <w:shd w:val="clear" w:color="auto" w:fill="auto"/>
            <w:tcMar>
              <w:top w:w="0" w:type="dxa"/>
              <w:left w:w="105" w:type="dxa"/>
              <w:bottom w:w="0" w:type="dxa"/>
              <w:right w:w="105" w:type="dxa"/>
            </w:tcMar>
            <w:vAlign w:val="center"/>
          </w:tcPr>
          <w:p w14:paraId="7049D13C">
            <w:pPr>
              <w:keepNext w:val="0"/>
              <w:keepLines w:val="0"/>
              <w:pageBreakBefore w:val="0"/>
              <w:widowControl/>
              <w:suppressLineNumbers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3F76EAEC">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69B3D194">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云端服务平台支持对接现有安全设备，如：下一代防火墙、安全态势感知、服务器终端杀毒等，支持实时接收安全设备检测到的安全事件信息、安全日志数据，支持联动现有的防火墙进行事件遏制，</w:t>
            </w:r>
            <w:r>
              <w:rPr>
                <w:rFonts w:hint="eastAsia" w:ascii="仿宋" w:hAnsi="仿宋" w:eastAsia="仿宋" w:cs="仿宋"/>
                <w:color w:val="auto"/>
                <w:sz w:val="24"/>
                <w:szCs w:val="24"/>
                <w:u w:val="none"/>
                <w:lang w:eastAsia="zh-CN"/>
              </w:rPr>
              <w:t>有效</w:t>
            </w:r>
            <w:r>
              <w:rPr>
                <w:rFonts w:hint="eastAsia" w:ascii="仿宋" w:hAnsi="仿宋" w:eastAsia="仿宋" w:cs="仿宋"/>
                <w:color w:val="auto"/>
                <w:sz w:val="24"/>
                <w:szCs w:val="24"/>
                <w:u w:val="none"/>
              </w:rPr>
              <w:t>对风险进行管控，并提供7*24小时的安全托管服务</w:t>
            </w:r>
            <w:r>
              <w:rPr>
                <w:rFonts w:hint="eastAsia" w:ascii="仿宋" w:hAnsi="仿宋" w:eastAsia="仿宋" w:cs="仿宋"/>
                <w:b/>
                <w:bCs/>
                <w:color w:val="auto"/>
                <w:sz w:val="24"/>
                <w:szCs w:val="24"/>
                <w:u w:val="none"/>
              </w:rPr>
              <w:t>（提供官网彩页资料或白皮书或功能界面截图证明文件）</w:t>
            </w:r>
            <w:r>
              <w:rPr>
                <w:rFonts w:hint="eastAsia" w:ascii="仿宋" w:hAnsi="仿宋" w:eastAsia="仿宋" w:cs="仿宋"/>
                <w:color w:val="auto"/>
                <w:sz w:val="24"/>
                <w:szCs w:val="24"/>
                <w:u w:val="none"/>
              </w:rPr>
              <w:t>。</w:t>
            </w:r>
          </w:p>
        </w:tc>
      </w:tr>
      <w:tr w14:paraId="79263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33116488">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rPr>
              <w:t>2</w:t>
            </w:r>
            <w:r>
              <w:rPr>
                <w:rFonts w:hint="eastAsia" w:ascii="仿宋" w:hAnsi="仿宋" w:eastAsia="仿宋" w:cs="仿宋"/>
                <w:color w:val="auto"/>
                <w:sz w:val="24"/>
                <w:szCs w:val="24"/>
                <w:u w:val="none"/>
                <w:lang w:val="en-US" w:eastAsia="zh-CN"/>
              </w:rPr>
              <w:t>3</w:t>
            </w:r>
          </w:p>
        </w:tc>
        <w:tc>
          <w:tcPr>
            <w:tcW w:w="1789" w:type="dxa"/>
            <w:shd w:val="clear" w:color="auto" w:fill="auto"/>
            <w:tcMar>
              <w:top w:w="0" w:type="dxa"/>
              <w:left w:w="105" w:type="dxa"/>
              <w:bottom w:w="0" w:type="dxa"/>
              <w:right w:w="105" w:type="dxa"/>
            </w:tcMar>
            <w:vAlign w:val="center"/>
          </w:tcPr>
          <w:p w14:paraId="7ED580CE">
            <w:pPr>
              <w:keepNext w:val="0"/>
              <w:keepLines w:val="0"/>
              <w:pageBreakBefore w:val="0"/>
              <w:widowControl/>
              <w:suppressLineNumbers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420CB0C9">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799D341D">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提供移动端服务过程展示门户（移动端Portal），支持查阅服务推送的各种安全事件/威胁的详细专家审核研判过程，包含安全事件详细的基本信息、入侵路径、影响主机、主机调查、数据包分析等内容</w:t>
            </w:r>
            <w:r>
              <w:rPr>
                <w:rFonts w:hint="eastAsia" w:ascii="仿宋" w:hAnsi="仿宋" w:eastAsia="仿宋" w:cs="仿宋"/>
                <w:b/>
                <w:bCs/>
                <w:color w:val="auto"/>
                <w:sz w:val="24"/>
                <w:szCs w:val="24"/>
                <w:u w:val="none"/>
              </w:rPr>
              <w:t>（提供官网彩页资料或白皮书或功能界面截图证明文件）</w:t>
            </w:r>
            <w:r>
              <w:rPr>
                <w:rFonts w:hint="eastAsia" w:ascii="仿宋" w:hAnsi="仿宋" w:eastAsia="仿宋" w:cs="仿宋"/>
                <w:color w:val="auto"/>
                <w:sz w:val="24"/>
                <w:szCs w:val="24"/>
                <w:u w:val="none"/>
              </w:rPr>
              <w:t>。</w:t>
            </w:r>
          </w:p>
        </w:tc>
      </w:tr>
      <w:tr w14:paraId="5D205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center"/>
          </w:tcPr>
          <w:p w14:paraId="5BC0C2DE">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center"/>
              <w:textAlignment w:val="auto"/>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rPr>
              <w:t>2</w:t>
            </w:r>
            <w:r>
              <w:rPr>
                <w:rFonts w:hint="eastAsia" w:ascii="仿宋" w:hAnsi="仿宋" w:eastAsia="仿宋" w:cs="仿宋"/>
                <w:color w:val="auto"/>
                <w:sz w:val="24"/>
                <w:szCs w:val="24"/>
                <w:u w:val="none"/>
                <w:lang w:val="en-US" w:eastAsia="zh-CN"/>
              </w:rPr>
              <w:t>4</w:t>
            </w:r>
          </w:p>
        </w:tc>
        <w:tc>
          <w:tcPr>
            <w:tcW w:w="1789" w:type="dxa"/>
            <w:shd w:val="clear" w:color="auto" w:fill="auto"/>
            <w:tcMar>
              <w:top w:w="0" w:type="dxa"/>
              <w:left w:w="105" w:type="dxa"/>
              <w:bottom w:w="0" w:type="dxa"/>
              <w:right w:w="105" w:type="dxa"/>
            </w:tcMar>
            <w:vAlign w:val="center"/>
          </w:tcPr>
          <w:p w14:paraId="78BD9C9C">
            <w:pPr>
              <w:keepNext w:val="0"/>
              <w:keepLines w:val="0"/>
              <w:pageBreakBefore w:val="0"/>
              <w:widowControl/>
              <w:suppressLineNumbers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u w:val="none"/>
              </w:rPr>
            </w:pPr>
          </w:p>
        </w:tc>
        <w:tc>
          <w:tcPr>
            <w:tcW w:w="1424" w:type="dxa"/>
            <w:shd w:val="clear" w:color="auto" w:fill="auto"/>
            <w:tcMar>
              <w:top w:w="0" w:type="dxa"/>
              <w:left w:w="105" w:type="dxa"/>
              <w:bottom w:w="0" w:type="dxa"/>
              <w:right w:w="105" w:type="dxa"/>
            </w:tcMar>
            <w:vAlign w:val="center"/>
          </w:tcPr>
          <w:p w14:paraId="64C7A187">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▲安全托管服务</w:t>
            </w:r>
          </w:p>
        </w:tc>
        <w:tc>
          <w:tcPr>
            <w:tcW w:w="5906" w:type="dxa"/>
            <w:shd w:val="clear" w:color="auto" w:fill="auto"/>
            <w:tcMar>
              <w:top w:w="0" w:type="dxa"/>
              <w:left w:w="105" w:type="dxa"/>
              <w:bottom w:w="0" w:type="dxa"/>
              <w:right w:w="105" w:type="dxa"/>
            </w:tcMar>
            <w:vAlign w:val="center"/>
          </w:tcPr>
          <w:p w14:paraId="678DC4A5">
            <w:pPr>
              <w:pStyle w:val="14"/>
              <w:keepNext w:val="0"/>
              <w:keepLines w:val="0"/>
              <w:pageBreakBefore w:val="0"/>
              <w:widowControl/>
              <w:suppressLineNumbers w:val="0"/>
              <w:kinsoku/>
              <w:wordWrap/>
              <w:overflowPunct/>
              <w:topLinePunct w:val="0"/>
              <w:autoSpaceDN/>
              <w:bidi w:val="0"/>
              <w:adjustRightInd/>
              <w:snapToGrid/>
              <w:spacing w:beforeAutospacing="0" w:after="0" w:afterAutospacing="0" w:line="240" w:lineRule="auto"/>
              <w:ind w:left="0"/>
              <w:jc w:val="left"/>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提供服务成果展示门户（或用户Portal），具备服务质量可视化，包含但不限于展示脆弱性闭环率、脆弱性平均响应时长、脆弱性平均闭环时长、威胁闭环率、威胁平均响应时长、威胁平均闭环时长、事件闭环率、事件平均闭环时长</w:t>
            </w:r>
            <w:r>
              <w:rPr>
                <w:rFonts w:hint="eastAsia" w:ascii="仿宋" w:hAnsi="仿宋" w:eastAsia="仿宋" w:cs="仿宋"/>
                <w:b/>
                <w:bCs/>
                <w:color w:val="auto"/>
                <w:sz w:val="24"/>
                <w:szCs w:val="24"/>
                <w:u w:val="none"/>
              </w:rPr>
              <w:t>（提供官网彩页资料或白皮书或功能界面截图证明文件）</w:t>
            </w:r>
            <w:r>
              <w:rPr>
                <w:rFonts w:hint="eastAsia" w:ascii="仿宋" w:hAnsi="仿宋" w:eastAsia="仿宋" w:cs="仿宋"/>
                <w:color w:val="auto"/>
                <w:sz w:val="24"/>
                <w:szCs w:val="24"/>
                <w:u w:val="none"/>
              </w:rPr>
              <w:t>。</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kern w:val="2"/>
          <w:sz w:val="24"/>
          <w:szCs w:val="24"/>
        </w:rPr>
        <w:t>★</w:t>
      </w:r>
      <w:r>
        <w:rPr>
          <w:rFonts w:hint="eastAsia" w:ascii="仿宋" w:hAnsi="仿宋" w:eastAsia="仿宋" w:cs="仿宋"/>
          <w:b/>
          <w:bCs/>
          <w:sz w:val="24"/>
          <w:szCs w:val="24"/>
          <w:lang w:val="en-US" w:eastAsia="zh-CN"/>
        </w:rPr>
        <w:t>2.</w:t>
      </w:r>
      <w:r>
        <w:rPr>
          <w:rFonts w:hint="eastAsia" w:ascii="仿宋" w:hAnsi="仿宋" w:eastAsia="仿宋" w:cs="仿宋"/>
          <w:b/>
          <w:bCs/>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49"/>
        <w:gridCol w:w="1452"/>
        <w:gridCol w:w="6110"/>
        <w:gridCol w:w="1437"/>
      </w:tblGrid>
      <w:tr w14:paraId="152DC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top"/>
          </w:tcPr>
          <w:p w14:paraId="1426A956">
            <w:pPr>
              <w:keepNext w:val="0"/>
              <w:keepLines w:val="0"/>
              <w:pageBreakBefore w:val="0"/>
              <w:widowControl/>
              <w:suppressLineNumbers w:val="0"/>
              <w:kinsoku/>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1452" w:type="dxa"/>
            <w:shd w:val="clear" w:color="auto" w:fill="auto"/>
            <w:tcMar>
              <w:top w:w="0" w:type="dxa"/>
              <w:left w:w="105" w:type="dxa"/>
              <w:bottom w:w="0" w:type="dxa"/>
              <w:right w:w="105" w:type="dxa"/>
            </w:tcMar>
            <w:vAlign w:val="top"/>
          </w:tcPr>
          <w:p w14:paraId="1B2C6A4D">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Style w:val="21"/>
                <w:rFonts w:hint="eastAsia" w:ascii="仿宋" w:hAnsi="仿宋" w:eastAsia="仿宋" w:cs="仿宋"/>
                <w:b/>
                <w:bCs/>
                <w:sz w:val="24"/>
                <w:szCs w:val="24"/>
              </w:rPr>
              <w:t>服务类型</w:t>
            </w:r>
          </w:p>
        </w:tc>
        <w:tc>
          <w:tcPr>
            <w:tcW w:w="6110" w:type="dxa"/>
            <w:shd w:val="clear" w:color="auto" w:fill="auto"/>
            <w:tcMar>
              <w:top w:w="0" w:type="dxa"/>
              <w:left w:w="105" w:type="dxa"/>
              <w:bottom w:w="0" w:type="dxa"/>
              <w:right w:w="105" w:type="dxa"/>
            </w:tcMar>
            <w:vAlign w:val="top"/>
          </w:tcPr>
          <w:p w14:paraId="63A9F718">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服务内容</w:t>
            </w:r>
          </w:p>
        </w:tc>
        <w:tc>
          <w:tcPr>
            <w:tcW w:w="1437" w:type="dxa"/>
            <w:shd w:val="clear" w:color="auto" w:fill="auto"/>
            <w:tcMar>
              <w:top w:w="0" w:type="dxa"/>
              <w:left w:w="105" w:type="dxa"/>
              <w:bottom w:w="0" w:type="dxa"/>
              <w:right w:w="105" w:type="dxa"/>
            </w:tcMar>
            <w:vAlign w:val="top"/>
          </w:tcPr>
          <w:p w14:paraId="198734D8">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服务期</w:t>
            </w:r>
          </w:p>
        </w:tc>
      </w:tr>
      <w:tr w14:paraId="0026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9" w:type="dxa"/>
            <w:shd w:val="clear" w:color="auto" w:fill="auto"/>
            <w:tcMar>
              <w:top w:w="0" w:type="dxa"/>
              <w:left w:w="105" w:type="dxa"/>
              <w:bottom w:w="0" w:type="dxa"/>
              <w:right w:w="105" w:type="dxa"/>
            </w:tcMar>
            <w:vAlign w:val="center"/>
          </w:tcPr>
          <w:p w14:paraId="6967C9AA">
            <w:pPr>
              <w:pStyle w:val="14"/>
              <w:keepNext w:val="0"/>
              <w:keepLines w:val="0"/>
              <w:pageBreakBefore w:val="0"/>
              <w:widowControl/>
              <w:suppressLineNumbers w:val="0"/>
              <w:kinsoku/>
              <w:wordWrap w:val="0"/>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1</w:t>
            </w:r>
          </w:p>
        </w:tc>
        <w:tc>
          <w:tcPr>
            <w:tcW w:w="1452" w:type="dxa"/>
            <w:shd w:val="clear" w:color="auto" w:fill="auto"/>
            <w:tcMar>
              <w:top w:w="0" w:type="dxa"/>
              <w:left w:w="105" w:type="dxa"/>
              <w:bottom w:w="0" w:type="dxa"/>
              <w:right w:w="105" w:type="dxa"/>
            </w:tcMar>
            <w:vAlign w:val="center"/>
          </w:tcPr>
          <w:p w14:paraId="1B0CF03E">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基本服务</w:t>
            </w:r>
          </w:p>
        </w:tc>
        <w:tc>
          <w:tcPr>
            <w:tcW w:w="6110" w:type="dxa"/>
            <w:shd w:val="clear" w:color="auto" w:fill="auto"/>
            <w:tcMar>
              <w:top w:w="0" w:type="dxa"/>
              <w:left w:w="105" w:type="dxa"/>
              <w:bottom w:w="0" w:type="dxa"/>
              <w:right w:w="105" w:type="dxa"/>
            </w:tcMar>
            <w:vAlign w:val="top"/>
          </w:tcPr>
          <w:p w14:paraId="5712F535">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基本服务至少满足以下内容：</w:t>
            </w:r>
          </w:p>
          <w:p w14:paraId="26E9E435">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1</w:t>
            </w:r>
            <w:r>
              <w:rPr>
                <w:rStyle w:val="21"/>
                <w:rFonts w:hint="eastAsia" w:ascii="仿宋" w:hAnsi="仿宋" w:eastAsia="仿宋" w:cs="仿宋"/>
                <w:b/>
                <w:bCs/>
                <w:sz w:val="24"/>
                <w:szCs w:val="24"/>
                <w:lang w:val="en-US" w:eastAsia="zh-CN"/>
              </w:rPr>
              <w:t>.</w:t>
            </w:r>
            <w:r>
              <w:rPr>
                <w:rStyle w:val="21"/>
                <w:rFonts w:hint="eastAsia" w:ascii="仿宋" w:hAnsi="仿宋" w:eastAsia="仿宋" w:cs="仿宋"/>
                <w:b/>
                <w:bCs/>
                <w:sz w:val="24"/>
                <w:szCs w:val="24"/>
              </w:rPr>
              <w:t>稳定性：</w:t>
            </w:r>
            <w:r>
              <w:rPr>
                <w:rFonts w:hint="eastAsia" w:ascii="仿宋" w:hAnsi="仿宋" w:eastAsia="仿宋" w:cs="仿宋"/>
                <w:sz w:val="24"/>
                <w:szCs w:val="24"/>
              </w:rPr>
              <w:t>服务期内需保障业务稳定，不无故出现崩溃或宕机现象；</w:t>
            </w:r>
          </w:p>
          <w:p w14:paraId="1F611E91">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2</w:t>
            </w:r>
            <w:r>
              <w:rPr>
                <w:rStyle w:val="21"/>
                <w:rFonts w:hint="eastAsia" w:ascii="仿宋" w:hAnsi="仿宋" w:eastAsia="仿宋" w:cs="仿宋"/>
                <w:b/>
                <w:bCs/>
                <w:sz w:val="24"/>
                <w:szCs w:val="24"/>
                <w:lang w:val="en-US" w:eastAsia="zh-CN"/>
              </w:rPr>
              <w:t>.</w:t>
            </w:r>
            <w:r>
              <w:rPr>
                <w:rStyle w:val="21"/>
                <w:rFonts w:hint="eastAsia" w:ascii="仿宋" w:hAnsi="仿宋" w:eastAsia="仿宋" w:cs="仿宋"/>
                <w:b/>
                <w:bCs/>
                <w:sz w:val="24"/>
                <w:szCs w:val="24"/>
              </w:rPr>
              <w:t>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42358AA3">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3</w:t>
            </w:r>
            <w:r>
              <w:rPr>
                <w:rStyle w:val="21"/>
                <w:rFonts w:hint="eastAsia" w:ascii="仿宋" w:hAnsi="仿宋" w:eastAsia="仿宋" w:cs="仿宋"/>
                <w:b/>
                <w:bCs/>
                <w:sz w:val="24"/>
                <w:szCs w:val="24"/>
                <w:lang w:val="en-US" w:eastAsia="zh-CN"/>
              </w:rPr>
              <w:t>.</w:t>
            </w:r>
            <w:r>
              <w:rPr>
                <w:rStyle w:val="21"/>
                <w:rFonts w:hint="eastAsia" w:ascii="仿宋" w:hAnsi="仿宋" w:eastAsia="仿宋" w:cs="仿宋"/>
                <w:b/>
                <w:bCs/>
                <w:sz w:val="24"/>
                <w:szCs w:val="24"/>
              </w:rPr>
              <w:t>数据质量：</w:t>
            </w:r>
            <w:r>
              <w:rPr>
                <w:rFonts w:hint="eastAsia" w:ascii="仿宋" w:hAnsi="仿宋" w:eastAsia="仿宋" w:cs="仿宋"/>
                <w:sz w:val="24"/>
                <w:szCs w:val="24"/>
              </w:rPr>
              <w:t>供应商收到异议后</w:t>
            </w:r>
            <w:r>
              <w:rPr>
                <w:rFonts w:hint="eastAsia" w:ascii="仿宋" w:hAnsi="仿宋" w:eastAsia="仿宋" w:cs="仿宋"/>
                <w:b w:val="0"/>
                <w:bCs w:val="0"/>
                <w:sz w:val="24"/>
                <w:szCs w:val="24"/>
              </w:rPr>
              <w:t>，</w:t>
            </w:r>
            <w:r>
              <w:rPr>
                <w:rFonts w:hint="eastAsia" w:ascii="仿宋" w:hAnsi="仿宋" w:eastAsia="仿宋" w:cs="仿宋"/>
                <w:sz w:val="24"/>
                <w:szCs w:val="24"/>
              </w:rPr>
              <w:t>中标供应商应在5个工作日内对数据质量问题进行原因查找和反馈，30个工作日内对数据质量问题进行数据清洗；</w:t>
            </w:r>
          </w:p>
          <w:p w14:paraId="76CC8912">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4</w:t>
            </w:r>
            <w:r>
              <w:rPr>
                <w:rStyle w:val="21"/>
                <w:rFonts w:hint="eastAsia" w:ascii="仿宋" w:hAnsi="仿宋" w:eastAsia="仿宋" w:cs="仿宋"/>
                <w:b/>
                <w:bCs/>
                <w:sz w:val="24"/>
                <w:szCs w:val="24"/>
                <w:lang w:val="en-US" w:eastAsia="zh-CN"/>
              </w:rPr>
              <w:t>.</w:t>
            </w:r>
            <w:r>
              <w:rPr>
                <w:rStyle w:val="21"/>
                <w:rFonts w:hint="eastAsia" w:ascii="仿宋" w:hAnsi="仿宋" w:eastAsia="仿宋" w:cs="仿宋"/>
                <w:b/>
                <w:bCs/>
                <w:sz w:val="24"/>
                <w:szCs w:val="24"/>
              </w:rPr>
              <w:t>响应速度：</w:t>
            </w:r>
            <w:r>
              <w:rPr>
                <w:rFonts w:hint="eastAsia" w:ascii="仿宋" w:hAnsi="仿宋" w:eastAsia="仿宋" w:cs="仿宋"/>
                <w:sz w:val="24"/>
                <w:szCs w:val="24"/>
              </w:rPr>
              <w:t>服务期内，采购人通过电话、微信、现场提出的支持需求，供应商须在需求提出的当日完成响应；</w:t>
            </w:r>
          </w:p>
          <w:p w14:paraId="7CFDD7F7">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lang w:val="en-US" w:eastAsia="zh-CN"/>
              </w:rPr>
              <w:t>5.</w:t>
            </w:r>
            <w:r>
              <w:rPr>
                <w:rStyle w:val="21"/>
                <w:rFonts w:hint="eastAsia" w:ascii="仿宋" w:hAnsi="仿宋" w:eastAsia="仿宋" w:cs="仿宋"/>
                <w:b/>
                <w:bCs/>
                <w:sz w:val="24"/>
                <w:szCs w:val="24"/>
              </w:rPr>
              <w:t>定期巡检：</w:t>
            </w:r>
            <w:r>
              <w:rPr>
                <w:rFonts w:hint="eastAsia" w:ascii="仿宋" w:hAnsi="仿宋" w:eastAsia="仿宋" w:cs="仿宋"/>
                <w:sz w:val="24"/>
                <w:szCs w:val="24"/>
              </w:rPr>
              <w:t>服务期内每月提供至少1次软硬件服务期巡检报告；</w:t>
            </w:r>
          </w:p>
          <w:p w14:paraId="3E5799E5">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lang w:val="en-US" w:eastAsia="zh-CN"/>
              </w:rPr>
              <w:t>6.</w:t>
            </w:r>
            <w:r>
              <w:rPr>
                <w:rStyle w:val="21"/>
                <w:rFonts w:hint="eastAsia" w:ascii="仿宋" w:hAnsi="仿宋" w:eastAsia="仿宋" w:cs="仿宋"/>
                <w:b/>
                <w:bCs/>
                <w:sz w:val="24"/>
                <w:szCs w:val="24"/>
              </w:rPr>
              <w:t>培训服务：</w:t>
            </w:r>
            <w:r>
              <w:rPr>
                <w:rFonts w:hint="eastAsia" w:ascii="仿宋" w:hAnsi="仿宋" w:eastAsia="仿宋" w:cs="仿宋"/>
                <w:sz w:val="24"/>
                <w:szCs w:val="24"/>
              </w:rPr>
              <w:t>每年提供≥2次培训服务，并提交培训方案和签到表；</w:t>
            </w:r>
          </w:p>
          <w:p w14:paraId="2B6710DD">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lang w:val="en-US" w:eastAsia="zh-CN"/>
              </w:rPr>
              <w:t>7.</w:t>
            </w:r>
            <w:r>
              <w:rPr>
                <w:rStyle w:val="21"/>
                <w:rFonts w:hint="eastAsia" w:ascii="仿宋" w:hAnsi="仿宋" w:eastAsia="仿宋" w:cs="仿宋"/>
                <w:b/>
                <w:bCs/>
                <w:sz w:val="24"/>
                <w:szCs w:val="24"/>
              </w:rPr>
              <w:t>文档服务：</w:t>
            </w:r>
            <w:r>
              <w:rPr>
                <w:rFonts w:hint="eastAsia" w:ascii="仿宋" w:hAnsi="仿宋" w:eastAsia="仿宋" w:cs="仿宋"/>
                <w:sz w:val="24"/>
                <w:szCs w:val="24"/>
              </w:rPr>
              <w:t>无</w:t>
            </w:r>
          </w:p>
          <w:p w14:paraId="1F05689F">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8</w:t>
            </w:r>
            <w:r>
              <w:rPr>
                <w:rFonts w:hint="eastAsia" w:ascii="仿宋" w:hAnsi="仿宋" w:eastAsia="仿宋" w:cs="仿宋"/>
                <w:b/>
                <w:bCs/>
                <w:sz w:val="24"/>
                <w:szCs w:val="24"/>
                <w:lang w:eastAsia="zh-CN"/>
              </w:rPr>
              <w:t>.</w:t>
            </w:r>
            <w:r>
              <w:rPr>
                <w:rStyle w:val="21"/>
                <w:rFonts w:hint="eastAsia" w:ascii="仿宋" w:hAnsi="仿宋" w:eastAsia="仿宋" w:cs="仿宋"/>
                <w:b/>
                <w:bCs/>
                <w:sz w:val="24"/>
                <w:szCs w:val="24"/>
              </w:rPr>
              <w:t>人员服务：</w:t>
            </w:r>
            <w:r>
              <w:rPr>
                <w:rFonts w:hint="eastAsia" w:ascii="仿宋" w:hAnsi="仿宋" w:eastAsia="仿宋" w:cs="仿宋"/>
                <w:sz w:val="24"/>
                <w:szCs w:val="24"/>
              </w:rPr>
              <w:t>无</w:t>
            </w:r>
          </w:p>
          <w:p w14:paraId="22725055">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9</w:t>
            </w:r>
            <w:r>
              <w:rPr>
                <w:rFonts w:hint="eastAsia" w:ascii="仿宋" w:hAnsi="仿宋" w:eastAsia="仿宋" w:cs="仿宋"/>
                <w:b/>
                <w:bCs/>
                <w:sz w:val="24"/>
                <w:szCs w:val="24"/>
                <w:lang w:eastAsia="zh-CN"/>
              </w:rPr>
              <w:t>.</w:t>
            </w:r>
            <w:r>
              <w:rPr>
                <w:rStyle w:val="21"/>
                <w:rFonts w:hint="eastAsia" w:ascii="仿宋" w:hAnsi="仿宋" w:eastAsia="仿宋" w:cs="仿宋"/>
                <w:b/>
                <w:bCs/>
                <w:sz w:val="24"/>
                <w:szCs w:val="24"/>
              </w:rPr>
              <w:t>其他：</w:t>
            </w:r>
          </w:p>
          <w:p w14:paraId="022FA5CD">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sz w:val="24"/>
                <w:szCs w:val="24"/>
                <w:u w:val="none"/>
              </w:rPr>
              <w:t>1）从合同签订生效之日起，采购人</w:t>
            </w:r>
            <w:r>
              <w:rPr>
                <w:rStyle w:val="21"/>
                <w:rFonts w:hint="eastAsia" w:ascii="仿宋" w:hAnsi="仿宋" w:eastAsia="仿宋" w:cs="仿宋"/>
                <w:b/>
                <w:bCs/>
                <w:sz w:val="24"/>
                <w:szCs w:val="24"/>
                <w:u w:val="none"/>
              </w:rPr>
              <w:t>每月</w:t>
            </w:r>
            <w:r>
              <w:rPr>
                <w:rFonts w:hint="eastAsia" w:ascii="仿宋" w:hAnsi="仿宋" w:eastAsia="仿宋" w:cs="仿宋"/>
                <w:sz w:val="24"/>
                <w:szCs w:val="24"/>
                <w:u w:val="none"/>
              </w:rPr>
              <w:t>按照</w:t>
            </w:r>
            <w:r>
              <w:rPr>
                <w:rStyle w:val="21"/>
                <w:rFonts w:hint="eastAsia" w:ascii="仿宋" w:hAnsi="仿宋" w:eastAsia="仿宋" w:cs="仿宋"/>
                <w:b/>
                <w:bCs/>
                <w:sz w:val="24"/>
                <w:szCs w:val="24"/>
                <w:u w:val="none"/>
              </w:rPr>
              <w:t>四川省人民医院供应商考核</w:t>
            </w:r>
            <w:r>
              <w:rPr>
                <w:rFonts w:hint="eastAsia" w:ascii="仿宋" w:hAnsi="仿宋" w:eastAsia="仿宋" w:cs="仿宋"/>
                <w:sz w:val="24"/>
                <w:szCs w:val="24"/>
                <w:u w:val="none"/>
              </w:rPr>
              <w:t>指标对供应商行为进行评价考核，考核结果关联最终付款金额和履约保证金</w:t>
            </w:r>
            <w:r>
              <w:rPr>
                <w:rFonts w:hint="eastAsia" w:ascii="仿宋" w:hAnsi="仿宋" w:eastAsia="仿宋" w:cs="仿宋"/>
                <w:sz w:val="24"/>
                <w:szCs w:val="24"/>
                <w:u w:val="none"/>
                <w:shd w:val="clear"/>
              </w:rPr>
              <w:t>（如有履约保证金）。</w:t>
            </w:r>
          </w:p>
          <w:p w14:paraId="0092A090">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u w:val="none"/>
              </w:rPr>
            </w:pPr>
            <w:r>
              <w:rPr>
                <w:rFonts w:hint="eastAsia" w:ascii="仿宋" w:hAnsi="仿宋" w:eastAsia="仿宋" w:cs="仿宋"/>
                <w:sz w:val="24"/>
                <w:szCs w:val="24"/>
                <w:u w:val="none"/>
              </w:rPr>
              <w:t>2）中标供应商应当与本项目相关的第三方保持有痕的沟通，明确项目的具体要求和功能等方面的细节。采购人负责组织、监督和验收，以确保项目的顺利完成。</w:t>
            </w:r>
          </w:p>
          <w:p w14:paraId="08F864CF">
            <w:pPr>
              <w:pStyle w:val="14"/>
              <w:keepNext w:val="0"/>
              <w:keepLines w:val="0"/>
              <w:pageBreakBefore w:val="0"/>
              <w:widowControl/>
              <w:suppressLineNumbers w:val="0"/>
              <w:kinsoku/>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Fonts w:hint="eastAsia" w:ascii="仿宋" w:hAnsi="仿宋" w:eastAsia="仿宋" w:cs="仿宋"/>
                <w:sz w:val="24"/>
                <w:szCs w:val="24"/>
                <w:u w:val="none"/>
              </w:rPr>
              <w:t>3）如涉及因本项目开发的系统原因造成采购人的经济损失，由中标供应商负责向采购人进行赔偿。</w:t>
            </w:r>
          </w:p>
        </w:tc>
        <w:tc>
          <w:tcPr>
            <w:tcW w:w="1437" w:type="dxa"/>
            <w:shd w:val="clear" w:color="auto" w:fill="auto"/>
            <w:tcMar>
              <w:top w:w="0" w:type="dxa"/>
              <w:left w:w="105" w:type="dxa"/>
              <w:bottom w:w="0" w:type="dxa"/>
              <w:right w:w="105" w:type="dxa"/>
            </w:tcMar>
            <w:vAlign w:val="center"/>
          </w:tcPr>
          <w:p w14:paraId="7E593D94">
            <w:pPr>
              <w:pStyle w:val="14"/>
              <w:keepNext w:val="0"/>
              <w:keepLines w:val="0"/>
              <w:pageBreakBefore w:val="0"/>
              <w:widowControl/>
              <w:suppressLineNumbers w:val="0"/>
              <w:kinsoku/>
              <w:wordWrap w:val="0"/>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2026年10月20日至2027年10月19日</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lang w:val="en-US" w:eastAsia="zh-CN"/>
        </w:rPr>
        <w:t>1.服务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bookmarkStart w:id="15" w:name="_Toc18622"/>
      <w:bookmarkEnd w:id="15"/>
      <w:bookmarkStart w:id="16" w:name="_Toc153964904"/>
      <w:bookmarkEnd w:id="16"/>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42374238">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12"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12"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67F25B31">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6.知识产权归属：由采购人、供应商双方共同开发的项目：采购人、供应商双方共同研发的该系统软件产品，知识产权归采购人、供应商双方共同拥有，软件所有数据归采购人所有。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312"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32D43C2C">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服务方案</w:t>
      </w:r>
    </w:p>
    <w:p w14:paraId="6A6FCBF1">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供应商供应商需提供针对本项目编制的服务方案，包括①项目实施计划、②沟通机制、③质量保障措施</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④</w:t>
      </w:r>
      <w:r>
        <w:rPr>
          <w:rFonts w:hint="eastAsia" w:ascii="仿宋" w:hAnsi="仿宋" w:eastAsia="仿宋" w:cs="仿宋"/>
          <w:sz w:val="24"/>
          <w:szCs w:val="24"/>
        </w:rPr>
        <w:t>资产发现与管理服务方案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⑤</w:t>
      </w:r>
      <w:r>
        <w:rPr>
          <w:rFonts w:hint="eastAsia" w:ascii="仿宋" w:hAnsi="仿宋" w:eastAsia="仿宋" w:cs="仿宋"/>
          <w:sz w:val="24"/>
          <w:szCs w:val="24"/>
        </w:rPr>
        <w:t>互联网资产暴露面检测服务方案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⑥</w:t>
      </w:r>
      <w:r>
        <w:rPr>
          <w:rFonts w:hint="eastAsia" w:ascii="仿宋" w:hAnsi="仿宋" w:eastAsia="仿宋" w:cs="仿宋"/>
          <w:sz w:val="24"/>
          <w:szCs w:val="24"/>
        </w:rPr>
        <w:t>漏洞扫描与管理服务方案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⑦</w:t>
      </w:r>
      <w:r>
        <w:rPr>
          <w:rFonts w:hint="eastAsia" w:ascii="仿宋" w:hAnsi="仿宋" w:eastAsia="仿宋" w:cs="仿宋"/>
          <w:sz w:val="24"/>
          <w:szCs w:val="24"/>
        </w:rPr>
        <w:t>可管理检测与响应服务方案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⑧</w:t>
      </w:r>
      <w:r>
        <w:rPr>
          <w:rFonts w:hint="eastAsia" w:ascii="仿宋" w:hAnsi="仿宋" w:eastAsia="仿宋" w:cs="仿宋"/>
          <w:sz w:val="24"/>
          <w:szCs w:val="24"/>
        </w:rPr>
        <w:t>威胁情报服务方案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⑨</w:t>
      </w:r>
      <w:r>
        <w:rPr>
          <w:rFonts w:hint="eastAsia" w:ascii="仿宋" w:hAnsi="仿宋" w:eastAsia="仿宋" w:cs="仿宋"/>
          <w:sz w:val="24"/>
          <w:szCs w:val="24"/>
        </w:rPr>
        <w:t>应急响应服务方案。</w:t>
      </w:r>
    </w:p>
    <w:p w14:paraId="56C67EA7">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2.供应商实力</w:t>
      </w:r>
    </w:p>
    <w:p w14:paraId="2D749130">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（1）供应商服务使用的网络脆弱性扫描工具、Web应用安全检测工具、数据库扫描工具、高级威胁分析系统具有《国家信息安全漏洞库兼容性资质证书》。（提供有效期内证书的证明材料并加盖供应商单位公章）</w:t>
      </w:r>
    </w:p>
    <w:p w14:paraId="64716AD3">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服务使用的所有服务工具生产制造商均具有漏洞收集能力，工具生产制造商拥有自主研发的服务管理平台。（提供互联网漏洞响应平台首页截图和计算机软件著作权证书的证明材料并加盖供应商公章）</w:t>
      </w:r>
    </w:p>
    <w:p w14:paraId="0C9A599F">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（3）供应商服务使用的API和应用系统安全审计系统工具具有《API安全能力检验证书》（先进级）。（提供有效期内证书的证明材料并加盖供应商公章）；</w:t>
      </w:r>
    </w:p>
    <w:p w14:paraId="07615590">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（4）为满足信息系统等级保护相关要求，供应商服务使用的网络安全等级保护检查工具生产制造商为公安部指定的信息安全等级保护检查工具箱研发单位。（提供证明材料并加盖供应商公章）</w:t>
      </w:r>
    </w:p>
    <w:p w14:paraId="008DB79C">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（5）供应商服务使用的数据库扫描工具通过数据库扫描产品安全技术要求（GA/T1139-2014）标准检测。（提供产品通过检测的证明材料并加盖供应商公章）</w:t>
      </w:r>
    </w:p>
    <w:p w14:paraId="23EBA799">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（6）供应商服务使用的Web应用安全检测工具通过Web应用安全检测系统安全技术要求和测试评价方法（GB/T37931-2019）标准检测。（提供产品通过检测的证明材料并加盖供应商公章）</w:t>
      </w:r>
    </w:p>
    <w:p w14:paraId="72AEBB9D">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（7）供应商在本项目提供的服务工具为同一生产制造厂商。（提供满足上述要求的证明材料）</w:t>
      </w:r>
    </w:p>
    <w:p w14:paraId="58A986AD">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3.服务团队</w:t>
      </w:r>
    </w:p>
    <w:p w14:paraId="61AF978A">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（1）供应商为本项目配备</w:t>
      </w:r>
      <w:r>
        <w:rPr>
          <w:rFonts w:hint="eastAsia" w:ascii="仿宋" w:hAnsi="仿宋" w:eastAsia="仿宋" w:cs="仿宋"/>
          <w:sz w:val="24"/>
          <w:szCs w:val="24"/>
        </w:rPr>
        <w:t>项目经理1名，具有</w:t>
      </w:r>
      <w:r>
        <w:rPr>
          <w:rFonts w:hint="eastAsia" w:ascii="仿宋" w:hAnsi="仿宋" w:eastAsia="仿宋" w:cs="仿宋"/>
          <w:sz w:val="24"/>
          <w:szCs w:val="24"/>
          <w:lang w:eastAsia="zh-CN"/>
        </w:rPr>
        <w:t>①信息系统项目管理师证书、②注册渗透测试专家证书（CISP-PTS）、③注册数据安全治理专业人员证书（CISP-DSG）、④信息安全保障人员认证证书（安全运维）、⑤CNVD原创漏洞证明。</w:t>
      </w:r>
    </w:p>
    <w:p w14:paraId="1A3B6D57">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供应商为本项目配备1名网络安全服务专家，具有注册渗透测试工程师证书（CISP-PTE）</w:t>
      </w:r>
      <w:r>
        <w:rPr>
          <w:rFonts w:hint="eastAsia" w:ascii="仿宋" w:hAnsi="仿宋" w:eastAsia="仿宋" w:cs="仿宋"/>
          <w:sz w:val="24"/>
          <w:szCs w:val="24"/>
          <w:lang w:eastAsia="zh-CN"/>
        </w:rPr>
        <w:t>、</w:t>
      </w:r>
      <w:r>
        <w:rPr>
          <w:rFonts w:hint="eastAsia" w:ascii="仿宋" w:hAnsi="仿宋" w:eastAsia="仿宋" w:cs="仿宋"/>
          <w:sz w:val="24"/>
          <w:szCs w:val="24"/>
        </w:rPr>
        <w:t>网络安全应急响应工程师认证证书</w:t>
      </w:r>
      <w:r>
        <w:rPr>
          <w:rFonts w:hint="eastAsia" w:ascii="仿宋" w:hAnsi="仿宋" w:eastAsia="仿宋" w:cs="仿宋"/>
          <w:sz w:val="24"/>
          <w:szCs w:val="24"/>
          <w:lang w:val="en-US" w:eastAsia="zh-CN"/>
        </w:rPr>
        <w:t>。</w:t>
      </w:r>
    </w:p>
    <w:p w14:paraId="10002ABF">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供应商为本项目配备1名攻防演练专家</w:t>
      </w:r>
      <w:r>
        <w:rPr>
          <w:rFonts w:hint="eastAsia" w:ascii="仿宋" w:hAnsi="仿宋" w:eastAsia="仿宋" w:cs="仿宋"/>
          <w:sz w:val="24"/>
          <w:szCs w:val="24"/>
          <w:lang w:eastAsia="zh-CN"/>
        </w:rPr>
        <w:t>，</w:t>
      </w:r>
      <w:r>
        <w:rPr>
          <w:rFonts w:hint="eastAsia" w:ascii="仿宋" w:hAnsi="仿宋" w:eastAsia="仿宋" w:cs="仿宋"/>
          <w:sz w:val="24"/>
          <w:szCs w:val="24"/>
        </w:rPr>
        <w:t>具有</w:t>
      </w:r>
      <w:r>
        <w:rPr>
          <w:rFonts w:hint="eastAsia" w:ascii="仿宋" w:hAnsi="仿宋" w:eastAsia="仿宋" w:cs="仿宋"/>
          <w:sz w:val="24"/>
          <w:szCs w:val="24"/>
          <w:lang w:val="en-US" w:eastAsia="zh-CN"/>
        </w:rPr>
        <w:t>省级</w:t>
      </w:r>
      <w:r>
        <w:rPr>
          <w:rFonts w:hint="eastAsia" w:ascii="仿宋" w:hAnsi="仿宋" w:eastAsia="仿宋" w:cs="仿宋"/>
          <w:sz w:val="24"/>
          <w:szCs w:val="24"/>
        </w:rPr>
        <w:t>及以上攻防演练/网络攻防实战演习裁判专家经验</w:t>
      </w:r>
    </w:p>
    <w:p w14:paraId="31EC8FD2">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注：（1）同一人员的同一类型证书不重复计分；（2）以上人员岗位不得兼任，</w:t>
      </w:r>
      <w:r>
        <w:rPr>
          <w:rFonts w:hint="eastAsia" w:ascii="仿宋" w:hAnsi="仿宋" w:eastAsia="仿宋" w:cs="仿宋"/>
          <w:sz w:val="24"/>
          <w:szCs w:val="24"/>
        </w:rPr>
        <w:t>提供聘书</w:t>
      </w:r>
      <w:r>
        <w:rPr>
          <w:rFonts w:hint="eastAsia" w:ascii="仿宋" w:hAnsi="仿宋" w:eastAsia="仿宋" w:cs="仿宋"/>
          <w:sz w:val="24"/>
          <w:szCs w:val="24"/>
          <w:lang w:val="en-US" w:eastAsia="zh-CN"/>
        </w:rPr>
        <w:t>或劳动合同</w:t>
      </w:r>
      <w:r>
        <w:rPr>
          <w:rFonts w:hint="eastAsia" w:ascii="仿宋" w:hAnsi="仿宋" w:eastAsia="仿宋" w:cs="仿宋"/>
          <w:sz w:val="24"/>
          <w:szCs w:val="24"/>
        </w:rPr>
        <w:t>复印件并加盖供应商</w:t>
      </w:r>
      <w:r>
        <w:rPr>
          <w:rFonts w:hint="eastAsia" w:ascii="仿宋" w:hAnsi="仿宋" w:eastAsia="仿宋" w:cs="仿宋"/>
          <w:sz w:val="24"/>
          <w:szCs w:val="24"/>
          <w:lang w:eastAsia="zh-CN"/>
        </w:rPr>
        <w:t>公章</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以上服务团队人员资质要求需提供</w:t>
      </w:r>
      <w:r>
        <w:rPr>
          <w:rFonts w:hint="eastAsia" w:ascii="仿宋" w:hAnsi="仿宋" w:eastAsia="仿宋" w:cs="仿宋"/>
          <w:sz w:val="24"/>
          <w:szCs w:val="24"/>
          <w:lang w:val="en-US" w:eastAsia="zh-CN"/>
        </w:rPr>
        <w:t>①</w:t>
      </w:r>
      <w:r>
        <w:rPr>
          <w:rFonts w:hint="eastAsia" w:ascii="仿宋" w:hAnsi="仿宋" w:eastAsia="仿宋" w:cs="仿宋"/>
          <w:sz w:val="24"/>
          <w:szCs w:val="24"/>
        </w:rPr>
        <w:t>人员身份证复印件、</w:t>
      </w:r>
      <w:r>
        <w:rPr>
          <w:rFonts w:hint="eastAsia" w:ascii="仿宋" w:hAnsi="仿宋" w:eastAsia="仿宋" w:cs="仿宋"/>
          <w:sz w:val="24"/>
          <w:szCs w:val="24"/>
          <w:lang w:val="en-US" w:eastAsia="zh-CN"/>
        </w:rPr>
        <w:t>②</w:t>
      </w:r>
      <w:r>
        <w:rPr>
          <w:rFonts w:hint="eastAsia" w:ascii="仿宋" w:hAnsi="仿宋" w:eastAsia="仿宋" w:cs="仿宋"/>
          <w:sz w:val="24"/>
          <w:szCs w:val="24"/>
        </w:rPr>
        <w:t>相关证书或证明文件复印件</w:t>
      </w:r>
      <w:r>
        <w:rPr>
          <w:rFonts w:hint="eastAsia" w:ascii="仿宋" w:hAnsi="仿宋" w:eastAsia="仿宋" w:cs="仿宋"/>
          <w:sz w:val="24"/>
          <w:szCs w:val="24"/>
          <w:lang w:eastAsia="zh-CN"/>
        </w:rPr>
        <w:t>，</w:t>
      </w:r>
      <w:r>
        <w:rPr>
          <w:rFonts w:hint="eastAsia" w:ascii="仿宋" w:hAnsi="仿宋" w:eastAsia="仿宋" w:cs="仿宋"/>
          <w:sz w:val="24"/>
          <w:szCs w:val="24"/>
        </w:rPr>
        <w:t>并加盖供应商</w:t>
      </w:r>
      <w:r>
        <w:rPr>
          <w:rFonts w:hint="eastAsia" w:ascii="仿宋" w:hAnsi="仿宋" w:eastAsia="仿宋" w:cs="仿宋"/>
          <w:sz w:val="24"/>
          <w:szCs w:val="24"/>
          <w:lang w:eastAsia="zh-CN"/>
        </w:rPr>
        <w:t>公章。</w:t>
      </w:r>
    </w:p>
    <w:p w14:paraId="0E01C39E">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业绩</w:t>
      </w:r>
    </w:p>
    <w:p w14:paraId="072163D2">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供应商提供202</w:t>
      </w:r>
      <w:r>
        <w:rPr>
          <w:rFonts w:hint="eastAsia" w:ascii="仿宋" w:hAnsi="仿宋" w:eastAsia="仿宋" w:cs="仿宋"/>
          <w:sz w:val="24"/>
          <w:szCs w:val="24"/>
          <w:lang w:val="en-US" w:eastAsia="zh-CN"/>
        </w:rPr>
        <w:t>3</w:t>
      </w:r>
      <w:r>
        <w:rPr>
          <w:rFonts w:hint="eastAsia" w:ascii="仿宋" w:hAnsi="仿宋" w:eastAsia="仿宋" w:cs="仿宋"/>
          <w:sz w:val="24"/>
          <w:szCs w:val="24"/>
        </w:rPr>
        <w:t>年1月1日（含）以来</w:t>
      </w:r>
      <w:r>
        <w:rPr>
          <w:rFonts w:hint="eastAsia" w:ascii="仿宋" w:hAnsi="仿宋" w:eastAsia="仿宋" w:cs="仿宋"/>
          <w:sz w:val="24"/>
          <w:szCs w:val="24"/>
          <w:lang w:val="en-US" w:eastAsia="zh-CN"/>
        </w:rPr>
        <w:t>网络安全服务</w:t>
      </w:r>
      <w:r>
        <w:rPr>
          <w:rFonts w:hint="eastAsia" w:ascii="仿宋" w:hAnsi="仿宋" w:eastAsia="仿宋" w:cs="仿宋"/>
          <w:sz w:val="24"/>
          <w:szCs w:val="24"/>
        </w:rPr>
        <w:t>类似业绩证明。</w:t>
      </w:r>
    </w:p>
    <w:p w14:paraId="39EA4A41">
      <w:pPr>
        <w:keepNext w:val="0"/>
        <w:keepLines w:val="0"/>
        <w:pageBreakBefore w:val="0"/>
        <w:widowControl w:val="0"/>
        <w:kinsoku/>
        <w:wordWrap/>
        <w:overflowPunct/>
        <w:topLinePunct w:val="0"/>
        <w:autoSpaceDE/>
        <w:autoSpaceDN/>
        <w:bidi w:val="0"/>
        <w:adjustRightInd w:val="0"/>
        <w:snapToGrid w:val="0"/>
        <w:spacing w:line="312"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以合同签订时间为准</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提供采购合同关键页（合同首页、建设内容、金额、签字盖章页）材料复印件，并加盖供应商单位公章。</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14:paraId="58713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8520" w:type="dxa"/>
            <w:gridSpan w:val="6"/>
            <w:shd w:val="clear" w:color="auto" w:fill="auto"/>
            <w:tcMar>
              <w:top w:w="0" w:type="dxa"/>
              <w:left w:w="105" w:type="dxa"/>
              <w:bottom w:w="0" w:type="dxa"/>
              <w:right w:w="105" w:type="dxa"/>
            </w:tcMar>
            <w:vAlign w:val="top"/>
          </w:tcPr>
          <w:p w14:paraId="6D5C49AA">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36"/>
                <w:szCs w:val="36"/>
              </w:rPr>
              <w:t>四川省人民医院供应商考核</w:t>
            </w:r>
          </w:p>
        </w:tc>
      </w:tr>
      <w:tr w14:paraId="6F093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C320EFD">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shd w:val="clear" w:color="auto" w:fill="auto"/>
            <w:tcMar>
              <w:top w:w="0" w:type="dxa"/>
              <w:left w:w="105" w:type="dxa"/>
              <w:bottom w:w="0" w:type="dxa"/>
              <w:right w:w="105" w:type="dxa"/>
            </w:tcMar>
            <w:vAlign w:val="center"/>
          </w:tcPr>
          <w:p w14:paraId="4CCF7DE4">
            <w:pPr>
              <w:keepNext w:val="0"/>
              <w:keepLines w:val="0"/>
              <w:widowControl/>
              <w:suppressLineNumbers w:val="0"/>
              <w:jc w:val="left"/>
              <w:rPr>
                <w:rFonts w:hint="eastAsia" w:ascii="仿宋" w:hAnsi="仿宋" w:eastAsia="仿宋" w:cs="仿宋"/>
                <w:sz w:val="24"/>
                <w:szCs w:val="24"/>
              </w:rPr>
            </w:pPr>
          </w:p>
        </w:tc>
        <w:tc>
          <w:tcPr>
            <w:tcW w:w="1185" w:type="dxa"/>
            <w:shd w:val="clear" w:color="auto" w:fill="auto"/>
            <w:tcMar>
              <w:top w:w="0" w:type="dxa"/>
              <w:left w:w="105" w:type="dxa"/>
              <w:bottom w:w="0" w:type="dxa"/>
              <w:right w:w="105" w:type="dxa"/>
            </w:tcMar>
            <w:vAlign w:val="center"/>
          </w:tcPr>
          <w:p w14:paraId="3811A47B">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shd w:val="clear" w:color="auto" w:fill="auto"/>
            <w:tcMar>
              <w:top w:w="0" w:type="dxa"/>
              <w:left w:w="105" w:type="dxa"/>
              <w:bottom w:w="0" w:type="dxa"/>
              <w:right w:w="105" w:type="dxa"/>
            </w:tcMar>
            <w:vAlign w:val="top"/>
          </w:tcPr>
          <w:p w14:paraId="4FE233E8">
            <w:pPr>
              <w:keepNext w:val="0"/>
              <w:keepLines w:val="0"/>
              <w:widowControl/>
              <w:suppressLineNumbers w:val="0"/>
              <w:jc w:val="left"/>
              <w:rPr>
                <w:rFonts w:hint="eastAsia" w:ascii="仿宋" w:hAnsi="仿宋" w:eastAsia="仿宋" w:cs="仿宋"/>
                <w:sz w:val="24"/>
                <w:szCs w:val="24"/>
              </w:rPr>
            </w:pPr>
          </w:p>
        </w:tc>
      </w:tr>
      <w:tr w14:paraId="7A7A7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6CF4D157">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shd w:val="clear" w:color="auto" w:fill="auto"/>
            <w:tcMar>
              <w:top w:w="0" w:type="dxa"/>
              <w:left w:w="105" w:type="dxa"/>
              <w:bottom w:w="0" w:type="dxa"/>
              <w:right w:w="105" w:type="dxa"/>
            </w:tcMar>
            <w:vAlign w:val="center"/>
          </w:tcPr>
          <w:p w14:paraId="789C617F">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shd w:val="clear" w:color="auto" w:fill="auto"/>
            <w:tcMar>
              <w:top w:w="0" w:type="dxa"/>
              <w:left w:w="105" w:type="dxa"/>
              <w:bottom w:w="0" w:type="dxa"/>
              <w:right w:w="105" w:type="dxa"/>
            </w:tcMar>
            <w:vAlign w:val="center"/>
          </w:tcPr>
          <w:p w14:paraId="5D6E0A7E">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shd w:val="clear" w:color="auto" w:fill="auto"/>
            <w:tcMar>
              <w:top w:w="0" w:type="dxa"/>
              <w:left w:w="105" w:type="dxa"/>
              <w:bottom w:w="0" w:type="dxa"/>
              <w:right w:w="105" w:type="dxa"/>
            </w:tcMar>
            <w:vAlign w:val="center"/>
          </w:tcPr>
          <w:p w14:paraId="2233CD81">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57A9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3FFF7B5F">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性能质</w:t>
            </w:r>
          </w:p>
          <w:p w14:paraId="076D4466">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量评价</w:t>
            </w:r>
          </w:p>
          <w:p w14:paraId="56D662E0">
            <w:pPr>
              <w:pStyle w:val="14"/>
              <w:keepNext w:val="0"/>
              <w:keepLines w:val="0"/>
              <w:widowControl/>
              <w:suppressLineNumbers w:val="0"/>
              <w:spacing w:after="195" w:afterAutospacing="0"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 </w:t>
            </w:r>
          </w:p>
        </w:tc>
        <w:tc>
          <w:tcPr>
            <w:tcW w:w="1350" w:type="dxa"/>
            <w:shd w:val="clear" w:color="auto" w:fill="auto"/>
            <w:tcMar>
              <w:top w:w="0" w:type="dxa"/>
              <w:left w:w="105" w:type="dxa"/>
              <w:bottom w:w="0" w:type="dxa"/>
              <w:right w:w="105" w:type="dxa"/>
            </w:tcMar>
            <w:vAlign w:val="center"/>
          </w:tcPr>
          <w:p w14:paraId="508E8BAF">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稳定性</w:t>
            </w:r>
          </w:p>
        </w:tc>
        <w:tc>
          <w:tcPr>
            <w:tcW w:w="5415" w:type="dxa"/>
            <w:gridSpan w:val="3"/>
            <w:shd w:val="clear" w:color="auto" w:fill="auto"/>
            <w:tcMar>
              <w:top w:w="0" w:type="dxa"/>
              <w:left w:w="105" w:type="dxa"/>
              <w:bottom w:w="0" w:type="dxa"/>
              <w:right w:w="105" w:type="dxa"/>
            </w:tcMar>
            <w:vAlign w:val="center"/>
          </w:tcPr>
          <w:p w14:paraId="704F648A">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012FFC2E">
            <w:pPr>
              <w:keepNext w:val="0"/>
              <w:keepLines w:val="0"/>
              <w:widowControl/>
              <w:suppressLineNumbers w:val="0"/>
              <w:jc w:val="left"/>
              <w:rPr>
                <w:rFonts w:hint="eastAsia" w:ascii="仿宋" w:hAnsi="仿宋" w:eastAsia="仿宋" w:cs="仿宋"/>
                <w:sz w:val="24"/>
                <w:szCs w:val="24"/>
              </w:rPr>
            </w:pPr>
          </w:p>
        </w:tc>
      </w:tr>
      <w:tr w14:paraId="73170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5E96FF3">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9F22A1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安全性</w:t>
            </w:r>
          </w:p>
        </w:tc>
        <w:tc>
          <w:tcPr>
            <w:tcW w:w="5415" w:type="dxa"/>
            <w:gridSpan w:val="3"/>
            <w:shd w:val="clear" w:color="auto" w:fill="auto"/>
            <w:tcMar>
              <w:top w:w="0" w:type="dxa"/>
              <w:left w:w="105" w:type="dxa"/>
              <w:bottom w:w="0" w:type="dxa"/>
              <w:right w:w="105" w:type="dxa"/>
            </w:tcMar>
            <w:vAlign w:val="center"/>
          </w:tcPr>
          <w:p w14:paraId="26A56587">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73196CCB">
            <w:pPr>
              <w:keepNext w:val="0"/>
              <w:keepLines w:val="0"/>
              <w:widowControl/>
              <w:suppressLineNumbers w:val="0"/>
              <w:jc w:val="left"/>
              <w:rPr>
                <w:rFonts w:hint="eastAsia" w:ascii="仿宋" w:hAnsi="仿宋" w:eastAsia="仿宋" w:cs="仿宋"/>
                <w:sz w:val="24"/>
                <w:szCs w:val="24"/>
              </w:rPr>
            </w:pPr>
          </w:p>
        </w:tc>
      </w:tr>
      <w:tr w14:paraId="46B93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C54B68B">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57DAC7B">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用户满意度</w:t>
            </w:r>
          </w:p>
        </w:tc>
        <w:tc>
          <w:tcPr>
            <w:tcW w:w="5415" w:type="dxa"/>
            <w:gridSpan w:val="3"/>
            <w:shd w:val="clear" w:color="auto" w:fill="auto"/>
            <w:tcMar>
              <w:top w:w="0" w:type="dxa"/>
              <w:left w:w="105" w:type="dxa"/>
              <w:bottom w:w="0" w:type="dxa"/>
              <w:right w:w="105" w:type="dxa"/>
            </w:tcMar>
            <w:vAlign w:val="center"/>
          </w:tcPr>
          <w:p w14:paraId="1FD6617F">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45CB0CC4">
            <w:pPr>
              <w:keepNext w:val="0"/>
              <w:keepLines w:val="0"/>
              <w:widowControl/>
              <w:suppressLineNumbers w:val="0"/>
              <w:jc w:val="left"/>
              <w:rPr>
                <w:rFonts w:hint="eastAsia" w:ascii="仿宋" w:hAnsi="仿宋" w:eastAsia="仿宋" w:cs="仿宋"/>
                <w:sz w:val="24"/>
                <w:szCs w:val="24"/>
              </w:rPr>
            </w:pPr>
          </w:p>
        </w:tc>
      </w:tr>
      <w:tr w14:paraId="37AB0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4CBE73D1">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使用支</w:t>
            </w:r>
          </w:p>
          <w:p w14:paraId="14E26F9F">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持评价</w:t>
            </w:r>
          </w:p>
        </w:tc>
        <w:tc>
          <w:tcPr>
            <w:tcW w:w="1350" w:type="dxa"/>
            <w:shd w:val="clear" w:color="auto" w:fill="auto"/>
            <w:tcMar>
              <w:top w:w="0" w:type="dxa"/>
              <w:left w:w="105" w:type="dxa"/>
              <w:bottom w:w="0" w:type="dxa"/>
              <w:right w:w="105" w:type="dxa"/>
            </w:tcMar>
            <w:vAlign w:val="center"/>
          </w:tcPr>
          <w:p w14:paraId="66ABBF12">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考勤</w:t>
            </w:r>
          </w:p>
        </w:tc>
        <w:tc>
          <w:tcPr>
            <w:tcW w:w="5415" w:type="dxa"/>
            <w:gridSpan w:val="3"/>
            <w:shd w:val="clear" w:color="auto" w:fill="auto"/>
            <w:tcMar>
              <w:top w:w="0" w:type="dxa"/>
              <w:left w:w="105" w:type="dxa"/>
              <w:bottom w:w="0" w:type="dxa"/>
              <w:right w:w="105" w:type="dxa"/>
            </w:tcMar>
            <w:vAlign w:val="center"/>
          </w:tcPr>
          <w:p w14:paraId="436ADB15">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353A8B87">
            <w:pPr>
              <w:keepNext w:val="0"/>
              <w:keepLines w:val="0"/>
              <w:widowControl/>
              <w:suppressLineNumbers w:val="0"/>
              <w:jc w:val="left"/>
              <w:rPr>
                <w:rFonts w:hint="eastAsia" w:ascii="仿宋" w:hAnsi="仿宋" w:eastAsia="仿宋" w:cs="仿宋"/>
                <w:sz w:val="24"/>
                <w:szCs w:val="24"/>
              </w:rPr>
            </w:pPr>
          </w:p>
        </w:tc>
      </w:tr>
      <w:tr w14:paraId="54DE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ACAD8C2">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48E55FF">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响应速度</w:t>
            </w:r>
          </w:p>
        </w:tc>
        <w:tc>
          <w:tcPr>
            <w:tcW w:w="5415" w:type="dxa"/>
            <w:gridSpan w:val="3"/>
            <w:shd w:val="clear" w:color="auto" w:fill="auto"/>
            <w:tcMar>
              <w:top w:w="0" w:type="dxa"/>
              <w:left w:w="105" w:type="dxa"/>
              <w:bottom w:w="0" w:type="dxa"/>
              <w:right w:w="105" w:type="dxa"/>
            </w:tcMar>
            <w:vAlign w:val="center"/>
          </w:tcPr>
          <w:p w14:paraId="3D5164A7">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31B4661A">
            <w:pPr>
              <w:keepNext w:val="0"/>
              <w:keepLines w:val="0"/>
              <w:widowControl/>
              <w:suppressLineNumbers w:val="0"/>
              <w:jc w:val="left"/>
              <w:rPr>
                <w:rFonts w:hint="eastAsia" w:ascii="仿宋" w:hAnsi="仿宋" w:eastAsia="仿宋" w:cs="仿宋"/>
                <w:sz w:val="24"/>
                <w:szCs w:val="24"/>
              </w:rPr>
            </w:pPr>
          </w:p>
        </w:tc>
      </w:tr>
      <w:tr w14:paraId="209EE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7473FC3">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962CF8F">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备件供应</w:t>
            </w:r>
          </w:p>
          <w:p w14:paraId="0129F75C">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color w:val="000000"/>
                <w:sz w:val="24"/>
                <w:szCs w:val="24"/>
              </w:rPr>
              <w:t>(本项仅涉</w:t>
            </w:r>
          </w:p>
          <w:p w14:paraId="3A8F68A6">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color w:val="000000"/>
                <w:sz w:val="24"/>
                <w:szCs w:val="24"/>
              </w:rPr>
              <w:t>及提供硬件</w:t>
            </w:r>
          </w:p>
          <w:p w14:paraId="558FD6CF">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color w:val="000000"/>
                <w:sz w:val="24"/>
                <w:szCs w:val="24"/>
              </w:rPr>
              <w:t>的供应商)</w:t>
            </w:r>
          </w:p>
        </w:tc>
        <w:tc>
          <w:tcPr>
            <w:tcW w:w="5415" w:type="dxa"/>
            <w:gridSpan w:val="3"/>
            <w:shd w:val="clear" w:color="auto" w:fill="auto"/>
            <w:tcMar>
              <w:top w:w="0" w:type="dxa"/>
              <w:left w:w="105" w:type="dxa"/>
              <w:bottom w:w="0" w:type="dxa"/>
              <w:right w:w="105" w:type="dxa"/>
            </w:tcMar>
            <w:vAlign w:val="center"/>
          </w:tcPr>
          <w:p w14:paraId="658F594C">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07D7AF30">
            <w:pPr>
              <w:keepNext w:val="0"/>
              <w:keepLines w:val="0"/>
              <w:widowControl/>
              <w:suppressLineNumbers w:val="0"/>
              <w:jc w:val="left"/>
              <w:rPr>
                <w:rFonts w:hint="eastAsia" w:ascii="仿宋" w:hAnsi="仿宋" w:eastAsia="仿宋" w:cs="仿宋"/>
                <w:sz w:val="24"/>
                <w:szCs w:val="24"/>
              </w:rPr>
            </w:pPr>
          </w:p>
        </w:tc>
      </w:tr>
      <w:tr w14:paraId="0AC27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D1538BE">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996DDF2">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定期巡检</w:t>
            </w:r>
          </w:p>
        </w:tc>
        <w:tc>
          <w:tcPr>
            <w:tcW w:w="5415" w:type="dxa"/>
            <w:gridSpan w:val="3"/>
            <w:shd w:val="clear" w:color="auto" w:fill="auto"/>
            <w:tcMar>
              <w:top w:w="0" w:type="dxa"/>
              <w:left w:w="105" w:type="dxa"/>
              <w:bottom w:w="0" w:type="dxa"/>
              <w:right w:w="105" w:type="dxa"/>
            </w:tcMar>
            <w:vAlign w:val="center"/>
          </w:tcPr>
          <w:p w14:paraId="378BDF0A">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2A625AD4">
            <w:pPr>
              <w:keepNext w:val="0"/>
              <w:keepLines w:val="0"/>
              <w:widowControl/>
              <w:suppressLineNumbers w:val="0"/>
              <w:jc w:val="left"/>
              <w:rPr>
                <w:rFonts w:hint="eastAsia" w:ascii="仿宋" w:hAnsi="仿宋" w:eastAsia="仿宋" w:cs="仿宋"/>
                <w:sz w:val="24"/>
                <w:szCs w:val="24"/>
              </w:rPr>
            </w:pPr>
          </w:p>
        </w:tc>
      </w:tr>
      <w:tr w14:paraId="77252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965BBA3">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D8D3819">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培训服务</w:t>
            </w:r>
          </w:p>
        </w:tc>
        <w:tc>
          <w:tcPr>
            <w:tcW w:w="5415" w:type="dxa"/>
            <w:gridSpan w:val="3"/>
            <w:shd w:val="clear" w:color="auto" w:fill="auto"/>
            <w:tcMar>
              <w:top w:w="0" w:type="dxa"/>
              <w:left w:w="105" w:type="dxa"/>
              <w:bottom w:w="0" w:type="dxa"/>
              <w:right w:w="105" w:type="dxa"/>
            </w:tcMar>
            <w:vAlign w:val="center"/>
          </w:tcPr>
          <w:p w14:paraId="4C6EF734">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4C499991">
            <w:pPr>
              <w:keepNext w:val="0"/>
              <w:keepLines w:val="0"/>
              <w:widowControl/>
              <w:suppressLineNumbers w:val="0"/>
              <w:jc w:val="left"/>
              <w:rPr>
                <w:rFonts w:hint="eastAsia" w:ascii="仿宋" w:hAnsi="仿宋" w:eastAsia="仿宋" w:cs="仿宋"/>
                <w:sz w:val="24"/>
                <w:szCs w:val="24"/>
              </w:rPr>
            </w:pPr>
          </w:p>
        </w:tc>
      </w:tr>
      <w:tr w14:paraId="14ED0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2BAD94D">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59703DC">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技术文档</w:t>
            </w:r>
          </w:p>
        </w:tc>
        <w:tc>
          <w:tcPr>
            <w:tcW w:w="5415" w:type="dxa"/>
            <w:gridSpan w:val="3"/>
            <w:shd w:val="clear" w:color="auto" w:fill="auto"/>
            <w:tcMar>
              <w:top w:w="0" w:type="dxa"/>
              <w:left w:w="105" w:type="dxa"/>
              <w:bottom w:w="0" w:type="dxa"/>
              <w:right w:w="105" w:type="dxa"/>
            </w:tcMar>
            <w:vAlign w:val="center"/>
          </w:tcPr>
          <w:p w14:paraId="241D343D">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719CEF9A">
            <w:pPr>
              <w:keepNext w:val="0"/>
              <w:keepLines w:val="0"/>
              <w:widowControl/>
              <w:suppressLineNumbers w:val="0"/>
              <w:jc w:val="left"/>
              <w:rPr>
                <w:rFonts w:hint="eastAsia" w:ascii="仿宋" w:hAnsi="仿宋" w:eastAsia="仿宋" w:cs="仿宋"/>
                <w:sz w:val="24"/>
                <w:szCs w:val="24"/>
              </w:rPr>
            </w:pPr>
          </w:p>
        </w:tc>
      </w:tr>
      <w:tr w14:paraId="66360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463718E4">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违规违</w:t>
            </w:r>
          </w:p>
          <w:p w14:paraId="61D1EF3A">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纪评价</w:t>
            </w:r>
          </w:p>
        </w:tc>
        <w:tc>
          <w:tcPr>
            <w:tcW w:w="1350" w:type="dxa"/>
            <w:shd w:val="clear" w:color="auto" w:fill="auto"/>
            <w:tcMar>
              <w:top w:w="0" w:type="dxa"/>
              <w:left w:w="105" w:type="dxa"/>
              <w:bottom w:w="0" w:type="dxa"/>
              <w:right w:w="105" w:type="dxa"/>
            </w:tcMar>
            <w:vAlign w:val="center"/>
          </w:tcPr>
          <w:p w14:paraId="6BB61BC8">
            <w:pPr>
              <w:pStyle w:val="14"/>
              <w:keepNext w:val="0"/>
              <w:keepLines w:val="0"/>
              <w:widowControl/>
              <w:suppressLineNumbers w:val="0"/>
              <w:autoSpaceDE w:val="0"/>
              <w:autoSpaceDN/>
              <w:spacing w:after="195" w:afterAutospacing="0"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廉洁从业</w:t>
            </w:r>
          </w:p>
        </w:tc>
        <w:tc>
          <w:tcPr>
            <w:tcW w:w="5415" w:type="dxa"/>
            <w:gridSpan w:val="3"/>
            <w:shd w:val="clear" w:color="auto" w:fill="auto"/>
            <w:tcMar>
              <w:top w:w="0" w:type="dxa"/>
              <w:left w:w="105" w:type="dxa"/>
              <w:bottom w:w="0" w:type="dxa"/>
              <w:right w:w="105" w:type="dxa"/>
            </w:tcMar>
            <w:vAlign w:val="center"/>
          </w:tcPr>
          <w:p w14:paraId="3400E4D8">
            <w:pPr>
              <w:pStyle w:val="14"/>
              <w:keepNext w:val="0"/>
              <w:keepLines w:val="0"/>
              <w:widowControl/>
              <w:suppressLineNumbers w:val="0"/>
              <w:autoSpaceDE w:val="0"/>
              <w:autoSpaceDN/>
              <w:rPr>
                <w:rFonts w:hint="eastAsia" w:ascii="仿宋" w:hAnsi="仿宋" w:eastAsia="仿宋" w:cs="仿宋"/>
                <w:sz w:val="24"/>
                <w:szCs w:val="24"/>
              </w:rPr>
            </w:pPr>
            <w:r>
              <w:rPr>
                <w:rStyle w:val="21"/>
                <w:rFonts w:hint="eastAsia" w:ascii="仿宋" w:hAnsi="仿宋" w:eastAsia="仿宋" w:cs="仿宋"/>
                <w:b/>
                <w:bCs/>
                <w:sz w:val="24"/>
                <w:szCs w:val="24"/>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31AB75D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一票否决</w:t>
            </w:r>
          </w:p>
        </w:tc>
      </w:tr>
      <w:tr w14:paraId="3927B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A6B7367">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5EE4B3D1">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安全规范</w:t>
            </w:r>
          </w:p>
        </w:tc>
        <w:tc>
          <w:tcPr>
            <w:tcW w:w="5415" w:type="dxa"/>
            <w:gridSpan w:val="3"/>
            <w:shd w:val="clear" w:color="auto" w:fill="auto"/>
            <w:tcMar>
              <w:top w:w="0" w:type="dxa"/>
              <w:left w:w="105" w:type="dxa"/>
              <w:bottom w:w="0" w:type="dxa"/>
              <w:right w:w="105" w:type="dxa"/>
            </w:tcMar>
            <w:vAlign w:val="center"/>
          </w:tcPr>
          <w:p w14:paraId="292C655C">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shd w:val="clear" w:color="auto" w:fill="auto"/>
            <w:tcMar>
              <w:top w:w="0" w:type="dxa"/>
              <w:left w:w="105" w:type="dxa"/>
              <w:bottom w:w="0" w:type="dxa"/>
              <w:right w:w="105" w:type="dxa"/>
            </w:tcMar>
            <w:vAlign w:val="center"/>
          </w:tcPr>
          <w:p w14:paraId="065C05CC">
            <w:pPr>
              <w:keepNext w:val="0"/>
              <w:keepLines w:val="0"/>
              <w:widowControl/>
              <w:suppressLineNumbers w:val="0"/>
              <w:jc w:val="left"/>
              <w:rPr>
                <w:rFonts w:hint="eastAsia" w:ascii="仿宋" w:hAnsi="仿宋" w:eastAsia="仿宋" w:cs="仿宋"/>
                <w:sz w:val="24"/>
                <w:szCs w:val="24"/>
              </w:rPr>
            </w:pPr>
          </w:p>
        </w:tc>
      </w:tr>
      <w:tr w14:paraId="465CF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BA66607">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0E97FDB">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其他违纪违规</w:t>
            </w:r>
          </w:p>
        </w:tc>
        <w:tc>
          <w:tcPr>
            <w:tcW w:w="5415" w:type="dxa"/>
            <w:gridSpan w:val="3"/>
            <w:shd w:val="clear" w:color="auto" w:fill="auto"/>
            <w:tcMar>
              <w:top w:w="0" w:type="dxa"/>
              <w:left w:w="105" w:type="dxa"/>
              <w:bottom w:w="0" w:type="dxa"/>
              <w:right w:w="105" w:type="dxa"/>
            </w:tcMar>
            <w:vAlign w:val="center"/>
          </w:tcPr>
          <w:p w14:paraId="2876898C">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336842BD">
            <w:pPr>
              <w:keepNext w:val="0"/>
              <w:keepLines w:val="0"/>
              <w:widowControl/>
              <w:suppressLineNumbers w:val="0"/>
              <w:jc w:val="left"/>
              <w:rPr>
                <w:rFonts w:hint="eastAsia" w:ascii="仿宋" w:hAnsi="仿宋" w:eastAsia="仿宋" w:cs="仿宋"/>
                <w:sz w:val="24"/>
                <w:szCs w:val="24"/>
              </w:rPr>
            </w:pPr>
          </w:p>
        </w:tc>
      </w:tr>
      <w:tr w14:paraId="60F8D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D415843">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扣分合计</w:t>
            </w:r>
          </w:p>
        </w:tc>
        <w:tc>
          <w:tcPr>
            <w:tcW w:w="7425" w:type="dxa"/>
            <w:gridSpan w:val="5"/>
            <w:shd w:val="clear" w:color="auto" w:fill="auto"/>
            <w:tcMar>
              <w:top w:w="0" w:type="dxa"/>
              <w:left w:w="105" w:type="dxa"/>
              <w:bottom w:w="0" w:type="dxa"/>
              <w:right w:w="105" w:type="dxa"/>
            </w:tcMar>
            <w:vAlign w:val="center"/>
          </w:tcPr>
          <w:p w14:paraId="7E962488">
            <w:pPr>
              <w:keepNext w:val="0"/>
              <w:keepLines w:val="0"/>
              <w:widowControl/>
              <w:suppressLineNumbers w:val="0"/>
              <w:jc w:val="left"/>
              <w:rPr>
                <w:rFonts w:hint="eastAsia" w:ascii="仿宋" w:hAnsi="仿宋" w:eastAsia="仿宋" w:cs="仿宋"/>
                <w:sz w:val="24"/>
                <w:szCs w:val="24"/>
              </w:rPr>
            </w:pPr>
          </w:p>
        </w:tc>
      </w:tr>
      <w:tr w14:paraId="7E5FE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116325C3">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考核人</w:t>
            </w:r>
          </w:p>
        </w:tc>
        <w:tc>
          <w:tcPr>
            <w:tcW w:w="7425" w:type="dxa"/>
            <w:gridSpan w:val="5"/>
            <w:shd w:val="clear" w:color="auto" w:fill="auto"/>
            <w:tcMar>
              <w:top w:w="0" w:type="dxa"/>
              <w:left w:w="105" w:type="dxa"/>
              <w:bottom w:w="0" w:type="dxa"/>
              <w:right w:w="105" w:type="dxa"/>
            </w:tcMar>
            <w:vAlign w:val="center"/>
          </w:tcPr>
          <w:p w14:paraId="40FD1918">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color w:val="000000"/>
                <w:sz w:val="24"/>
                <w:szCs w:val="24"/>
              </w:rPr>
              <w:t> </w:t>
            </w:r>
          </w:p>
          <w:p w14:paraId="685D88DF">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color w:val="000000"/>
                <w:sz w:val="24"/>
                <w:szCs w:val="24"/>
              </w:rPr>
              <w:t>                                                               年    月    日</w:t>
            </w:r>
          </w:p>
        </w:tc>
      </w:tr>
    </w:tbl>
    <w:p w14:paraId="29CBED5A">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4FA38B18">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2F6A795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34EE63B4">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eastAsia="zh-CN"/>
        </w:rPr>
        <w:t>；</w:t>
      </w:r>
    </w:p>
    <w:p w14:paraId="06B8B468">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rPr>
        <w:t>2）0分&lt;平均扣分≤3分，将对供应商进行诫勉谈话；</w:t>
      </w:r>
    </w:p>
    <w:p w14:paraId="140499A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金额5%费用，扣完为止；</w:t>
      </w:r>
    </w:p>
    <w:p w14:paraId="607153A7">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金额10%费用，扣完为止；</w:t>
      </w:r>
    </w:p>
    <w:p w14:paraId="3E014BA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w:t>
      </w:r>
      <w:r>
        <w:rPr>
          <w:rFonts w:hint="eastAsia" w:ascii="仿宋" w:hAnsi="仿宋" w:eastAsia="仿宋" w:cs="仿宋"/>
          <w:sz w:val="24"/>
          <w:szCs w:val="24"/>
          <w:lang w:val="en-US" w:eastAsia="zh-CN"/>
        </w:rPr>
        <w:t>不予支付</w:t>
      </w:r>
      <w:r>
        <w:rPr>
          <w:rFonts w:hint="eastAsia" w:ascii="仿宋" w:hAnsi="仿宋" w:eastAsia="仿宋" w:cs="仿宋"/>
          <w:sz w:val="24"/>
          <w:szCs w:val="24"/>
        </w:rPr>
        <w:t>；</w:t>
      </w:r>
    </w:p>
    <w:p w14:paraId="74F8C61E">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3.供应商出现一票否决时，将对其违法违纪的相关情况汇报院纪委，同时按供应商违约情况取消本次合作，扣除所有剩余款项，并保留后续追究供应商责任的权利。</w:t>
      </w:r>
    </w:p>
    <w:p w14:paraId="706B4EE2">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4.如合同待支付金额中无款可扣且考核后出现扣款情况，</w:t>
      </w:r>
      <w:r>
        <w:rPr>
          <w:rFonts w:hint="eastAsia" w:ascii="仿宋" w:hAnsi="仿宋" w:eastAsia="仿宋" w:cs="仿宋"/>
          <w:sz w:val="24"/>
          <w:szCs w:val="24"/>
          <w:lang w:val="en-US" w:eastAsia="zh-CN"/>
        </w:rPr>
        <w:t>供应商</w:t>
      </w:r>
      <w:r>
        <w:rPr>
          <w:rFonts w:hint="eastAsia" w:ascii="仿宋" w:hAnsi="仿宋" w:eastAsia="仿宋" w:cs="仿宋"/>
          <w:sz w:val="24"/>
          <w:szCs w:val="24"/>
        </w:rPr>
        <w:t>承诺在得到</w:t>
      </w:r>
      <w:r>
        <w:rPr>
          <w:rFonts w:hint="eastAsia" w:ascii="仿宋" w:hAnsi="仿宋" w:eastAsia="仿宋" w:cs="仿宋"/>
          <w:sz w:val="24"/>
          <w:szCs w:val="24"/>
          <w:lang w:val="en-US" w:eastAsia="zh-CN"/>
        </w:rPr>
        <w:t>采购人</w:t>
      </w:r>
      <w:r>
        <w:rPr>
          <w:rFonts w:hint="eastAsia" w:ascii="仿宋" w:hAnsi="仿宋" w:eastAsia="仿宋" w:cs="仿宋"/>
          <w:sz w:val="24"/>
          <w:szCs w:val="24"/>
        </w:rPr>
        <w:t>考核结果后的10日内向</w:t>
      </w:r>
      <w:r>
        <w:rPr>
          <w:rFonts w:hint="eastAsia" w:ascii="仿宋" w:hAnsi="仿宋" w:eastAsia="仿宋" w:cs="仿宋"/>
          <w:sz w:val="24"/>
          <w:szCs w:val="24"/>
          <w:lang w:val="en-US" w:eastAsia="zh-CN"/>
        </w:rPr>
        <w:t>采购人</w:t>
      </w:r>
      <w:r>
        <w:rPr>
          <w:rFonts w:hint="eastAsia" w:ascii="仿宋" w:hAnsi="仿宋" w:eastAsia="仿宋" w:cs="仿宋"/>
          <w:sz w:val="24"/>
          <w:szCs w:val="24"/>
        </w:rPr>
        <w:t>缴纳对应的扣款金额</w:t>
      </w:r>
      <w:r>
        <w:rPr>
          <w:rFonts w:hint="eastAsia" w:ascii="仿宋" w:hAnsi="仿宋" w:eastAsia="仿宋" w:cs="仿宋"/>
          <w:sz w:val="24"/>
          <w:szCs w:val="24"/>
          <w:lang w:eastAsia="zh-CN"/>
        </w:rPr>
        <w:t>（</w:t>
      </w:r>
      <w:r>
        <w:rPr>
          <w:rFonts w:hint="eastAsia" w:ascii="仿宋" w:hAnsi="仿宋" w:eastAsia="仿宋" w:cs="仿宋"/>
          <w:b/>
          <w:bCs/>
          <w:sz w:val="24"/>
          <w:szCs w:val="24"/>
          <w:lang w:val="en-US" w:eastAsia="zh-CN"/>
        </w:rPr>
        <w:t>提供承诺函</w:t>
      </w:r>
      <w:r>
        <w:rPr>
          <w:rFonts w:hint="eastAsia" w:ascii="仿宋" w:hAnsi="仿宋" w:eastAsia="仿宋" w:cs="仿宋"/>
          <w:sz w:val="24"/>
          <w:szCs w:val="24"/>
          <w:lang w:eastAsia="zh-CN"/>
        </w:rPr>
        <w:t>）</w:t>
      </w:r>
      <w:r>
        <w:rPr>
          <w:rFonts w:hint="eastAsia" w:ascii="仿宋" w:hAnsi="仿宋" w:eastAsia="仿宋" w:cs="仿宋"/>
          <w:sz w:val="24"/>
          <w:szCs w:val="24"/>
        </w:rPr>
        <w:t>。</w:t>
      </w:r>
    </w:p>
    <w:p w14:paraId="17BE0B2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5.本考核指标最终解释权归四川省医学科学院·四川省人民医院。</w:t>
      </w:r>
    </w:p>
    <w:p w14:paraId="2A2B5ED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”的条款为实质性要求，不满足将被作为无效响应处理。带“▲”的条款为</w:t>
      </w:r>
      <w:r>
        <w:rPr>
          <w:rFonts w:hint="eastAsia" w:ascii="仿宋" w:hAnsi="仿宋" w:eastAsia="仿宋" w:cs="仿宋"/>
          <w:sz w:val="24"/>
          <w:szCs w:val="24"/>
          <w:lang w:val="en-US" w:eastAsia="zh-CN"/>
        </w:rPr>
        <w:t>重要技术参数</w:t>
      </w:r>
      <w:r>
        <w:rPr>
          <w:rFonts w:hint="eastAsia" w:ascii="仿宋" w:hAnsi="仿宋" w:eastAsia="仿宋" w:cs="仿宋"/>
          <w:sz w:val="24"/>
          <w:szCs w:val="24"/>
        </w:rPr>
        <w:t>条款</w:t>
      </w:r>
      <w:r>
        <w:rPr>
          <w:rFonts w:hint="eastAsia" w:ascii="仿宋" w:hAnsi="仿宋" w:eastAsia="仿宋" w:cs="仿宋"/>
          <w:sz w:val="24"/>
          <w:szCs w:val="24"/>
          <w:lang w:val="en-US" w:eastAsia="zh-CN"/>
        </w:rPr>
        <w:t>。</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2588"/>
      <w:bookmarkStart w:id="18" w:name="_Toc28789"/>
      <w:bookmarkStart w:id="19"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
        <w:gridCol w:w="776"/>
        <w:gridCol w:w="533"/>
        <w:gridCol w:w="7519"/>
        <w:gridCol w:w="499"/>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0" w:type="auto"/>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0" w:type="auto"/>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0" w:type="auto"/>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0" w:type="auto"/>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0" w:type="auto"/>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0" w:type="auto"/>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0" w:type="auto"/>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0" w:type="auto"/>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0" w:type="auto"/>
            <w:tcBorders>
              <w:top w:val="single" w:color="auto" w:sz="4" w:space="0"/>
              <w:left w:val="single" w:color="auto" w:sz="4" w:space="0"/>
              <w:right w:val="single" w:color="auto" w:sz="4" w:space="0"/>
            </w:tcBorders>
            <w:vAlign w:val="center"/>
          </w:tcPr>
          <w:p w14:paraId="5FA06A6A">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服务</w:t>
            </w:r>
            <w:r>
              <w:rPr>
                <w:rFonts w:hint="eastAsia" w:ascii="仿宋" w:hAnsi="仿宋" w:eastAsia="仿宋" w:cs="仿宋"/>
                <w:sz w:val="24"/>
                <w:szCs w:val="24"/>
                <w:highlight w:val="none"/>
                <w:lang w:val="en-US" w:eastAsia="zh-CN"/>
              </w:rPr>
              <w:t>内容30</w:t>
            </w:r>
            <w:r>
              <w:rPr>
                <w:rFonts w:hint="eastAsia" w:ascii="仿宋" w:hAnsi="仿宋" w:eastAsia="仿宋" w:cs="仿宋"/>
                <w:sz w:val="24"/>
                <w:szCs w:val="24"/>
                <w:highlight w:val="none"/>
              </w:rPr>
              <w:t>%</w:t>
            </w:r>
          </w:p>
        </w:tc>
        <w:tc>
          <w:tcPr>
            <w:tcW w:w="0" w:type="auto"/>
            <w:tcBorders>
              <w:top w:val="single" w:color="auto" w:sz="4" w:space="0"/>
              <w:left w:val="single" w:color="auto" w:sz="4" w:space="0"/>
              <w:bottom w:val="single" w:color="auto" w:sz="4" w:space="0"/>
              <w:right w:val="single" w:color="auto" w:sz="4" w:space="0"/>
            </w:tcBorders>
            <w:vAlign w:val="center"/>
          </w:tcPr>
          <w:p w14:paraId="1EDEBBF5">
            <w:pPr>
              <w:spacing w:line="240" w:lineRule="auto"/>
              <w:jc w:val="center"/>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sz w:val="24"/>
                <w:szCs w:val="24"/>
                <w:highlight w:val="none"/>
                <w:lang w:val="en-US" w:eastAsia="zh-CN"/>
              </w:rPr>
              <w:t>30分</w:t>
            </w:r>
          </w:p>
        </w:tc>
        <w:tc>
          <w:tcPr>
            <w:tcW w:w="0" w:type="auto"/>
            <w:tcBorders>
              <w:top w:val="single" w:color="auto" w:sz="4" w:space="0"/>
              <w:left w:val="single" w:color="auto" w:sz="4" w:space="0"/>
              <w:bottom w:val="single" w:color="auto" w:sz="4" w:space="0"/>
              <w:right w:val="single" w:color="auto" w:sz="4" w:space="0"/>
            </w:tcBorders>
            <w:vAlign w:val="center"/>
          </w:tcPr>
          <w:p w14:paraId="47877147">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带“★”的为实质性要求，不允许有负偏离</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不作为评审要求</w:t>
            </w:r>
            <w:r>
              <w:rPr>
                <w:rFonts w:hint="eastAsia" w:ascii="仿宋" w:hAnsi="仿宋" w:eastAsia="仿宋" w:cs="仿宋"/>
                <w:sz w:val="24"/>
                <w:szCs w:val="24"/>
                <w:highlight w:val="none"/>
              </w:rPr>
              <w:t>；带“▲”的条款为</w:t>
            </w:r>
            <w:r>
              <w:rPr>
                <w:rFonts w:hint="eastAsia" w:ascii="仿宋" w:hAnsi="仿宋" w:eastAsia="仿宋" w:cs="仿宋"/>
                <w:sz w:val="24"/>
                <w:szCs w:val="24"/>
                <w:highlight w:val="none"/>
                <w:lang w:val="en-US" w:eastAsia="zh-CN"/>
              </w:rPr>
              <w:t>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非</w:t>
            </w:r>
            <w:r>
              <w:rPr>
                <w:rFonts w:hint="eastAsia" w:ascii="仿宋" w:hAnsi="仿宋" w:eastAsia="仿宋" w:cs="仿宋"/>
                <w:sz w:val="24"/>
                <w:szCs w:val="24"/>
                <w:highlight w:val="none"/>
              </w:rPr>
              <w:t>“★”“▲”的为</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w:t>
            </w:r>
          </w:p>
          <w:p w14:paraId="1D1F1516">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供应商响应文件</w:t>
            </w:r>
            <w:r>
              <w:rPr>
                <w:rFonts w:hint="eastAsia" w:ascii="仿宋" w:hAnsi="仿宋" w:eastAsia="仿宋" w:cs="仿宋"/>
                <w:sz w:val="24"/>
                <w:szCs w:val="24"/>
                <w:highlight w:val="none"/>
              </w:rPr>
              <w:t>完全符合</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zh-CN" w:eastAsia="zh-CN"/>
              </w:rPr>
              <w:t xml:space="preserve">第四章 </w:t>
            </w:r>
            <w:r>
              <w:rPr>
                <w:rFonts w:hint="eastAsia" w:ascii="仿宋" w:hAnsi="仿宋" w:eastAsia="仿宋" w:cs="仿宋"/>
                <w:sz w:val="24"/>
                <w:szCs w:val="24"/>
                <w:highlight w:val="none"/>
              </w:rPr>
              <w:t>采购需求“</w:t>
            </w:r>
            <w:r>
              <w:rPr>
                <w:rFonts w:hint="eastAsia" w:ascii="仿宋" w:hAnsi="仿宋" w:eastAsia="仿宋" w:cs="仿宋"/>
                <w:sz w:val="24"/>
                <w:szCs w:val="24"/>
                <w:highlight w:val="none"/>
                <w:lang w:val="en-US" w:eastAsia="zh-CN"/>
              </w:rPr>
              <w:t>1.技术要求</w:t>
            </w:r>
            <w:r>
              <w:rPr>
                <w:rFonts w:hint="eastAsia" w:ascii="仿宋" w:hAnsi="仿宋" w:eastAsia="仿宋" w:cs="仿宋"/>
                <w:sz w:val="24"/>
                <w:szCs w:val="24"/>
                <w:highlight w:val="none"/>
              </w:rPr>
              <w:t>”的得</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w:t>
            </w:r>
          </w:p>
          <w:p w14:paraId="2AA2DCEF">
            <w:pP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的响应得分规则如下：</w:t>
            </w:r>
          </w:p>
          <w:p w14:paraId="5930FED6">
            <w:pPr>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响应得分=（供应商满足重要技术参数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的数量÷重要技术参数</w:t>
            </w:r>
            <w:r>
              <w:rPr>
                <w:rFonts w:hint="eastAsia" w:ascii="仿宋" w:hAnsi="仿宋" w:eastAsia="仿宋" w:cs="仿宋"/>
                <w:sz w:val="24"/>
                <w:szCs w:val="24"/>
                <w:highlight w:val="none"/>
              </w:rPr>
              <w:t>条</w:t>
            </w:r>
            <w:r>
              <w:rPr>
                <w:rFonts w:hint="eastAsia" w:ascii="仿宋" w:hAnsi="仿宋" w:eastAsia="仿宋" w:cs="仿宋"/>
                <w:sz w:val="24"/>
                <w:szCs w:val="24"/>
                <w:highlight w:val="none"/>
                <w:lang w:val="en-US" w:eastAsia="zh-CN"/>
              </w:rPr>
              <w:t>款的总数量）×26分。</w:t>
            </w:r>
          </w:p>
          <w:p w14:paraId="246FF958">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的响应得分规则如下：</w:t>
            </w:r>
          </w:p>
          <w:p w14:paraId="367F2F27">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响应得分=（供应商满足</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的数量÷</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lang w:eastAsia="zh-CN"/>
              </w:rPr>
              <w:t>总数量）×</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分。</w:t>
            </w:r>
          </w:p>
          <w:p w14:paraId="414C0CCE">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注：①得分保留小数点后两位小数，四舍五入。</w:t>
            </w:r>
          </w:p>
          <w:p w14:paraId="6A7FD7B7">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②以“1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3......”标识为一项。</w:t>
            </w:r>
          </w:p>
          <w:p w14:paraId="56F72C57">
            <w:pPr>
              <w:spacing w:line="24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eastAsia="zh-CN"/>
              </w:rPr>
              <w:t>若每一项技术指标项均有负偏离，此处分值应扣完，得0分。</w:t>
            </w:r>
          </w:p>
        </w:tc>
        <w:tc>
          <w:tcPr>
            <w:tcW w:w="0" w:type="auto"/>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0" w:type="auto"/>
            <w:tcBorders>
              <w:left w:val="single" w:color="auto" w:sz="4" w:space="0"/>
              <w:bottom w:val="single" w:color="auto" w:sz="4" w:space="0"/>
              <w:right w:val="single" w:color="auto" w:sz="4" w:space="0"/>
            </w:tcBorders>
            <w:vAlign w:val="center"/>
          </w:tcPr>
          <w:p w14:paraId="59CDD5B4">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val="en-US" w:eastAsia="zh-CN"/>
              </w:rPr>
              <w:t>服务方案9%</w:t>
            </w:r>
          </w:p>
        </w:tc>
        <w:tc>
          <w:tcPr>
            <w:tcW w:w="0" w:type="auto"/>
            <w:tcBorders>
              <w:top w:val="single" w:color="auto" w:sz="4" w:space="0"/>
              <w:left w:val="single" w:color="auto" w:sz="4" w:space="0"/>
              <w:bottom w:val="single" w:color="auto" w:sz="4" w:space="0"/>
              <w:right w:val="single" w:color="auto" w:sz="4" w:space="0"/>
            </w:tcBorders>
            <w:vAlign w:val="center"/>
          </w:tcPr>
          <w:p w14:paraId="49C88B8D">
            <w:pPr>
              <w:spacing w:line="240" w:lineRule="auto"/>
              <w:jc w:val="center"/>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sz w:val="24"/>
                <w:szCs w:val="24"/>
                <w:highlight w:val="none"/>
                <w:lang w:val="en-US" w:eastAsia="zh-CN"/>
              </w:rPr>
              <w:t>9分</w:t>
            </w:r>
          </w:p>
        </w:tc>
        <w:tc>
          <w:tcPr>
            <w:tcW w:w="0" w:type="auto"/>
            <w:tcBorders>
              <w:top w:val="single" w:color="auto" w:sz="4" w:space="0"/>
              <w:left w:val="single" w:color="auto" w:sz="4" w:space="0"/>
              <w:bottom w:val="single" w:color="auto" w:sz="4" w:space="0"/>
              <w:right w:val="single" w:color="auto" w:sz="4" w:space="0"/>
            </w:tcBorders>
            <w:vAlign w:val="center"/>
          </w:tcPr>
          <w:p w14:paraId="4DCF8EF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需提供针对本项目编制的服务方案，包括①项目实施计划、②沟通机制、③质量保障措施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④</w:t>
            </w:r>
            <w:r>
              <w:rPr>
                <w:rFonts w:hint="eastAsia" w:ascii="仿宋" w:hAnsi="仿宋" w:eastAsia="仿宋" w:cs="仿宋"/>
                <w:sz w:val="24"/>
                <w:szCs w:val="24"/>
                <w:highlight w:val="none"/>
              </w:rPr>
              <w:t>资产发现与管理服务方案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⑤互联网资产暴露面检测服务方案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⑥漏洞扫描与管理服务方案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⑦可管理检测与响应服务方案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⑧</w:t>
            </w:r>
            <w:r>
              <w:rPr>
                <w:rFonts w:hint="eastAsia" w:ascii="仿宋" w:hAnsi="仿宋" w:eastAsia="仿宋" w:cs="仿宋"/>
                <w:sz w:val="24"/>
                <w:szCs w:val="24"/>
                <w:highlight w:val="none"/>
              </w:rPr>
              <w:t>威胁情报服务方案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⑨</w:t>
            </w:r>
            <w:r>
              <w:rPr>
                <w:rFonts w:hint="eastAsia" w:ascii="仿宋" w:hAnsi="仿宋" w:eastAsia="仿宋" w:cs="仿宋"/>
                <w:sz w:val="24"/>
                <w:szCs w:val="24"/>
                <w:highlight w:val="none"/>
              </w:rPr>
              <w:t>应急响应服务方案。符合采购人需求的得</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分；每缺少一项内容扣</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分，每有一处内容存在缺陷扣</w:t>
            </w:r>
            <w:r>
              <w:rPr>
                <w:rFonts w:hint="eastAsia" w:ascii="仿宋" w:hAnsi="仿宋" w:eastAsia="仿宋" w:cs="仿宋"/>
                <w:sz w:val="24"/>
                <w:szCs w:val="24"/>
                <w:highlight w:val="none"/>
                <w:lang w:val="en-US" w:eastAsia="zh-CN"/>
              </w:rPr>
              <w:t>0.5</w:t>
            </w:r>
            <w:r>
              <w:rPr>
                <w:rFonts w:hint="eastAsia" w:ascii="仿宋" w:hAnsi="仿宋" w:eastAsia="仿宋" w:cs="仿宋"/>
                <w:sz w:val="24"/>
                <w:szCs w:val="24"/>
                <w:highlight w:val="none"/>
              </w:rPr>
              <w:t>分，扣完为止。</w:t>
            </w:r>
          </w:p>
          <w:p w14:paraId="7AEC12A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val="en-US" w:eastAsia="zh-CN"/>
              </w:rPr>
              <w:t>注：缺陷是指：内容不一致、地点名称错误、内容与本项目实际需求不符、不符合相关规范及标准。</w:t>
            </w:r>
          </w:p>
        </w:tc>
        <w:tc>
          <w:tcPr>
            <w:tcW w:w="0" w:type="auto"/>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0" w:type="auto"/>
            <w:tcBorders>
              <w:left w:val="single" w:color="auto" w:sz="4" w:space="0"/>
              <w:bottom w:val="single" w:color="auto" w:sz="4" w:space="0"/>
              <w:right w:val="single" w:color="auto" w:sz="4" w:space="0"/>
            </w:tcBorders>
            <w:vAlign w:val="center"/>
          </w:tcPr>
          <w:p w14:paraId="79495A5F">
            <w:pPr>
              <w:spacing w:line="24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highlight w:val="none"/>
                <w:lang w:val="en-US" w:eastAsia="zh-CN"/>
              </w:rPr>
              <w:t>供应商实力7%</w:t>
            </w:r>
          </w:p>
        </w:tc>
        <w:tc>
          <w:tcPr>
            <w:tcW w:w="0" w:type="auto"/>
            <w:tcBorders>
              <w:top w:val="single" w:color="auto" w:sz="4" w:space="0"/>
              <w:left w:val="single" w:color="auto" w:sz="4" w:space="0"/>
              <w:bottom w:val="single" w:color="auto" w:sz="4" w:space="0"/>
              <w:right w:val="single" w:color="auto" w:sz="4" w:space="0"/>
            </w:tcBorders>
            <w:vAlign w:val="center"/>
          </w:tcPr>
          <w:p w14:paraId="35228BFA">
            <w:pPr>
              <w:spacing w:line="24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highlight w:val="none"/>
                <w:lang w:val="en-US" w:eastAsia="zh-CN"/>
              </w:rPr>
              <w:t>7分</w:t>
            </w:r>
          </w:p>
        </w:tc>
        <w:tc>
          <w:tcPr>
            <w:tcW w:w="0" w:type="auto"/>
            <w:tcBorders>
              <w:top w:val="single" w:color="auto" w:sz="4" w:space="0"/>
              <w:left w:val="single" w:color="auto" w:sz="4" w:space="0"/>
              <w:bottom w:val="single" w:color="auto" w:sz="4" w:space="0"/>
              <w:right w:val="single" w:color="auto" w:sz="4" w:space="0"/>
            </w:tcBorders>
            <w:vAlign w:val="center"/>
          </w:tcPr>
          <w:p w14:paraId="3A91231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供应商服务使用的网络脆弱性扫描工具、Web应用安全检测工具、数据库扫描工具、高级威胁分析系统具有《国家信息安全漏洞库兼容性资质证书》的得1分。（提供有效期内证书的证明材料并加盖供应商单位公章）</w:t>
            </w:r>
          </w:p>
          <w:p w14:paraId="6127E42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供应商服务使用的所有服务工具生产制造商均具有漏洞收集能力，工具生产制造商拥有自主研发的服务管理平台的得1分。（提供互联网漏洞响应平台首页截图和计算机软件著作权证书的证明材料并加盖供应商公章）</w:t>
            </w:r>
          </w:p>
          <w:p w14:paraId="7386F1C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3.供应商服务使用的API和应用系统安全审计系统工具具有《API安全能力检验证书》（先进级）的得1分。（提供有效期内证书的证明材料并加盖供应商公章）；</w:t>
            </w:r>
          </w:p>
          <w:p w14:paraId="4878A35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4.为满足信息系统等级保护相关要求，供应商服务使用的网络安全等级保护检查工具生产制造商为公安部指定的信息安全等级保护检查工具箱研发单位的得1分。（提供证明材料并加盖供应商公章）</w:t>
            </w:r>
          </w:p>
          <w:p w14:paraId="4B26C89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5.供应商服务使用的数据库扫描工具通过数据库扫描产品安全技术要求（GA/T1139-2014）标准检测的得1分。（提供产品通过检测的证明材料并加盖供应商公章）</w:t>
            </w:r>
          </w:p>
          <w:p w14:paraId="2E66C50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6.供应商服务使用的Web应用安全检测工具通过Web应用安全检测系统安全技术要求和测试评价方法（GB/T37931-2019）标准检测的得1分。（提供产品通过检测的证明材料并加盖供应商公章）</w:t>
            </w:r>
          </w:p>
          <w:p w14:paraId="4094607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7.供应商在本项目提供的服务工具为同一生产制造厂商的得1分。（提供满足上述要求的证明材料）</w:t>
            </w:r>
          </w:p>
        </w:tc>
        <w:tc>
          <w:tcPr>
            <w:tcW w:w="0" w:type="auto"/>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797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227AF37E">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0" w:type="auto"/>
            <w:tcBorders>
              <w:top w:val="single" w:color="auto" w:sz="4" w:space="0"/>
              <w:left w:val="single" w:color="auto" w:sz="4" w:space="0"/>
              <w:bottom w:val="single" w:color="auto" w:sz="4" w:space="0"/>
              <w:right w:val="single" w:color="auto" w:sz="4" w:space="0"/>
            </w:tcBorders>
            <w:vAlign w:val="center"/>
          </w:tcPr>
          <w:p w14:paraId="52930322">
            <w:pPr>
              <w:spacing w:line="24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val="en-US" w:eastAsia="zh-CN"/>
              </w:rPr>
              <w:t>服务团队12%</w:t>
            </w:r>
          </w:p>
        </w:tc>
        <w:tc>
          <w:tcPr>
            <w:tcW w:w="0" w:type="auto"/>
            <w:tcBorders>
              <w:top w:val="single" w:color="auto" w:sz="4" w:space="0"/>
              <w:left w:val="single" w:color="auto" w:sz="4" w:space="0"/>
              <w:bottom w:val="single" w:color="auto" w:sz="4" w:space="0"/>
              <w:right w:val="single" w:color="auto" w:sz="4" w:space="0"/>
            </w:tcBorders>
            <w:vAlign w:val="center"/>
          </w:tcPr>
          <w:p w14:paraId="6E95E8F8">
            <w:pPr>
              <w:spacing w:line="240" w:lineRule="auto"/>
              <w:jc w:val="center"/>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sz w:val="24"/>
                <w:szCs w:val="24"/>
                <w:highlight w:val="none"/>
                <w:lang w:val="en-US" w:eastAsia="zh-CN"/>
              </w:rPr>
              <w:t>12分</w:t>
            </w:r>
          </w:p>
        </w:tc>
        <w:tc>
          <w:tcPr>
            <w:tcW w:w="0" w:type="auto"/>
            <w:tcBorders>
              <w:top w:val="single" w:color="auto" w:sz="4" w:space="0"/>
              <w:left w:val="single" w:color="auto" w:sz="4" w:space="0"/>
              <w:bottom w:val="single" w:color="auto" w:sz="4" w:space="0"/>
              <w:right w:val="single" w:color="auto" w:sz="4" w:space="0"/>
            </w:tcBorders>
            <w:vAlign w:val="center"/>
          </w:tcPr>
          <w:p w14:paraId="136C971D">
            <w:pPr>
              <w:spacing w:line="240" w:lineRule="auto"/>
              <w:jc w:val="left"/>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1.供应商为本项目配备</w:t>
            </w:r>
            <w:r>
              <w:rPr>
                <w:rFonts w:hint="eastAsia" w:ascii="仿宋" w:hAnsi="仿宋" w:eastAsia="仿宋" w:cs="仿宋"/>
                <w:color w:val="000000" w:themeColor="text1"/>
                <w:sz w:val="24"/>
                <w:szCs w:val="24"/>
                <w:highlight w:val="none"/>
                <w14:textFill>
                  <w14:solidFill>
                    <w14:schemeClr w14:val="tx1"/>
                  </w14:solidFill>
                </w14:textFill>
              </w:rPr>
              <w:t>项目经理1名，具有</w:t>
            </w:r>
            <w:r>
              <w:rPr>
                <w:rFonts w:hint="eastAsia" w:ascii="仿宋" w:hAnsi="仿宋" w:eastAsia="仿宋" w:cs="仿宋"/>
                <w:color w:val="000000" w:themeColor="text1"/>
                <w:sz w:val="24"/>
                <w:szCs w:val="24"/>
                <w:highlight w:val="none"/>
                <w:lang w:eastAsia="zh-CN"/>
                <w14:textFill>
                  <w14:solidFill>
                    <w14:schemeClr w14:val="tx1"/>
                  </w14:solidFill>
                </w14:textFill>
              </w:rPr>
              <w:t>（①信息系统项目管理师证书、②注册渗透测试专家证书（CISP-PTS）、③注册数据安全治理专业人员证书（CISP-DSG）、④信息安全保障人员认证证书（安全运维）、⑤CNVD原创漏洞证明。）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其中之一的得1分，本项最多得5分。</w:t>
            </w:r>
          </w:p>
          <w:p w14:paraId="76C79443">
            <w:pPr>
              <w:spacing w:line="240" w:lineRule="auto"/>
              <w:jc w:val="both"/>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供应商为本项目配备1名网络安全服务专家，具有注册渗透测试工程师证书（CISP-PTE）</w:t>
            </w:r>
            <w:r>
              <w:rPr>
                <w:rFonts w:hint="eastAsia" w:ascii="仿宋" w:hAnsi="仿宋" w:eastAsia="仿宋" w:cs="仿宋"/>
                <w:color w:val="000000" w:themeColor="text1"/>
                <w:sz w:val="24"/>
                <w:szCs w:val="24"/>
                <w:highlight w:val="none"/>
                <w:lang w:val="en-US" w:eastAsia="zh-CN"/>
                <w14:textFill>
                  <w14:solidFill>
                    <w14:schemeClr w14:val="tx1"/>
                  </w14:solidFill>
                </w14:textFill>
              </w:rPr>
              <w:t>的得2分；具有</w:t>
            </w:r>
            <w:r>
              <w:rPr>
                <w:rFonts w:hint="eastAsia" w:ascii="仿宋" w:hAnsi="仿宋" w:eastAsia="仿宋" w:cs="仿宋"/>
                <w:color w:val="000000" w:themeColor="text1"/>
                <w:sz w:val="24"/>
                <w:szCs w:val="24"/>
                <w:highlight w:val="none"/>
                <w14:textFill>
                  <w14:solidFill>
                    <w14:schemeClr w14:val="tx1"/>
                  </w14:solidFill>
                </w14:textFill>
              </w:rPr>
              <w:t>网络安全应急响应工程师认证证书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t>的得2分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本项最多得4分。</w:t>
            </w:r>
          </w:p>
          <w:p w14:paraId="6A7FC5D8">
            <w:pPr>
              <w:spacing w:line="240" w:lineRule="auto"/>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供应商为本项目配备1名攻防演练专家</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具有</w:t>
            </w:r>
            <w:r>
              <w:rPr>
                <w:rFonts w:hint="eastAsia" w:ascii="仿宋" w:hAnsi="仿宋" w:eastAsia="仿宋" w:cs="仿宋"/>
                <w:color w:val="000000" w:themeColor="text1"/>
                <w:sz w:val="24"/>
                <w:szCs w:val="24"/>
                <w:highlight w:val="none"/>
                <w:lang w:val="en-US" w:eastAsia="zh-CN"/>
                <w14:textFill>
                  <w14:solidFill>
                    <w14:schemeClr w14:val="tx1"/>
                  </w14:solidFill>
                </w14:textFill>
              </w:rPr>
              <w:t>省级</w:t>
            </w:r>
            <w:r>
              <w:rPr>
                <w:rFonts w:hint="eastAsia" w:ascii="仿宋" w:hAnsi="仿宋" w:eastAsia="仿宋" w:cs="仿宋"/>
                <w:color w:val="000000" w:themeColor="text1"/>
                <w:sz w:val="24"/>
                <w:szCs w:val="24"/>
                <w:highlight w:val="none"/>
                <w14:textFill>
                  <w14:solidFill>
                    <w14:schemeClr w14:val="tx1"/>
                  </w14:solidFill>
                </w14:textFill>
              </w:rPr>
              <w:t>及以上攻防演练/网络攻防实战演习裁判专家经验</w:t>
            </w:r>
            <w:r>
              <w:rPr>
                <w:rFonts w:hint="eastAsia" w:ascii="仿宋" w:hAnsi="仿宋" w:eastAsia="仿宋" w:cs="仿宋"/>
                <w:color w:val="000000" w:themeColor="text1"/>
                <w:sz w:val="24"/>
                <w:szCs w:val="24"/>
                <w:highlight w:val="none"/>
                <w:lang w:val="en-US" w:eastAsia="zh-CN"/>
                <w14:textFill>
                  <w14:solidFill>
                    <w14:schemeClr w14:val="tx1"/>
                  </w14:solidFill>
                </w14:textFill>
              </w:rPr>
              <w:t>的得3分。本项最多得3分。</w:t>
            </w:r>
          </w:p>
          <w:p w14:paraId="3CB67191">
            <w:pPr>
              <w:spacing w:line="240" w:lineRule="auto"/>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注：（1）同一人员的同一类型证书不重复计分；（2）以上人员岗位不得兼任，</w:t>
            </w:r>
            <w:r>
              <w:rPr>
                <w:rFonts w:hint="eastAsia" w:ascii="仿宋" w:hAnsi="仿宋" w:eastAsia="仿宋" w:cs="仿宋"/>
                <w:color w:val="000000" w:themeColor="text1"/>
                <w:sz w:val="24"/>
                <w:szCs w:val="24"/>
                <w:highlight w:val="none"/>
                <w:lang w:eastAsia="zh-CN"/>
                <w14:textFill>
                  <w14:solidFill>
                    <w14:schemeClr w14:val="tx1"/>
                  </w14:solidFill>
                </w14:textFill>
              </w:rPr>
              <w:t>提供聘书</w:t>
            </w:r>
            <w:r>
              <w:rPr>
                <w:rFonts w:hint="eastAsia" w:ascii="仿宋" w:hAnsi="仿宋" w:eastAsia="仿宋" w:cs="仿宋"/>
                <w:color w:val="000000" w:themeColor="text1"/>
                <w:sz w:val="24"/>
                <w:szCs w:val="24"/>
                <w:highlight w:val="none"/>
                <w:lang w:val="en-US" w:eastAsia="zh-CN"/>
                <w14:textFill>
                  <w14:solidFill>
                    <w14:schemeClr w14:val="tx1"/>
                  </w14:solidFill>
                </w14:textFill>
              </w:rPr>
              <w:t>或劳动合同</w:t>
            </w:r>
            <w:r>
              <w:rPr>
                <w:rFonts w:hint="eastAsia" w:ascii="仿宋" w:hAnsi="仿宋" w:eastAsia="仿宋" w:cs="仿宋"/>
                <w:color w:val="000000" w:themeColor="text1"/>
                <w:sz w:val="24"/>
                <w:szCs w:val="24"/>
                <w:highlight w:val="none"/>
                <w:lang w:eastAsia="zh-CN"/>
                <w14:textFill>
                  <w14:solidFill>
                    <w14:schemeClr w14:val="tx1"/>
                  </w14:solidFill>
                </w14:textFill>
              </w:rPr>
              <w:t>复印件并加盖供应商公章。（</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）以上服务团队人员资质要求需提供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①</w:t>
            </w:r>
            <w:r>
              <w:rPr>
                <w:rFonts w:hint="eastAsia" w:ascii="仿宋" w:hAnsi="仿宋" w:eastAsia="仿宋" w:cs="仿宋"/>
                <w:color w:val="000000" w:themeColor="text1"/>
                <w:sz w:val="24"/>
                <w:szCs w:val="24"/>
                <w:highlight w:val="none"/>
                <w:lang w:eastAsia="zh-CN"/>
                <w14:textFill>
                  <w14:solidFill>
                    <w14:schemeClr w14:val="tx1"/>
                  </w14:solidFill>
                </w14:textFill>
              </w:rPr>
              <w:t>人员身份证复印件、</w:t>
            </w:r>
            <w:r>
              <w:rPr>
                <w:rFonts w:hint="eastAsia" w:ascii="仿宋" w:hAnsi="仿宋" w:eastAsia="仿宋" w:cs="仿宋"/>
                <w:color w:val="000000" w:themeColor="text1"/>
                <w:sz w:val="24"/>
                <w:szCs w:val="24"/>
                <w:highlight w:val="none"/>
                <w:lang w:val="en-US" w:eastAsia="zh-CN"/>
                <w14:textFill>
                  <w14:solidFill>
                    <w14:schemeClr w14:val="tx1"/>
                  </w14:solidFill>
                </w14:textFill>
              </w:rPr>
              <w:t>②</w:t>
            </w:r>
            <w:r>
              <w:rPr>
                <w:rFonts w:hint="eastAsia" w:ascii="仿宋" w:hAnsi="仿宋" w:eastAsia="仿宋" w:cs="仿宋"/>
                <w:color w:val="000000" w:themeColor="text1"/>
                <w:sz w:val="24"/>
                <w:szCs w:val="24"/>
                <w:highlight w:val="none"/>
                <w:lang w:eastAsia="zh-CN"/>
                <w14:textFill>
                  <w14:solidFill>
                    <w14:schemeClr w14:val="tx1"/>
                  </w14:solidFill>
                </w14:textFill>
              </w:rPr>
              <w:t>相关证书或证明文件复印件，并加盖供应商公章。</w:t>
            </w:r>
          </w:p>
        </w:tc>
        <w:tc>
          <w:tcPr>
            <w:tcW w:w="0" w:type="auto"/>
            <w:tcBorders>
              <w:top w:val="single" w:color="auto" w:sz="4" w:space="0"/>
              <w:left w:val="single" w:color="auto" w:sz="4" w:space="0"/>
              <w:bottom w:val="single" w:color="auto" w:sz="4" w:space="0"/>
              <w:right w:val="single" w:color="auto" w:sz="4" w:space="0"/>
            </w:tcBorders>
            <w:vAlign w:val="center"/>
          </w:tcPr>
          <w:p w14:paraId="10891AF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6F98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2342A78B">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0" w:type="auto"/>
            <w:tcBorders>
              <w:top w:val="single" w:color="auto" w:sz="4" w:space="0"/>
              <w:left w:val="single" w:color="auto" w:sz="4" w:space="0"/>
              <w:bottom w:val="single" w:color="auto" w:sz="4" w:space="0"/>
              <w:right w:val="single" w:color="auto" w:sz="4" w:space="0"/>
            </w:tcBorders>
            <w:vAlign w:val="center"/>
          </w:tcPr>
          <w:p w14:paraId="4E86C8AF">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r>
              <w:rPr>
                <w:rFonts w:hint="eastAsia" w:ascii="仿宋" w:hAnsi="仿宋" w:eastAsia="仿宋" w:cs="仿宋"/>
                <w:sz w:val="24"/>
                <w:szCs w:val="24"/>
                <w:highlight w:val="none"/>
                <w:lang w:val="en-US" w:eastAsia="zh-CN"/>
              </w:rPr>
              <w:t>12%</w:t>
            </w:r>
          </w:p>
        </w:tc>
        <w:tc>
          <w:tcPr>
            <w:tcW w:w="0" w:type="auto"/>
            <w:tcBorders>
              <w:top w:val="single" w:color="auto" w:sz="4" w:space="0"/>
              <w:left w:val="single" w:color="auto" w:sz="4" w:space="0"/>
              <w:bottom w:val="single" w:color="auto" w:sz="4" w:space="0"/>
              <w:right w:val="single" w:color="auto" w:sz="4" w:space="0"/>
            </w:tcBorders>
            <w:vAlign w:val="center"/>
          </w:tcPr>
          <w:p w14:paraId="54BC0819">
            <w:pPr>
              <w:spacing w:line="24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12分</w:t>
            </w:r>
          </w:p>
        </w:tc>
        <w:tc>
          <w:tcPr>
            <w:tcW w:w="0" w:type="auto"/>
            <w:tcBorders>
              <w:top w:val="single" w:color="auto" w:sz="4" w:space="0"/>
              <w:left w:val="single" w:color="auto" w:sz="4" w:space="0"/>
              <w:bottom w:val="single" w:color="auto" w:sz="4" w:space="0"/>
              <w:right w:val="single" w:color="auto" w:sz="4" w:space="0"/>
            </w:tcBorders>
            <w:vAlign w:val="center"/>
          </w:tcPr>
          <w:p w14:paraId="537FF0B8">
            <w:pPr>
              <w:spacing w:line="240" w:lineRule="auto"/>
              <w:jc w:val="left"/>
              <w:rPr>
                <w:rFonts w:hint="eastAsia" w:ascii="仿宋" w:hAnsi="仿宋" w:eastAsia="仿宋" w:cs="仿宋"/>
                <w:kern w:val="0"/>
                <w:sz w:val="24"/>
                <w:szCs w:val="24"/>
                <w:highlight w:val="none"/>
                <w:lang w:bidi="ar"/>
              </w:rPr>
            </w:pPr>
            <w:r>
              <w:rPr>
                <w:rFonts w:hint="eastAsia" w:ascii="仿宋" w:hAnsi="仿宋" w:eastAsia="仿宋" w:cs="仿宋"/>
                <w:kern w:val="0"/>
                <w:sz w:val="24"/>
                <w:szCs w:val="24"/>
                <w:highlight w:val="none"/>
                <w:lang w:bidi="ar"/>
              </w:rPr>
              <w:t>供应商提供202</w:t>
            </w:r>
            <w:r>
              <w:rPr>
                <w:rFonts w:hint="eastAsia" w:ascii="仿宋" w:hAnsi="仿宋" w:eastAsia="仿宋" w:cs="仿宋"/>
                <w:kern w:val="0"/>
                <w:sz w:val="24"/>
                <w:szCs w:val="24"/>
                <w:highlight w:val="none"/>
                <w:lang w:val="en-US" w:eastAsia="zh-CN" w:bidi="ar"/>
              </w:rPr>
              <w:t>3</w:t>
            </w:r>
            <w:r>
              <w:rPr>
                <w:rFonts w:hint="eastAsia" w:ascii="仿宋" w:hAnsi="仿宋" w:eastAsia="仿宋" w:cs="仿宋"/>
                <w:kern w:val="0"/>
                <w:sz w:val="24"/>
                <w:szCs w:val="24"/>
                <w:highlight w:val="none"/>
                <w:lang w:bidi="ar"/>
              </w:rPr>
              <w:t>年1月1日（含）以来类似业绩证明。</w:t>
            </w:r>
          </w:p>
          <w:p w14:paraId="2A7A13F2">
            <w:pPr>
              <w:spacing w:line="240" w:lineRule="auto"/>
              <w:jc w:val="left"/>
              <w:rPr>
                <w:rFonts w:hint="eastAsia" w:ascii="仿宋" w:hAnsi="仿宋" w:eastAsia="仿宋" w:cs="仿宋"/>
                <w:kern w:val="0"/>
                <w:sz w:val="24"/>
                <w:szCs w:val="24"/>
                <w:highlight w:val="none"/>
                <w:lang w:bidi="ar"/>
              </w:rPr>
            </w:pPr>
            <w:r>
              <w:rPr>
                <w:rFonts w:hint="eastAsia" w:ascii="仿宋" w:hAnsi="仿宋" w:eastAsia="仿宋" w:cs="仿宋"/>
                <w:kern w:val="0"/>
                <w:sz w:val="24"/>
                <w:szCs w:val="24"/>
                <w:highlight w:val="none"/>
                <w:lang w:bidi="ar"/>
              </w:rPr>
              <w:t>注：</w:t>
            </w:r>
            <w:r>
              <w:rPr>
                <w:rFonts w:hint="eastAsia" w:ascii="仿宋" w:hAnsi="仿宋" w:eastAsia="仿宋" w:cs="仿宋"/>
                <w:kern w:val="0"/>
                <w:sz w:val="24"/>
                <w:szCs w:val="24"/>
                <w:highlight w:val="none"/>
                <w:lang w:eastAsia="zh-CN" w:bidi="ar"/>
              </w:rPr>
              <w:t>（</w:t>
            </w:r>
            <w:r>
              <w:rPr>
                <w:rFonts w:hint="eastAsia" w:ascii="仿宋" w:hAnsi="仿宋" w:eastAsia="仿宋" w:cs="仿宋"/>
                <w:kern w:val="0"/>
                <w:sz w:val="24"/>
                <w:szCs w:val="24"/>
                <w:highlight w:val="none"/>
                <w:lang w:val="en-US" w:eastAsia="zh-CN" w:bidi="ar"/>
              </w:rPr>
              <w:t>1</w:t>
            </w:r>
            <w:r>
              <w:rPr>
                <w:rFonts w:hint="eastAsia" w:ascii="仿宋" w:hAnsi="仿宋" w:eastAsia="仿宋" w:cs="仿宋"/>
                <w:kern w:val="0"/>
                <w:sz w:val="24"/>
                <w:szCs w:val="24"/>
                <w:highlight w:val="none"/>
                <w:lang w:eastAsia="zh-CN" w:bidi="ar"/>
              </w:rPr>
              <w:t>）</w:t>
            </w:r>
            <w:r>
              <w:rPr>
                <w:rFonts w:hint="eastAsia" w:ascii="仿宋" w:hAnsi="仿宋" w:eastAsia="仿宋" w:cs="仿宋"/>
                <w:kern w:val="0"/>
                <w:sz w:val="24"/>
                <w:szCs w:val="24"/>
                <w:highlight w:val="none"/>
                <w:lang w:val="en-US" w:eastAsia="zh-CN" w:bidi="ar"/>
              </w:rPr>
              <w:t>以合同签订时间为准</w:t>
            </w:r>
            <w:r>
              <w:rPr>
                <w:rFonts w:hint="eastAsia" w:ascii="仿宋" w:hAnsi="仿宋" w:eastAsia="仿宋" w:cs="仿宋"/>
                <w:kern w:val="0"/>
                <w:sz w:val="24"/>
                <w:szCs w:val="24"/>
                <w:highlight w:val="none"/>
                <w:lang w:eastAsia="zh-CN" w:bidi="ar"/>
              </w:rPr>
              <w:t>；（</w:t>
            </w:r>
            <w:r>
              <w:rPr>
                <w:rFonts w:hint="eastAsia" w:ascii="仿宋" w:hAnsi="仿宋" w:eastAsia="仿宋" w:cs="仿宋"/>
                <w:kern w:val="0"/>
                <w:sz w:val="24"/>
                <w:szCs w:val="24"/>
                <w:highlight w:val="none"/>
                <w:lang w:val="en-US" w:eastAsia="zh-CN" w:bidi="ar"/>
              </w:rPr>
              <w:t>2</w:t>
            </w:r>
            <w:r>
              <w:rPr>
                <w:rFonts w:hint="eastAsia" w:ascii="仿宋" w:hAnsi="仿宋" w:eastAsia="仿宋" w:cs="仿宋"/>
                <w:kern w:val="0"/>
                <w:sz w:val="24"/>
                <w:szCs w:val="24"/>
                <w:highlight w:val="none"/>
                <w:lang w:eastAsia="zh-CN" w:bidi="ar"/>
              </w:rPr>
              <w:t>）</w:t>
            </w:r>
            <w:r>
              <w:rPr>
                <w:rFonts w:hint="eastAsia" w:ascii="仿宋" w:hAnsi="仿宋" w:eastAsia="仿宋" w:cs="仿宋"/>
                <w:kern w:val="0"/>
                <w:sz w:val="24"/>
                <w:szCs w:val="24"/>
                <w:highlight w:val="none"/>
                <w:lang w:bidi="ar"/>
              </w:rPr>
              <w:t>提供采购合同关键页（合同首页、建设内容、金额、签字盖章页）材料复印件，并加盖供应商单位公章。</w:t>
            </w:r>
          </w:p>
        </w:tc>
        <w:tc>
          <w:tcPr>
            <w:tcW w:w="0" w:type="auto"/>
            <w:tcBorders>
              <w:top w:val="single" w:color="auto" w:sz="4" w:space="0"/>
              <w:left w:val="single" w:color="auto" w:sz="4" w:space="0"/>
              <w:bottom w:val="single" w:color="auto" w:sz="4" w:space="0"/>
              <w:right w:val="single" w:color="auto" w:sz="4" w:space="0"/>
            </w:tcBorders>
            <w:vAlign w:val="center"/>
          </w:tcPr>
          <w:p w14:paraId="66FC9D1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4F17DA45">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22827"/>
      <w:bookmarkStart w:id="21" w:name="_Toc28171"/>
      <w:bookmarkStart w:id="22" w:name="_Toc3094"/>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32749"/>
      <w:bookmarkStart w:id="36" w:name="_Toc2485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17905"/>
      <w:bookmarkStart w:id="40" w:name="_Toc24123"/>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7526"/>
      <w:bookmarkStart w:id="44" w:name="_Toc2989"/>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5056"/>
      <w:bookmarkStart w:id="48" w:name="_Toc2031"/>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1352"/>
      <w:bookmarkStart w:id="51" w:name="_Toc14829"/>
      <w:bookmarkStart w:id="52" w:name="_Toc21519"/>
      <w:bookmarkStart w:id="53" w:name="_Toc16029"/>
      <w:bookmarkStart w:id="54" w:name="_Toc6482"/>
      <w:bookmarkStart w:id="55" w:name="_Toc3023"/>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numPr>
          <w:ilvl w:val="0"/>
          <w:numId w:val="0"/>
        </w:numPr>
        <w:ind w:left="0" w:leftChars="0" w:firstLine="0" w:firstLineChars="0"/>
      </w:pPr>
      <w:r>
        <w:rPr>
          <w:rFonts w:hint="eastAsia" w:cs="Times New Roman"/>
          <w:b/>
          <w:kern w:val="2"/>
          <w:sz w:val="32"/>
          <w:szCs w:val="22"/>
          <w:lang w:val="en-US" w:eastAsia="zh-CN" w:bidi="ar-SA"/>
        </w:rPr>
        <w:t>一</w:t>
      </w:r>
      <w:r>
        <w:rPr>
          <w:rFonts w:hint="eastAsia" w:ascii="Times New Roman" w:hAnsi="Times New Roman" w:eastAsia="仿宋" w:cs="Times New Roman"/>
          <w:b/>
          <w:kern w:val="2"/>
          <w:sz w:val="32"/>
          <w:szCs w:val="22"/>
          <w:lang w:val="zh-CN" w:eastAsia="zh-CN" w:bidi="ar-SA"/>
        </w:rPr>
        <w:t>、</w:t>
      </w: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30971"/>
      <w:bookmarkStart w:id="58" w:name="_Toc17857"/>
      <w:bookmarkStart w:id="59" w:name="_Toc4305"/>
      <w:bookmarkStart w:id="60" w:name="_Toc22676"/>
      <w:r>
        <w:rPr>
          <w:rFonts w:ascii="Times New Roman" w:hAnsi="Times New Roman" w:cs="Times New Roman"/>
        </w:rPr>
        <w:br w:type="page"/>
      </w:r>
    </w:p>
    <w:p w14:paraId="72845348">
      <w:pPr>
        <w:pStyle w:val="3"/>
        <w:numPr>
          <w:ilvl w:val="0"/>
          <w:numId w:val="0"/>
        </w:numPr>
        <w:ind w:left="0" w:leftChars="0" w:firstLine="0" w:firstLineChars="0"/>
      </w:pPr>
      <w:r>
        <w:rPr>
          <w:rFonts w:hint="eastAsia" w:cs="Times New Roman"/>
          <w:b/>
          <w:kern w:val="2"/>
          <w:sz w:val="32"/>
          <w:szCs w:val="22"/>
          <w:lang w:val="en-US" w:eastAsia="zh-CN" w:bidi="ar-SA"/>
        </w:rPr>
        <w:t>二</w:t>
      </w:r>
      <w:r>
        <w:rPr>
          <w:rFonts w:hint="eastAsia" w:ascii="Times New Roman" w:hAnsi="Times New Roman" w:eastAsia="仿宋" w:cs="Times New Roman"/>
          <w:b/>
          <w:kern w:val="2"/>
          <w:sz w:val="32"/>
          <w:szCs w:val="22"/>
          <w:lang w:val="zh-CN" w:eastAsia="zh-CN" w:bidi="ar-SA"/>
        </w:rPr>
        <w:t>、</w:t>
      </w: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numPr>
          <w:ilvl w:val="0"/>
          <w:numId w:val="0"/>
        </w:numPr>
        <w:ind w:left="0" w:leftChars="0" w:firstLine="0" w:firstLineChars="0"/>
        <w:rPr>
          <w:rStyle w:val="32"/>
          <w:szCs w:val="28"/>
        </w:rPr>
      </w:pPr>
      <w:r>
        <w:rPr>
          <w:bCs/>
        </w:rPr>
        <w:br w:type="page"/>
      </w:r>
      <w:bookmarkStart w:id="61" w:name="_Toc27186"/>
      <w:bookmarkStart w:id="62" w:name="_Toc15613"/>
      <w:bookmarkStart w:id="63" w:name="_Toc30158"/>
      <w:r>
        <w:rPr>
          <w:rFonts w:hint="eastAsia"/>
          <w:bCs/>
          <w:lang w:val="en-US" w:eastAsia="zh-CN"/>
        </w:rPr>
        <w:t>三、</w:t>
      </w:r>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numPr>
          <w:ilvl w:val="0"/>
          <w:numId w:val="0"/>
        </w:numPr>
        <w:ind w:left="0" w:leftChars="0" w:firstLine="0" w:firstLineChars="0"/>
        <w:rPr>
          <w:szCs w:val="32"/>
        </w:rPr>
      </w:pPr>
      <w:bookmarkStart w:id="67" w:name="_Toc15508"/>
      <w:bookmarkStart w:id="68" w:name="_Toc23146"/>
      <w:r>
        <w:rPr>
          <w:rFonts w:hint="eastAsia" w:cs="Times New Roman"/>
          <w:b/>
          <w:kern w:val="2"/>
          <w:sz w:val="32"/>
          <w:szCs w:val="32"/>
          <w:lang w:val="zh-CN" w:eastAsia="zh-CN" w:bidi="ar-SA"/>
        </w:rPr>
        <w:t>四</w:t>
      </w:r>
      <w:r>
        <w:rPr>
          <w:rFonts w:hint="eastAsia" w:ascii="Times New Roman" w:hAnsi="Times New Roman" w:eastAsia="仿宋" w:cs="Times New Roman"/>
          <w:b/>
          <w:kern w:val="2"/>
          <w:sz w:val="32"/>
          <w:szCs w:val="32"/>
          <w:lang w:val="zh-CN" w:eastAsia="zh-CN" w:bidi="ar-SA"/>
        </w:rPr>
        <w:t>、</w:t>
      </w:r>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numPr>
          <w:ilvl w:val="0"/>
          <w:numId w:val="0"/>
        </w:numPr>
        <w:ind w:left="0" w:leftChars="0" w:firstLine="0" w:firstLineChars="0"/>
        <w:rPr>
          <w:szCs w:val="32"/>
        </w:rPr>
      </w:pPr>
      <w:r>
        <w:rPr>
          <w:szCs w:val="32"/>
        </w:rPr>
        <w:br w:type="page"/>
      </w:r>
      <w:bookmarkStart w:id="69" w:name="_Toc11351"/>
      <w:bookmarkStart w:id="70" w:name="_Toc15526"/>
      <w:bookmarkStart w:id="71" w:name="_Toc25638"/>
      <w:bookmarkStart w:id="72" w:name="_Toc27661"/>
      <w:bookmarkStart w:id="73" w:name="_Toc12015"/>
      <w:bookmarkStart w:id="74" w:name="_Toc20589"/>
      <w:r>
        <w:rPr>
          <w:rFonts w:hint="eastAsia"/>
          <w:szCs w:val="32"/>
          <w:lang w:val="en-US" w:eastAsia="zh-CN"/>
        </w:rPr>
        <w:t>五</w:t>
      </w:r>
      <w:r>
        <w:rPr>
          <w:rFonts w:hint="eastAsia" w:ascii="Times New Roman" w:hAnsi="Times New Roman" w:eastAsia="仿宋" w:cs="Times New Roman"/>
          <w:b/>
          <w:bCs/>
          <w:kern w:val="2"/>
          <w:sz w:val="32"/>
          <w:szCs w:val="32"/>
          <w:lang w:val="zh-CN" w:eastAsia="zh-CN" w:bidi="ar-SA"/>
        </w:rPr>
        <w:t>、</w:t>
      </w:r>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numPr>
          <w:ilvl w:val="0"/>
          <w:numId w:val="0"/>
        </w:numPr>
        <w:ind w:left="0" w:leftChars="0" w:firstLine="0" w:firstLineChars="0"/>
        <w:rPr>
          <w:szCs w:val="32"/>
        </w:rPr>
      </w:pPr>
      <w:r>
        <w:rPr>
          <w:szCs w:val="32"/>
        </w:rPr>
        <w:br w:type="page"/>
      </w:r>
      <w:bookmarkStart w:id="75" w:name="_Toc12967"/>
      <w:bookmarkStart w:id="76" w:name="_Toc23967"/>
      <w:bookmarkStart w:id="77" w:name="_Toc2041"/>
      <w:bookmarkStart w:id="78" w:name="_Toc16435"/>
      <w:bookmarkStart w:id="79" w:name="_Toc1074"/>
      <w:bookmarkStart w:id="80" w:name="_Toc26969"/>
      <w:r>
        <w:rPr>
          <w:rFonts w:hint="eastAsia" w:ascii="Times New Roman" w:hAnsi="Times New Roman" w:eastAsia="仿宋" w:cs="Times New Roman"/>
          <w:b/>
          <w:kern w:val="2"/>
          <w:sz w:val="32"/>
          <w:szCs w:val="32"/>
          <w:lang w:val="zh-CN" w:eastAsia="zh-CN" w:bidi="ar-SA"/>
        </w:rPr>
        <w:t>六、</w:t>
      </w:r>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numPr>
          <w:ilvl w:val="0"/>
          <w:numId w:val="0"/>
        </w:numPr>
        <w:ind w:left="0" w:leftChars="0" w:firstLine="0" w:firstLineChars="0"/>
        <w:rPr>
          <w:bCs/>
          <w:szCs w:val="32"/>
        </w:rPr>
      </w:pPr>
      <w:r>
        <w:rPr>
          <w:szCs w:val="32"/>
        </w:rPr>
        <w:br w:type="page"/>
      </w:r>
      <w:bookmarkStart w:id="81" w:name="_Toc24806"/>
      <w:bookmarkStart w:id="82" w:name="_Toc26839"/>
      <w:bookmarkStart w:id="83" w:name="_Toc31686"/>
      <w:bookmarkStart w:id="84" w:name="_Toc21082"/>
      <w:bookmarkStart w:id="85" w:name="_Toc1369"/>
      <w:bookmarkStart w:id="86" w:name="_Toc28634"/>
      <w:r>
        <w:rPr>
          <w:rFonts w:hint="eastAsia" w:ascii="Times New Roman" w:hAnsi="Times New Roman" w:eastAsia="仿宋" w:cs="Times New Roman"/>
          <w:b/>
          <w:kern w:val="2"/>
          <w:sz w:val="32"/>
          <w:szCs w:val="32"/>
          <w:lang w:val="zh-CN" w:eastAsia="zh-CN" w:bidi="ar-SA"/>
        </w:rPr>
        <w:t>七、</w:t>
      </w:r>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24494"/>
      <w:bookmarkStart w:id="89" w:name="_Toc3871"/>
    </w:p>
    <w:p w14:paraId="1483D64D">
      <w:pPr>
        <w:pStyle w:val="3"/>
        <w:numPr>
          <w:ilvl w:val="0"/>
          <w:numId w:val="0"/>
        </w:numPr>
        <w:ind w:left="0" w:leftChars="0" w:firstLine="0" w:firstLineChars="0"/>
        <w:rPr>
          <w:highlight w:val="none"/>
        </w:rPr>
      </w:pPr>
      <w:bookmarkStart w:id="90" w:name="_Toc15065"/>
      <w:r>
        <w:rPr>
          <w:rFonts w:hint="eastAsia" w:ascii="Times New Roman" w:hAnsi="Times New Roman" w:eastAsia="仿宋" w:cs="Times New Roman"/>
          <w:b/>
          <w:bCs/>
          <w:kern w:val="2"/>
          <w:sz w:val="32"/>
          <w:szCs w:val="32"/>
          <w:lang w:val="zh-CN" w:eastAsia="zh-CN" w:bidi="ar-SA"/>
        </w:rPr>
        <w:t>八、</w:t>
      </w:r>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27D10C87">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9"/>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67"/>
        <w:gridCol w:w="1635"/>
        <w:gridCol w:w="3028"/>
        <w:gridCol w:w="995"/>
        <w:gridCol w:w="1077"/>
        <w:gridCol w:w="1664"/>
        <w:gridCol w:w="782"/>
      </w:tblGrid>
      <w:tr w14:paraId="167AB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9" w:hRule="atLeast"/>
          <w:jc w:val="center"/>
        </w:trPr>
        <w:tc>
          <w:tcPr>
            <w:tcW w:w="0" w:type="auto"/>
            <w:vAlign w:val="center"/>
          </w:tcPr>
          <w:p w14:paraId="21990D00">
            <w:pPr>
              <w:spacing w:line="240" w:lineRule="auto"/>
              <w:jc w:val="center"/>
              <w:rPr>
                <w:rFonts w:hint="eastAsia" w:ascii="仿宋" w:hAnsi="仿宋" w:eastAsia="仿宋" w:cs="仿宋"/>
                <w:b/>
                <w:bCs/>
                <w:kern w:val="0"/>
                <w:sz w:val="24"/>
                <w:szCs w:val="24"/>
                <w:highlight w:val="none"/>
                <w:lang w:val="zh-TW" w:eastAsia="zh-TW"/>
              </w:rPr>
            </w:pPr>
            <w:r>
              <w:rPr>
                <w:rFonts w:hint="eastAsia" w:ascii="仿宋" w:hAnsi="仿宋" w:eastAsia="仿宋" w:cs="仿宋"/>
                <w:b/>
                <w:bCs/>
                <w:kern w:val="0"/>
                <w:sz w:val="24"/>
                <w:szCs w:val="24"/>
                <w:highlight w:val="none"/>
                <w:lang w:val="zh-TW" w:eastAsia="zh-TW"/>
              </w:rPr>
              <w:t>序号</w:t>
            </w:r>
          </w:p>
        </w:tc>
        <w:tc>
          <w:tcPr>
            <w:tcW w:w="1635" w:type="dxa"/>
            <w:vAlign w:val="center"/>
          </w:tcPr>
          <w:p w14:paraId="60ACD2BD">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rPr>
              <w:t>品名</w:t>
            </w:r>
          </w:p>
        </w:tc>
        <w:tc>
          <w:tcPr>
            <w:tcW w:w="3028" w:type="dxa"/>
            <w:vAlign w:val="center"/>
          </w:tcPr>
          <w:p w14:paraId="608B432D">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rPr>
              <w:t>详细描述</w:t>
            </w:r>
          </w:p>
        </w:tc>
        <w:tc>
          <w:tcPr>
            <w:tcW w:w="995" w:type="dxa"/>
            <w:vAlign w:val="center"/>
          </w:tcPr>
          <w:p w14:paraId="641EA112">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rPr>
              <w:t>数量</w:t>
            </w:r>
          </w:p>
        </w:tc>
        <w:tc>
          <w:tcPr>
            <w:tcW w:w="1077" w:type="dxa"/>
            <w:vAlign w:val="center"/>
          </w:tcPr>
          <w:p w14:paraId="11B7129D">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highlight w:val="none"/>
                <w:lang w:val="en-US" w:eastAsia="zh-CN"/>
              </w:rPr>
            </w:pPr>
            <w:r>
              <w:rPr>
                <w:rStyle w:val="21"/>
                <w:rFonts w:hint="eastAsia" w:ascii="仿宋" w:hAnsi="仿宋" w:eastAsia="仿宋" w:cs="仿宋"/>
                <w:b/>
                <w:bCs/>
                <w:sz w:val="24"/>
                <w:szCs w:val="24"/>
              </w:rPr>
              <w:t>单位</w:t>
            </w:r>
          </w:p>
        </w:tc>
        <w:tc>
          <w:tcPr>
            <w:tcW w:w="1664" w:type="dxa"/>
            <w:vAlign w:val="center"/>
          </w:tcPr>
          <w:p w14:paraId="0520DD33">
            <w:pPr>
              <w:pStyle w:val="14"/>
              <w:keepNext w:val="0"/>
              <w:keepLines w:val="0"/>
              <w:widowControl/>
              <w:suppressLineNumbers w:val="0"/>
              <w:autoSpaceDE w:val="0"/>
              <w:autoSpaceDN/>
              <w:spacing w:line="240" w:lineRule="auto"/>
              <w:ind w:left="0" w:leftChars="0" w:right="0" w:rightChars="0"/>
              <w:jc w:val="center"/>
              <w:rPr>
                <w:rStyle w:val="21"/>
                <w:rFonts w:hint="eastAsia" w:ascii="仿宋" w:hAnsi="仿宋" w:eastAsia="仿宋" w:cs="仿宋"/>
                <w:b/>
                <w:bCs/>
                <w:sz w:val="24"/>
                <w:szCs w:val="24"/>
                <w:lang w:val="en-US" w:eastAsia="zh-CN"/>
              </w:rPr>
            </w:pPr>
            <w:r>
              <w:rPr>
                <w:rStyle w:val="21"/>
                <w:rFonts w:hint="eastAsia" w:ascii="仿宋" w:hAnsi="仿宋" w:eastAsia="仿宋" w:cs="仿宋"/>
                <w:b/>
                <w:bCs/>
                <w:sz w:val="24"/>
                <w:szCs w:val="24"/>
                <w:lang w:val="en-US" w:eastAsia="zh-CN"/>
              </w:rPr>
              <w:t>报价（元）</w:t>
            </w:r>
          </w:p>
        </w:tc>
        <w:tc>
          <w:tcPr>
            <w:tcW w:w="782" w:type="dxa"/>
            <w:vAlign w:val="center"/>
          </w:tcPr>
          <w:p w14:paraId="0F0BC476">
            <w:pPr>
              <w:pStyle w:val="14"/>
              <w:keepNext w:val="0"/>
              <w:keepLines w:val="0"/>
              <w:widowControl/>
              <w:suppressLineNumbers w:val="0"/>
              <w:autoSpaceDE w:val="0"/>
              <w:autoSpaceDN/>
              <w:spacing w:line="240" w:lineRule="auto"/>
              <w:ind w:left="0" w:leftChars="0" w:right="0" w:rightChars="0"/>
              <w:jc w:val="center"/>
              <w:rPr>
                <w:rStyle w:val="21"/>
                <w:rFonts w:hint="eastAsia" w:ascii="仿宋" w:hAnsi="仿宋" w:eastAsia="仿宋" w:cs="仿宋"/>
                <w:b/>
                <w:bCs/>
                <w:sz w:val="24"/>
                <w:szCs w:val="24"/>
                <w:lang w:val="en-US" w:eastAsia="zh-CN"/>
              </w:rPr>
            </w:pPr>
            <w:r>
              <w:rPr>
                <w:rStyle w:val="21"/>
                <w:rFonts w:hint="eastAsia" w:ascii="仿宋" w:hAnsi="仿宋" w:eastAsia="仿宋" w:cs="仿宋"/>
                <w:b/>
                <w:bCs/>
                <w:sz w:val="24"/>
                <w:szCs w:val="24"/>
                <w:lang w:val="en-US" w:eastAsia="zh-CN"/>
              </w:rPr>
              <w:t>备注</w:t>
            </w:r>
          </w:p>
        </w:tc>
      </w:tr>
      <w:tr w14:paraId="71D4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9" w:hRule="atLeast"/>
          <w:jc w:val="center"/>
        </w:trPr>
        <w:tc>
          <w:tcPr>
            <w:tcW w:w="0" w:type="auto"/>
            <w:vAlign w:val="center"/>
          </w:tcPr>
          <w:p w14:paraId="76999690">
            <w:pPr>
              <w:pStyle w:val="7"/>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635" w:type="dxa"/>
            <w:vAlign w:val="center"/>
          </w:tcPr>
          <w:p w14:paraId="391641FB">
            <w:pPr>
              <w:pStyle w:val="14"/>
              <w:keepNext w:val="0"/>
              <w:keepLines w:val="0"/>
              <w:widowControl/>
              <w:suppressLineNumbers w:val="0"/>
              <w:wordWrap w:val="0"/>
              <w:autoSpaceDE w:val="0"/>
              <w:autoSpaceDN/>
              <w:spacing w:line="240" w:lineRule="auto"/>
              <w:ind w:left="0" w:leftChars="0" w:right="0" w:rightChars="0"/>
              <w:jc w:val="center"/>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rPr>
              <w:t>渗透测试及重保服务</w:t>
            </w:r>
          </w:p>
        </w:tc>
        <w:tc>
          <w:tcPr>
            <w:tcW w:w="3028" w:type="dxa"/>
            <w:vAlign w:val="center"/>
          </w:tcPr>
          <w:p w14:paraId="6304DF3B">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color w:val="000000"/>
                <w:sz w:val="24"/>
                <w:szCs w:val="24"/>
              </w:rPr>
              <w:t>四川省人民医院2026-2027渗透测试及重保服务</w:t>
            </w:r>
          </w:p>
        </w:tc>
        <w:tc>
          <w:tcPr>
            <w:tcW w:w="995" w:type="dxa"/>
            <w:vAlign w:val="center"/>
          </w:tcPr>
          <w:p w14:paraId="1A5FBDE6">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highlight w:val="none"/>
              </w:rPr>
            </w:pPr>
            <w:r>
              <w:rPr>
                <w:rFonts w:hint="eastAsia" w:ascii="仿宋" w:hAnsi="仿宋" w:eastAsia="仿宋" w:cs="仿宋"/>
                <w:sz w:val="24"/>
                <w:szCs w:val="24"/>
              </w:rPr>
              <w:t>1</w:t>
            </w:r>
          </w:p>
        </w:tc>
        <w:tc>
          <w:tcPr>
            <w:tcW w:w="1077" w:type="dxa"/>
            <w:vAlign w:val="center"/>
          </w:tcPr>
          <w:p w14:paraId="28E6B572">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项</w:t>
            </w:r>
          </w:p>
        </w:tc>
        <w:tc>
          <w:tcPr>
            <w:tcW w:w="1664" w:type="dxa"/>
            <w:vAlign w:val="center"/>
          </w:tcPr>
          <w:p w14:paraId="1242F610">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p>
        </w:tc>
        <w:tc>
          <w:tcPr>
            <w:tcW w:w="782" w:type="dxa"/>
            <w:vAlign w:val="center"/>
          </w:tcPr>
          <w:p w14:paraId="4E849A31">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p>
        </w:tc>
      </w:tr>
    </w:tbl>
    <w:p w14:paraId="584F83CC">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14685"/>
      <w:bookmarkStart w:id="93"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numPr>
          <w:ilvl w:val="0"/>
          <w:numId w:val="0"/>
        </w:numPr>
        <w:ind w:left="0" w:leftChars="0" w:firstLine="0" w:firstLineChars="0"/>
      </w:pPr>
      <w:r>
        <w:rPr>
          <w:rFonts w:hint="eastAsia" w:cs="Times New Roman"/>
          <w:b/>
          <w:kern w:val="2"/>
          <w:sz w:val="32"/>
          <w:szCs w:val="22"/>
          <w:lang w:val="en-US" w:eastAsia="zh-CN" w:bidi="ar-SA"/>
        </w:rPr>
        <w:t>九</w:t>
      </w:r>
      <w:r>
        <w:rPr>
          <w:rFonts w:hint="eastAsia" w:ascii="Times New Roman" w:hAnsi="Times New Roman" w:eastAsia="仿宋" w:cs="Times New Roman"/>
          <w:b/>
          <w:kern w:val="2"/>
          <w:sz w:val="32"/>
          <w:szCs w:val="22"/>
          <w:lang w:val="zh-CN" w:eastAsia="zh-CN" w:bidi="ar-SA"/>
        </w:rPr>
        <w:t>、</w:t>
      </w: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1"/>
        <w:rPr>
          <w:sz w:val="48"/>
          <w:szCs w:val="48"/>
        </w:rPr>
      </w:pPr>
      <w:r>
        <w:rPr>
          <w:rFonts w:hint="eastAsia"/>
          <w:sz w:val="48"/>
          <w:szCs w:val="48"/>
        </w:rPr>
        <w:t>*</w:t>
      </w:r>
      <w:r>
        <w:rPr>
          <w:sz w:val="48"/>
          <w:szCs w:val="48"/>
        </w:rPr>
        <w:t>**</w:t>
      </w:r>
      <w:r>
        <w:rPr>
          <w:rFonts w:hint="eastAsia"/>
          <w:sz w:val="48"/>
          <w:szCs w:val="48"/>
        </w:rPr>
        <w:t>服务项目</w:t>
      </w:r>
    </w:p>
    <w:p w14:paraId="622B975B">
      <w:pPr>
        <w:pStyle w:val="41"/>
        <w:rPr>
          <w:sz w:val="48"/>
          <w:szCs w:val="48"/>
        </w:rPr>
      </w:pPr>
      <w:r>
        <w:rPr>
          <w:rFonts w:hint="eastAsia"/>
          <w:sz w:val="48"/>
          <w:szCs w:val="48"/>
        </w:rPr>
        <w:t>采购</w:t>
      </w:r>
      <w:r>
        <w:rPr>
          <w:sz w:val="48"/>
          <w:szCs w:val="48"/>
        </w:rPr>
        <w:t>合同</w:t>
      </w:r>
    </w:p>
    <w:p w14:paraId="3987C57D">
      <w:pPr>
        <w:rPr>
          <w:sz w:val="24"/>
        </w:rPr>
        <w:sectPr>
          <w:footerReference r:id="rId7" w:type="default"/>
          <w:footerReference r:id="rId8" w:type="even"/>
          <w:pgSz w:w="11906" w:h="16838"/>
          <w:pgMar w:top="1134" w:right="1134" w:bottom="1134" w:left="1134" w:header="850" w:footer="567" w:gutter="0"/>
          <w:pgNumType w:fmt="decimal" w:start="1"/>
          <w:cols w:space="425" w:num="1"/>
          <w:docGrid w:linePitch="312" w:charSpace="0"/>
        </w:sectPr>
      </w:pPr>
    </w:p>
    <w:p w14:paraId="51A81929">
      <w:pPr>
        <w:adjustRightInd w:val="0"/>
        <w:ind w:firstLine="420" w:firstLineChars="200"/>
        <w:contextualSpacing/>
        <w:jc w:val="left"/>
        <w:rPr>
          <w:color w:val="000000"/>
          <w:szCs w:val="21"/>
        </w:rPr>
      </w:pPr>
    </w:p>
    <w:p w14:paraId="38DA1C0D">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shd w:val="clear"/>
              <w:contextualSpacing/>
              <w:rPr>
                <w:color w:val="000000"/>
                <w:szCs w:val="21"/>
                <w:highlight w:val="none"/>
              </w:rPr>
            </w:pPr>
            <w:r>
              <w:rPr>
                <w:b/>
                <w:bCs/>
                <w:color w:val="000000"/>
                <w:szCs w:val="21"/>
                <w:highlight w:val="none"/>
              </w:rPr>
              <w:t>合同编号</w:t>
            </w:r>
            <w:r>
              <w:rPr>
                <w:color w:val="000000"/>
                <w:szCs w:val="21"/>
                <w:highlight w:val="none"/>
              </w:rPr>
              <w:t>：CGZX-***</w:t>
            </w:r>
          </w:p>
          <w:p w14:paraId="2F6BC159">
            <w:pPr>
              <w:shd w:val="clea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shd w:val="clear"/>
              <w:rPr>
                <w:szCs w:val="21"/>
                <w:highlight w:val="none"/>
              </w:rPr>
            </w:pPr>
            <w:r>
              <w:rPr>
                <w:b/>
                <w:bCs/>
                <w:szCs w:val="21"/>
                <w:highlight w:val="none"/>
              </w:rPr>
              <w:t>采购人（以下简称甲方）</w:t>
            </w:r>
            <w:r>
              <w:rPr>
                <w:szCs w:val="21"/>
                <w:highlight w:val="none"/>
              </w:rPr>
              <w:t>：四川省人民医院</w:t>
            </w:r>
          </w:p>
          <w:p w14:paraId="2FDD4CAB">
            <w:pPr>
              <w:shd w:val="clear"/>
              <w:rPr>
                <w:szCs w:val="21"/>
                <w:highlight w:val="none"/>
              </w:rPr>
            </w:pPr>
            <w:r>
              <w:rPr>
                <w:b/>
                <w:bCs/>
                <w:szCs w:val="21"/>
                <w:highlight w:val="none"/>
              </w:rPr>
              <w:t>地址</w:t>
            </w:r>
            <w:r>
              <w:rPr>
                <w:szCs w:val="21"/>
                <w:highlight w:val="none"/>
              </w:rPr>
              <w:t>：四川省成都市一环路西二段32号</w:t>
            </w:r>
          </w:p>
          <w:p w14:paraId="57D306C0">
            <w:pPr>
              <w:shd w:val="clear"/>
              <w:rPr>
                <w:szCs w:val="21"/>
                <w:highlight w:val="none"/>
              </w:rPr>
            </w:pPr>
            <w:r>
              <w:rPr>
                <w:b/>
                <w:bCs/>
                <w:szCs w:val="21"/>
                <w:highlight w:val="none"/>
              </w:rPr>
              <w:t>项目联系人</w:t>
            </w:r>
            <w:r>
              <w:rPr>
                <w:szCs w:val="21"/>
                <w:highlight w:val="none"/>
              </w:rPr>
              <w:t xml:space="preserve">：*** </w:t>
            </w:r>
            <w:r>
              <w:rPr>
                <w:b/>
                <w:bCs/>
                <w:szCs w:val="21"/>
                <w:highlight w:val="none"/>
              </w:rPr>
              <w:t>电话</w:t>
            </w:r>
            <w:r>
              <w:rPr>
                <w:szCs w:val="21"/>
                <w:highlight w:val="none"/>
              </w:rPr>
              <w:t>：***</w:t>
            </w:r>
          </w:p>
          <w:p w14:paraId="55B6CA4B">
            <w:pPr>
              <w:shd w:val="clear"/>
              <w:rPr>
                <w:highlight w:val="none"/>
              </w:rPr>
            </w:pPr>
            <w:r>
              <w:rPr>
                <w:rFonts w:hint="eastAsia"/>
                <w:b/>
                <w:bCs/>
                <w:szCs w:val="21"/>
                <w:highlight w:val="none"/>
              </w:rPr>
              <w:t>电子邮件：</w:t>
            </w:r>
            <w:r>
              <w:rPr>
                <w:rFonts w:hint="eastAsia"/>
                <w:szCs w:val="21"/>
                <w:highlight w:val="none"/>
              </w:rPr>
              <w:t>*</w:t>
            </w:r>
            <w:r>
              <w:rPr>
                <w:szCs w:val="21"/>
                <w:highlight w:val="none"/>
              </w:rPr>
              <w:t>**</w:t>
            </w:r>
          </w:p>
        </w:tc>
        <w:tc>
          <w:tcPr>
            <w:tcW w:w="5242" w:type="dxa"/>
          </w:tcPr>
          <w:p w14:paraId="607B7137">
            <w:pPr>
              <w:shd w:val="clear"/>
              <w:rPr>
                <w:b/>
                <w:bCs/>
                <w:szCs w:val="21"/>
                <w:highlight w:val="none"/>
              </w:rPr>
            </w:pPr>
            <w:r>
              <w:rPr>
                <w:b/>
                <w:bCs/>
                <w:szCs w:val="21"/>
                <w:highlight w:val="none"/>
              </w:rPr>
              <w:t>供应商（以下简称乙方）：***</w:t>
            </w:r>
          </w:p>
          <w:p w14:paraId="7AB3403D">
            <w:pPr>
              <w:shd w:val="clear"/>
              <w:rPr>
                <w:b/>
                <w:bCs/>
                <w:szCs w:val="21"/>
                <w:highlight w:val="none"/>
              </w:rPr>
            </w:pPr>
            <w:r>
              <w:rPr>
                <w:b/>
                <w:bCs/>
                <w:szCs w:val="21"/>
                <w:highlight w:val="none"/>
              </w:rPr>
              <w:t>地址：***</w:t>
            </w:r>
          </w:p>
          <w:p w14:paraId="49B46EA1">
            <w:pPr>
              <w:shd w:val="clear"/>
              <w:rPr>
                <w:b/>
                <w:bCs/>
                <w:szCs w:val="21"/>
                <w:highlight w:val="none"/>
              </w:rPr>
            </w:pPr>
            <w:r>
              <w:rPr>
                <w:b/>
                <w:bCs/>
                <w:szCs w:val="21"/>
                <w:highlight w:val="none"/>
              </w:rPr>
              <w:t>移动电话：***</w:t>
            </w:r>
          </w:p>
          <w:p w14:paraId="2A04E3BE">
            <w:pPr>
              <w:shd w:val="clear"/>
              <w:contextualSpacing/>
              <w:rPr>
                <w:b/>
                <w:bCs/>
                <w:szCs w:val="21"/>
                <w:highlight w:val="none"/>
              </w:rPr>
            </w:pPr>
            <w:r>
              <w:rPr>
                <w:b/>
                <w:bCs/>
                <w:szCs w:val="21"/>
                <w:highlight w:val="none"/>
              </w:rPr>
              <w:t>联系人：***</w:t>
            </w:r>
          </w:p>
          <w:p w14:paraId="18A1ADEB">
            <w:pPr>
              <w:shd w:val="clea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F2EEB2D">
      <w:pPr>
        <w:shd w:val="clear"/>
        <w:ind w:firstLine="420" w:firstLineChars="200"/>
        <w:contextualSpacing/>
        <w:jc w:val="left"/>
        <w:rPr>
          <w:color w:val="000000"/>
          <w:szCs w:val="21"/>
          <w:highlight w:val="none"/>
        </w:rPr>
      </w:pPr>
    </w:p>
    <w:p w14:paraId="2600F949">
      <w:pPr>
        <w:shd w:val="clea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83A7E">
      <w:pPr>
        <w:shd w:val="clear"/>
        <w:contextualSpacing/>
        <w:jc w:val="left"/>
        <w:rPr>
          <w:b/>
          <w:szCs w:val="21"/>
          <w:highlight w:val="none"/>
        </w:rPr>
      </w:pPr>
    </w:p>
    <w:p w14:paraId="4F98A680">
      <w:pPr>
        <w:pStyle w:val="29"/>
        <w:numPr>
          <w:ilvl w:val="0"/>
          <w:numId w:val="12"/>
        </w:numPr>
        <w:shd w:val="clear"/>
        <w:ind w:left="0" w:firstLine="0" w:firstLineChars="0"/>
        <w:contextualSpacing/>
        <w:jc w:val="left"/>
        <w:rPr>
          <w:b/>
          <w:szCs w:val="21"/>
          <w:highlight w:val="none"/>
        </w:rPr>
      </w:pPr>
      <w:r>
        <w:rPr>
          <w:b/>
          <w:szCs w:val="21"/>
          <w:highlight w:val="none"/>
        </w:rPr>
        <w:t>合同标的</w:t>
      </w:r>
    </w:p>
    <w:p w14:paraId="2E385537">
      <w:pPr>
        <w:pStyle w:val="9"/>
        <w:numPr>
          <w:ilvl w:val="0"/>
          <w:numId w:val="13"/>
        </w:numPr>
        <w:shd w:val="clea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229FB38">
      <w:pPr>
        <w:pStyle w:val="9"/>
        <w:numPr>
          <w:ilvl w:val="0"/>
          <w:numId w:val="13"/>
        </w:numPr>
        <w:shd w:val="clea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5F975DD2">
      <w:pPr>
        <w:pStyle w:val="9"/>
        <w:numPr>
          <w:ilvl w:val="0"/>
          <w:numId w:val="13"/>
        </w:numPr>
        <w:shd w:val="clea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shd w:val="clear"/>
              <w:ind w:firstLine="0" w:firstLineChars="0"/>
              <w:jc w:val="center"/>
              <w:rPr>
                <w:color w:val="000000"/>
                <w:szCs w:val="21"/>
                <w:highlight w:val="none"/>
              </w:rPr>
            </w:pPr>
            <w:r>
              <w:rPr>
                <w:color w:val="000000"/>
                <w:szCs w:val="21"/>
                <w:highlight w:val="none"/>
              </w:rPr>
              <w:t>序号</w:t>
            </w:r>
          </w:p>
        </w:tc>
        <w:tc>
          <w:tcPr>
            <w:tcW w:w="2977" w:type="dxa"/>
            <w:vAlign w:val="center"/>
          </w:tcPr>
          <w:p w14:paraId="42032E31">
            <w:pPr>
              <w:pStyle w:val="29"/>
              <w:shd w:val="clear"/>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0F0FDBF4">
            <w:pPr>
              <w:pStyle w:val="29"/>
              <w:shd w:val="clear"/>
              <w:ind w:firstLine="0" w:firstLineChars="0"/>
              <w:jc w:val="center"/>
              <w:rPr>
                <w:color w:val="000000"/>
                <w:szCs w:val="21"/>
                <w:highlight w:val="none"/>
              </w:rPr>
            </w:pPr>
            <w:r>
              <w:rPr>
                <w:color w:val="000000"/>
                <w:szCs w:val="21"/>
                <w:highlight w:val="none"/>
              </w:rPr>
              <w:t>具体内容</w:t>
            </w:r>
          </w:p>
        </w:tc>
        <w:tc>
          <w:tcPr>
            <w:tcW w:w="963" w:type="dxa"/>
            <w:vAlign w:val="center"/>
          </w:tcPr>
          <w:p w14:paraId="6E75E46C">
            <w:pPr>
              <w:pStyle w:val="29"/>
              <w:shd w:val="clear"/>
              <w:ind w:firstLine="0" w:firstLineChars="0"/>
              <w:jc w:val="center"/>
              <w:rPr>
                <w:color w:val="000000"/>
                <w:szCs w:val="21"/>
                <w:highlight w:val="none"/>
              </w:rPr>
            </w:pPr>
            <w:r>
              <w:rPr>
                <w:color w:val="000000"/>
                <w:szCs w:val="21"/>
                <w:highlight w:val="none"/>
              </w:rPr>
              <w:t>分项价格（万元）</w:t>
            </w:r>
          </w:p>
        </w:tc>
        <w:tc>
          <w:tcPr>
            <w:tcW w:w="2016" w:type="dxa"/>
          </w:tcPr>
          <w:p w14:paraId="3BC8F9B2">
            <w:pPr>
              <w:pStyle w:val="29"/>
              <w:shd w:val="clear"/>
              <w:ind w:firstLine="0" w:firstLineChars="0"/>
              <w:jc w:val="center"/>
              <w:rPr>
                <w:color w:val="000000"/>
                <w:szCs w:val="21"/>
                <w:highlight w:val="none"/>
              </w:rPr>
            </w:pPr>
            <w:r>
              <w:rPr>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shd w:val="clear"/>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29F7C51">
            <w:pPr>
              <w:pStyle w:val="29"/>
              <w:shd w:val="clear"/>
              <w:ind w:firstLine="0" w:firstLineChars="0"/>
              <w:rPr>
                <w:color w:val="000000"/>
                <w:szCs w:val="21"/>
                <w:highlight w:val="none"/>
              </w:rPr>
            </w:pPr>
          </w:p>
        </w:tc>
        <w:tc>
          <w:tcPr>
            <w:tcW w:w="3686" w:type="dxa"/>
            <w:vAlign w:val="center"/>
          </w:tcPr>
          <w:p w14:paraId="1B711F72">
            <w:pPr>
              <w:pStyle w:val="29"/>
              <w:shd w:val="clear"/>
              <w:ind w:firstLine="0" w:firstLineChars="0"/>
              <w:rPr>
                <w:color w:val="000000"/>
                <w:szCs w:val="21"/>
                <w:highlight w:val="none"/>
              </w:rPr>
            </w:pPr>
          </w:p>
        </w:tc>
        <w:tc>
          <w:tcPr>
            <w:tcW w:w="963" w:type="dxa"/>
            <w:vAlign w:val="center"/>
          </w:tcPr>
          <w:p w14:paraId="5DD02118">
            <w:pPr>
              <w:pStyle w:val="29"/>
              <w:shd w:val="clear"/>
              <w:ind w:firstLine="0" w:firstLineChars="0"/>
              <w:jc w:val="center"/>
              <w:rPr>
                <w:color w:val="000000"/>
                <w:szCs w:val="21"/>
                <w:highlight w:val="none"/>
              </w:rPr>
            </w:pPr>
          </w:p>
        </w:tc>
        <w:tc>
          <w:tcPr>
            <w:tcW w:w="2016" w:type="dxa"/>
          </w:tcPr>
          <w:p w14:paraId="149276E7">
            <w:pPr>
              <w:pStyle w:val="29"/>
              <w:shd w:val="clear"/>
              <w:ind w:firstLine="0" w:firstLineChars="0"/>
              <w:rPr>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shd w:val="clear"/>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0E44D544">
            <w:pPr>
              <w:pStyle w:val="29"/>
              <w:shd w:val="clear"/>
              <w:ind w:firstLine="0" w:firstLineChars="0"/>
              <w:rPr>
                <w:color w:val="000000"/>
                <w:szCs w:val="21"/>
                <w:highlight w:val="none"/>
              </w:rPr>
            </w:pPr>
          </w:p>
        </w:tc>
        <w:tc>
          <w:tcPr>
            <w:tcW w:w="3686" w:type="dxa"/>
            <w:vAlign w:val="center"/>
          </w:tcPr>
          <w:p w14:paraId="01B65D9C">
            <w:pPr>
              <w:pStyle w:val="29"/>
              <w:shd w:val="clear"/>
              <w:ind w:firstLine="0" w:firstLineChars="0"/>
              <w:rPr>
                <w:color w:val="000000"/>
                <w:szCs w:val="21"/>
                <w:highlight w:val="none"/>
              </w:rPr>
            </w:pPr>
          </w:p>
        </w:tc>
        <w:tc>
          <w:tcPr>
            <w:tcW w:w="963" w:type="dxa"/>
            <w:vAlign w:val="center"/>
          </w:tcPr>
          <w:p w14:paraId="4C31DD39">
            <w:pPr>
              <w:pStyle w:val="29"/>
              <w:shd w:val="clear"/>
              <w:ind w:firstLine="0" w:firstLineChars="0"/>
              <w:jc w:val="center"/>
              <w:rPr>
                <w:color w:val="000000"/>
                <w:szCs w:val="21"/>
                <w:highlight w:val="none"/>
              </w:rPr>
            </w:pPr>
          </w:p>
        </w:tc>
        <w:tc>
          <w:tcPr>
            <w:tcW w:w="2016" w:type="dxa"/>
          </w:tcPr>
          <w:p w14:paraId="3000AC5A">
            <w:pPr>
              <w:pStyle w:val="29"/>
              <w:shd w:val="clear"/>
              <w:ind w:firstLine="0" w:firstLineChars="0"/>
              <w:rPr>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shd w:val="clear"/>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71D5F885">
            <w:pPr>
              <w:pStyle w:val="29"/>
              <w:shd w:val="clear"/>
              <w:ind w:firstLine="0" w:firstLineChars="0"/>
              <w:rPr>
                <w:color w:val="000000"/>
                <w:szCs w:val="21"/>
                <w:highlight w:val="none"/>
              </w:rPr>
            </w:pPr>
          </w:p>
        </w:tc>
        <w:tc>
          <w:tcPr>
            <w:tcW w:w="3686" w:type="dxa"/>
            <w:vAlign w:val="center"/>
          </w:tcPr>
          <w:p w14:paraId="38AC0A57">
            <w:pPr>
              <w:pStyle w:val="29"/>
              <w:shd w:val="clear"/>
              <w:ind w:firstLine="0" w:firstLineChars="0"/>
              <w:rPr>
                <w:color w:val="000000"/>
                <w:szCs w:val="21"/>
                <w:highlight w:val="none"/>
              </w:rPr>
            </w:pPr>
          </w:p>
        </w:tc>
        <w:tc>
          <w:tcPr>
            <w:tcW w:w="963" w:type="dxa"/>
            <w:vAlign w:val="center"/>
          </w:tcPr>
          <w:p w14:paraId="3B158765">
            <w:pPr>
              <w:pStyle w:val="29"/>
              <w:shd w:val="clear"/>
              <w:ind w:firstLine="0" w:firstLineChars="0"/>
              <w:jc w:val="center"/>
              <w:rPr>
                <w:color w:val="000000"/>
                <w:szCs w:val="21"/>
                <w:highlight w:val="none"/>
              </w:rPr>
            </w:pPr>
          </w:p>
        </w:tc>
        <w:tc>
          <w:tcPr>
            <w:tcW w:w="2016" w:type="dxa"/>
          </w:tcPr>
          <w:p w14:paraId="43F7F4B9">
            <w:pPr>
              <w:pStyle w:val="29"/>
              <w:shd w:val="clear"/>
              <w:ind w:firstLine="0" w:firstLineChars="0"/>
              <w:rPr>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shd w:val="clear"/>
              <w:ind w:firstLine="0" w:firstLineChars="0"/>
              <w:jc w:val="center"/>
              <w:rPr>
                <w:color w:val="000000"/>
                <w:szCs w:val="21"/>
                <w:highlight w:val="none"/>
              </w:rPr>
            </w:pPr>
            <w:r>
              <w:rPr>
                <w:color w:val="000000"/>
                <w:szCs w:val="21"/>
                <w:highlight w:val="none"/>
              </w:rPr>
              <w:t>…</w:t>
            </w:r>
          </w:p>
        </w:tc>
        <w:tc>
          <w:tcPr>
            <w:tcW w:w="2977" w:type="dxa"/>
            <w:vAlign w:val="center"/>
          </w:tcPr>
          <w:p w14:paraId="492CFE5D">
            <w:pPr>
              <w:pStyle w:val="29"/>
              <w:shd w:val="clear"/>
              <w:ind w:firstLine="0" w:firstLineChars="0"/>
              <w:rPr>
                <w:color w:val="000000"/>
                <w:szCs w:val="21"/>
                <w:highlight w:val="none"/>
              </w:rPr>
            </w:pPr>
          </w:p>
        </w:tc>
        <w:tc>
          <w:tcPr>
            <w:tcW w:w="3686" w:type="dxa"/>
            <w:vAlign w:val="center"/>
          </w:tcPr>
          <w:p w14:paraId="5E27032F">
            <w:pPr>
              <w:pStyle w:val="29"/>
              <w:shd w:val="clear"/>
              <w:ind w:firstLine="0" w:firstLineChars="0"/>
              <w:rPr>
                <w:color w:val="000000"/>
                <w:szCs w:val="21"/>
                <w:highlight w:val="none"/>
              </w:rPr>
            </w:pPr>
          </w:p>
        </w:tc>
        <w:tc>
          <w:tcPr>
            <w:tcW w:w="963" w:type="dxa"/>
            <w:vAlign w:val="center"/>
          </w:tcPr>
          <w:p w14:paraId="19B21445">
            <w:pPr>
              <w:pStyle w:val="29"/>
              <w:shd w:val="clear"/>
              <w:ind w:firstLine="0" w:firstLineChars="0"/>
              <w:jc w:val="center"/>
              <w:rPr>
                <w:color w:val="000000"/>
                <w:szCs w:val="21"/>
                <w:highlight w:val="none"/>
              </w:rPr>
            </w:pPr>
          </w:p>
        </w:tc>
        <w:tc>
          <w:tcPr>
            <w:tcW w:w="2016" w:type="dxa"/>
          </w:tcPr>
          <w:p w14:paraId="5FC047A6">
            <w:pPr>
              <w:pStyle w:val="29"/>
              <w:shd w:val="clear"/>
              <w:ind w:firstLine="0" w:firstLineChars="0"/>
              <w:rPr>
                <w:color w:val="000000"/>
                <w:szCs w:val="21"/>
                <w:highlight w:val="none"/>
              </w:rPr>
            </w:pPr>
          </w:p>
        </w:tc>
      </w:tr>
    </w:tbl>
    <w:p w14:paraId="2D35C912">
      <w:pPr>
        <w:pStyle w:val="29"/>
        <w:numPr>
          <w:ilvl w:val="0"/>
          <w:numId w:val="12"/>
        </w:numPr>
        <w:shd w:val="clear"/>
        <w:ind w:firstLineChars="0"/>
        <w:jc w:val="left"/>
        <w:rPr>
          <w:b/>
          <w:szCs w:val="21"/>
          <w:highlight w:val="none"/>
        </w:rPr>
      </w:pPr>
      <w:r>
        <w:rPr>
          <w:b/>
          <w:szCs w:val="21"/>
          <w:highlight w:val="none"/>
        </w:rPr>
        <w:t>合同</w:t>
      </w:r>
      <w:r>
        <w:rPr>
          <w:rFonts w:hint="eastAsia"/>
          <w:b/>
          <w:szCs w:val="21"/>
          <w:highlight w:val="none"/>
        </w:rPr>
        <w:t>价款</w:t>
      </w:r>
    </w:p>
    <w:p w14:paraId="036F89BD">
      <w:pPr>
        <w:shd w:val="clear"/>
        <w:ind w:firstLine="480"/>
        <w:contextualSpacing/>
        <w:jc w:val="left"/>
        <w:rPr>
          <w:szCs w:val="21"/>
          <w:highlight w:val="none"/>
        </w:rPr>
      </w:pPr>
      <w:bookmarkStart w:id="97" w:name="OLE_LINK1"/>
      <w:bookmarkStart w:id="98" w:name="OLE_LINK2"/>
      <w:r>
        <w:rPr>
          <w:color w:val="000000"/>
          <w:szCs w:val="21"/>
          <w:highlight w:val="none"/>
        </w:rPr>
        <w:sym w:font="Wingdings 2" w:char="F052"/>
      </w:r>
      <w:r>
        <w:rPr>
          <w:rFonts w:hint="eastAsia"/>
          <w:szCs w:val="21"/>
          <w:highlight w:val="none"/>
        </w:rPr>
        <w:t>全包服务</w:t>
      </w:r>
    </w:p>
    <w:p w14:paraId="6903D519">
      <w:pPr>
        <w:shd w:val="clea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3131E2F">
      <w:pPr>
        <w:shd w:val="clea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1F79E5D1">
      <w:pPr>
        <w:shd w:val="clea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9" w:name="OLE_LINK28"/>
      <w:r>
        <w:rPr>
          <w:szCs w:val="21"/>
          <w:highlight w:val="none"/>
        </w:rPr>
        <w:t>人民币大写：*** 圆整，即RMB *** 元</w:t>
      </w:r>
      <w:bookmarkEnd w:id="99"/>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22723641">
      <w:pPr>
        <w:shd w:val="clea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2981F5A">
      <w:pPr>
        <w:shd w:val="clea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70F77AF6">
      <w:pPr>
        <w:shd w:val="clea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7"/>
    <w:bookmarkEnd w:id="98"/>
    <w:p w14:paraId="61352334">
      <w:pPr>
        <w:pStyle w:val="29"/>
        <w:numPr>
          <w:ilvl w:val="0"/>
          <w:numId w:val="12"/>
        </w:numPr>
        <w:shd w:val="clea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4E947B0D">
      <w:pPr>
        <w:pStyle w:val="29"/>
        <w:shd w:val="clear"/>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3141708C">
      <w:pPr>
        <w:pStyle w:val="29"/>
        <w:shd w:val="clear"/>
        <w:jc w:val="left"/>
        <w:rPr>
          <w:bCs/>
          <w:szCs w:val="21"/>
          <w:highlight w:val="none"/>
        </w:rPr>
      </w:pPr>
    </w:p>
    <w:p w14:paraId="368787FF">
      <w:pPr>
        <w:pStyle w:val="29"/>
        <w:shd w:val="clear"/>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08791303">
      <w:pPr>
        <w:pStyle w:val="29"/>
        <w:shd w:val="clear"/>
        <w:jc w:val="left"/>
        <w:rPr>
          <w:bCs/>
          <w:szCs w:val="21"/>
          <w:highlight w:val="none"/>
        </w:rPr>
      </w:pPr>
    </w:p>
    <w:p w14:paraId="27DB179C">
      <w:pPr>
        <w:pStyle w:val="29"/>
        <w:shd w:val="clear"/>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100"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100"/>
      <w:r>
        <w:rPr>
          <w:bCs/>
          <w:szCs w:val="21"/>
          <w:highlight w:val="none"/>
        </w:rPr>
        <w:t>。</w:t>
      </w:r>
    </w:p>
    <w:p w14:paraId="1B257405">
      <w:pPr>
        <w:pStyle w:val="29"/>
        <w:numPr>
          <w:ilvl w:val="0"/>
          <w:numId w:val="12"/>
        </w:numPr>
        <w:shd w:val="clea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06E0AE13">
      <w:pPr>
        <w:shd w:val="clea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482C29A">
      <w:pPr>
        <w:pStyle w:val="29"/>
        <w:numPr>
          <w:ilvl w:val="0"/>
          <w:numId w:val="12"/>
        </w:numPr>
        <w:shd w:val="clear"/>
        <w:ind w:left="0" w:firstLine="0" w:firstLineChars="0"/>
        <w:contextualSpacing/>
        <w:jc w:val="left"/>
        <w:rPr>
          <w:b/>
          <w:szCs w:val="21"/>
          <w:highlight w:val="none"/>
        </w:rPr>
      </w:pPr>
      <w:r>
        <w:rPr>
          <w:b/>
          <w:szCs w:val="21"/>
          <w:highlight w:val="none"/>
        </w:rPr>
        <w:t>验收</w:t>
      </w:r>
    </w:p>
    <w:p w14:paraId="57707485">
      <w:pPr>
        <w:pStyle w:val="29"/>
        <w:numPr>
          <w:ilvl w:val="0"/>
          <w:numId w:val="14"/>
        </w:numPr>
        <w:shd w:val="clea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103305C9">
      <w:pPr>
        <w:pStyle w:val="29"/>
        <w:numPr>
          <w:ilvl w:val="0"/>
          <w:numId w:val="14"/>
        </w:numPr>
        <w:shd w:val="clear"/>
        <w:ind w:left="0" w:firstLine="0" w:firstLineChars="0"/>
        <w:contextualSpacing/>
        <w:rPr>
          <w:szCs w:val="21"/>
          <w:highlight w:val="none"/>
        </w:rPr>
      </w:pPr>
      <w:r>
        <w:rPr>
          <w:szCs w:val="21"/>
          <w:highlight w:val="none"/>
        </w:rPr>
        <w:t>验收方案：</w:t>
      </w:r>
    </w:p>
    <w:p w14:paraId="10719FFA">
      <w:pPr>
        <w:pStyle w:val="29"/>
        <w:numPr>
          <w:ilvl w:val="0"/>
          <w:numId w:val="15"/>
        </w:numPr>
        <w:shd w:val="clear"/>
        <w:ind w:firstLineChars="0"/>
        <w:contextualSpacing/>
        <w:rPr>
          <w:color w:val="000000"/>
          <w:szCs w:val="21"/>
          <w:highlight w:val="none"/>
        </w:rPr>
      </w:pPr>
      <w:r>
        <w:rPr>
          <w:rFonts w:hint="eastAsia"/>
          <w:color w:val="000000"/>
          <w:szCs w:val="21"/>
          <w:highlight w:val="none"/>
        </w:rPr>
        <w:t>验收主体：甲方</w:t>
      </w:r>
    </w:p>
    <w:p w14:paraId="7212F6E2">
      <w:pPr>
        <w:pStyle w:val="29"/>
        <w:numPr>
          <w:ilvl w:val="0"/>
          <w:numId w:val="15"/>
        </w:numPr>
        <w:shd w:val="clear"/>
        <w:ind w:firstLineChars="0"/>
        <w:contextualSpacing/>
        <w:rPr>
          <w:color w:val="000000"/>
          <w:szCs w:val="21"/>
          <w:highlight w:val="none"/>
        </w:rPr>
      </w:pPr>
      <w:r>
        <w:rPr>
          <w:rFonts w:hint="eastAsia"/>
          <w:color w:val="000000"/>
          <w:szCs w:val="21"/>
          <w:highlight w:val="none"/>
        </w:rPr>
        <w:t>验收组织方式：自行验收</w:t>
      </w:r>
    </w:p>
    <w:p w14:paraId="5C963DBA">
      <w:pPr>
        <w:pStyle w:val="29"/>
        <w:numPr>
          <w:ilvl w:val="0"/>
          <w:numId w:val="15"/>
        </w:numPr>
        <w:shd w:val="clea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0ACAEB8E">
      <w:pPr>
        <w:pStyle w:val="29"/>
        <w:numPr>
          <w:ilvl w:val="0"/>
          <w:numId w:val="15"/>
        </w:numPr>
        <w:shd w:val="clea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25BB580A">
      <w:pPr>
        <w:pStyle w:val="29"/>
        <w:numPr>
          <w:ilvl w:val="0"/>
          <w:numId w:val="15"/>
        </w:numPr>
        <w:shd w:val="clea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1F2D4CFA">
      <w:pPr>
        <w:pStyle w:val="29"/>
        <w:numPr>
          <w:ilvl w:val="0"/>
          <w:numId w:val="15"/>
        </w:numPr>
        <w:shd w:val="clea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7EEE864">
      <w:pPr>
        <w:pStyle w:val="16"/>
        <w:shd w:val="clear"/>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3560871">
      <w:pPr>
        <w:pStyle w:val="16"/>
        <w:shd w:val="clear"/>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668E8ECC">
      <w:pPr>
        <w:pStyle w:val="16"/>
        <w:shd w:val="clear"/>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06090759">
      <w:pPr>
        <w:pStyle w:val="16"/>
        <w:shd w:val="clear"/>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A943DA8">
      <w:pPr>
        <w:pStyle w:val="29"/>
        <w:numPr>
          <w:ilvl w:val="0"/>
          <w:numId w:val="15"/>
        </w:numPr>
        <w:shd w:val="clea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40E083B">
      <w:pPr>
        <w:pStyle w:val="29"/>
        <w:numPr>
          <w:ilvl w:val="0"/>
          <w:numId w:val="15"/>
        </w:numPr>
        <w:shd w:val="clea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95EB419">
      <w:pPr>
        <w:pStyle w:val="29"/>
        <w:numPr>
          <w:ilvl w:val="0"/>
          <w:numId w:val="15"/>
        </w:numPr>
        <w:shd w:val="clea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12FF5E1">
      <w:pPr>
        <w:pStyle w:val="29"/>
        <w:numPr>
          <w:ilvl w:val="0"/>
          <w:numId w:val="15"/>
        </w:numPr>
        <w:shd w:val="clea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7F88790">
      <w:pPr>
        <w:pStyle w:val="29"/>
        <w:numPr>
          <w:ilvl w:val="0"/>
          <w:numId w:val="15"/>
        </w:numPr>
        <w:shd w:val="clear"/>
        <w:ind w:firstLineChars="0"/>
        <w:contextualSpacing/>
        <w:rPr>
          <w:szCs w:val="21"/>
          <w:highlight w:val="none"/>
        </w:rPr>
      </w:pPr>
      <w:r>
        <w:rPr>
          <w:szCs w:val="21"/>
          <w:highlight w:val="none"/>
        </w:rPr>
        <w:t>验收标准：</w:t>
      </w:r>
    </w:p>
    <w:p w14:paraId="24757C73">
      <w:pPr>
        <w:pStyle w:val="16"/>
        <w:numPr>
          <w:ilvl w:val="0"/>
          <w:numId w:val="16"/>
        </w:numPr>
        <w:shd w:val="clear"/>
        <w:spacing w:after="0"/>
        <w:ind w:firstLineChars="0"/>
        <w:contextualSpacing/>
        <w:rPr>
          <w:rFonts w:ascii="Times New Roman" w:hAnsi="Times New Roman"/>
          <w:szCs w:val="21"/>
          <w:highlight w:val="none"/>
        </w:rPr>
      </w:pPr>
      <w:bookmarkStart w:id="101" w:name="OLE_LINK4"/>
      <w:r>
        <w:rPr>
          <w:rFonts w:ascii="Times New Roman" w:hAnsi="Times New Roman"/>
          <w:szCs w:val="21"/>
          <w:highlight w:val="none"/>
          <w:shd w:val="clear" w:color="auto" w:fill="FFFFFF"/>
        </w:rPr>
        <w:t>国家相关法律法规、行业标准、技术规范。</w:t>
      </w:r>
    </w:p>
    <w:p w14:paraId="4A341926">
      <w:pPr>
        <w:pStyle w:val="16"/>
        <w:numPr>
          <w:ilvl w:val="0"/>
          <w:numId w:val="16"/>
        </w:numPr>
        <w:shd w:val="clea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BB5AAAF">
      <w:pPr>
        <w:pStyle w:val="16"/>
        <w:numPr>
          <w:ilvl w:val="0"/>
          <w:numId w:val="16"/>
        </w:numPr>
        <w:shd w:val="clea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101"/>
    <w:p w14:paraId="2BFFECC6">
      <w:pPr>
        <w:pStyle w:val="16"/>
        <w:numPr>
          <w:ilvl w:val="0"/>
          <w:numId w:val="16"/>
        </w:numPr>
        <w:shd w:val="clea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2B41FF">
      <w:pPr>
        <w:pStyle w:val="16"/>
        <w:numPr>
          <w:ilvl w:val="0"/>
          <w:numId w:val="16"/>
        </w:numPr>
        <w:shd w:val="clea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5A8F93D9">
      <w:pPr>
        <w:pStyle w:val="16"/>
        <w:numPr>
          <w:ilvl w:val="0"/>
          <w:numId w:val="16"/>
        </w:numPr>
        <w:shd w:val="clea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FCD4D1B">
      <w:pPr>
        <w:pStyle w:val="29"/>
        <w:numPr>
          <w:ilvl w:val="0"/>
          <w:numId w:val="15"/>
        </w:numPr>
        <w:shd w:val="clea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6213DBF3">
      <w:pPr>
        <w:pStyle w:val="29"/>
        <w:numPr>
          <w:ilvl w:val="0"/>
          <w:numId w:val="14"/>
        </w:numPr>
        <w:shd w:val="clea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EE9DCA2">
      <w:pPr>
        <w:pStyle w:val="29"/>
        <w:numPr>
          <w:ilvl w:val="0"/>
          <w:numId w:val="12"/>
        </w:numPr>
        <w:shd w:val="clear"/>
        <w:ind w:left="0" w:firstLine="0" w:firstLineChars="0"/>
        <w:contextualSpacing/>
        <w:jc w:val="left"/>
        <w:rPr>
          <w:b/>
          <w:szCs w:val="21"/>
          <w:highlight w:val="none"/>
        </w:rPr>
      </w:pPr>
      <w:r>
        <w:rPr>
          <w:b/>
          <w:szCs w:val="21"/>
          <w:highlight w:val="none"/>
        </w:rPr>
        <w:t>付款方式</w:t>
      </w:r>
    </w:p>
    <w:p w14:paraId="5CC20725">
      <w:pPr>
        <w:pStyle w:val="9"/>
        <w:numPr>
          <w:ilvl w:val="0"/>
          <w:numId w:val="17"/>
        </w:numPr>
        <w:shd w:val="clear"/>
        <w:spacing w:after="0" w:line="240" w:lineRule="auto"/>
        <w:ind w:left="227" w:leftChars="0" w:hanging="227"/>
        <w:contextualSpacing/>
        <w:jc w:val="left"/>
        <w:rPr>
          <w:szCs w:val="21"/>
          <w:highlight w:val="none"/>
        </w:rPr>
      </w:pPr>
      <w:r>
        <w:rPr>
          <w:szCs w:val="21"/>
          <w:highlight w:val="none"/>
        </w:rPr>
        <w:t>履约保证金：</w:t>
      </w:r>
    </w:p>
    <w:p w14:paraId="1A98FD8C">
      <w:pPr>
        <w:pStyle w:val="16"/>
        <w:shd w:val="clear"/>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w:t>
      </w:r>
      <w:r>
        <w:rPr>
          <w:rFonts w:ascii="Times New Roman" w:hAnsi="Times New Roman"/>
          <w:color w:val="000000"/>
          <w:szCs w:val="21"/>
          <w:highlight w:val="none"/>
          <w:u w:val="single"/>
        </w:rPr>
        <w:t>***</w:t>
      </w:r>
      <w:r>
        <w:rPr>
          <w:rFonts w:ascii="Times New Roman" w:hAnsi="Times New Roman"/>
          <w:color w:val="000000"/>
          <w:szCs w:val="21"/>
          <w:highlight w:val="none"/>
        </w:rPr>
        <w:t>个工作日内，按合同总价</w:t>
      </w:r>
      <w:r>
        <w:rPr>
          <w:rFonts w:ascii="Times New Roman" w:hAnsi="Times New Roman"/>
          <w:color w:val="000000"/>
          <w:szCs w:val="21"/>
          <w:highlight w:val="none"/>
          <w:u w:val="single"/>
        </w:rPr>
        <w:t>***</w:t>
      </w:r>
      <w:r>
        <w:rPr>
          <w:rFonts w:ascii="Times New Roman" w:hAnsi="Times New Roman"/>
          <w:color w:val="000000"/>
          <w:szCs w:val="21"/>
          <w:highlight w:val="none"/>
        </w:rPr>
        <w:t>%支付履约保证金；本合同</w:t>
      </w:r>
      <w:r>
        <w:rPr>
          <w:rFonts w:hint="eastAsia" w:ascii="Times New Roman" w:hAnsi="Times New Roman"/>
          <w:color w:val="000000"/>
          <w:szCs w:val="21"/>
          <w:highlight w:val="none"/>
        </w:rPr>
        <w:t>服务期满且验收合格</w:t>
      </w:r>
      <w:r>
        <w:rPr>
          <w:rFonts w:ascii="Times New Roman" w:hAnsi="Times New Roman"/>
          <w:color w:val="000000"/>
          <w:szCs w:val="21"/>
          <w:highlight w:val="none"/>
        </w:rPr>
        <w:t>后，甲方接到乙方付款申请后</w:t>
      </w:r>
      <w:r>
        <w:rPr>
          <w:rFonts w:ascii="Times New Roman" w:hAnsi="Times New Roman"/>
          <w:color w:val="000000"/>
          <w:szCs w:val="21"/>
          <w:highlight w:val="none"/>
          <w:u w:val="single"/>
        </w:rPr>
        <w:t>30</w:t>
      </w:r>
      <w:r>
        <w:rPr>
          <w:rFonts w:ascii="Times New Roman" w:hAnsi="Times New Roman"/>
          <w:color w:val="000000"/>
          <w:szCs w:val="21"/>
          <w:highlight w:val="none"/>
        </w:rPr>
        <w:t>个工作日内，甲方一次性无息退还乙方的履约保证金；经验收后乙方履约不合格的，履约保证金不予退还。</w:t>
      </w:r>
    </w:p>
    <w:p w14:paraId="7A4394EF">
      <w:pPr>
        <w:pStyle w:val="16"/>
        <w:shd w:val="clear"/>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DB5940E">
      <w:pPr>
        <w:pStyle w:val="9"/>
        <w:numPr>
          <w:ilvl w:val="0"/>
          <w:numId w:val="17"/>
        </w:numPr>
        <w:shd w:val="clea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09FDA0E6">
      <w:pPr>
        <w:pStyle w:val="16"/>
        <w:shd w:val="clear"/>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1259CA">
      <w:pPr>
        <w:pStyle w:val="16"/>
        <w:shd w:val="clear"/>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750B8A19">
      <w:pPr>
        <w:pStyle w:val="16"/>
        <w:shd w:val="clear"/>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56BDDA9D">
      <w:pPr>
        <w:pStyle w:val="16"/>
        <w:shd w:val="clear"/>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102" w:name="OLE_LINK30"/>
      <w:r>
        <w:rPr>
          <w:rFonts w:hint="eastAsia"/>
          <w:szCs w:val="21"/>
          <w:highlight w:val="none"/>
        </w:rPr>
        <w:t>固定部分价款</w:t>
      </w:r>
      <w:bookmarkEnd w:id="102"/>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4C3983EC">
      <w:pPr>
        <w:pStyle w:val="16"/>
        <w:shd w:val="clear"/>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5586C7FB">
      <w:pPr>
        <w:pStyle w:val="9"/>
        <w:numPr>
          <w:ilvl w:val="0"/>
          <w:numId w:val="17"/>
        </w:numPr>
        <w:shd w:val="clea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2EB2BA75">
      <w:pPr>
        <w:pStyle w:val="9"/>
        <w:numPr>
          <w:ilvl w:val="0"/>
          <w:numId w:val="17"/>
        </w:numPr>
        <w:shd w:val="clea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19A7DEEB">
      <w:pPr>
        <w:pStyle w:val="29"/>
        <w:numPr>
          <w:ilvl w:val="0"/>
          <w:numId w:val="12"/>
        </w:numPr>
        <w:shd w:val="clear"/>
        <w:ind w:left="0" w:firstLine="0" w:firstLineChars="0"/>
        <w:contextualSpacing/>
        <w:jc w:val="left"/>
        <w:rPr>
          <w:b/>
          <w:szCs w:val="21"/>
          <w:highlight w:val="none"/>
        </w:rPr>
      </w:pPr>
      <w:r>
        <w:rPr>
          <w:b/>
          <w:szCs w:val="21"/>
          <w:highlight w:val="none"/>
        </w:rPr>
        <w:t>双方权利与义务</w:t>
      </w:r>
    </w:p>
    <w:p w14:paraId="581F8AA0">
      <w:pPr>
        <w:pStyle w:val="9"/>
        <w:numPr>
          <w:ilvl w:val="0"/>
          <w:numId w:val="18"/>
        </w:numPr>
        <w:shd w:val="clear"/>
        <w:spacing w:after="0" w:line="240" w:lineRule="auto"/>
        <w:ind w:left="227" w:leftChars="0" w:hanging="227"/>
        <w:contextualSpacing/>
        <w:jc w:val="left"/>
        <w:rPr>
          <w:szCs w:val="21"/>
          <w:highlight w:val="none"/>
        </w:rPr>
      </w:pPr>
      <w:r>
        <w:rPr>
          <w:szCs w:val="21"/>
          <w:highlight w:val="none"/>
        </w:rPr>
        <w:t>甲方权利与义务</w:t>
      </w:r>
    </w:p>
    <w:p w14:paraId="4D16113D">
      <w:pPr>
        <w:pStyle w:val="29"/>
        <w:numPr>
          <w:ilvl w:val="0"/>
          <w:numId w:val="19"/>
        </w:numPr>
        <w:shd w:val="clear"/>
        <w:adjustRightInd w:val="0"/>
        <w:ind w:left="525" w:hanging="525" w:hangingChars="250"/>
        <w:contextualSpacing/>
        <w:jc w:val="left"/>
        <w:rPr>
          <w:szCs w:val="21"/>
          <w:highlight w:val="none"/>
        </w:rPr>
      </w:pPr>
      <w:r>
        <w:rPr>
          <w:szCs w:val="21"/>
          <w:highlight w:val="none"/>
        </w:rPr>
        <w:t>按合同约定向乙方支付费用。</w:t>
      </w:r>
    </w:p>
    <w:p w14:paraId="62A02753">
      <w:pPr>
        <w:pStyle w:val="29"/>
        <w:numPr>
          <w:ilvl w:val="0"/>
          <w:numId w:val="19"/>
        </w:numPr>
        <w:shd w:val="clea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35119703">
      <w:pPr>
        <w:pStyle w:val="29"/>
        <w:numPr>
          <w:ilvl w:val="0"/>
          <w:numId w:val="19"/>
        </w:numPr>
        <w:shd w:val="clea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7EDB0B3A">
      <w:pPr>
        <w:pStyle w:val="29"/>
        <w:numPr>
          <w:ilvl w:val="0"/>
          <w:numId w:val="19"/>
        </w:numPr>
        <w:shd w:val="clea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344AB8AA">
      <w:pPr>
        <w:pStyle w:val="9"/>
        <w:numPr>
          <w:ilvl w:val="0"/>
          <w:numId w:val="18"/>
        </w:numPr>
        <w:shd w:val="clear"/>
        <w:spacing w:after="0" w:line="240" w:lineRule="auto"/>
        <w:ind w:left="227" w:leftChars="0" w:hanging="227"/>
        <w:contextualSpacing/>
        <w:jc w:val="left"/>
        <w:rPr>
          <w:szCs w:val="21"/>
          <w:highlight w:val="none"/>
        </w:rPr>
      </w:pPr>
      <w:r>
        <w:rPr>
          <w:szCs w:val="21"/>
          <w:highlight w:val="none"/>
        </w:rPr>
        <w:t>乙方权利与义务</w:t>
      </w:r>
    </w:p>
    <w:p w14:paraId="319B30B1">
      <w:pPr>
        <w:pStyle w:val="9"/>
        <w:numPr>
          <w:ilvl w:val="0"/>
          <w:numId w:val="20"/>
        </w:numPr>
        <w:shd w:val="clea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29A7D576">
      <w:pPr>
        <w:pStyle w:val="9"/>
        <w:numPr>
          <w:ilvl w:val="0"/>
          <w:numId w:val="20"/>
        </w:numPr>
        <w:shd w:val="clea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26B4DD92">
      <w:pPr>
        <w:pStyle w:val="9"/>
        <w:numPr>
          <w:ilvl w:val="0"/>
          <w:numId w:val="20"/>
        </w:numPr>
        <w:shd w:val="clea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03A4EB61">
      <w:pPr>
        <w:pStyle w:val="9"/>
        <w:numPr>
          <w:ilvl w:val="0"/>
          <w:numId w:val="20"/>
        </w:numPr>
        <w:shd w:val="clea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68E6AAB3">
      <w:pPr>
        <w:pStyle w:val="9"/>
        <w:numPr>
          <w:ilvl w:val="0"/>
          <w:numId w:val="20"/>
        </w:numPr>
        <w:shd w:val="clea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742F7349">
      <w:pPr>
        <w:pStyle w:val="29"/>
        <w:numPr>
          <w:ilvl w:val="0"/>
          <w:numId w:val="12"/>
        </w:numPr>
        <w:shd w:val="clea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5B66A4B0">
      <w:pPr>
        <w:pStyle w:val="9"/>
        <w:numPr>
          <w:ilvl w:val="0"/>
          <w:numId w:val="21"/>
        </w:numPr>
        <w:shd w:val="clea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szCs w:val="21"/>
          <w:highlight w:val="none"/>
          <w:u w:val="single"/>
        </w:rPr>
        <w:t>10%</w:t>
      </w:r>
      <w:r>
        <w:rPr>
          <w:rFonts w:hint="eastAsia"/>
          <w:szCs w:val="21"/>
          <w:highlight w:val="none"/>
        </w:rPr>
        <w:t>作为</w:t>
      </w:r>
      <w:r>
        <w:rPr>
          <w:szCs w:val="21"/>
          <w:highlight w:val="none"/>
        </w:rPr>
        <w:t>违约金。</w:t>
      </w:r>
    </w:p>
    <w:p w14:paraId="0BC8E6CE">
      <w:pPr>
        <w:pStyle w:val="29"/>
        <w:numPr>
          <w:ilvl w:val="0"/>
          <w:numId w:val="21"/>
        </w:numPr>
        <w:shd w:val="clear"/>
        <w:ind w:left="0" w:firstLine="0" w:firstLineChars="0"/>
        <w:rPr>
          <w:szCs w:val="21"/>
          <w:highlight w:val="none"/>
        </w:rPr>
      </w:pPr>
      <w:r>
        <w:rPr>
          <w:szCs w:val="21"/>
          <w:highlight w:val="none"/>
        </w:rPr>
        <w:t>乙方违约责任：</w:t>
      </w:r>
    </w:p>
    <w:p w14:paraId="354B31C5">
      <w:pPr>
        <w:pStyle w:val="9"/>
        <w:numPr>
          <w:ilvl w:val="0"/>
          <w:numId w:val="22"/>
        </w:numPr>
        <w:shd w:val="clear"/>
        <w:spacing w:after="0" w:line="240" w:lineRule="auto"/>
        <w:ind w:left="525" w:leftChars="0" w:hanging="525" w:hangingChars="250"/>
        <w:contextualSpacing/>
        <w:jc w:val="left"/>
        <w:rPr>
          <w:szCs w:val="21"/>
          <w:highlight w:val="none"/>
        </w:rPr>
      </w:pPr>
      <w:bookmarkStart w:id="103" w:name="OLE_LINK17"/>
      <w:bookmarkStart w:id="104" w:name="OLE_LINK18"/>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2"/>
        </w:numPr>
        <w:shd w:val="clea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p>
    <w:p w14:paraId="2E725C36">
      <w:pPr>
        <w:pStyle w:val="9"/>
        <w:numPr>
          <w:ilvl w:val="0"/>
          <w:numId w:val="22"/>
        </w:numPr>
        <w:shd w:val="clea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p>
    <w:p w14:paraId="74485C68">
      <w:pPr>
        <w:pStyle w:val="9"/>
        <w:numPr>
          <w:ilvl w:val="0"/>
          <w:numId w:val="22"/>
        </w:numPr>
        <w:shd w:val="clea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hd w:val="clea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szCs w:val="21"/>
          <w:highlight w:val="none"/>
          <w:u w:val="single"/>
        </w:rPr>
        <w:t>10</w:t>
      </w:r>
      <w:r>
        <w:rPr>
          <w:szCs w:val="21"/>
          <w:highlight w:val="none"/>
        </w:rPr>
        <w:t>%</w:t>
      </w:r>
      <w:r>
        <w:rPr>
          <w:rFonts w:hint="eastAsia"/>
          <w:szCs w:val="21"/>
          <w:highlight w:val="none"/>
        </w:rPr>
        <w:t>支付</w:t>
      </w:r>
      <w:r>
        <w:rPr>
          <w:szCs w:val="21"/>
          <w:highlight w:val="none"/>
        </w:rPr>
        <w:t>违约金。</w:t>
      </w:r>
    </w:p>
    <w:p w14:paraId="0B168445">
      <w:pPr>
        <w:pStyle w:val="9"/>
        <w:numPr>
          <w:ilvl w:val="0"/>
          <w:numId w:val="22"/>
        </w:numPr>
        <w:shd w:val="clea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szCs w:val="21"/>
          <w:highlight w:val="none"/>
          <w:u w:val="single"/>
        </w:rPr>
        <w:t>10</w:t>
      </w:r>
      <w:r>
        <w:rPr>
          <w:szCs w:val="21"/>
          <w:highlight w:val="none"/>
        </w:rPr>
        <w:t>%</w:t>
      </w:r>
      <w:r>
        <w:rPr>
          <w:rFonts w:hint="eastAsia"/>
          <w:szCs w:val="21"/>
          <w:highlight w:val="none"/>
        </w:rPr>
        <w:t>作为</w:t>
      </w:r>
      <w:r>
        <w:rPr>
          <w:szCs w:val="21"/>
          <w:highlight w:val="none"/>
        </w:rPr>
        <w:t>违约金。</w:t>
      </w:r>
    </w:p>
    <w:bookmarkEnd w:id="103"/>
    <w:bookmarkEnd w:id="104"/>
    <w:p w14:paraId="79DD140B">
      <w:pPr>
        <w:pStyle w:val="9"/>
        <w:numPr>
          <w:ilvl w:val="0"/>
          <w:numId w:val="22"/>
        </w:numPr>
        <w:shd w:val="clea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3156E70D">
      <w:pPr>
        <w:pStyle w:val="9"/>
        <w:numPr>
          <w:ilvl w:val="0"/>
          <w:numId w:val="22"/>
        </w:numPr>
        <w:shd w:val="clea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hd w:val="clea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hd w:val="clear"/>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54D0209">
      <w:pPr>
        <w:pStyle w:val="29"/>
        <w:numPr>
          <w:ilvl w:val="0"/>
          <w:numId w:val="12"/>
        </w:numPr>
        <w:shd w:val="clear"/>
        <w:ind w:left="0" w:firstLine="0" w:firstLineChars="0"/>
        <w:contextualSpacing/>
        <w:jc w:val="left"/>
        <w:rPr>
          <w:b/>
          <w:szCs w:val="21"/>
          <w:highlight w:val="none"/>
        </w:rPr>
      </w:pPr>
      <w:r>
        <w:rPr>
          <w:b/>
          <w:szCs w:val="21"/>
          <w:highlight w:val="none"/>
        </w:rPr>
        <w:t>不可抗力</w:t>
      </w:r>
    </w:p>
    <w:p w14:paraId="26541785">
      <w:pPr>
        <w:pStyle w:val="29"/>
        <w:shd w:val="clear"/>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031713B9">
      <w:pPr>
        <w:pStyle w:val="29"/>
        <w:numPr>
          <w:ilvl w:val="0"/>
          <w:numId w:val="12"/>
        </w:numPr>
        <w:shd w:val="clear"/>
        <w:ind w:left="0" w:firstLine="0" w:firstLineChars="0"/>
        <w:contextualSpacing/>
        <w:jc w:val="left"/>
        <w:rPr>
          <w:b/>
          <w:szCs w:val="21"/>
          <w:highlight w:val="none"/>
        </w:rPr>
      </w:pPr>
      <w:r>
        <w:rPr>
          <w:b/>
          <w:szCs w:val="21"/>
          <w:highlight w:val="none"/>
        </w:rPr>
        <w:t>合同终止及解除</w:t>
      </w:r>
    </w:p>
    <w:p w14:paraId="275C61D9">
      <w:pPr>
        <w:pStyle w:val="29"/>
        <w:numPr>
          <w:ilvl w:val="0"/>
          <w:numId w:val="23"/>
        </w:numPr>
        <w:shd w:val="clea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3"/>
        </w:numPr>
        <w:shd w:val="clear"/>
        <w:ind w:left="0" w:firstLine="0" w:firstLineChars="0"/>
        <w:rPr>
          <w:szCs w:val="21"/>
          <w:highlight w:val="none"/>
        </w:rPr>
      </w:pPr>
      <w:r>
        <w:rPr>
          <w:szCs w:val="21"/>
          <w:highlight w:val="none"/>
        </w:rPr>
        <w:t>在甲、乙任何一方有严重违约行为时，另一方有权单方解除合同。</w:t>
      </w:r>
    </w:p>
    <w:p w14:paraId="2BA7B89E">
      <w:pPr>
        <w:pStyle w:val="29"/>
        <w:numPr>
          <w:ilvl w:val="0"/>
          <w:numId w:val="12"/>
        </w:numPr>
        <w:shd w:val="clear"/>
        <w:ind w:left="0" w:firstLine="0" w:firstLineChars="0"/>
        <w:contextualSpacing/>
        <w:jc w:val="left"/>
        <w:rPr>
          <w:b/>
          <w:szCs w:val="21"/>
          <w:highlight w:val="none"/>
        </w:rPr>
      </w:pPr>
      <w:r>
        <w:rPr>
          <w:b/>
          <w:szCs w:val="21"/>
          <w:highlight w:val="none"/>
        </w:rPr>
        <w:t>争议解决办法</w:t>
      </w:r>
    </w:p>
    <w:p w14:paraId="5C6244A3">
      <w:pPr>
        <w:pStyle w:val="29"/>
        <w:numPr>
          <w:ilvl w:val="0"/>
          <w:numId w:val="24"/>
        </w:numPr>
        <w:shd w:val="clea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4"/>
        </w:numPr>
        <w:shd w:val="clea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533F8595">
      <w:pPr>
        <w:pStyle w:val="29"/>
        <w:numPr>
          <w:ilvl w:val="0"/>
          <w:numId w:val="12"/>
        </w:numPr>
        <w:shd w:val="clea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46F487CF">
      <w:pPr>
        <w:pStyle w:val="34"/>
        <w:numPr>
          <w:ilvl w:val="0"/>
          <w:numId w:val="25"/>
        </w:numPr>
        <w:shd w:val="clea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E0AF282">
      <w:pPr>
        <w:pStyle w:val="34"/>
        <w:numPr>
          <w:ilvl w:val="0"/>
          <w:numId w:val="25"/>
        </w:numPr>
        <w:shd w:val="clea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750624B0">
      <w:pPr>
        <w:pStyle w:val="34"/>
        <w:numPr>
          <w:ilvl w:val="0"/>
          <w:numId w:val="25"/>
        </w:numPr>
        <w:shd w:val="clea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2"/>
        </w:numPr>
        <w:shd w:val="clear"/>
        <w:ind w:left="0" w:firstLine="0" w:firstLineChars="0"/>
        <w:contextualSpacing/>
        <w:jc w:val="left"/>
        <w:rPr>
          <w:b/>
          <w:szCs w:val="21"/>
          <w:highlight w:val="none"/>
        </w:rPr>
      </w:pPr>
      <w:r>
        <w:rPr>
          <w:b/>
          <w:szCs w:val="21"/>
          <w:highlight w:val="none"/>
        </w:rPr>
        <w:t>其他</w:t>
      </w:r>
    </w:p>
    <w:p w14:paraId="162904B6">
      <w:pPr>
        <w:pStyle w:val="29"/>
        <w:numPr>
          <w:ilvl w:val="0"/>
          <w:numId w:val="26"/>
        </w:numPr>
        <w:shd w:val="clea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EA6778F">
      <w:pPr>
        <w:pStyle w:val="29"/>
        <w:numPr>
          <w:ilvl w:val="0"/>
          <w:numId w:val="26"/>
        </w:numPr>
        <w:shd w:val="clea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134580B1">
      <w:pPr>
        <w:pStyle w:val="29"/>
        <w:numPr>
          <w:ilvl w:val="0"/>
          <w:numId w:val="12"/>
        </w:numPr>
        <w:shd w:val="clear"/>
        <w:ind w:left="0" w:firstLine="0" w:firstLineChars="0"/>
        <w:contextualSpacing/>
        <w:jc w:val="left"/>
        <w:rPr>
          <w:b/>
          <w:szCs w:val="21"/>
          <w:highlight w:val="none"/>
        </w:rPr>
      </w:pPr>
      <w:r>
        <w:rPr>
          <w:b/>
          <w:szCs w:val="21"/>
          <w:highlight w:val="none"/>
        </w:rPr>
        <w:t>合同附件</w:t>
      </w:r>
    </w:p>
    <w:p w14:paraId="6C66D4AC">
      <w:pPr>
        <w:shd w:val="clea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FF9CA8A">
      <w:pPr>
        <w:shd w:val="clear"/>
        <w:jc w:val="left"/>
        <w:outlineLvl w:val="0"/>
        <w:rPr>
          <w:szCs w:val="21"/>
          <w:highlight w:val="none"/>
        </w:rPr>
      </w:pPr>
      <w:r>
        <w:rPr>
          <w:rFonts w:hint="eastAsia"/>
          <w:szCs w:val="21"/>
          <w:highlight w:val="none"/>
        </w:rPr>
        <w:t>附件1《</w:t>
      </w:r>
      <w:bookmarkStart w:id="105" w:name="OLE_LINK32"/>
      <w:r>
        <w:rPr>
          <w:rFonts w:hint="eastAsia"/>
          <w:szCs w:val="21"/>
          <w:highlight w:val="none"/>
        </w:rPr>
        <w:t>结算单价清单</w:t>
      </w:r>
      <w:bookmarkEnd w:id="105"/>
      <w:r>
        <w:rPr>
          <w:rFonts w:hint="eastAsia"/>
          <w:szCs w:val="21"/>
          <w:highlight w:val="none"/>
        </w:rPr>
        <w:t>》</w:t>
      </w:r>
    </w:p>
    <w:p w14:paraId="6CDBD3F1">
      <w:pPr>
        <w:shd w:val="clear"/>
        <w:jc w:val="left"/>
        <w:outlineLvl w:val="0"/>
        <w:rPr>
          <w:szCs w:val="21"/>
          <w:highlight w:val="none"/>
        </w:rPr>
      </w:pPr>
      <w:r>
        <w:rPr>
          <w:rFonts w:hint="eastAsia"/>
          <w:szCs w:val="21"/>
          <w:highlight w:val="none"/>
        </w:rPr>
        <w:t>附件2《考核标准》</w:t>
      </w:r>
    </w:p>
    <w:p w14:paraId="485EAD27">
      <w:pPr>
        <w:shd w:val="clea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73257A85">
      <w:pPr>
        <w:shd w:val="clea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shd w:val="clear"/>
              <w:rPr>
                <w:szCs w:val="21"/>
                <w:highlight w:val="none"/>
              </w:rPr>
            </w:pPr>
            <w:r>
              <w:rPr>
                <w:szCs w:val="21"/>
                <w:highlight w:val="none"/>
              </w:rPr>
              <w:t>签订时间：</w:t>
            </w:r>
            <w:r>
              <w:rPr>
                <w:highlight w:val="none"/>
              </w:rPr>
              <w:t>202*</w:t>
            </w:r>
            <w:r>
              <w:rPr>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shd w:val="clear"/>
              <w:rPr>
                <w:szCs w:val="21"/>
                <w:highlight w:val="none"/>
              </w:rPr>
            </w:pPr>
            <w:r>
              <w:rPr>
                <w:szCs w:val="21"/>
                <w:highlight w:val="none"/>
              </w:rPr>
              <w:t>甲方：四川省人民医院（盖章）</w:t>
            </w:r>
          </w:p>
          <w:p w14:paraId="1BF2641A">
            <w:pPr>
              <w:shd w:val="clear"/>
              <w:rPr>
                <w:szCs w:val="21"/>
                <w:highlight w:val="none"/>
              </w:rPr>
            </w:pPr>
            <w:r>
              <w:rPr>
                <w:szCs w:val="21"/>
                <w:highlight w:val="none"/>
              </w:rPr>
              <w:t>法定代表人（授权代表签字）：</w:t>
            </w:r>
          </w:p>
          <w:p w14:paraId="3CF6E833">
            <w:pPr>
              <w:shd w:val="clear"/>
              <w:rPr>
                <w:szCs w:val="21"/>
                <w:highlight w:val="none"/>
              </w:rPr>
            </w:pPr>
            <w:r>
              <w:rPr>
                <w:szCs w:val="21"/>
                <w:highlight w:val="none"/>
              </w:rPr>
              <w:t>地    址：四川省成都市一环路西二段32号</w:t>
            </w:r>
          </w:p>
          <w:p w14:paraId="6736D38D">
            <w:pPr>
              <w:shd w:val="clear"/>
              <w:rPr>
                <w:szCs w:val="21"/>
                <w:highlight w:val="none"/>
              </w:rPr>
            </w:pPr>
            <w:r>
              <w:rPr>
                <w:szCs w:val="21"/>
                <w:highlight w:val="none"/>
              </w:rPr>
              <w:t>开户银行：建设银行成都青羊支行</w:t>
            </w:r>
          </w:p>
          <w:p w14:paraId="3D5EBF0F">
            <w:pPr>
              <w:shd w:val="clear"/>
              <w:rPr>
                <w:szCs w:val="21"/>
                <w:highlight w:val="none"/>
              </w:rPr>
            </w:pPr>
            <w:r>
              <w:rPr>
                <w:szCs w:val="21"/>
                <w:highlight w:val="none"/>
              </w:rPr>
              <w:t>账号：5100 1446 4360 5037 4282</w:t>
            </w:r>
          </w:p>
        </w:tc>
        <w:tc>
          <w:tcPr>
            <w:tcW w:w="5247" w:type="dxa"/>
          </w:tcPr>
          <w:p w14:paraId="76D47F6F">
            <w:pPr>
              <w:shd w:val="clea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5129AF1F">
            <w:pPr>
              <w:shd w:val="clear"/>
              <w:rPr>
                <w:szCs w:val="21"/>
                <w:highlight w:val="none"/>
              </w:rPr>
            </w:pPr>
            <w:r>
              <w:rPr>
                <w:szCs w:val="21"/>
                <w:highlight w:val="none"/>
              </w:rPr>
              <w:t>法定代表人（授权代表签字）：</w:t>
            </w:r>
          </w:p>
          <w:p w14:paraId="47302462">
            <w:pPr>
              <w:shd w:val="clear"/>
              <w:rPr>
                <w:szCs w:val="21"/>
                <w:highlight w:val="none"/>
              </w:rPr>
            </w:pPr>
            <w:r>
              <w:rPr>
                <w:szCs w:val="21"/>
                <w:highlight w:val="none"/>
              </w:rPr>
              <w:t>地址：</w:t>
            </w:r>
            <w:permStart w:id="3" w:edGrp="everyone"/>
            <w:r>
              <w:rPr>
                <w:szCs w:val="21"/>
                <w:highlight w:val="none"/>
              </w:rPr>
              <w:t>***</w:t>
            </w:r>
            <w:permEnd w:id="3"/>
          </w:p>
          <w:p w14:paraId="1CF0A190">
            <w:pPr>
              <w:shd w:val="clear"/>
              <w:rPr>
                <w:szCs w:val="21"/>
                <w:highlight w:val="none"/>
              </w:rPr>
            </w:pPr>
            <w:r>
              <w:rPr>
                <w:szCs w:val="21"/>
                <w:highlight w:val="none"/>
              </w:rPr>
              <w:t>开户银行：</w:t>
            </w:r>
            <w:permStart w:id="4" w:edGrp="everyone"/>
            <w:r>
              <w:rPr>
                <w:szCs w:val="21"/>
                <w:highlight w:val="none"/>
              </w:rPr>
              <w:t>***</w:t>
            </w:r>
          </w:p>
          <w:permEnd w:id="4"/>
          <w:p w14:paraId="5672E29C">
            <w:pPr>
              <w:widowControl/>
              <w:shd w:val="clear"/>
              <w:jc w:val="left"/>
              <w:rPr>
                <w:highlight w:val="none"/>
              </w:rPr>
            </w:pPr>
            <w:r>
              <w:rPr>
                <w:szCs w:val="21"/>
                <w:highlight w:val="none"/>
              </w:rPr>
              <w:t>账号：</w:t>
            </w:r>
            <w:permStart w:id="5" w:edGrp="everyone"/>
            <w:r>
              <w:rPr>
                <w:szCs w:val="21"/>
                <w:highlight w:val="none"/>
              </w:rPr>
              <w:t>***</w:t>
            </w:r>
            <w:permEnd w:id="5"/>
          </w:p>
        </w:tc>
      </w:tr>
    </w:tbl>
    <w:p w14:paraId="1A128CAE">
      <w:pPr>
        <w:widowControl/>
        <w:shd w:val="clear"/>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7B4B943E">
      <w:pPr>
        <w:widowControl/>
        <w:shd w:val="clear"/>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D831279">
      <w:pPr>
        <w:widowControl/>
        <w:shd w:val="clear"/>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shd w:val="clear"/>
              <w:jc w:val="center"/>
              <w:rPr>
                <w:b/>
                <w:bCs/>
                <w:szCs w:val="21"/>
                <w:highlight w:val="none"/>
              </w:rPr>
            </w:pPr>
            <w:r>
              <w:rPr>
                <w:rFonts w:hint="eastAsia"/>
                <w:b/>
                <w:bCs/>
                <w:szCs w:val="21"/>
                <w:highlight w:val="none"/>
              </w:rPr>
              <w:t>序号</w:t>
            </w:r>
          </w:p>
        </w:tc>
        <w:tc>
          <w:tcPr>
            <w:tcW w:w="3686" w:type="dxa"/>
            <w:vAlign w:val="center"/>
          </w:tcPr>
          <w:p w14:paraId="6C23FD50">
            <w:pPr>
              <w:widowControl/>
              <w:shd w:val="clear"/>
              <w:jc w:val="center"/>
              <w:rPr>
                <w:b/>
                <w:bCs/>
                <w:szCs w:val="21"/>
                <w:highlight w:val="none"/>
              </w:rPr>
            </w:pPr>
            <w:r>
              <w:rPr>
                <w:rFonts w:hint="eastAsia"/>
                <w:b/>
                <w:bCs/>
                <w:szCs w:val="21"/>
                <w:highlight w:val="none"/>
              </w:rPr>
              <w:t>结算项目名称</w:t>
            </w:r>
          </w:p>
        </w:tc>
        <w:tc>
          <w:tcPr>
            <w:tcW w:w="3402" w:type="dxa"/>
            <w:vAlign w:val="center"/>
          </w:tcPr>
          <w:p w14:paraId="3BB9E943">
            <w:pPr>
              <w:widowControl/>
              <w:shd w:val="clear"/>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66368B46">
            <w:pPr>
              <w:widowControl/>
              <w:shd w:val="clear"/>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5589F7C3">
            <w:pPr>
              <w:widowControl/>
              <w:shd w:val="clear"/>
              <w:jc w:val="center"/>
              <w:rPr>
                <w:b/>
                <w:bCs/>
                <w:szCs w:val="21"/>
                <w:highlight w:val="none"/>
              </w:rPr>
            </w:pPr>
            <w:r>
              <w:rPr>
                <w:rFonts w:hint="eastAsia"/>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shd w:val="clear"/>
              <w:jc w:val="center"/>
              <w:rPr>
                <w:szCs w:val="21"/>
                <w:highlight w:val="none"/>
              </w:rPr>
            </w:pPr>
            <w:r>
              <w:rPr>
                <w:rFonts w:hint="eastAsia"/>
                <w:szCs w:val="21"/>
                <w:highlight w:val="none"/>
              </w:rPr>
              <w:t>1</w:t>
            </w:r>
          </w:p>
        </w:tc>
        <w:tc>
          <w:tcPr>
            <w:tcW w:w="3686" w:type="dxa"/>
            <w:vAlign w:val="center"/>
          </w:tcPr>
          <w:p w14:paraId="4A635D96">
            <w:pPr>
              <w:widowControl/>
              <w:shd w:val="clear"/>
              <w:jc w:val="left"/>
              <w:rPr>
                <w:szCs w:val="21"/>
                <w:highlight w:val="none"/>
              </w:rPr>
            </w:pPr>
          </w:p>
        </w:tc>
        <w:tc>
          <w:tcPr>
            <w:tcW w:w="3402" w:type="dxa"/>
            <w:vAlign w:val="center"/>
          </w:tcPr>
          <w:p w14:paraId="610A0DF8">
            <w:pPr>
              <w:widowControl/>
              <w:shd w:val="clear"/>
              <w:jc w:val="left"/>
              <w:rPr>
                <w:szCs w:val="21"/>
                <w:highlight w:val="none"/>
              </w:rPr>
            </w:pPr>
          </w:p>
        </w:tc>
        <w:tc>
          <w:tcPr>
            <w:tcW w:w="992" w:type="dxa"/>
            <w:vAlign w:val="center"/>
          </w:tcPr>
          <w:p w14:paraId="59C6D210">
            <w:pPr>
              <w:widowControl/>
              <w:shd w:val="clear"/>
              <w:jc w:val="center"/>
              <w:rPr>
                <w:szCs w:val="21"/>
                <w:highlight w:val="none"/>
              </w:rPr>
            </w:pPr>
          </w:p>
        </w:tc>
        <w:tc>
          <w:tcPr>
            <w:tcW w:w="986" w:type="dxa"/>
            <w:vAlign w:val="center"/>
          </w:tcPr>
          <w:p w14:paraId="3B758A07">
            <w:pPr>
              <w:widowControl/>
              <w:shd w:val="clear"/>
              <w:jc w:val="center"/>
              <w:rPr>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shd w:val="clear"/>
              <w:jc w:val="center"/>
              <w:rPr>
                <w:szCs w:val="21"/>
                <w:highlight w:val="none"/>
              </w:rPr>
            </w:pPr>
            <w:r>
              <w:rPr>
                <w:rFonts w:hint="eastAsia"/>
                <w:szCs w:val="21"/>
                <w:highlight w:val="none"/>
              </w:rPr>
              <w:t>2</w:t>
            </w:r>
          </w:p>
        </w:tc>
        <w:tc>
          <w:tcPr>
            <w:tcW w:w="3686" w:type="dxa"/>
            <w:vAlign w:val="center"/>
          </w:tcPr>
          <w:p w14:paraId="2C25F4E1">
            <w:pPr>
              <w:widowControl/>
              <w:shd w:val="clear"/>
              <w:jc w:val="left"/>
              <w:rPr>
                <w:szCs w:val="21"/>
                <w:highlight w:val="none"/>
              </w:rPr>
            </w:pPr>
          </w:p>
        </w:tc>
        <w:tc>
          <w:tcPr>
            <w:tcW w:w="3402" w:type="dxa"/>
            <w:vAlign w:val="center"/>
          </w:tcPr>
          <w:p w14:paraId="473015E2">
            <w:pPr>
              <w:widowControl/>
              <w:shd w:val="clear"/>
              <w:jc w:val="left"/>
              <w:rPr>
                <w:szCs w:val="21"/>
                <w:highlight w:val="none"/>
              </w:rPr>
            </w:pPr>
          </w:p>
        </w:tc>
        <w:tc>
          <w:tcPr>
            <w:tcW w:w="992" w:type="dxa"/>
            <w:vAlign w:val="center"/>
          </w:tcPr>
          <w:p w14:paraId="1AC45725">
            <w:pPr>
              <w:widowControl/>
              <w:shd w:val="clear"/>
              <w:jc w:val="center"/>
              <w:rPr>
                <w:szCs w:val="21"/>
                <w:highlight w:val="none"/>
              </w:rPr>
            </w:pPr>
          </w:p>
        </w:tc>
        <w:tc>
          <w:tcPr>
            <w:tcW w:w="986" w:type="dxa"/>
            <w:vAlign w:val="center"/>
          </w:tcPr>
          <w:p w14:paraId="794FEA53">
            <w:pPr>
              <w:widowControl/>
              <w:shd w:val="clear"/>
              <w:jc w:val="center"/>
              <w:rPr>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shd w:val="clear"/>
              <w:jc w:val="center"/>
              <w:rPr>
                <w:szCs w:val="21"/>
                <w:highlight w:val="none"/>
              </w:rPr>
            </w:pPr>
            <w:r>
              <w:rPr>
                <w:szCs w:val="21"/>
                <w:highlight w:val="none"/>
              </w:rPr>
              <w:t>…</w:t>
            </w:r>
          </w:p>
        </w:tc>
        <w:tc>
          <w:tcPr>
            <w:tcW w:w="3686" w:type="dxa"/>
            <w:vAlign w:val="center"/>
          </w:tcPr>
          <w:p w14:paraId="09F89178">
            <w:pPr>
              <w:widowControl/>
              <w:shd w:val="clear"/>
              <w:jc w:val="left"/>
              <w:rPr>
                <w:szCs w:val="21"/>
                <w:highlight w:val="none"/>
              </w:rPr>
            </w:pPr>
          </w:p>
        </w:tc>
        <w:tc>
          <w:tcPr>
            <w:tcW w:w="3402" w:type="dxa"/>
            <w:vAlign w:val="center"/>
          </w:tcPr>
          <w:p w14:paraId="1FF16C42">
            <w:pPr>
              <w:widowControl/>
              <w:shd w:val="clear"/>
              <w:jc w:val="left"/>
              <w:rPr>
                <w:szCs w:val="21"/>
                <w:highlight w:val="none"/>
              </w:rPr>
            </w:pPr>
          </w:p>
        </w:tc>
        <w:tc>
          <w:tcPr>
            <w:tcW w:w="992" w:type="dxa"/>
            <w:vAlign w:val="center"/>
          </w:tcPr>
          <w:p w14:paraId="0BD2D448">
            <w:pPr>
              <w:widowControl/>
              <w:shd w:val="clear"/>
              <w:jc w:val="center"/>
              <w:rPr>
                <w:szCs w:val="21"/>
                <w:highlight w:val="none"/>
              </w:rPr>
            </w:pPr>
          </w:p>
        </w:tc>
        <w:tc>
          <w:tcPr>
            <w:tcW w:w="986" w:type="dxa"/>
            <w:vAlign w:val="center"/>
          </w:tcPr>
          <w:p w14:paraId="32267964">
            <w:pPr>
              <w:widowControl/>
              <w:shd w:val="clear"/>
              <w:jc w:val="center"/>
              <w:rPr>
                <w:szCs w:val="21"/>
                <w:highlight w:val="none"/>
              </w:rPr>
            </w:pPr>
          </w:p>
        </w:tc>
      </w:tr>
    </w:tbl>
    <w:p w14:paraId="799425E9">
      <w:pPr>
        <w:widowControl/>
        <w:shd w:val="clear"/>
        <w:jc w:val="left"/>
        <w:rPr>
          <w:szCs w:val="21"/>
          <w:highlight w:val="none"/>
        </w:rPr>
        <w:sectPr>
          <w:footerReference r:id="rId9" w:type="default"/>
          <w:pgSz w:w="11906" w:h="16838"/>
          <w:pgMar w:top="851" w:right="1134" w:bottom="851" w:left="1134" w:header="0" w:footer="567" w:gutter="0"/>
          <w:pgNumType w:fmt="decimal"/>
          <w:cols w:space="425" w:num="1"/>
          <w:docGrid w:linePitch="312" w:charSpace="0"/>
        </w:sectPr>
      </w:pPr>
    </w:p>
    <w:p w14:paraId="6BEFDD75">
      <w:pPr>
        <w:widowControl/>
        <w:shd w:val="clear"/>
        <w:jc w:val="left"/>
        <w:rPr>
          <w:rFonts w:ascii="宋体" w:hAnsi="宋体"/>
          <w:b/>
          <w:bCs/>
          <w:szCs w:val="21"/>
          <w:highlight w:val="none"/>
        </w:rPr>
      </w:pPr>
      <w:r>
        <w:rPr>
          <w:rFonts w:hint="eastAsia" w:ascii="宋体" w:hAnsi="宋体"/>
          <w:b/>
          <w:bCs/>
          <w:szCs w:val="21"/>
          <w:highlight w:val="none"/>
        </w:rPr>
        <w:t>附件2：考核标准</w:t>
      </w:r>
    </w:p>
    <w:p w14:paraId="6C0FC75D"/>
    <w:p w14:paraId="5A024B68">
      <w:pPr>
        <w:sectPr>
          <w:pgSz w:w="11906" w:h="16838"/>
          <w:pgMar w:top="851" w:right="1134" w:bottom="851" w:left="1134" w:header="0" w:footer="567" w:gutter="0"/>
          <w:pgNumType w:fmt="decimal"/>
          <w:cols w:space="425" w:num="1"/>
          <w:docGrid w:linePitch="312" w:charSpace="0"/>
        </w:sectPr>
      </w:pPr>
      <w:r>
        <w:rPr>
          <w:rFonts w:hint="eastAsia"/>
        </w:rPr>
        <w:t>*</w:t>
      </w:r>
      <w:r>
        <w:t>**</w:t>
      </w:r>
    </w:p>
    <w:p w14:paraId="692BA005">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9A6C9EA"/>
    <w:p w14:paraId="1E9CF7A4">
      <w:r>
        <w:rPr>
          <w:rFonts w:hint="eastAsia"/>
        </w:rPr>
        <w:t>*</w:t>
      </w:r>
      <w:r>
        <w:t>**</w:t>
      </w:r>
    </w:p>
    <w:p w14:paraId="6D37A313">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5BD3546-4EFA-469E-8FD5-34ECFB710C9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C725305-52DC-4FD4-B074-A7DAB69E0F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480C846-74E0-476E-A66C-4B1ECBC80B64}"/>
  </w:font>
  <w:font w:name="FangSong_GB2312">
    <w:altName w:val="仿宋_GB2312"/>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embedRegular r:id="rId4" w:fontKey="{0A37B2D9-52AC-4772-A94B-09A02484EC41}"/>
  </w:font>
  <w:font w:name="Segoe UI Symbol">
    <w:panose1 w:val="020B0502040204020203"/>
    <w:charset w:val="00"/>
    <w:family w:val="swiss"/>
    <w:pitch w:val="default"/>
    <w:sig w:usb0="800001E3" w:usb1="1200FFEF" w:usb2="00040000" w:usb3="04000000" w:csb0="00000001" w:csb1="40000000"/>
    <w:embedRegular r:id="rId5" w:fontKey="{4BF2E118-2A04-4E6C-BDE7-19120A278465}"/>
  </w:font>
  <w:font w:name="Wingdings 2">
    <w:altName w:val="Wingdings"/>
    <w:panose1 w:val="05020102010507070707"/>
    <w:charset w:val="4D"/>
    <w:family w:val="decorative"/>
    <w:pitch w:val="default"/>
    <w:sig w:usb0="00000000" w:usb1="00000000" w:usb2="00000000" w:usb3="00000000" w:csb0="80000001" w:csb1="00000000"/>
    <w:embedRegular r:id="rId6" w:fontKey="{D989EB2D-9856-410B-BBA4-67C9D6F8D90A}"/>
  </w:font>
  <w:font w:name="微软雅黑">
    <w:panose1 w:val="020B0503020204020204"/>
    <w:charset w:val="86"/>
    <w:family w:val="auto"/>
    <w:pitch w:val="default"/>
    <w:sig w:usb0="80000287" w:usb1="2ACF3C50" w:usb2="00000016" w:usb3="00000000" w:csb0="0004001F" w:csb1="00000000"/>
    <w:embedRegular r:id="rId7" w:fontKey="{E12C8357-3AAE-4BBF-8345-A39C6A042CB5}"/>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544EF5">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C544EF5">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42</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33EBEC3C">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47715A">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E47715A">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1C5DA8">
                          <w:pPr>
                            <w:pStyle w:val="11"/>
                          </w:pPr>
                          <w:r>
                            <w:t xml:space="preserve">第 </w:t>
                          </w:r>
                          <w:r>
                            <w:fldChar w:fldCharType="begin"/>
                          </w:r>
                          <w:r>
                            <w:instrText xml:space="preserve"> PAGE  \* MERGEFORMAT </w:instrText>
                          </w:r>
                          <w:r>
                            <w:fldChar w:fldCharType="separate"/>
                          </w:r>
                          <w:r>
                            <w:t>39</w:t>
                          </w:r>
                          <w:r>
                            <w:fldChar w:fldCharType="end"/>
                          </w:r>
                          <w:r>
                            <w:t xml:space="preserve"> 页 共 </w:t>
                          </w:r>
                          <w:r>
                            <w:rPr>
                              <w:rFonts w:hint="eastAsia"/>
                              <w:lang w:val="en-US" w:eastAsia="zh-CN"/>
                            </w:rPr>
                            <w:t>42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51C5DA8">
                    <w:pPr>
                      <w:pStyle w:val="11"/>
                    </w:pPr>
                    <w:r>
                      <w:t xml:space="preserve">第 </w:t>
                    </w:r>
                    <w:r>
                      <w:fldChar w:fldCharType="begin"/>
                    </w:r>
                    <w:r>
                      <w:instrText xml:space="preserve"> PAGE  \* MERGEFORMAT </w:instrText>
                    </w:r>
                    <w:r>
                      <w:fldChar w:fldCharType="separate"/>
                    </w:r>
                    <w:r>
                      <w:t>39</w:t>
                    </w:r>
                    <w:r>
                      <w:fldChar w:fldCharType="end"/>
                    </w:r>
                    <w:r>
                      <w:t xml:space="preserve"> 页 共 </w:t>
                    </w:r>
                    <w:r>
                      <w:rPr>
                        <w:rFonts w:hint="eastAsia"/>
                        <w:lang w:val="en-US" w:eastAsia="zh-CN"/>
                      </w:rPr>
                      <w:t>42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050B2"/>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C4D2E"/>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0F7FF3"/>
    <w:rsid w:val="0168325F"/>
    <w:rsid w:val="01A1683A"/>
    <w:rsid w:val="01AC5842"/>
    <w:rsid w:val="01D50A7C"/>
    <w:rsid w:val="01EA636A"/>
    <w:rsid w:val="01FF7230"/>
    <w:rsid w:val="020F65B7"/>
    <w:rsid w:val="023C235A"/>
    <w:rsid w:val="024C0DD3"/>
    <w:rsid w:val="0286060F"/>
    <w:rsid w:val="03A013D6"/>
    <w:rsid w:val="03B604E9"/>
    <w:rsid w:val="03D1158F"/>
    <w:rsid w:val="041F679F"/>
    <w:rsid w:val="04BC1856"/>
    <w:rsid w:val="04D87E49"/>
    <w:rsid w:val="058C78B0"/>
    <w:rsid w:val="05E13064"/>
    <w:rsid w:val="05E51322"/>
    <w:rsid w:val="05F814A1"/>
    <w:rsid w:val="05FD48BE"/>
    <w:rsid w:val="065564A8"/>
    <w:rsid w:val="06897EFF"/>
    <w:rsid w:val="078A573C"/>
    <w:rsid w:val="082425D6"/>
    <w:rsid w:val="083251D0"/>
    <w:rsid w:val="08326375"/>
    <w:rsid w:val="0837398B"/>
    <w:rsid w:val="083A1BBD"/>
    <w:rsid w:val="08745B19"/>
    <w:rsid w:val="08BD614B"/>
    <w:rsid w:val="08EE39BE"/>
    <w:rsid w:val="093A3733"/>
    <w:rsid w:val="09CA0CE0"/>
    <w:rsid w:val="0A220AAD"/>
    <w:rsid w:val="0A5151D8"/>
    <w:rsid w:val="0A726EFC"/>
    <w:rsid w:val="0A7B4003"/>
    <w:rsid w:val="0A8D0153"/>
    <w:rsid w:val="0B3D750A"/>
    <w:rsid w:val="0B4508AE"/>
    <w:rsid w:val="0B6131F9"/>
    <w:rsid w:val="0BAA50B0"/>
    <w:rsid w:val="0C120997"/>
    <w:rsid w:val="0C2653A0"/>
    <w:rsid w:val="0C2D757F"/>
    <w:rsid w:val="0C774C9E"/>
    <w:rsid w:val="0C965124"/>
    <w:rsid w:val="0CF161C9"/>
    <w:rsid w:val="0D26294C"/>
    <w:rsid w:val="0D49663A"/>
    <w:rsid w:val="0D5C636E"/>
    <w:rsid w:val="0D7D4536"/>
    <w:rsid w:val="0DBA3094"/>
    <w:rsid w:val="0DF742E8"/>
    <w:rsid w:val="0E0B7FF0"/>
    <w:rsid w:val="0E4D215A"/>
    <w:rsid w:val="0E5815BF"/>
    <w:rsid w:val="0E5B6625"/>
    <w:rsid w:val="0E9E4764"/>
    <w:rsid w:val="0EAC189D"/>
    <w:rsid w:val="0EF92D25"/>
    <w:rsid w:val="0F0740B7"/>
    <w:rsid w:val="0F5D2ECD"/>
    <w:rsid w:val="0F7C74E4"/>
    <w:rsid w:val="0FC05ABE"/>
    <w:rsid w:val="0FC14BAE"/>
    <w:rsid w:val="0FD3043D"/>
    <w:rsid w:val="101A497B"/>
    <w:rsid w:val="10432B4B"/>
    <w:rsid w:val="10863BFF"/>
    <w:rsid w:val="10A15B58"/>
    <w:rsid w:val="110E1F50"/>
    <w:rsid w:val="112076B2"/>
    <w:rsid w:val="113373E5"/>
    <w:rsid w:val="117A5014"/>
    <w:rsid w:val="11EA5308"/>
    <w:rsid w:val="127F05A0"/>
    <w:rsid w:val="1299771C"/>
    <w:rsid w:val="12BC165D"/>
    <w:rsid w:val="130A5001"/>
    <w:rsid w:val="136D78F8"/>
    <w:rsid w:val="137454F5"/>
    <w:rsid w:val="13806B2E"/>
    <w:rsid w:val="13AC16D1"/>
    <w:rsid w:val="14221993"/>
    <w:rsid w:val="14301CC2"/>
    <w:rsid w:val="144B0EEA"/>
    <w:rsid w:val="14A32AD4"/>
    <w:rsid w:val="15033573"/>
    <w:rsid w:val="15567E5A"/>
    <w:rsid w:val="15B346F0"/>
    <w:rsid w:val="15CC4977"/>
    <w:rsid w:val="16077093"/>
    <w:rsid w:val="162A4F7D"/>
    <w:rsid w:val="16833FFF"/>
    <w:rsid w:val="16A82A66"/>
    <w:rsid w:val="16DE614F"/>
    <w:rsid w:val="17233056"/>
    <w:rsid w:val="17826121"/>
    <w:rsid w:val="17E4768B"/>
    <w:rsid w:val="18063F07"/>
    <w:rsid w:val="18316649"/>
    <w:rsid w:val="184243B2"/>
    <w:rsid w:val="186E51A7"/>
    <w:rsid w:val="18846779"/>
    <w:rsid w:val="18E216F1"/>
    <w:rsid w:val="18F41B50"/>
    <w:rsid w:val="1954595C"/>
    <w:rsid w:val="1994787E"/>
    <w:rsid w:val="19CF0524"/>
    <w:rsid w:val="1A5342E4"/>
    <w:rsid w:val="1A82318C"/>
    <w:rsid w:val="1B0B27A2"/>
    <w:rsid w:val="1B634D6B"/>
    <w:rsid w:val="1B642891"/>
    <w:rsid w:val="1BC9751D"/>
    <w:rsid w:val="1C314E69"/>
    <w:rsid w:val="1C485D0F"/>
    <w:rsid w:val="1C5E4729"/>
    <w:rsid w:val="1C625023"/>
    <w:rsid w:val="1C746B04"/>
    <w:rsid w:val="1C7C2C9B"/>
    <w:rsid w:val="1D2821E4"/>
    <w:rsid w:val="1D4576F2"/>
    <w:rsid w:val="1D69418F"/>
    <w:rsid w:val="1D796AC8"/>
    <w:rsid w:val="1D8C2C2E"/>
    <w:rsid w:val="1DB4365C"/>
    <w:rsid w:val="1DC35F95"/>
    <w:rsid w:val="1DD000AF"/>
    <w:rsid w:val="1E09745A"/>
    <w:rsid w:val="1E0D2131"/>
    <w:rsid w:val="1E114F52"/>
    <w:rsid w:val="1E176351"/>
    <w:rsid w:val="1E3B5B2B"/>
    <w:rsid w:val="1E5703E7"/>
    <w:rsid w:val="1ECD615C"/>
    <w:rsid w:val="1F9951FF"/>
    <w:rsid w:val="1FE21EC2"/>
    <w:rsid w:val="1FF95C9E"/>
    <w:rsid w:val="20506CE2"/>
    <w:rsid w:val="209239FD"/>
    <w:rsid w:val="20CF13CE"/>
    <w:rsid w:val="20E24984"/>
    <w:rsid w:val="21596577"/>
    <w:rsid w:val="215D225D"/>
    <w:rsid w:val="21B53E47"/>
    <w:rsid w:val="22485E02"/>
    <w:rsid w:val="22935D1D"/>
    <w:rsid w:val="2369138D"/>
    <w:rsid w:val="237E7C91"/>
    <w:rsid w:val="2393373D"/>
    <w:rsid w:val="23B24AE2"/>
    <w:rsid w:val="23D4489F"/>
    <w:rsid w:val="23D83E1C"/>
    <w:rsid w:val="24466FD8"/>
    <w:rsid w:val="24727DCD"/>
    <w:rsid w:val="25186BC6"/>
    <w:rsid w:val="252B6033"/>
    <w:rsid w:val="25537BFE"/>
    <w:rsid w:val="25F95EEC"/>
    <w:rsid w:val="26031625"/>
    <w:rsid w:val="262001B9"/>
    <w:rsid w:val="264F486A"/>
    <w:rsid w:val="264F6A06"/>
    <w:rsid w:val="271635BC"/>
    <w:rsid w:val="276B56D3"/>
    <w:rsid w:val="27A377C7"/>
    <w:rsid w:val="27A50E7D"/>
    <w:rsid w:val="27B87AF9"/>
    <w:rsid w:val="27DA0163"/>
    <w:rsid w:val="27E80EA9"/>
    <w:rsid w:val="280414A1"/>
    <w:rsid w:val="28570368"/>
    <w:rsid w:val="287C2FFC"/>
    <w:rsid w:val="28862099"/>
    <w:rsid w:val="289064B1"/>
    <w:rsid w:val="28A27020"/>
    <w:rsid w:val="28E14F1E"/>
    <w:rsid w:val="28E76FDC"/>
    <w:rsid w:val="29C5318E"/>
    <w:rsid w:val="29E9194F"/>
    <w:rsid w:val="2A142F93"/>
    <w:rsid w:val="2A675314"/>
    <w:rsid w:val="2A6C2C00"/>
    <w:rsid w:val="2A81391B"/>
    <w:rsid w:val="2AD134D0"/>
    <w:rsid w:val="2AEB08D9"/>
    <w:rsid w:val="2AF23A16"/>
    <w:rsid w:val="2B502F98"/>
    <w:rsid w:val="2B7E52A9"/>
    <w:rsid w:val="2BE05F64"/>
    <w:rsid w:val="2C444745"/>
    <w:rsid w:val="2C9A0A9E"/>
    <w:rsid w:val="2CEA3948"/>
    <w:rsid w:val="2D2F2FAF"/>
    <w:rsid w:val="2DA70D65"/>
    <w:rsid w:val="2DAC25A2"/>
    <w:rsid w:val="2DBC4548"/>
    <w:rsid w:val="2DC823BB"/>
    <w:rsid w:val="2DF80288"/>
    <w:rsid w:val="2E3D31FA"/>
    <w:rsid w:val="2E693FEF"/>
    <w:rsid w:val="2E9C2616"/>
    <w:rsid w:val="2F1E6861"/>
    <w:rsid w:val="2F575E37"/>
    <w:rsid w:val="2FEF6776"/>
    <w:rsid w:val="30063D65"/>
    <w:rsid w:val="30136908"/>
    <w:rsid w:val="309A5723"/>
    <w:rsid w:val="30E31FB7"/>
    <w:rsid w:val="31322DBE"/>
    <w:rsid w:val="315F792B"/>
    <w:rsid w:val="31692558"/>
    <w:rsid w:val="32024E86"/>
    <w:rsid w:val="32165D3B"/>
    <w:rsid w:val="32201990"/>
    <w:rsid w:val="325356E2"/>
    <w:rsid w:val="32C91500"/>
    <w:rsid w:val="3309737C"/>
    <w:rsid w:val="332B5D17"/>
    <w:rsid w:val="333F7A14"/>
    <w:rsid w:val="33723946"/>
    <w:rsid w:val="3427766B"/>
    <w:rsid w:val="343706EB"/>
    <w:rsid w:val="34713BFD"/>
    <w:rsid w:val="34830DA6"/>
    <w:rsid w:val="34913157"/>
    <w:rsid w:val="34F860CC"/>
    <w:rsid w:val="351A08D0"/>
    <w:rsid w:val="35805CB0"/>
    <w:rsid w:val="35935DF5"/>
    <w:rsid w:val="359C73A0"/>
    <w:rsid w:val="35A26038"/>
    <w:rsid w:val="35A41DB0"/>
    <w:rsid w:val="35BC70FA"/>
    <w:rsid w:val="35FA5E74"/>
    <w:rsid w:val="36334CE5"/>
    <w:rsid w:val="36D81C0F"/>
    <w:rsid w:val="3701395E"/>
    <w:rsid w:val="37920A5A"/>
    <w:rsid w:val="37BE35FD"/>
    <w:rsid w:val="37CD3411"/>
    <w:rsid w:val="37E1553E"/>
    <w:rsid w:val="380A6843"/>
    <w:rsid w:val="382B5F8F"/>
    <w:rsid w:val="38605999"/>
    <w:rsid w:val="38B44A00"/>
    <w:rsid w:val="38B86F38"/>
    <w:rsid w:val="391E6AEA"/>
    <w:rsid w:val="393671C3"/>
    <w:rsid w:val="39FF3A59"/>
    <w:rsid w:val="3A325BDD"/>
    <w:rsid w:val="3A3E7A83"/>
    <w:rsid w:val="3A3F1B1E"/>
    <w:rsid w:val="3A550FAE"/>
    <w:rsid w:val="3A551407"/>
    <w:rsid w:val="3B033C36"/>
    <w:rsid w:val="3B4C2CCE"/>
    <w:rsid w:val="3B9C7486"/>
    <w:rsid w:val="3BC44F5A"/>
    <w:rsid w:val="3C333E8E"/>
    <w:rsid w:val="3C8A61A4"/>
    <w:rsid w:val="3CB90F2D"/>
    <w:rsid w:val="3CE05DC4"/>
    <w:rsid w:val="3CEE6201"/>
    <w:rsid w:val="3D385C00"/>
    <w:rsid w:val="3D3D4FD0"/>
    <w:rsid w:val="3DB01C3A"/>
    <w:rsid w:val="3DBF7BA4"/>
    <w:rsid w:val="3E067AAC"/>
    <w:rsid w:val="3E1201FF"/>
    <w:rsid w:val="3E1F46CA"/>
    <w:rsid w:val="3E470969"/>
    <w:rsid w:val="3E57579A"/>
    <w:rsid w:val="3E5D4E8E"/>
    <w:rsid w:val="3EF618CF"/>
    <w:rsid w:val="3F1735F3"/>
    <w:rsid w:val="3F584337"/>
    <w:rsid w:val="3FB16714"/>
    <w:rsid w:val="3FE25336"/>
    <w:rsid w:val="40073668"/>
    <w:rsid w:val="40866C82"/>
    <w:rsid w:val="40B94B83"/>
    <w:rsid w:val="40C31C84"/>
    <w:rsid w:val="40D37F31"/>
    <w:rsid w:val="40E1035D"/>
    <w:rsid w:val="41076015"/>
    <w:rsid w:val="41250249"/>
    <w:rsid w:val="417D5732"/>
    <w:rsid w:val="418A09F4"/>
    <w:rsid w:val="42075FF8"/>
    <w:rsid w:val="422C3859"/>
    <w:rsid w:val="4251620A"/>
    <w:rsid w:val="427D6A3C"/>
    <w:rsid w:val="42842020"/>
    <w:rsid w:val="42876CE2"/>
    <w:rsid w:val="42C3032D"/>
    <w:rsid w:val="42F3580F"/>
    <w:rsid w:val="43B9736F"/>
    <w:rsid w:val="43D23F8D"/>
    <w:rsid w:val="44110F59"/>
    <w:rsid w:val="44150A49"/>
    <w:rsid w:val="444340B2"/>
    <w:rsid w:val="44A616A1"/>
    <w:rsid w:val="44AE0556"/>
    <w:rsid w:val="44E81B7F"/>
    <w:rsid w:val="4513485D"/>
    <w:rsid w:val="45156827"/>
    <w:rsid w:val="456E3CF0"/>
    <w:rsid w:val="45795008"/>
    <w:rsid w:val="45A46C77"/>
    <w:rsid w:val="468567BB"/>
    <w:rsid w:val="46AE0B03"/>
    <w:rsid w:val="47117DEE"/>
    <w:rsid w:val="4734568A"/>
    <w:rsid w:val="476060E7"/>
    <w:rsid w:val="47690CE9"/>
    <w:rsid w:val="477870B1"/>
    <w:rsid w:val="4782487D"/>
    <w:rsid w:val="47B71E17"/>
    <w:rsid w:val="481370A7"/>
    <w:rsid w:val="48916DA1"/>
    <w:rsid w:val="489F2FD7"/>
    <w:rsid w:val="48E1779E"/>
    <w:rsid w:val="48FF3E1F"/>
    <w:rsid w:val="492359B6"/>
    <w:rsid w:val="49A10689"/>
    <w:rsid w:val="49D56585"/>
    <w:rsid w:val="49FC25C6"/>
    <w:rsid w:val="4A024AA9"/>
    <w:rsid w:val="4A20088A"/>
    <w:rsid w:val="4A3D2AA8"/>
    <w:rsid w:val="4A475610"/>
    <w:rsid w:val="4ABD5996"/>
    <w:rsid w:val="4ACE01A4"/>
    <w:rsid w:val="4B31068E"/>
    <w:rsid w:val="4B410375"/>
    <w:rsid w:val="4BA55220"/>
    <w:rsid w:val="4BAD0151"/>
    <w:rsid w:val="4BCA036B"/>
    <w:rsid w:val="4BF453E8"/>
    <w:rsid w:val="4C184E09"/>
    <w:rsid w:val="4C2757BD"/>
    <w:rsid w:val="4C4B0D80"/>
    <w:rsid w:val="4C7E73A7"/>
    <w:rsid w:val="4C8F75A2"/>
    <w:rsid w:val="4C9F5895"/>
    <w:rsid w:val="4D005D50"/>
    <w:rsid w:val="4D203FBB"/>
    <w:rsid w:val="4D4D1254"/>
    <w:rsid w:val="4DAD4403"/>
    <w:rsid w:val="4E0336C0"/>
    <w:rsid w:val="4E6F0D56"/>
    <w:rsid w:val="4E8C008E"/>
    <w:rsid w:val="4E9B1B4B"/>
    <w:rsid w:val="4EA312FE"/>
    <w:rsid w:val="4EDC5ADC"/>
    <w:rsid w:val="4EE002CE"/>
    <w:rsid w:val="4F457D08"/>
    <w:rsid w:val="4FBA39FD"/>
    <w:rsid w:val="4FEF758C"/>
    <w:rsid w:val="501A6E72"/>
    <w:rsid w:val="501C4F0D"/>
    <w:rsid w:val="50201D6B"/>
    <w:rsid w:val="503A2AB3"/>
    <w:rsid w:val="50771A9C"/>
    <w:rsid w:val="50DB26D2"/>
    <w:rsid w:val="51B318A1"/>
    <w:rsid w:val="51C47F6D"/>
    <w:rsid w:val="52B256B5"/>
    <w:rsid w:val="52FB52AE"/>
    <w:rsid w:val="532145E9"/>
    <w:rsid w:val="53C725AE"/>
    <w:rsid w:val="53E2606E"/>
    <w:rsid w:val="53FD2AD3"/>
    <w:rsid w:val="54063F0A"/>
    <w:rsid w:val="541A1764"/>
    <w:rsid w:val="54456651"/>
    <w:rsid w:val="5455382C"/>
    <w:rsid w:val="547F7727"/>
    <w:rsid w:val="54C31DFB"/>
    <w:rsid w:val="55342CF9"/>
    <w:rsid w:val="554674F7"/>
    <w:rsid w:val="55F12241"/>
    <w:rsid w:val="560662B2"/>
    <w:rsid w:val="568C1A97"/>
    <w:rsid w:val="569021B1"/>
    <w:rsid w:val="57911D3D"/>
    <w:rsid w:val="589C07F4"/>
    <w:rsid w:val="58B8779D"/>
    <w:rsid w:val="59357973"/>
    <w:rsid w:val="59965D30"/>
    <w:rsid w:val="59A93DB0"/>
    <w:rsid w:val="59D32AE1"/>
    <w:rsid w:val="59E56370"/>
    <w:rsid w:val="5A0A4028"/>
    <w:rsid w:val="5A117165"/>
    <w:rsid w:val="5A3727CC"/>
    <w:rsid w:val="5A6307F6"/>
    <w:rsid w:val="5A697A69"/>
    <w:rsid w:val="5A6A4AC7"/>
    <w:rsid w:val="5AA47FD9"/>
    <w:rsid w:val="5AC60BF9"/>
    <w:rsid w:val="5B0647F0"/>
    <w:rsid w:val="5B1F1D55"/>
    <w:rsid w:val="5B312CA1"/>
    <w:rsid w:val="5BA529F7"/>
    <w:rsid w:val="5BD632E5"/>
    <w:rsid w:val="5C205D85"/>
    <w:rsid w:val="5C6043D4"/>
    <w:rsid w:val="5D0A3490"/>
    <w:rsid w:val="5D7E0D39"/>
    <w:rsid w:val="5DD00ABC"/>
    <w:rsid w:val="5DDF2DD1"/>
    <w:rsid w:val="5DE057CC"/>
    <w:rsid w:val="5E2D6537"/>
    <w:rsid w:val="5E2E5CB0"/>
    <w:rsid w:val="5E490A40"/>
    <w:rsid w:val="5E766130"/>
    <w:rsid w:val="5E9D3F29"/>
    <w:rsid w:val="5EDF45D6"/>
    <w:rsid w:val="5F353859"/>
    <w:rsid w:val="5F3F3148"/>
    <w:rsid w:val="5F64242D"/>
    <w:rsid w:val="5F872DA5"/>
    <w:rsid w:val="5FB05672"/>
    <w:rsid w:val="5FB63195"/>
    <w:rsid w:val="60384CD1"/>
    <w:rsid w:val="60557590"/>
    <w:rsid w:val="60655808"/>
    <w:rsid w:val="606C7EF8"/>
    <w:rsid w:val="608E1541"/>
    <w:rsid w:val="60F86CEE"/>
    <w:rsid w:val="610F0B89"/>
    <w:rsid w:val="61312681"/>
    <w:rsid w:val="617D1584"/>
    <w:rsid w:val="6181445A"/>
    <w:rsid w:val="619C1A0A"/>
    <w:rsid w:val="6220263B"/>
    <w:rsid w:val="62C94D21"/>
    <w:rsid w:val="63A9427A"/>
    <w:rsid w:val="63BD2DDA"/>
    <w:rsid w:val="63D462B1"/>
    <w:rsid w:val="63E678B4"/>
    <w:rsid w:val="63FF44D2"/>
    <w:rsid w:val="641066DF"/>
    <w:rsid w:val="641A3596"/>
    <w:rsid w:val="64AD2180"/>
    <w:rsid w:val="64C00105"/>
    <w:rsid w:val="64C36D7E"/>
    <w:rsid w:val="64CE15B4"/>
    <w:rsid w:val="64D96647"/>
    <w:rsid w:val="64F90F01"/>
    <w:rsid w:val="650E70C3"/>
    <w:rsid w:val="6518584B"/>
    <w:rsid w:val="655B51E5"/>
    <w:rsid w:val="65E40ADA"/>
    <w:rsid w:val="66087371"/>
    <w:rsid w:val="663012BB"/>
    <w:rsid w:val="66330B86"/>
    <w:rsid w:val="66E22203"/>
    <w:rsid w:val="67236729"/>
    <w:rsid w:val="677B6565"/>
    <w:rsid w:val="67AB0BF9"/>
    <w:rsid w:val="67C036F4"/>
    <w:rsid w:val="68B812C9"/>
    <w:rsid w:val="694A4441"/>
    <w:rsid w:val="69605A13"/>
    <w:rsid w:val="698536CB"/>
    <w:rsid w:val="69D50CF4"/>
    <w:rsid w:val="69D73D89"/>
    <w:rsid w:val="69EE4AD9"/>
    <w:rsid w:val="69FF522C"/>
    <w:rsid w:val="6A535578"/>
    <w:rsid w:val="6A5665CF"/>
    <w:rsid w:val="6A763BAE"/>
    <w:rsid w:val="6A7B46F3"/>
    <w:rsid w:val="6A8A03C9"/>
    <w:rsid w:val="6AC66C31"/>
    <w:rsid w:val="6AC83870"/>
    <w:rsid w:val="6AE34B4E"/>
    <w:rsid w:val="6B7A3154"/>
    <w:rsid w:val="6B9058B2"/>
    <w:rsid w:val="6B9B4B18"/>
    <w:rsid w:val="6BBB1173"/>
    <w:rsid w:val="6C290B81"/>
    <w:rsid w:val="6C487AFD"/>
    <w:rsid w:val="6C8664BC"/>
    <w:rsid w:val="6CB24363"/>
    <w:rsid w:val="6CF3094C"/>
    <w:rsid w:val="6D3E7C18"/>
    <w:rsid w:val="6DBB3A8B"/>
    <w:rsid w:val="6DBE53FE"/>
    <w:rsid w:val="6DE074BE"/>
    <w:rsid w:val="6E721F63"/>
    <w:rsid w:val="6EA93466"/>
    <w:rsid w:val="6EBD1212"/>
    <w:rsid w:val="6EBE56B6"/>
    <w:rsid w:val="6EFF37D8"/>
    <w:rsid w:val="6F146151"/>
    <w:rsid w:val="6F276F27"/>
    <w:rsid w:val="6F5C4ECE"/>
    <w:rsid w:val="6F7D4948"/>
    <w:rsid w:val="6F960C48"/>
    <w:rsid w:val="6FCF0795"/>
    <w:rsid w:val="6FE70C3C"/>
    <w:rsid w:val="700560CB"/>
    <w:rsid w:val="700E4CD4"/>
    <w:rsid w:val="70643A4D"/>
    <w:rsid w:val="70C90342"/>
    <w:rsid w:val="70F10A19"/>
    <w:rsid w:val="71381023"/>
    <w:rsid w:val="71FE401B"/>
    <w:rsid w:val="722103D4"/>
    <w:rsid w:val="72874010"/>
    <w:rsid w:val="732B6917"/>
    <w:rsid w:val="735465E8"/>
    <w:rsid w:val="73714961"/>
    <w:rsid w:val="73A3131E"/>
    <w:rsid w:val="73CC7847"/>
    <w:rsid w:val="73D72AE8"/>
    <w:rsid w:val="74060F7A"/>
    <w:rsid w:val="74BB61F3"/>
    <w:rsid w:val="74D27DA9"/>
    <w:rsid w:val="74D925D0"/>
    <w:rsid w:val="754825D6"/>
    <w:rsid w:val="754D1D92"/>
    <w:rsid w:val="75676A2A"/>
    <w:rsid w:val="7574614E"/>
    <w:rsid w:val="758350A9"/>
    <w:rsid w:val="75AB44BA"/>
    <w:rsid w:val="75BA6C76"/>
    <w:rsid w:val="75DE488F"/>
    <w:rsid w:val="75F94007"/>
    <w:rsid w:val="76EE55AC"/>
    <w:rsid w:val="76F771B9"/>
    <w:rsid w:val="76FA1DA2"/>
    <w:rsid w:val="773521BD"/>
    <w:rsid w:val="77640DC4"/>
    <w:rsid w:val="77BE6726"/>
    <w:rsid w:val="77EE068E"/>
    <w:rsid w:val="783C352A"/>
    <w:rsid w:val="78412EB3"/>
    <w:rsid w:val="7851759A"/>
    <w:rsid w:val="78632E2A"/>
    <w:rsid w:val="788B412F"/>
    <w:rsid w:val="78AA2807"/>
    <w:rsid w:val="79687E1D"/>
    <w:rsid w:val="79B24069"/>
    <w:rsid w:val="7A0D129F"/>
    <w:rsid w:val="7AC07E9C"/>
    <w:rsid w:val="7B1E1268"/>
    <w:rsid w:val="7B560FD7"/>
    <w:rsid w:val="7B5F74F8"/>
    <w:rsid w:val="7B690630"/>
    <w:rsid w:val="7B7517F2"/>
    <w:rsid w:val="7B786BEC"/>
    <w:rsid w:val="7B8D37DB"/>
    <w:rsid w:val="7BC01667"/>
    <w:rsid w:val="7BD0027A"/>
    <w:rsid w:val="7C120F4C"/>
    <w:rsid w:val="7C5123F4"/>
    <w:rsid w:val="7C7E6FA2"/>
    <w:rsid w:val="7C947A56"/>
    <w:rsid w:val="7CA8270B"/>
    <w:rsid w:val="7CB77BE8"/>
    <w:rsid w:val="7D040AB6"/>
    <w:rsid w:val="7D4119E6"/>
    <w:rsid w:val="7DA0242A"/>
    <w:rsid w:val="7DAF162B"/>
    <w:rsid w:val="7DB303AF"/>
    <w:rsid w:val="7DB73264"/>
    <w:rsid w:val="7DC42B41"/>
    <w:rsid w:val="7DE06CCB"/>
    <w:rsid w:val="7DEB7B49"/>
    <w:rsid w:val="7E5971A9"/>
    <w:rsid w:val="7E896766"/>
    <w:rsid w:val="7F01339C"/>
    <w:rsid w:val="7F4D1F29"/>
    <w:rsid w:val="7F524A36"/>
    <w:rsid w:val="7F7462EF"/>
    <w:rsid w:val="7F77597E"/>
    <w:rsid w:val="7FA77AA0"/>
    <w:rsid w:val="7FB0104A"/>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character" w:customStyle="1" w:styleId="43">
    <w:name w:val="font21"/>
    <w:basedOn w:val="20"/>
    <w:autoRedefine/>
    <w:qFormat/>
    <w:uiPriority w:val="0"/>
    <w:rPr>
      <w:rFonts w:hint="default" w:ascii="等线" w:hAnsi="等线" w:eastAsia="等线" w:cs="等线"/>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1232</Words>
  <Characters>1315</Characters>
  <Lines>72</Lines>
  <Paragraphs>20</Paragraphs>
  <TotalTime>11</TotalTime>
  <ScaleCrop>false</ScaleCrop>
  <LinksUpToDate>false</LinksUpToDate>
  <CharactersWithSpaces>1395</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2026-05-18T08:13:38Z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