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default"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污水处理站扩建项目竣工结算审核服务采购项目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20358"/>
      <w:bookmarkStart w:id="2" w:name="_Toc3240"/>
      <w:bookmarkStart w:id="3" w:name="_Toc62832406"/>
      <w:bookmarkStart w:id="4" w:name="_Toc21919"/>
      <w:bookmarkStart w:id="5" w:name="_Toc1907"/>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5"/>
        <w:gridCol w:w="1869"/>
        <w:gridCol w:w="7204"/>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w:t>
            </w:r>
            <w:r>
              <w:rPr>
                <w:rFonts w:hint="eastAsia" w:ascii="Times New Roman" w:hAnsi="Times New Roman" w:eastAsia="仿宋" w:cs="Times New Roman"/>
                <w:sz w:val="22"/>
                <w:lang w:val="en-US" w:eastAsia="zh-CN"/>
              </w:rPr>
              <w:t>污水处理站扩建项目竣工结算审核服务采购项目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2" w:hRule="atLeast"/>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CGZX-SJB20261471</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87FF3F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本</w:t>
            </w:r>
            <w:r>
              <w:rPr>
                <w:rFonts w:hint="eastAsia" w:ascii="Times New Roman" w:hAnsi="Times New Roman" w:eastAsia="仿宋" w:cs="Times New Roman"/>
                <w:sz w:val="22"/>
              </w:rPr>
              <w:t>项目参照川价发(2008)141号文件，限高价40000元。</w:t>
            </w: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1.</w:t>
            </w:r>
            <w:r>
              <w:rPr>
                <w:rFonts w:ascii="Times New Roman" w:hAnsi="Times New Roman" w:eastAsia="仿宋" w:cs="Times New Roman"/>
                <w:sz w:val="22"/>
                <w:szCs w:val="22"/>
                <w:lang w:val="zh-CN"/>
              </w:rPr>
              <w:t>交款金额：</w:t>
            </w:r>
          </w:p>
          <w:p w14:paraId="00EA646A">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2.</w:t>
            </w: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3.</w:t>
            </w: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4.</w:t>
            </w: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自服务完成且验收合格后，采购人接到供应商退还申请后30个工作日内，一次性无息退还全部履约保证金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5.</w:t>
            </w:r>
            <w:r>
              <w:rPr>
                <w:rFonts w:ascii="Times New Roman" w:hAnsi="Times New Roman" w:eastAsia="仿宋" w:cs="Times New Roman"/>
                <w:sz w:val="22"/>
                <w:szCs w:val="22"/>
                <w:lang w:val="zh-CN"/>
              </w:rPr>
              <w:t>履约保证金不予退还情形：</w:t>
            </w:r>
          </w:p>
          <w:p w14:paraId="7A65F462">
            <w:pPr>
              <w:pStyle w:val="28"/>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7A456483">
            <w:pPr>
              <w:pStyle w:val="28"/>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w:t>
            </w:r>
            <w:r>
              <w:rPr>
                <w:rFonts w:hint="eastAsia" w:ascii="Times New Roman" w:hAnsi="Times New Roman" w:eastAsia="仿宋" w:cs="Times New Roman"/>
                <w:sz w:val="22"/>
                <w:lang w:val="en-US" w:eastAsia="zh-CN"/>
              </w:rPr>
              <w:t>低</w:t>
            </w:r>
            <w:r>
              <w:rPr>
                <w:rFonts w:ascii="Times New Roman" w:hAnsi="Times New Roman" w:eastAsia="仿宋" w:cs="Times New Roman"/>
                <w:sz w:val="22"/>
              </w:rPr>
              <w:t>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老师028-</w:t>
            </w:r>
            <w:r>
              <w:rPr>
                <w:rFonts w:hint="eastAsia" w:ascii="Times New Roman" w:hAnsi="Times New Roman" w:eastAsia="仿宋" w:cs="Times New Roman"/>
                <w:sz w:val="22"/>
              </w:rPr>
              <w:t>87393665</w:t>
            </w:r>
          </w:p>
          <w:p w14:paraId="32CEDDED">
            <w:pPr>
              <w:spacing w:line="360" w:lineRule="auto"/>
              <w:ind w:left="210" w:leftChars="100"/>
              <w:rPr>
                <w:rFonts w:hint="eastAsia" w:ascii="仿宋" w:hAnsi="仿宋" w:eastAsia="仿宋" w:cs="仿宋"/>
                <w:b/>
                <w:bCs/>
                <w:color w:val="auto"/>
                <w:sz w:val="22"/>
                <w:szCs w:val="22"/>
                <w:lang w:eastAsia="zh-CN"/>
              </w:rPr>
            </w:pPr>
            <w:r>
              <w:rPr>
                <w:rFonts w:ascii="Times New Roman" w:hAnsi="Times New Roman" w:eastAsia="仿宋" w:cs="Times New Roman"/>
                <w:sz w:val="22"/>
              </w:rPr>
              <w:t>（2）归口部门：</w:t>
            </w:r>
            <w:r>
              <w:rPr>
                <w:rFonts w:hint="eastAsia" w:ascii="仿宋" w:hAnsi="仿宋" w:eastAsia="仿宋" w:cs="仿宋"/>
                <w:b/>
                <w:bCs/>
                <w:color w:val="auto"/>
                <w:sz w:val="22"/>
                <w:szCs w:val="22"/>
                <w:lang w:val="en-US" w:eastAsia="zh-CN"/>
              </w:rPr>
              <w:t>审计部</w:t>
            </w:r>
          </w:p>
          <w:p w14:paraId="4524AB95">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仿宋" w:hAnsi="仿宋" w:eastAsia="仿宋" w:cs="仿宋"/>
                <w:color w:val="auto"/>
                <w:sz w:val="22"/>
                <w:szCs w:val="22"/>
                <w:lang w:val="en-US" w:eastAsia="zh-CN"/>
              </w:rPr>
              <w:t xml:space="preserve">谢老师 </w:t>
            </w:r>
            <w:r>
              <w:rPr>
                <w:rFonts w:ascii="Times New Roman" w:hAnsi="Times New Roman" w:eastAsia="仿宋" w:cs="Times New Roman"/>
                <w:sz w:val="22"/>
              </w:rPr>
              <w:t>028-873</w:t>
            </w:r>
            <w:r>
              <w:rPr>
                <w:rFonts w:hint="eastAsia" w:ascii="Times New Roman" w:hAnsi="Times New Roman" w:eastAsia="仿宋" w:cs="Times New Roman"/>
                <w:sz w:val="22"/>
                <w:lang w:val="en-US" w:eastAsia="zh-CN"/>
              </w:rPr>
              <w:t>93203</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1"/>
        <w:gridCol w:w="1995"/>
        <w:gridCol w:w="7008"/>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2820"/>
        <w:gridCol w:w="5916"/>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D430456">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w:t>
            </w:r>
          </w:p>
        </w:tc>
        <w:tc>
          <w:tcPr>
            <w:tcW w:w="6054" w:type="dxa"/>
            <w:vAlign w:val="center"/>
          </w:tcPr>
          <w:p w14:paraId="2F64669A">
            <w:pPr>
              <w:jc w:val="left"/>
              <w:rPr>
                <w:rFonts w:hint="default" w:ascii="Times New Roman" w:hAnsi="Times New Roman" w:eastAsia="仿宋" w:cs="Times New Roman"/>
                <w:bCs/>
                <w:kern w:val="0"/>
                <w:sz w:val="22"/>
                <w:lang w:val="en-US" w:eastAsia="zh-CN"/>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297"/>
        <w:gridCol w:w="6438"/>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68765DCC">
      <w:pPr>
        <w:pStyle w:val="1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ascii="仿宋" w:hAnsi="仿宋" w:eastAsia="仿宋"/>
          <w:b/>
          <w:bCs/>
          <w:sz w:val="24"/>
          <w:szCs w:val="24"/>
        </w:rPr>
      </w:pPr>
      <w:r>
        <w:rPr>
          <w:rFonts w:hint="eastAsia" w:ascii="仿宋" w:hAnsi="仿宋" w:eastAsia="仿宋"/>
          <w:b/>
          <w:bCs/>
          <w:sz w:val="24"/>
          <w:szCs w:val="24"/>
        </w:rPr>
        <w:t>一、项目简介</w:t>
      </w:r>
    </w:p>
    <w:p w14:paraId="68E8933F">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四川省人民医院污水处理站总建筑面积3052.70平方米，预计2026年10月竣工。合同价33341500.9元。本项目拟确定一家供应商提供四川省人民医院污水处理站扩建项目竣工结算审核服务。</w:t>
      </w:r>
    </w:p>
    <w:p w14:paraId="350A2AF5">
      <w:pPr>
        <w:pStyle w:val="1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仿宋" w:hAnsi="仿宋" w:eastAsia="仿宋"/>
          <w:b/>
          <w:bCs/>
          <w:sz w:val="24"/>
          <w:szCs w:val="24"/>
          <w:lang w:eastAsia="zh-CN"/>
        </w:rPr>
      </w:pPr>
      <w:r>
        <w:rPr>
          <w:rFonts w:hint="eastAsia" w:ascii="仿宋" w:hAnsi="仿宋" w:eastAsia="仿宋"/>
          <w:b/>
          <w:bCs/>
          <w:sz w:val="24"/>
          <w:szCs w:val="24"/>
        </w:rPr>
        <w:t>★二、</w:t>
      </w:r>
      <w:r>
        <w:rPr>
          <w:rFonts w:hint="eastAsia" w:ascii="仿宋" w:hAnsi="仿宋" w:eastAsia="仿宋"/>
          <w:b/>
          <w:bCs/>
          <w:sz w:val="24"/>
          <w:szCs w:val="24"/>
          <w:lang w:val="en-US" w:eastAsia="zh-CN"/>
        </w:rPr>
        <w:t>服务要求</w:t>
      </w:r>
    </w:p>
    <w:p w14:paraId="63C9E053">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适用建设项目结算审核工作，工作内容包括但不限于：审核竣工资料的真实性、完整性、合理性情况，审核工程计量是否严格执行了合同文件、相关规范和定额规定，审核工程造价的各项取费是否执行合同、相关定额及配套文件规定的标准，审核工程变更及现场签证的真实性、合规性、合理性情况，审核合同内容执行情况，揭示项目工程价款结算方面存在的问题。</w:t>
      </w:r>
    </w:p>
    <w:p w14:paraId="31286D54">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2.供应商应按照国家相关法律法规、规范标准和采购人相关规定、要求，独立、公正、科学地开展结算审核咨询服务工作，并承担相应的法律责任。</w:t>
      </w:r>
    </w:p>
    <w:p w14:paraId="323F86FB">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3.供应商应接受并服从采购人考核管理等相关要求。在服务期内，采购人有权根据本项目要求对考核要求进行调整，但须提前告知供应商。</w:t>
      </w:r>
    </w:p>
    <w:p w14:paraId="269030B6">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4.供应商应在本项目结算审核时限内完成审核及相关工作。</w:t>
      </w:r>
    </w:p>
    <w:p w14:paraId="2710031C">
      <w:pPr>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5.按照相关规范提交合格的结算审核报告书。</w:t>
      </w:r>
    </w:p>
    <w:p w14:paraId="6AF19EF8">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6.服务团队满足如下要求：</w:t>
      </w:r>
    </w:p>
    <w:p w14:paraId="7ED6351A">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（1）项目总负责人：配备1名，具有一级注册造价工程师资格和高级工程师及以上职称。</w:t>
      </w:r>
    </w:p>
    <w:p w14:paraId="61CB57BD">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（2）团队人员（除项目负责人以外）：配备2名，具有</w:t>
      </w:r>
      <w:bookmarkStart w:id="104" w:name="_GoBack"/>
      <w:bookmarkEnd w:id="104"/>
      <w:r>
        <w:rPr>
          <w:rFonts w:hint="eastAsia" w:ascii="仿宋" w:hAnsi="仿宋" w:eastAsia="仿宋" w:cs="仿宋"/>
          <w:kern w:val="2"/>
          <w:sz w:val="24"/>
          <w:szCs w:val="24"/>
          <w:lang w:val="en-US" w:eastAsia="zh-CN" w:bidi="ar-SA"/>
        </w:rPr>
        <w:t>二级注册造价工程师或以上资格。</w:t>
      </w:r>
      <w:r>
        <w:rPr>
          <w:rFonts w:hint="eastAsia" w:ascii="仿宋" w:hAnsi="仿宋" w:eastAsia="仿宋" w:cs="仿宋"/>
          <w:kern w:val="2"/>
          <w:sz w:val="24"/>
          <w:szCs w:val="24"/>
          <w:lang w:val="en-US" w:eastAsia="zh-CN" w:bidi="ar-SA"/>
        </w:rPr>
        <w:fldChar w:fldCharType="begin"/>
      </w:r>
      <w:r>
        <w:rPr>
          <w:rFonts w:hint="eastAsia" w:ascii="仿宋" w:hAnsi="仿宋" w:eastAsia="仿宋" w:cs="仿宋"/>
          <w:kern w:val="2"/>
          <w:sz w:val="24"/>
          <w:szCs w:val="24"/>
          <w:lang w:val="en-US" w:eastAsia="zh-CN" w:bidi="ar-SA"/>
        </w:rPr>
        <w:instrText xml:space="preserve"> HYPERLINK "https://ygp.gdzwfw.gov.cn/zjfwcs/gd-zjcs-pub/file/downloadfile/PjAttachment/b0858850-12a2-4ac1-9915-f288fb458060" \l "3#2" \t "https://chat.deepseek.com/a/chat/s/_blank" </w:instrText>
      </w:r>
      <w:r>
        <w:rPr>
          <w:rFonts w:hint="eastAsia" w:ascii="仿宋" w:hAnsi="仿宋" w:eastAsia="仿宋" w:cs="仿宋"/>
          <w:kern w:val="2"/>
          <w:sz w:val="24"/>
          <w:szCs w:val="24"/>
          <w:lang w:val="en-US" w:eastAsia="zh-CN" w:bidi="ar-SA"/>
        </w:rPr>
        <w:fldChar w:fldCharType="separate"/>
      </w:r>
      <w:r>
        <w:rPr>
          <w:rFonts w:hint="eastAsia" w:ascii="仿宋" w:hAnsi="仿宋" w:eastAsia="仿宋" w:cs="仿宋"/>
          <w:kern w:val="2"/>
          <w:sz w:val="24"/>
          <w:szCs w:val="24"/>
          <w:lang w:val="en-US" w:eastAsia="zh-CN" w:bidi="ar-SA"/>
        </w:rPr>
        <w:fldChar w:fldCharType="end"/>
      </w:r>
    </w:p>
    <w:p w14:paraId="64ADF549">
      <w:pPr>
        <w:pStyle w:val="1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仿宋" w:hAnsi="仿宋" w:eastAsia="仿宋"/>
          <w:b/>
          <w:bCs/>
          <w:sz w:val="24"/>
          <w:szCs w:val="24"/>
          <w:lang w:val="en-US" w:eastAsia="zh-CN"/>
        </w:rPr>
      </w:pPr>
      <w:r>
        <w:rPr>
          <w:rFonts w:hint="eastAsia" w:ascii="仿宋" w:hAnsi="仿宋" w:eastAsia="仿宋" w:cs="仿宋"/>
          <w:kern w:val="2"/>
          <w:sz w:val="24"/>
          <w:szCs w:val="24"/>
          <w:lang w:val="en-US" w:eastAsia="zh-CN" w:bidi="ar-SA"/>
        </w:rPr>
        <w:t>注：①以上人员供应商须提供对应的职称或注册证书复印件，注册证书均需注册（或登记）在供应商单位。②全国注册造价工程师、一级注册造价工程师具有同等效力；③提供以上相关材料复印件均须加盖供应商公章，另相关人员的注册类证书复印件还须加盖注册人员资格章。</w:t>
      </w:r>
      <w:r>
        <w:rPr>
          <w:rFonts w:hint="eastAsia" w:ascii="仿宋" w:hAnsi="仿宋" w:eastAsia="仿宋" w:cs="仿宋"/>
          <w:kern w:val="2"/>
          <w:sz w:val="24"/>
          <w:szCs w:val="24"/>
          <w:lang w:val="en-US" w:eastAsia="zh-CN" w:bidi="ar-SA"/>
        </w:rPr>
        <w:br w:type="textWrapping"/>
      </w:r>
      <w:r>
        <w:rPr>
          <w:rFonts w:hint="eastAsia" w:ascii="仿宋" w:hAnsi="仿宋" w:eastAsia="仿宋" w:cstheme="minorBidi"/>
          <w:b/>
          <w:bCs/>
          <w:kern w:val="2"/>
          <w:sz w:val="24"/>
          <w:szCs w:val="24"/>
          <w:lang w:val="en-US" w:eastAsia="zh-CN" w:bidi="ar-SA"/>
        </w:rPr>
        <w:t>三、</w:t>
      </w:r>
      <w:r>
        <w:rPr>
          <w:rFonts w:hint="eastAsia" w:ascii="仿宋" w:hAnsi="仿宋" w:eastAsia="仿宋"/>
          <w:b/>
          <w:bCs/>
          <w:sz w:val="24"/>
          <w:szCs w:val="24"/>
          <w:lang w:val="en-US" w:eastAsia="zh-CN"/>
        </w:rPr>
        <w:t>其他要求</w:t>
      </w:r>
    </w:p>
    <w:p w14:paraId="4FE8BFD0">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1.供应商针对本项目制定完整的服务方案，包括以下内容：①人员组织分工及技术质量保障方案、②项目进度计划安排清单、③项目进度保障措施。</w:t>
      </w:r>
    </w:p>
    <w:p w14:paraId="4C7E5789">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2.项目总负责人自2023年1月1日至今负责过类似竣工结算审核工作，需提供合同复印件（需体现项目总负责人姓名和项目内容）。</w:t>
      </w:r>
    </w:p>
    <w:p w14:paraId="2C9EA345">
      <w:pPr>
        <w:pStyle w:val="16"/>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3.2023年1月1日至今，供应商具有类似竣工结算审核项目业绩。</w:t>
      </w:r>
    </w:p>
    <w:p w14:paraId="1045FA87">
      <w:pPr>
        <w:pStyle w:val="16"/>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仿宋" w:hAnsi="仿宋" w:eastAsia="仿宋"/>
          <w:sz w:val="24"/>
          <w:szCs w:val="24"/>
          <w:lang w:val="en-US" w:eastAsia="zh-CN"/>
        </w:rPr>
      </w:pPr>
      <w:r>
        <w:rPr>
          <w:rFonts w:hint="eastAsia" w:ascii="仿宋" w:hAnsi="仿宋" w:eastAsia="仿宋"/>
          <w:b/>
          <w:bCs/>
          <w:sz w:val="24"/>
          <w:szCs w:val="24"/>
        </w:rPr>
        <w:t>★</w:t>
      </w:r>
      <w:r>
        <w:rPr>
          <w:rFonts w:hint="eastAsia" w:ascii="仿宋" w:hAnsi="仿宋" w:eastAsia="仿宋"/>
          <w:b/>
          <w:bCs/>
          <w:sz w:val="24"/>
          <w:szCs w:val="24"/>
          <w:lang w:val="en-US" w:eastAsia="zh-CN"/>
        </w:rPr>
        <w:t>四</w:t>
      </w:r>
      <w:r>
        <w:rPr>
          <w:rFonts w:hint="eastAsia" w:ascii="仿宋" w:hAnsi="仿宋" w:eastAsia="仿宋"/>
          <w:b/>
          <w:bCs/>
          <w:sz w:val="24"/>
          <w:szCs w:val="24"/>
        </w:rPr>
        <w:t>、商务要求：</w:t>
      </w:r>
      <w:r>
        <w:rPr>
          <w:rFonts w:hint="eastAsia" w:ascii="仿宋" w:hAnsi="仿宋" w:eastAsia="仿宋"/>
          <w:sz w:val="24"/>
          <w:szCs w:val="24"/>
        </w:rPr>
        <w:cr/>
      </w:r>
      <w:r>
        <w:rPr>
          <w:rFonts w:hint="eastAsia" w:ascii="仿宋" w:hAnsi="仿宋" w:eastAsia="仿宋"/>
          <w:sz w:val="24"/>
          <w:szCs w:val="24"/>
        </w:rPr>
        <w:t xml:space="preserve">  </w:t>
      </w:r>
      <w:r>
        <w:rPr>
          <w:rFonts w:hint="eastAsia" w:ascii="仿宋" w:hAnsi="仿宋" w:eastAsia="仿宋"/>
          <w:sz w:val="24"/>
          <w:szCs w:val="24"/>
          <w:lang w:val="en-US" w:eastAsia="zh-CN"/>
        </w:rPr>
        <w:t>1、资金支付条款：服务期满且经采购人验收合格后，供应商于 5 日内向采购人提供合法有效票据及其他相关请款资料，采购人于接到上述票据及资料后的55日内，向供应商支付合同总价100%的金额。</w:t>
      </w:r>
    </w:p>
    <w:p w14:paraId="09B084AB">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2、服务地点：四川省人民医院（包括所有院区）</w:t>
      </w:r>
    </w:p>
    <w:p w14:paraId="2422D4A7">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3、服务期限：合同签订后，接到完整结算资料后，60天完成。</w:t>
      </w:r>
    </w:p>
    <w:p w14:paraId="4369383D">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4、验收方案：</w:t>
      </w:r>
    </w:p>
    <w:p w14:paraId="04119043">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4.1验收时间：服务期满且供应商完成所有服务内容后5日内通知采购人验收，采购人接供应商通知后10日内组织验收。  </w:t>
      </w:r>
    </w:p>
    <w:p w14:paraId="2CCAFA2C">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4.2验收主体：采购人      </w:t>
      </w:r>
    </w:p>
    <w:p w14:paraId="6B93D811">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4.3验收组织方式：自行验收</w:t>
      </w:r>
    </w:p>
    <w:p w14:paraId="2924DE0E">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4.4验收方式：现场整体验收 </w:t>
      </w:r>
    </w:p>
    <w:p w14:paraId="029A8DEE">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4.5验收程序：一次性验收</w:t>
      </w:r>
    </w:p>
    <w:p w14:paraId="4A287D5D">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4.6验收内容：按照基于本项目采购需求编制的采购文件要求及供应商响应文件情况，由供应商向采购人提供的全部服务。</w:t>
      </w:r>
    </w:p>
    <w:p w14:paraId="7032C99C">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4.7验收标准：</w:t>
      </w:r>
    </w:p>
    <w:p w14:paraId="75B5481D">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4.7.1国家相关法律法规、行业标准、技术规范。</w:t>
      </w:r>
    </w:p>
    <w:p w14:paraId="57EB6F61">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4.7.2基于本项目采购需求编制的谈判文件相关技术、服务要求、成交供应商响应文件相关响应内容。</w:t>
      </w:r>
    </w:p>
    <w:p w14:paraId="198ABE4B">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4.7.3产品生产厂家出具的产品说明书、技术白皮书、医疗器械注册证或备案凭证等官方技术资料（如涉及）。</w:t>
      </w:r>
    </w:p>
    <w:p w14:paraId="69F344DD">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4.7.4如验收时，采购人与供应商认为本项目验收标准中的技术指标、质量要求等内容存在相互抵触或对其理解存在异议，应按照其中更严格的要求、标准等进行验收。</w:t>
      </w:r>
    </w:p>
    <w:p w14:paraId="1F99CDC4">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4.7.5参照《财政部关于进一步加强政府采购需求和履约验收管理的指导意见》（财库〔2016〕205号）的要求进行验收。</w:t>
      </w:r>
    </w:p>
    <w:p w14:paraId="5A0B27DF">
      <w:pPr>
        <w:pStyle w:val="16"/>
        <w:rPr>
          <w:rFonts w:hint="default" w:ascii="仿宋" w:hAnsi="仿宋" w:eastAsia="仿宋"/>
          <w:sz w:val="24"/>
          <w:szCs w:val="24"/>
          <w:lang w:val="en-US" w:eastAsia="zh-CN"/>
        </w:rPr>
      </w:pPr>
      <w:r>
        <w:rPr>
          <w:rFonts w:hint="eastAsia" w:ascii="仿宋" w:hAnsi="仿宋" w:eastAsia="仿宋"/>
          <w:sz w:val="24"/>
          <w:szCs w:val="24"/>
          <w:lang w:val="en-US" w:eastAsia="zh-CN"/>
        </w:rPr>
        <w:t>4.7.6 如本项目验收方式为考核验收，则考核结果须为合格。</w:t>
      </w:r>
    </w:p>
    <w:p w14:paraId="6E083847">
      <w:pPr>
        <w:pStyle w:val="16"/>
        <w:rPr>
          <w:rFonts w:hint="default" w:ascii="仿宋" w:hAnsi="仿宋" w:eastAsia="仿宋"/>
          <w:sz w:val="24"/>
          <w:szCs w:val="24"/>
          <w:lang w:val="en-US" w:eastAsia="zh-CN"/>
        </w:rPr>
      </w:pPr>
      <w:r>
        <w:rPr>
          <w:rFonts w:hint="eastAsia" w:ascii="仿宋" w:hAnsi="仿宋" w:eastAsia="仿宋"/>
          <w:sz w:val="24"/>
          <w:szCs w:val="24"/>
          <w:lang w:val="en-US" w:eastAsia="zh-CN"/>
        </w:rPr>
        <w:t>4.7.7其他验收标准：无</w:t>
      </w:r>
    </w:p>
    <w:p w14:paraId="12C07233">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4.8其它验收要求：无</w:t>
      </w:r>
    </w:p>
    <w:p w14:paraId="7C7F318A">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4.9是否委托第三方机构验收：否。</w:t>
      </w:r>
    </w:p>
    <w:p w14:paraId="04BC3DBC">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4.10是否邀请本项目的其他供应商：否</w:t>
      </w:r>
    </w:p>
    <w:p w14:paraId="24B0DC4F">
      <w:pPr>
        <w:pStyle w:val="16"/>
        <w:rPr>
          <w:rFonts w:hint="eastAsia" w:ascii="仿宋" w:hAnsi="仿宋" w:eastAsia="仿宋"/>
          <w:sz w:val="24"/>
          <w:szCs w:val="24"/>
          <w:lang w:val="en-US" w:eastAsia="zh-CN"/>
        </w:rPr>
      </w:pPr>
      <w:r>
        <w:rPr>
          <w:rFonts w:hint="eastAsia" w:ascii="仿宋" w:hAnsi="仿宋" w:eastAsia="仿宋"/>
          <w:sz w:val="24"/>
          <w:szCs w:val="24"/>
          <w:lang w:val="en-US" w:eastAsia="zh-CN"/>
        </w:rPr>
        <w:t>4.11是否邀请服务对象：否</w:t>
      </w:r>
    </w:p>
    <w:p w14:paraId="6D80FE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sz w:val="21"/>
          <w:szCs w:val="21"/>
          <w:lang w:val="en-US" w:eastAsia="zh-CN"/>
        </w:rPr>
      </w:pPr>
      <w:r>
        <w:rPr>
          <w:rFonts w:hint="eastAsia" w:ascii="仿宋" w:hAnsi="仿宋" w:eastAsia="仿宋"/>
          <w:sz w:val="24"/>
          <w:szCs w:val="24"/>
          <w:lang w:val="en-US" w:eastAsia="zh-CN"/>
        </w:rPr>
        <w:t>4.12是否邀请专家：否</w:t>
      </w:r>
    </w:p>
    <w:p w14:paraId="78A7595C">
      <w:pPr>
        <w:pStyle w:val="16"/>
        <w:ind w:firstLine="0"/>
        <w:rPr>
          <w:rFonts w:ascii="Times New Roman" w:hAnsi="Times New Roman" w:eastAsia="仿宋" w:cs="Times New Roman"/>
          <w:sz w:val="24"/>
          <w:szCs w:val="24"/>
        </w:rPr>
      </w:pPr>
    </w:p>
    <w:p w14:paraId="4A6A2942">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rPr>
          <w:rFonts w:ascii="Times New Roman" w:hAnsi="Times New Roman" w:eastAsia="宋体" w:cs="Times New Roman"/>
          <w:sz w:val="24"/>
          <w:szCs w:val="24"/>
        </w:rPr>
      </w:pPr>
      <w:r>
        <w:rPr>
          <w:rFonts w:ascii="Times New Roman" w:hAnsi="Times New Roman" w:eastAsia="宋体" w:cs="Times New Roman"/>
          <w:sz w:val="24"/>
          <w:szCs w:val="24"/>
        </w:rPr>
        <w:br w:type="page"/>
      </w:r>
    </w:p>
    <w:p w14:paraId="04DAF2E0">
      <w:pPr>
        <w:spacing w:line="360" w:lineRule="auto"/>
        <w:jc w:val="left"/>
        <w:rPr>
          <w:rFonts w:ascii="Times New Roman" w:hAnsi="Times New Roman" w:eastAsia="宋体" w:cs="Times New Roman"/>
          <w:sz w:val="24"/>
          <w:szCs w:val="24"/>
        </w:rPr>
      </w:pPr>
    </w:p>
    <w:p w14:paraId="1E53B04C">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7E701686">
      <w:pPr>
        <w:rPr>
          <w:rFonts w:ascii="Times New Roman" w:hAnsi="Times New Roman" w:cs="Times New Roman"/>
        </w:rPr>
      </w:pPr>
    </w:p>
    <w:tbl>
      <w:tblPr>
        <w:tblStyle w:val="18"/>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84"/>
        <w:gridCol w:w="709"/>
        <w:gridCol w:w="6520"/>
      </w:tblGrid>
      <w:tr w14:paraId="0F52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96" w:type="dxa"/>
            <w:noWrap/>
            <w:vAlign w:val="center"/>
          </w:tcPr>
          <w:p w14:paraId="2EDAB20C">
            <w:pPr>
              <w:rPr>
                <w:rFonts w:ascii="仿宋" w:hAnsi="仿宋" w:eastAsia="仿宋" w:cs="宋体"/>
                <w:b/>
                <w:bCs/>
                <w:sz w:val="24"/>
              </w:rPr>
            </w:pPr>
            <w:r>
              <w:br w:type="page"/>
            </w:r>
            <w:r>
              <w:rPr>
                <w:rFonts w:hint="eastAsia" w:ascii="仿宋" w:hAnsi="仿宋" w:eastAsia="仿宋" w:cs="宋体"/>
                <w:b/>
                <w:bCs/>
                <w:sz w:val="24"/>
              </w:rPr>
              <w:t>序号</w:t>
            </w:r>
          </w:p>
        </w:tc>
        <w:tc>
          <w:tcPr>
            <w:tcW w:w="1384" w:type="dxa"/>
            <w:noWrap/>
            <w:vAlign w:val="center"/>
          </w:tcPr>
          <w:p w14:paraId="16ED5299">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评分因素</w:t>
            </w:r>
          </w:p>
          <w:p w14:paraId="29868210">
            <w:pPr>
              <w:spacing w:line="400" w:lineRule="exact"/>
              <w:ind w:firstLine="28"/>
              <w:jc w:val="center"/>
              <w:rPr>
                <w:rFonts w:ascii="仿宋" w:hAnsi="仿宋" w:eastAsia="仿宋" w:cs="宋体"/>
                <w:b/>
                <w:bCs/>
                <w:sz w:val="24"/>
              </w:rPr>
            </w:pPr>
            <w:r>
              <w:rPr>
                <w:rFonts w:hint="eastAsia" w:ascii="仿宋" w:hAnsi="仿宋" w:eastAsia="仿宋" w:cs="宋体"/>
                <w:b/>
                <w:bCs/>
                <w:sz w:val="24"/>
              </w:rPr>
              <w:t>及权重</w:t>
            </w:r>
          </w:p>
        </w:tc>
        <w:tc>
          <w:tcPr>
            <w:tcW w:w="709" w:type="dxa"/>
            <w:noWrap/>
            <w:vAlign w:val="center"/>
          </w:tcPr>
          <w:p w14:paraId="2838686B">
            <w:pPr>
              <w:spacing w:line="400" w:lineRule="exact"/>
              <w:ind w:firstLine="28"/>
              <w:jc w:val="center"/>
              <w:rPr>
                <w:rFonts w:ascii="仿宋" w:hAnsi="仿宋" w:eastAsia="仿宋" w:cs="宋体"/>
                <w:b/>
                <w:bCs/>
                <w:sz w:val="24"/>
              </w:rPr>
            </w:pPr>
            <w:r>
              <w:rPr>
                <w:rFonts w:hint="eastAsia" w:ascii="仿宋" w:hAnsi="仿宋" w:eastAsia="仿宋" w:cs="宋体"/>
                <w:b/>
                <w:bCs/>
                <w:sz w:val="24"/>
              </w:rPr>
              <w:t>分值</w:t>
            </w:r>
          </w:p>
        </w:tc>
        <w:tc>
          <w:tcPr>
            <w:tcW w:w="6520" w:type="dxa"/>
            <w:noWrap/>
            <w:vAlign w:val="center"/>
          </w:tcPr>
          <w:p w14:paraId="170AAB16">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评分标准</w:t>
            </w:r>
          </w:p>
        </w:tc>
      </w:tr>
      <w:tr w14:paraId="00CC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96" w:type="dxa"/>
            <w:noWrap/>
            <w:vAlign w:val="center"/>
          </w:tcPr>
          <w:p w14:paraId="60670539">
            <w:pPr>
              <w:spacing w:line="400" w:lineRule="exact"/>
              <w:ind w:firstLine="28"/>
              <w:jc w:val="center"/>
              <w:rPr>
                <w:rFonts w:ascii="仿宋" w:hAnsi="仿宋" w:eastAsia="仿宋" w:cs="宋体"/>
                <w:sz w:val="24"/>
              </w:rPr>
            </w:pPr>
            <w:r>
              <w:rPr>
                <w:rFonts w:hint="eastAsia" w:ascii="仿宋" w:hAnsi="仿宋" w:eastAsia="仿宋" w:cs="宋体"/>
                <w:sz w:val="24"/>
              </w:rPr>
              <w:t>1</w:t>
            </w:r>
          </w:p>
        </w:tc>
        <w:tc>
          <w:tcPr>
            <w:tcW w:w="1384" w:type="dxa"/>
            <w:noWrap/>
            <w:vAlign w:val="center"/>
          </w:tcPr>
          <w:p w14:paraId="61990E7A">
            <w:pPr>
              <w:spacing w:line="400" w:lineRule="exact"/>
              <w:ind w:firstLine="28"/>
              <w:jc w:val="center"/>
              <w:rPr>
                <w:rFonts w:ascii="仿宋" w:hAnsi="仿宋" w:eastAsia="仿宋" w:cs="宋体"/>
                <w:sz w:val="24"/>
              </w:rPr>
            </w:pPr>
            <w:r>
              <w:rPr>
                <w:rFonts w:hint="eastAsia" w:ascii="仿宋" w:hAnsi="仿宋" w:eastAsia="仿宋" w:cs="宋体"/>
                <w:sz w:val="24"/>
              </w:rPr>
              <w:t>报价</w:t>
            </w:r>
          </w:p>
          <w:p w14:paraId="6B40522B">
            <w:pPr>
              <w:spacing w:line="400" w:lineRule="exact"/>
              <w:ind w:firstLine="28"/>
              <w:jc w:val="center"/>
              <w:rPr>
                <w:rFonts w:ascii="仿宋" w:hAnsi="仿宋" w:eastAsia="仿宋" w:cs="宋体"/>
                <w:sz w:val="24"/>
              </w:rPr>
            </w:pPr>
            <w:r>
              <w:rPr>
                <w:rFonts w:hint="eastAsia" w:ascii="仿宋" w:hAnsi="仿宋" w:eastAsia="仿宋" w:cs="宋体"/>
                <w:sz w:val="24"/>
              </w:rPr>
              <w:t>1</w:t>
            </w:r>
            <w:r>
              <w:rPr>
                <w:rFonts w:ascii="仿宋" w:hAnsi="仿宋" w:eastAsia="仿宋" w:cs="宋体"/>
                <w:sz w:val="24"/>
              </w:rPr>
              <w:t>0</w:t>
            </w:r>
            <w:r>
              <w:rPr>
                <w:rFonts w:hint="eastAsia" w:ascii="仿宋" w:hAnsi="仿宋" w:eastAsia="仿宋" w:cs="宋体"/>
                <w:sz w:val="24"/>
              </w:rPr>
              <w:t>%</w:t>
            </w:r>
          </w:p>
        </w:tc>
        <w:tc>
          <w:tcPr>
            <w:tcW w:w="709" w:type="dxa"/>
            <w:noWrap/>
            <w:vAlign w:val="center"/>
          </w:tcPr>
          <w:p w14:paraId="1D9D1C22">
            <w:pPr>
              <w:spacing w:line="400" w:lineRule="exact"/>
              <w:ind w:firstLine="28"/>
              <w:jc w:val="center"/>
              <w:rPr>
                <w:rFonts w:ascii="仿宋" w:hAnsi="仿宋" w:eastAsia="仿宋" w:cs="宋体"/>
                <w:sz w:val="24"/>
              </w:rPr>
            </w:pPr>
            <w:r>
              <w:rPr>
                <w:rFonts w:hint="eastAsia" w:ascii="仿宋" w:hAnsi="仿宋" w:eastAsia="仿宋" w:cs="宋体"/>
                <w:sz w:val="24"/>
              </w:rPr>
              <w:t>1</w:t>
            </w:r>
            <w:r>
              <w:rPr>
                <w:rFonts w:ascii="仿宋" w:hAnsi="仿宋" w:eastAsia="仿宋" w:cs="宋体"/>
                <w:sz w:val="24"/>
              </w:rPr>
              <w:t>0</w:t>
            </w:r>
          </w:p>
        </w:tc>
        <w:tc>
          <w:tcPr>
            <w:tcW w:w="6520" w:type="dxa"/>
            <w:noWrap/>
            <w:vAlign w:val="center"/>
          </w:tcPr>
          <w:p w14:paraId="368754CB">
            <w:pPr>
              <w:spacing w:line="360" w:lineRule="auto"/>
              <w:rPr>
                <w:rFonts w:ascii="仿宋" w:hAnsi="仿宋" w:eastAsia="仿宋" w:cs="宋体"/>
                <w:sz w:val="24"/>
              </w:rPr>
            </w:pPr>
            <w:r>
              <w:rPr>
                <w:rFonts w:hint="eastAsia" w:ascii="仿宋" w:hAnsi="仿宋" w:eastAsia="仿宋" w:cs="宋体"/>
                <w:sz w:val="24"/>
                <w:lang w:val="en-US" w:eastAsia="zh-CN"/>
              </w:rPr>
              <w:t>以满足谈判文件要求且有效报价最低的为评审基准价，其价格分为满分。其他供应商的报价得分按照下列公式计算：报价得分= 基准价／报价*10。</w:t>
            </w:r>
          </w:p>
        </w:tc>
      </w:tr>
      <w:tr w14:paraId="6383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48E02DE0">
            <w:pPr>
              <w:spacing w:line="360" w:lineRule="auto"/>
              <w:jc w:val="center"/>
              <w:rPr>
                <w:rFonts w:ascii="仿宋" w:hAnsi="仿宋" w:eastAsia="仿宋" w:cs="宋体"/>
                <w:sz w:val="24"/>
              </w:rPr>
            </w:pPr>
            <w:r>
              <w:rPr>
                <w:rFonts w:hint="eastAsia" w:ascii="仿宋" w:hAnsi="仿宋" w:eastAsia="仿宋"/>
                <w:sz w:val="24"/>
              </w:rPr>
              <w:t>2</w:t>
            </w:r>
          </w:p>
        </w:tc>
        <w:tc>
          <w:tcPr>
            <w:tcW w:w="1384" w:type="dxa"/>
            <w:noWrap/>
            <w:vAlign w:val="center"/>
          </w:tcPr>
          <w:p w14:paraId="5D8C550D">
            <w:pPr>
              <w:spacing w:line="360" w:lineRule="auto"/>
              <w:jc w:val="center"/>
              <w:rPr>
                <w:rFonts w:ascii="仿宋" w:hAnsi="仿宋" w:eastAsia="仿宋"/>
                <w:sz w:val="24"/>
              </w:rPr>
            </w:pPr>
            <w:r>
              <w:rPr>
                <w:rFonts w:hint="eastAsia" w:ascii="仿宋" w:hAnsi="仿宋" w:eastAsia="仿宋"/>
                <w:sz w:val="24"/>
              </w:rPr>
              <w:t>服务</w:t>
            </w:r>
          </w:p>
          <w:p w14:paraId="1ABFFEBA">
            <w:pPr>
              <w:spacing w:line="360" w:lineRule="auto"/>
              <w:jc w:val="center"/>
              <w:rPr>
                <w:rFonts w:ascii="仿宋" w:hAnsi="仿宋" w:eastAsia="仿宋"/>
                <w:sz w:val="24"/>
              </w:rPr>
            </w:pPr>
            <w:r>
              <w:rPr>
                <w:rFonts w:hint="eastAsia" w:ascii="仿宋" w:hAnsi="仿宋" w:eastAsia="仿宋"/>
                <w:sz w:val="24"/>
              </w:rPr>
              <w:t>方案</w:t>
            </w:r>
          </w:p>
          <w:p w14:paraId="5B4CBDEB">
            <w:pPr>
              <w:spacing w:line="360" w:lineRule="auto"/>
              <w:jc w:val="center"/>
              <w:rPr>
                <w:rFonts w:ascii="仿宋" w:hAnsi="仿宋" w:eastAsia="仿宋" w:cs="宋体"/>
                <w:sz w:val="24"/>
              </w:rPr>
            </w:pPr>
            <w:r>
              <w:rPr>
                <w:rFonts w:hint="eastAsia" w:ascii="仿宋" w:hAnsi="仿宋" w:eastAsia="仿宋"/>
                <w:sz w:val="24"/>
              </w:rPr>
              <w:t>15%</w:t>
            </w:r>
          </w:p>
        </w:tc>
        <w:tc>
          <w:tcPr>
            <w:tcW w:w="709" w:type="dxa"/>
            <w:noWrap/>
            <w:vAlign w:val="center"/>
          </w:tcPr>
          <w:p w14:paraId="2A1ED9FB">
            <w:pPr>
              <w:spacing w:line="360" w:lineRule="auto"/>
              <w:jc w:val="center"/>
              <w:rPr>
                <w:rFonts w:ascii="仿宋" w:hAnsi="仿宋" w:eastAsia="仿宋" w:cs="宋体"/>
                <w:sz w:val="24"/>
              </w:rPr>
            </w:pPr>
            <w:r>
              <w:rPr>
                <w:rFonts w:hint="eastAsia" w:ascii="仿宋" w:hAnsi="仿宋" w:eastAsia="仿宋"/>
                <w:sz w:val="24"/>
              </w:rPr>
              <w:t>15</w:t>
            </w:r>
          </w:p>
        </w:tc>
        <w:tc>
          <w:tcPr>
            <w:tcW w:w="6520" w:type="dxa"/>
            <w:noWrap/>
            <w:vAlign w:val="center"/>
          </w:tcPr>
          <w:p w14:paraId="083423AB">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供应商针对本项目制定完整的服务方案，包括以下内容：</w:t>
            </w:r>
            <w:r>
              <w:rPr>
                <w:rFonts w:hint="eastAsia" w:ascii="仿宋" w:hAnsi="仿宋" w:eastAsia="仿宋" w:cs="仿宋"/>
                <w:sz w:val="24"/>
                <w:szCs w:val="24"/>
              </w:rPr>
              <w:t>①人员组织分工及技术质量保障方案</w:t>
            </w:r>
            <w:r>
              <w:rPr>
                <w:rFonts w:hint="eastAsia" w:ascii="仿宋" w:hAnsi="仿宋" w:eastAsia="仿宋" w:cs="仿宋"/>
                <w:sz w:val="24"/>
                <w:szCs w:val="24"/>
                <w:lang w:eastAsia="zh-CN"/>
              </w:rPr>
              <w:t>、</w:t>
            </w:r>
            <w:r>
              <w:rPr>
                <w:rFonts w:hint="eastAsia" w:ascii="仿宋" w:hAnsi="仿宋" w:eastAsia="仿宋" w:cs="仿宋"/>
                <w:sz w:val="24"/>
                <w:szCs w:val="24"/>
              </w:rPr>
              <w:t>②项目进度计划安排</w:t>
            </w:r>
            <w:r>
              <w:rPr>
                <w:rFonts w:hint="eastAsia" w:ascii="仿宋" w:hAnsi="仿宋" w:eastAsia="仿宋" w:cs="仿宋"/>
                <w:sz w:val="24"/>
                <w:szCs w:val="24"/>
                <w:lang w:val="en-US" w:eastAsia="zh-CN"/>
              </w:rPr>
              <w:t>清单、</w:t>
            </w:r>
            <w:r>
              <w:rPr>
                <w:rFonts w:hint="default" w:ascii="仿宋" w:hAnsi="仿宋" w:eastAsia="仿宋" w:cs="仿宋"/>
                <w:sz w:val="24"/>
                <w:szCs w:val="24"/>
              </w:rPr>
              <w:t>③</w:t>
            </w:r>
            <w:r>
              <w:rPr>
                <w:rFonts w:hint="eastAsia" w:ascii="仿宋" w:hAnsi="仿宋" w:eastAsia="仿宋" w:cs="仿宋"/>
                <w:sz w:val="24"/>
                <w:szCs w:val="24"/>
              </w:rPr>
              <w:t>项目进度保障措施</w:t>
            </w:r>
            <w:r>
              <w:rPr>
                <w:rFonts w:hint="eastAsia" w:ascii="仿宋" w:hAnsi="仿宋" w:eastAsia="仿宋" w:cs="宋体"/>
                <w:color w:val="000000"/>
                <w:sz w:val="24"/>
                <w:lang w:val="en-US" w:eastAsia="zh-CN"/>
              </w:rPr>
              <w:t>。</w:t>
            </w:r>
          </w:p>
          <w:p w14:paraId="632753E0">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每有一项内容缺失扣5分，每有一处内容有缺陷的扣2.5分，直至本项分值扣完为止。</w:t>
            </w:r>
          </w:p>
          <w:p w14:paraId="01FE128D">
            <w:pPr>
              <w:spacing w:line="360" w:lineRule="auto"/>
              <w:rPr>
                <w:rFonts w:ascii="仿宋" w:hAnsi="仿宋" w:eastAsia="仿宋" w:cs="宋体"/>
                <w:color w:val="000000"/>
                <w:sz w:val="24"/>
              </w:rPr>
            </w:pPr>
            <w:r>
              <w:rPr>
                <w:rFonts w:hint="eastAsia" w:ascii="仿宋" w:hAnsi="仿宋" w:eastAsia="仿宋" w:cs="宋体"/>
                <w:color w:val="000000"/>
                <w:sz w:val="24"/>
                <w:lang w:val="en-US" w:eastAsia="zh-CN"/>
              </w:rPr>
              <w:t>注：缺陷包括但不限于：非专门针对本项目或不适用项目特性的情形、内容不完整或缺少关键节点、套用其他项目方案、内容前后矛盾、涉及的规范及标准错误、不利于项目实施、不可能实现的情形或明显错误等任意一种情形。</w:t>
            </w:r>
          </w:p>
        </w:tc>
      </w:tr>
      <w:tr w14:paraId="6757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96" w:type="dxa"/>
            <w:noWrap/>
            <w:vAlign w:val="center"/>
          </w:tcPr>
          <w:p w14:paraId="41844D92">
            <w:pPr>
              <w:spacing w:after="120" w:afterLines="50"/>
              <w:ind w:firstLine="28"/>
              <w:jc w:val="center"/>
              <w:rPr>
                <w:rFonts w:ascii="仿宋" w:hAnsi="仿宋" w:eastAsia="仿宋" w:cs="宋体"/>
                <w:sz w:val="24"/>
              </w:rPr>
            </w:pPr>
            <w:r>
              <w:rPr>
                <w:rFonts w:hint="eastAsia" w:ascii="仿宋" w:hAnsi="仿宋" w:eastAsia="仿宋" w:cs="宋体"/>
                <w:sz w:val="24"/>
              </w:rPr>
              <w:t>3</w:t>
            </w:r>
          </w:p>
        </w:tc>
        <w:tc>
          <w:tcPr>
            <w:tcW w:w="1384" w:type="dxa"/>
            <w:noWrap/>
            <w:vAlign w:val="center"/>
          </w:tcPr>
          <w:p w14:paraId="0BA0BAC6">
            <w:pPr>
              <w:spacing w:after="120" w:afterLines="50" w:line="360" w:lineRule="auto"/>
              <w:jc w:val="center"/>
              <w:rPr>
                <w:rFonts w:ascii="仿宋" w:hAnsi="仿宋" w:eastAsia="仿宋" w:cs="宋体"/>
                <w:sz w:val="24"/>
              </w:rPr>
            </w:pPr>
            <w:r>
              <w:rPr>
                <w:rFonts w:hint="eastAsia" w:ascii="仿宋" w:hAnsi="仿宋" w:eastAsia="仿宋" w:cs="宋体"/>
                <w:sz w:val="24"/>
              </w:rPr>
              <w:t>人员配置</w:t>
            </w:r>
            <w:r>
              <w:rPr>
                <w:rFonts w:hint="eastAsia" w:ascii="仿宋" w:hAnsi="仿宋" w:eastAsia="仿宋" w:cs="宋体"/>
                <w:sz w:val="24"/>
                <w:lang w:val="en-US" w:eastAsia="zh-CN"/>
              </w:rPr>
              <w:t>35</w:t>
            </w:r>
            <w:r>
              <w:rPr>
                <w:rFonts w:hint="eastAsia" w:ascii="仿宋" w:hAnsi="仿宋" w:eastAsia="仿宋" w:cs="宋体"/>
                <w:sz w:val="24"/>
              </w:rPr>
              <w:t>%</w:t>
            </w:r>
          </w:p>
        </w:tc>
        <w:tc>
          <w:tcPr>
            <w:tcW w:w="709" w:type="dxa"/>
            <w:noWrap/>
            <w:vAlign w:val="center"/>
          </w:tcPr>
          <w:p w14:paraId="302A0483">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35</w:t>
            </w:r>
          </w:p>
        </w:tc>
        <w:tc>
          <w:tcPr>
            <w:tcW w:w="6520" w:type="dxa"/>
            <w:noWrap/>
            <w:vAlign w:val="center"/>
          </w:tcPr>
          <w:p w14:paraId="3B8BFF66">
            <w:pPr>
              <w:spacing w:line="360" w:lineRule="auto"/>
              <w:rPr>
                <w:rFonts w:hint="eastAsia" w:ascii="仿宋" w:hAnsi="仿宋" w:eastAsia="仿宋" w:cs="Times New Roman"/>
                <w:sz w:val="24"/>
                <w:lang w:val="en-US" w:eastAsia="zh-CN"/>
              </w:rPr>
            </w:pPr>
            <w:r>
              <w:rPr>
                <w:rFonts w:ascii="仿宋" w:hAnsi="仿宋" w:eastAsia="仿宋" w:cs="Times New Roman"/>
                <w:sz w:val="24"/>
              </w:rPr>
              <w:t>供应商拟投入本项目的</w:t>
            </w:r>
            <w:r>
              <w:rPr>
                <w:rFonts w:hint="eastAsia" w:ascii="仿宋" w:hAnsi="仿宋" w:eastAsia="仿宋" w:cs="Times New Roman"/>
                <w:sz w:val="24"/>
                <w:lang w:val="en-US" w:eastAsia="zh-CN"/>
              </w:rPr>
              <w:t>人员：</w:t>
            </w:r>
          </w:p>
          <w:p w14:paraId="2C886158">
            <w:pPr>
              <w:numPr>
                <w:ilvl w:val="0"/>
                <w:numId w:val="0"/>
              </w:numPr>
              <w:spacing w:line="360" w:lineRule="auto"/>
              <w:rPr>
                <w:rFonts w:hint="eastAsia" w:ascii="仿宋" w:hAnsi="仿宋" w:eastAsia="仿宋" w:cs="Times New Roman"/>
                <w:sz w:val="24"/>
                <w:lang w:val="en-US" w:eastAsia="zh-CN"/>
              </w:rPr>
            </w:pPr>
            <w:r>
              <w:rPr>
                <w:rFonts w:hint="eastAsia" w:ascii="仿宋" w:hAnsi="仿宋" w:eastAsia="仿宋" w:cs="Times New Roman"/>
                <w:kern w:val="2"/>
                <w:sz w:val="24"/>
                <w:szCs w:val="22"/>
                <w:lang w:val="en-US" w:eastAsia="zh-CN" w:bidi="ar-SA"/>
              </w:rPr>
              <w:t>1.</w:t>
            </w:r>
            <w:r>
              <w:rPr>
                <w:rFonts w:hint="eastAsia" w:ascii="仿宋" w:hAnsi="仿宋" w:eastAsia="仿宋"/>
                <w:sz w:val="24"/>
                <w:szCs w:val="24"/>
                <w:lang w:val="en-US" w:eastAsia="zh-CN"/>
              </w:rPr>
              <w:t>项目总负责人自2023年1月1日至今负责过类似竣工结算审核工作的</w:t>
            </w:r>
            <w:r>
              <w:rPr>
                <w:rFonts w:hint="eastAsia" w:ascii="仿宋" w:hAnsi="仿宋" w:eastAsia="仿宋" w:cs="Times New Roman"/>
                <w:sz w:val="24"/>
                <w:lang w:val="en-US" w:eastAsia="zh-CN"/>
              </w:rPr>
              <w:t>，每有1个工作经验得5分，最高得25分。</w:t>
            </w:r>
          </w:p>
          <w:p w14:paraId="0718CA1C">
            <w:pPr>
              <w:numPr>
                <w:ilvl w:val="0"/>
                <w:numId w:val="0"/>
              </w:numPr>
              <w:spacing w:line="360" w:lineRule="auto"/>
              <w:rPr>
                <w:rFonts w:hint="eastAsia" w:ascii="仿宋" w:hAnsi="仿宋" w:eastAsia="仿宋" w:cs="Times New Roman"/>
                <w:sz w:val="24"/>
                <w:lang w:val="en-US" w:eastAsia="zh-CN"/>
              </w:rPr>
            </w:pPr>
            <w:r>
              <w:rPr>
                <w:rFonts w:hint="eastAsia" w:ascii="仿宋" w:hAnsi="仿宋" w:eastAsia="仿宋" w:cs="Times New Roman"/>
                <w:sz w:val="24"/>
                <w:lang w:val="en-US" w:eastAsia="zh-CN"/>
              </w:rPr>
              <w:t>需提供需提供合同复印件（需体现项目总负责人姓名和项目内容）并加盖供应商公章。</w:t>
            </w:r>
          </w:p>
          <w:p w14:paraId="7D3A3657">
            <w:pPr>
              <w:numPr>
                <w:ilvl w:val="0"/>
                <w:numId w:val="0"/>
              </w:numPr>
              <w:spacing w:line="360" w:lineRule="auto"/>
              <w:rPr>
                <w:rFonts w:hint="eastAsia" w:ascii="仿宋" w:hAnsi="仿宋" w:eastAsia="仿宋" w:cs="Times New Roman"/>
                <w:sz w:val="24"/>
                <w:lang w:val="en-US" w:eastAsia="zh-CN"/>
              </w:rPr>
            </w:pPr>
            <w:r>
              <w:rPr>
                <w:rFonts w:hint="eastAsia" w:ascii="仿宋" w:hAnsi="仿宋" w:eastAsia="仿宋" w:cs="Times New Roman"/>
                <w:kern w:val="2"/>
                <w:sz w:val="24"/>
                <w:szCs w:val="22"/>
                <w:lang w:val="en-US" w:eastAsia="zh-CN" w:bidi="ar-SA"/>
              </w:rPr>
              <w:t>2.</w:t>
            </w:r>
            <w:r>
              <w:rPr>
                <w:rFonts w:hint="eastAsia" w:ascii="仿宋" w:hAnsi="仿宋" w:eastAsia="仿宋" w:cs="Times New Roman"/>
                <w:sz w:val="24"/>
                <w:lang w:val="en-US" w:eastAsia="zh-CN"/>
              </w:rPr>
              <w:t>除项目负责人以外的团队人员，每有1人</w:t>
            </w:r>
            <w:r>
              <w:rPr>
                <w:rFonts w:hint="default" w:ascii="仿宋" w:hAnsi="仿宋" w:eastAsia="仿宋" w:cs="Times New Roman"/>
                <w:sz w:val="24"/>
                <w:lang w:val="en-US" w:eastAsia="zh-CN"/>
              </w:rPr>
              <w:t>具有一级注册造价工程师资格</w:t>
            </w:r>
            <w:r>
              <w:rPr>
                <w:rFonts w:hint="eastAsia" w:ascii="仿宋" w:hAnsi="仿宋" w:eastAsia="仿宋" w:cs="Times New Roman"/>
                <w:sz w:val="24"/>
                <w:lang w:val="en-US" w:eastAsia="zh-CN"/>
              </w:rPr>
              <w:t>的得5分</w:t>
            </w:r>
            <w:r>
              <w:rPr>
                <w:rFonts w:hint="default" w:ascii="仿宋" w:hAnsi="仿宋" w:eastAsia="仿宋" w:cs="Times New Roman"/>
                <w:sz w:val="24"/>
                <w:lang w:val="en-US" w:eastAsia="zh-CN"/>
              </w:rPr>
              <w:t>，</w:t>
            </w:r>
            <w:r>
              <w:rPr>
                <w:rFonts w:hint="eastAsia" w:ascii="仿宋" w:hAnsi="仿宋" w:eastAsia="仿宋" w:cs="Times New Roman"/>
                <w:sz w:val="24"/>
                <w:lang w:val="en-US" w:eastAsia="zh-CN"/>
              </w:rPr>
              <w:t>最多得10分。</w:t>
            </w:r>
          </w:p>
          <w:p w14:paraId="32CA6770">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需</w:t>
            </w:r>
            <w:r>
              <w:rPr>
                <w:rFonts w:hint="default" w:ascii="仿宋" w:hAnsi="仿宋" w:eastAsia="仿宋" w:cs="Times New Roman"/>
                <w:sz w:val="24"/>
                <w:lang w:val="en-US" w:eastAsia="zh-CN"/>
              </w:rPr>
              <w:t>提供证书证明材料并加盖供应商公章</w:t>
            </w:r>
            <w:r>
              <w:rPr>
                <w:rFonts w:hint="eastAsia" w:ascii="仿宋" w:hAnsi="仿宋" w:eastAsia="仿宋" w:cs="Times New Roman"/>
                <w:sz w:val="24"/>
                <w:lang w:val="en-US" w:eastAsia="zh-CN"/>
              </w:rPr>
              <w:t>。</w:t>
            </w:r>
          </w:p>
        </w:tc>
      </w:tr>
      <w:tr w14:paraId="69994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27E2AF10">
            <w:pPr>
              <w:spacing w:after="120" w:afterLines="50"/>
              <w:ind w:firstLine="28"/>
              <w:jc w:val="center"/>
              <w:rPr>
                <w:rFonts w:ascii="仿宋" w:hAnsi="仿宋" w:eastAsia="仿宋" w:cs="宋体"/>
                <w:sz w:val="24"/>
              </w:rPr>
            </w:pPr>
            <w:r>
              <w:rPr>
                <w:rFonts w:hint="eastAsia" w:ascii="仿宋" w:hAnsi="仿宋" w:eastAsia="仿宋" w:cs="宋体"/>
                <w:sz w:val="24"/>
              </w:rPr>
              <w:t>4</w:t>
            </w:r>
          </w:p>
        </w:tc>
        <w:tc>
          <w:tcPr>
            <w:tcW w:w="1384" w:type="dxa"/>
            <w:noWrap/>
            <w:vAlign w:val="center"/>
          </w:tcPr>
          <w:p w14:paraId="5D813B75">
            <w:pPr>
              <w:spacing w:after="120" w:afterLines="50" w:line="360" w:lineRule="auto"/>
              <w:jc w:val="center"/>
              <w:rPr>
                <w:rFonts w:ascii="仿宋" w:hAnsi="仿宋" w:eastAsia="仿宋" w:cs="宋体"/>
                <w:sz w:val="24"/>
              </w:rPr>
            </w:pPr>
            <w:r>
              <w:rPr>
                <w:rFonts w:hint="eastAsia" w:ascii="仿宋" w:hAnsi="仿宋" w:eastAsia="仿宋" w:cs="宋体"/>
                <w:sz w:val="24"/>
              </w:rPr>
              <w:t>业绩</w:t>
            </w:r>
          </w:p>
          <w:p w14:paraId="3E62AF49">
            <w:pPr>
              <w:spacing w:after="120" w:afterLines="50" w:line="360" w:lineRule="auto"/>
              <w:jc w:val="center"/>
              <w:rPr>
                <w:rFonts w:ascii="仿宋" w:hAnsi="仿宋" w:eastAsia="仿宋" w:cs="宋体"/>
                <w:sz w:val="24"/>
              </w:rPr>
            </w:pPr>
            <w:r>
              <w:rPr>
                <w:rFonts w:hint="eastAsia" w:ascii="仿宋" w:hAnsi="仿宋" w:eastAsia="仿宋" w:cs="宋体"/>
                <w:sz w:val="24"/>
                <w:lang w:val="en-US" w:eastAsia="zh-CN"/>
              </w:rPr>
              <w:t>40</w:t>
            </w:r>
            <w:r>
              <w:rPr>
                <w:rFonts w:hint="eastAsia" w:ascii="仿宋" w:hAnsi="仿宋" w:eastAsia="仿宋" w:cs="宋体"/>
                <w:sz w:val="24"/>
              </w:rPr>
              <w:t>%</w:t>
            </w:r>
          </w:p>
        </w:tc>
        <w:tc>
          <w:tcPr>
            <w:tcW w:w="709" w:type="dxa"/>
            <w:noWrap/>
            <w:vAlign w:val="center"/>
          </w:tcPr>
          <w:p w14:paraId="6AEB5F61">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40</w:t>
            </w:r>
          </w:p>
        </w:tc>
        <w:tc>
          <w:tcPr>
            <w:tcW w:w="6520" w:type="dxa"/>
            <w:noWrap/>
            <w:vAlign w:val="center"/>
          </w:tcPr>
          <w:p w14:paraId="6495F874">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2023年1月1日至今，供应商具有类似竣工结算审核项目业绩的，每提供1个得8分，本项最多得40分。</w:t>
            </w:r>
          </w:p>
          <w:p w14:paraId="219EF13C">
            <w:pPr>
              <w:spacing w:line="360" w:lineRule="auto"/>
              <w:rPr>
                <w:rFonts w:ascii="仿宋" w:hAnsi="仿宋" w:eastAsia="仿宋" w:cs="宋体"/>
                <w:color w:val="000000"/>
                <w:sz w:val="24"/>
              </w:rPr>
            </w:pPr>
            <w:r>
              <w:rPr>
                <w:rFonts w:hint="eastAsia" w:ascii="仿宋" w:hAnsi="仿宋" w:eastAsia="仿宋" w:cs="仿宋"/>
                <w:sz w:val="24"/>
                <w:szCs w:val="24"/>
                <w:lang w:val="en-US" w:eastAsia="zh-CN"/>
              </w:rPr>
              <w:t>注：</w:t>
            </w:r>
            <w:r>
              <w:rPr>
                <w:rFonts w:hint="eastAsia" w:ascii="仿宋" w:hAnsi="仿宋" w:eastAsia="仿宋" w:cs="仿宋"/>
                <w:sz w:val="24"/>
                <w:szCs w:val="24"/>
              </w:rPr>
              <w:t>须提供合同复印件并加盖公章。</w:t>
            </w:r>
          </w:p>
        </w:tc>
      </w:tr>
    </w:tbl>
    <w:p w14:paraId="665E61C0"/>
    <w:p w14:paraId="121219B9">
      <w:pPr>
        <w:rPr>
          <w:rFonts w:ascii="Times New Roman" w:hAnsi="Times New Roman" w:cs="Times New Roman"/>
        </w:rPr>
      </w:pPr>
      <w:bookmarkStart w:id="18" w:name="_Toc22827"/>
      <w:bookmarkStart w:id="19" w:name="_Toc3094"/>
      <w:bookmarkStart w:id="20" w:name="_Toc28171"/>
      <w:r>
        <w:rPr>
          <w:rFonts w:ascii="Times New Roman" w:hAnsi="Times New Roman" w:cs="Times New Roman"/>
        </w:rPr>
        <w:br w:type="page"/>
      </w:r>
    </w:p>
    <w:p w14:paraId="0B9F1C4B">
      <w:pPr>
        <w:pStyle w:val="2"/>
        <w:rPr>
          <w:rFonts w:ascii="Times New Roman" w:hAnsi="Times New Roman" w:cs="Times New Roman"/>
        </w:rPr>
      </w:pPr>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690"/>
      <w:bookmarkStart w:id="33" w:name="_Toc32749"/>
      <w:bookmarkStart w:id="34" w:name="_Toc17163"/>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6803"/>
      <w:bookmarkStart w:id="37" w:name="_Toc3558"/>
      <w:bookmarkStart w:id="38" w:name="_Toc2412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989"/>
      <w:bookmarkStart w:id="41" w:name="_Toc5996"/>
      <w:bookmarkStart w:id="42" w:name="_Toc2752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2031"/>
      <w:bookmarkStart w:id="46" w:name="_Toc5056"/>
      <w:bookmarkStart w:id="47" w:name="_Toc19987"/>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1352"/>
      <w:bookmarkStart w:id="49" w:name="_Toc6482"/>
      <w:bookmarkStart w:id="50" w:name="_Toc21519"/>
      <w:bookmarkStart w:id="51" w:name="_Toc3023"/>
      <w:bookmarkStart w:id="52" w:name="_Toc14829"/>
      <w:bookmarkStart w:id="53"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1838"/>
      <w:bookmarkStart w:id="55" w:name="_Toc30971"/>
      <w:bookmarkStart w:id="56" w:name="_Toc17857"/>
      <w:bookmarkStart w:id="57" w:name="_Toc4305"/>
      <w:bookmarkStart w:id="58" w:name="_Toc22676"/>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2015"/>
      <w:bookmarkStart w:id="68" w:name="_Toc27661"/>
      <w:bookmarkStart w:id="69" w:name="_Toc15526"/>
      <w:bookmarkStart w:id="70" w:name="_Toc20589"/>
      <w:bookmarkStart w:id="71" w:name="_Toc11351"/>
      <w:bookmarkStart w:id="72" w:name="_Toc25638"/>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3967"/>
      <w:bookmarkStart w:id="74" w:name="_Toc26969"/>
      <w:bookmarkStart w:id="75" w:name="_Toc12967"/>
      <w:bookmarkStart w:id="76" w:name="_Toc2041"/>
      <w:bookmarkStart w:id="77" w:name="_Toc1074"/>
      <w:bookmarkStart w:id="78" w:name="_Toc16435"/>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31686"/>
      <w:bookmarkStart w:id="80" w:name="_Toc24806"/>
      <w:bookmarkStart w:id="81" w:name="_Toc26839"/>
      <w:bookmarkStart w:id="82" w:name="_Toc28634"/>
      <w:bookmarkStart w:id="83" w:name="_Toc21082"/>
      <w:bookmarkStart w:id="84" w:name="_Toc1369"/>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98"/>
        <w:gridCol w:w="3096"/>
        <w:gridCol w:w="2986"/>
        <w:gridCol w:w="2571"/>
      </w:tblGrid>
      <w:tr w14:paraId="6A81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17" w:type="pct"/>
            <w:vAlign w:val="center"/>
          </w:tcPr>
          <w:p w14:paraId="3E795A10">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1604" w:type="pct"/>
            <w:vAlign w:val="center"/>
          </w:tcPr>
          <w:p w14:paraId="0DC726A8">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采购标的名称</w:t>
            </w:r>
          </w:p>
        </w:tc>
        <w:tc>
          <w:tcPr>
            <w:tcW w:w="2991" w:type="dxa"/>
            <w:vAlign w:val="center"/>
          </w:tcPr>
          <w:p w14:paraId="572EFFB4">
            <w:pPr>
              <w:pStyle w:val="7"/>
              <w:pBdr>
                <w:top w:val="none" w:color="auto" w:sz="0" w:space="0"/>
                <w:left w:val="none" w:color="auto" w:sz="0" w:space="0"/>
                <w:bottom w:val="none" w:color="auto" w:sz="0" w:space="0"/>
                <w:right w:val="none" w:color="auto" w:sz="0" w:space="0"/>
                <w:between w:val="none" w:color="auto" w:sz="0" w:space="0"/>
              </w:pBdr>
              <w:jc w:val="center"/>
              <w:rPr>
                <w:rFonts w:ascii="仿宋" w:hAnsi="仿宋" w:eastAsia="仿宋" w:cs="仿宋"/>
                <w:b/>
                <w:bCs/>
                <w:kern w:val="0"/>
                <w:sz w:val="24"/>
                <w:szCs w:val="24"/>
              </w:rPr>
            </w:pPr>
            <w:r>
              <w:rPr>
                <w:rFonts w:hint="eastAsia" w:eastAsia="宋体"/>
                <w:b/>
                <w:bCs/>
                <w:vertAlign w:val="baseline"/>
                <w:lang w:val="en-US" w:eastAsia="zh-CN"/>
              </w:rPr>
              <w:t>报价（元）</w:t>
            </w:r>
          </w:p>
        </w:tc>
        <w:tc>
          <w:tcPr>
            <w:tcW w:w="1332" w:type="pct"/>
            <w:vAlign w:val="center"/>
          </w:tcPr>
          <w:p w14:paraId="33CC70B7">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备注</w:t>
            </w:r>
          </w:p>
        </w:tc>
      </w:tr>
      <w:tr w14:paraId="518B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17" w:type="pct"/>
            <w:vAlign w:val="center"/>
          </w:tcPr>
          <w:p w14:paraId="1026F3E0">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rPr>
              <w:t>1</w:t>
            </w:r>
          </w:p>
        </w:tc>
        <w:tc>
          <w:tcPr>
            <w:tcW w:w="1604" w:type="pct"/>
            <w:vAlign w:val="center"/>
          </w:tcPr>
          <w:p w14:paraId="0E75681C">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lang w:eastAsia="zh-CN"/>
              </w:rPr>
              <w:t>四川省人民医院</w:t>
            </w:r>
            <w:r>
              <w:rPr>
                <w:rFonts w:hint="eastAsia" w:ascii="仿宋" w:hAnsi="仿宋" w:eastAsia="仿宋" w:cs="仿宋"/>
                <w:sz w:val="24"/>
                <w:szCs w:val="24"/>
                <w:lang w:val="en-US" w:eastAsia="zh-CN"/>
              </w:rPr>
              <w:t>污水处理站扩建项目竣工结算审核服务</w:t>
            </w:r>
          </w:p>
        </w:tc>
        <w:tc>
          <w:tcPr>
            <w:tcW w:w="2991" w:type="dxa"/>
            <w:vAlign w:val="center"/>
          </w:tcPr>
          <w:p w14:paraId="29431FEC">
            <w:pPr>
              <w:pStyle w:val="7"/>
              <w:pBdr>
                <w:top w:val="none" w:color="auto" w:sz="0" w:space="0"/>
                <w:left w:val="none" w:color="auto" w:sz="0" w:space="0"/>
                <w:bottom w:val="none" w:color="auto" w:sz="0" w:space="0"/>
                <w:right w:val="none" w:color="auto" w:sz="0" w:space="0"/>
                <w:between w:val="none" w:color="auto" w:sz="0" w:space="0"/>
              </w:pBdr>
              <w:jc w:val="left"/>
              <w:rPr>
                <w:rFonts w:hint="eastAsia" w:eastAsia="宋体"/>
                <w:b w:val="0"/>
                <w:bCs w:val="0"/>
                <w:vertAlign w:val="baseline"/>
                <w:lang w:val="en-US" w:eastAsia="zh-CN"/>
              </w:rPr>
            </w:pPr>
            <w:r>
              <w:rPr>
                <w:rFonts w:hint="eastAsia" w:eastAsia="宋体"/>
                <w:b w:val="0"/>
                <w:bCs w:val="0"/>
                <w:vertAlign w:val="baseline"/>
                <w:lang w:val="en-US" w:eastAsia="zh-CN"/>
              </w:rPr>
              <w:t>大写：</w:t>
            </w:r>
          </w:p>
          <w:p w14:paraId="67B1645D">
            <w:pPr>
              <w:pStyle w:val="7"/>
              <w:pBdr>
                <w:top w:val="none" w:color="auto" w:sz="0" w:space="0"/>
                <w:left w:val="none" w:color="auto" w:sz="0" w:space="0"/>
                <w:bottom w:val="none" w:color="auto" w:sz="0" w:space="0"/>
                <w:right w:val="none" w:color="auto" w:sz="0" w:space="0"/>
                <w:between w:val="none" w:color="auto" w:sz="0" w:space="0"/>
              </w:pBdr>
              <w:jc w:val="left"/>
              <w:rPr>
                <w:rFonts w:ascii="仿宋" w:hAnsi="仿宋" w:eastAsia="仿宋" w:cs="仿宋"/>
                <w:b/>
                <w:bCs/>
                <w:sz w:val="24"/>
                <w:szCs w:val="24"/>
              </w:rPr>
            </w:pPr>
            <w:r>
              <w:rPr>
                <w:rFonts w:hint="eastAsia" w:eastAsia="宋体"/>
                <w:b w:val="0"/>
                <w:bCs w:val="0"/>
                <w:vertAlign w:val="baseline"/>
                <w:lang w:val="en-US" w:eastAsia="zh-CN"/>
              </w:rPr>
              <w:t>小写：</w:t>
            </w:r>
          </w:p>
        </w:tc>
        <w:tc>
          <w:tcPr>
            <w:tcW w:w="1332" w:type="pct"/>
            <w:vAlign w:val="center"/>
          </w:tcPr>
          <w:p w14:paraId="71BCF070">
            <w:pPr>
              <w:pStyle w:val="7"/>
              <w:spacing w:after="0" w:line="360" w:lineRule="auto"/>
              <w:jc w:val="center"/>
              <w:rPr>
                <w:rFonts w:ascii="仿宋" w:hAnsi="仿宋" w:eastAsia="仿宋" w:cs="仿宋"/>
                <w:sz w:val="24"/>
                <w:szCs w:val="24"/>
              </w:rPr>
            </w:pPr>
          </w:p>
        </w:tc>
      </w:tr>
    </w:tbl>
    <w:p w14:paraId="273FD11C">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8"/>
        <w:tblW w:w="5000" w:type="pct"/>
        <w:jc w:val="center"/>
        <w:tblLayout w:type="autofit"/>
        <w:tblCellMar>
          <w:top w:w="0" w:type="dxa"/>
          <w:left w:w="0" w:type="dxa"/>
          <w:bottom w:w="0" w:type="dxa"/>
          <w:right w:w="0" w:type="dxa"/>
        </w:tblCellMar>
      </w:tblPr>
      <w:tblGrid>
        <w:gridCol w:w="4688"/>
        <w:gridCol w:w="4950"/>
      </w:tblGrid>
      <w:tr w14:paraId="53E544C7">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29"/>
        <w:numPr>
          <w:ilvl w:val="0"/>
          <w:numId w:val="11"/>
        </w:numPr>
        <w:ind w:left="0" w:firstLine="0" w:firstLineChars="0"/>
        <w:contextualSpacing/>
        <w:jc w:val="left"/>
        <w:rPr>
          <w:b/>
          <w:szCs w:val="21"/>
        </w:rPr>
      </w:pPr>
      <w:r>
        <w:rPr>
          <w:b/>
          <w:szCs w:val="21"/>
        </w:rPr>
        <w:t>合同标的</w:t>
      </w:r>
    </w:p>
    <w:p w14:paraId="2E385537">
      <w:pPr>
        <w:pStyle w:val="9"/>
        <w:numPr>
          <w:ilvl w:val="0"/>
          <w:numId w:val="12"/>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9"/>
        <w:numPr>
          <w:ilvl w:val="0"/>
          <w:numId w:val="12"/>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9"/>
        <w:numPr>
          <w:ilvl w:val="0"/>
          <w:numId w:val="12"/>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ind w:firstLine="0" w:firstLineChars="0"/>
              <w:jc w:val="center"/>
              <w:rPr>
                <w:color w:val="000000"/>
                <w:szCs w:val="21"/>
              </w:rPr>
            </w:pPr>
            <w:r>
              <w:rPr>
                <w:color w:val="000000"/>
                <w:szCs w:val="21"/>
              </w:rPr>
              <w:t>序号</w:t>
            </w:r>
          </w:p>
        </w:tc>
        <w:tc>
          <w:tcPr>
            <w:tcW w:w="2977" w:type="dxa"/>
            <w:vAlign w:val="center"/>
          </w:tcPr>
          <w:p w14:paraId="42032E31">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29"/>
              <w:ind w:firstLine="0" w:firstLineChars="0"/>
              <w:jc w:val="center"/>
              <w:rPr>
                <w:color w:val="000000"/>
                <w:szCs w:val="21"/>
              </w:rPr>
            </w:pPr>
            <w:r>
              <w:rPr>
                <w:color w:val="000000"/>
                <w:szCs w:val="21"/>
              </w:rPr>
              <w:t>具体内容</w:t>
            </w:r>
          </w:p>
        </w:tc>
        <w:tc>
          <w:tcPr>
            <w:tcW w:w="963" w:type="dxa"/>
            <w:vAlign w:val="center"/>
          </w:tcPr>
          <w:p w14:paraId="6E75E46C">
            <w:pPr>
              <w:pStyle w:val="29"/>
              <w:ind w:firstLine="0" w:firstLineChars="0"/>
              <w:jc w:val="center"/>
              <w:rPr>
                <w:color w:val="000000"/>
                <w:szCs w:val="21"/>
              </w:rPr>
            </w:pPr>
            <w:r>
              <w:rPr>
                <w:color w:val="000000"/>
                <w:szCs w:val="21"/>
              </w:rPr>
              <w:t>分项价格（万元）</w:t>
            </w:r>
          </w:p>
        </w:tc>
        <w:tc>
          <w:tcPr>
            <w:tcW w:w="2016" w:type="dxa"/>
          </w:tcPr>
          <w:p w14:paraId="3BC8F9B2">
            <w:pPr>
              <w:pStyle w:val="29"/>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rPr>
            </w:pPr>
            <w:r>
              <w:rPr>
                <w:rFonts w:hint="eastAsia"/>
                <w:color w:val="000000"/>
                <w:szCs w:val="21"/>
              </w:rPr>
              <w:t>1</w:t>
            </w:r>
          </w:p>
        </w:tc>
        <w:tc>
          <w:tcPr>
            <w:tcW w:w="2977" w:type="dxa"/>
            <w:vAlign w:val="center"/>
          </w:tcPr>
          <w:p w14:paraId="629F7C51">
            <w:pPr>
              <w:pStyle w:val="29"/>
              <w:ind w:firstLine="0" w:firstLineChars="0"/>
              <w:rPr>
                <w:color w:val="000000"/>
                <w:szCs w:val="21"/>
              </w:rPr>
            </w:pPr>
          </w:p>
        </w:tc>
        <w:tc>
          <w:tcPr>
            <w:tcW w:w="3686" w:type="dxa"/>
            <w:vAlign w:val="center"/>
          </w:tcPr>
          <w:p w14:paraId="1B711F72">
            <w:pPr>
              <w:pStyle w:val="29"/>
              <w:ind w:firstLine="0" w:firstLineChars="0"/>
              <w:rPr>
                <w:color w:val="000000"/>
                <w:szCs w:val="21"/>
              </w:rPr>
            </w:pPr>
          </w:p>
        </w:tc>
        <w:tc>
          <w:tcPr>
            <w:tcW w:w="963" w:type="dxa"/>
            <w:vAlign w:val="center"/>
          </w:tcPr>
          <w:p w14:paraId="5DD02118">
            <w:pPr>
              <w:pStyle w:val="29"/>
              <w:ind w:firstLine="0" w:firstLineChars="0"/>
              <w:jc w:val="center"/>
              <w:rPr>
                <w:color w:val="000000"/>
                <w:szCs w:val="21"/>
              </w:rPr>
            </w:pPr>
          </w:p>
        </w:tc>
        <w:tc>
          <w:tcPr>
            <w:tcW w:w="2016" w:type="dxa"/>
          </w:tcPr>
          <w:p w14:paraId="149276E7">
            <w:pPr>
              <w:pStyle w:val="29"/>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rPr>
            </w:pPr>
            <w:r>
              <w:rPr>
                <w:rFonts w:hint="eastAsia"/>
                <w:color w:val="000000"/>
                <w:szCs w:val="21"/>
              </w:rPr>
              <w:t>2</w:t>
            </w:r>
          </w:p>
        </w:tc>
        <w:tc>
          <w:tcPr>
            <w:tcW w:w="2977" w:type="dxa"/>
            <w:vAlign w:val="center"/>
          </w:tcPr>
          <w:p w14:paraId="0E44D544">
            <w:pPr>
              <w:pStyle w:val="29"/>
              <w:ind w:firstLine="0" w:firstLineChars="0"/>
              <w:rPr>
                <w:color w:val="000000"/>
                <w:szCs w:val="21"/>
              </w:rPr>
            </w:pPr>
          </w:p>
        </w:tc>
        <w:tc>
          <w:tcPr>
            <w:tcW w:w="3686" w:type="dxa"/>
            <w:vAlign w:val="center"/>
          </w:tcPr>
          <w:p w14:paraId="01B65D9C">
            <w:pPr>
              <w:pStyle w:val="29"/>
              <w:ind w:firstLine="0" w:firstLineChars="0"/>
              <w:rPr>
                <w:color w:val="000000"/>
                <w:szCs w:val="21"/>
              </w:rPr>
            </w:pPr>
          </w:p>
        </w:tc>
        <w:tc>
          <w:tcPr>
            <w:tcW w:w="963" w:type="dxa"/>
            <w:vAlign w:val="center"/>
          </w:tcPr>
          <w:p w14:paraId="4C31DD39">
            <w:pPr>
              <w:pStyle w:val="29"/>
              <w:ind w:firstLine="0" w:firstLineChars="0"/>
              <w:jc w:val="center"/>
              <w:rPr>
                <w:color w:val="000000"/>
                <w:szCs w:val="21"/>
              </w:rPr>
            </w:pPr>
          </w:p>
        </w:tc>
        <w:tc>
          <w:tcPr>
            <w:tcW w:w="2016" w:type="dxa"/>
          </w:tcPr>
          <w:p w14:paraId="3000AC5A">
            <w:pPr>
              <w:pStyle w:val="29"/>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2" w:type="dxa"/>
            <w:vAlign w:val="center"/>
          </w:tcPr>
          <w:p w14:paraId="5CFD05D7">
            <w:pPr>
              <w:pStyle w:val="29"/>
              <w:ind w:firstLine="0" w:firstLineChars="0"/>
              <w:jc w:val="center"/>
              <w:rPr>
                <w:color w:val="000000"/>
                <w:szCs w:val="21"/>
              </w:rPr>
            </w:pPr>
            <w:r>
              <w:rPr>
                <w:rFonts w:hint="eastAsia"/>
                <w:color w:val="000000"/>
                <w:szCs w:val="21"/>
              </w:rPr>
              <w:t>3</w:t>
            </w:r>
          </w:p>
        </w:tc>
        <w:tc>
          <w:tcPr>
            <w:tcW w:w="2977" w:type="dxa"/>
            <w:vAlign w:val="center"/>
          </w:tcPr>
          <w:p w14:paraId="71D5F885">
            <w:pPr>
              <w:pStyle w:val="29"/>
              <w:ind w:firstLine="0" w:firstLineChars="0"/>
              <w:rPr>
                <w:color w:val="000000"/>
                <w:szCs w:val="21"/>
              </w:rPr>
            </w:pPr>
          </w:p>
        </w:tc>
        <w:tc>
          <w:tcPr>
            <w:tcW w:w="3686" w:type="dxa"/>
            <w:vAlign w:val="center"/>
          </w:tcPr>
          <w:p w14:paraId="38AC0A57">
            <w:pPr>
              <w:pStyle w:val="29"/>
              <w:ind w:firstLine="0" w:firstLineChars="0"/>
              <w:rPr>
                <w:color w:val="000000"/>
                <w:szCs w:val="21"/>
              </w:rPr>
            </w:pPr>
          </w:p>
        </w:tc>
        <w:tc>
          <w:tcPr>
            <w:tcW w:w="963" w:type="dxa"/>
            <w:vAlign w:val="center"/>
          </w:tcPr>
          <w:p w14:paraId="3B158765">
            <w:pPr>
              <w:pStyle w:val="29"/>
              <w:ind w:firstLine="0" w:firstLineChars="0"/>
              <w:jc w:val="center"/>
              <w:rPr>
                <w:color w:val="000000"/>
                <w:szCs w:val="21"/>
              </w:rPr>
            </w:pPr>
          </w:p>
        </w:tc>
        <w:tc>
          <w:tcPr>
            <w:tcW w:w="2016" w:type="dxa"/>
          </w:tcPr>
          <w:p w14:paraId="43F7F4B9">
            <w:pPr>
              <w:pStyle w:val="29"/>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rPr>
            </w:pPr>
            <w:r>
              <w:rPr>
                <w:color w:val="000000"/>
                <w:szCs w:val="21"/>
              </w:rPr>
              <w:t>…</w:t>
            </w:r>
          </w:p>
        </w:tc>
        <w:tc>
          <w:tcPr>
            <w:tcW w:w="2977" w:type="dxa"/>
            <w:vAlign w:val="center"/>
          </w:tcPr>
          <w:p w14:paraId="492CFE5D">
            <w:pPr>
              <w:pStyle w:val="29"/>
              <w:ind w:firstLine="0" w:firstLineChars="0"/>
              <w:rPr>
                <w:color w:val="000000"/>
                <w:szCs w:val="21"/>
              </w:rPr>
            </w:pPr>
          </w:p>
        </w:tc>
        <w:tc>
          <w:tcPr>
            <w:tcW w:w="3686" w:type="dxa"/>
            <w:vAlign w:val="center"/>
          </w:tcPr>
          <w:p w14:paraId="5E27032F">
            <w:pPr>
              <w:pStyle w:val="29"/>
              <w:ind w:firstLine="0" w:firstLineChars="0"/>
              <w:rPr>
                <w:color w:val="000000"/>
                <w:szCs w:val="21"/>
              </w:rPr>
            </w:pPr>
          </w:p>
        </w:tc>
        <w:tc>
          <w:tcPr>
            <w:tcW w:w="963" w:type="dxa"/>
            <w:vAlign w:val="center"/>
          </w:tcPr>
          <w:p w14:paraId="19B21445">
            <w:pPr>
              <w:pStyle w:val="29"/>
              <w:ind w:firstLine="0" w:firstLineChars="0"/>
              <w:jc w:val="center"/>
              <w:rPr>
                <w:color w:val="000000"/>
                <w:szCs w:val="21"/>
              </w:rPr>
            </w:pPr>
          </w:p>
        </w:tc>
        <w:tc>
          <w:tcPr>
            <w:tcW w:w="2016" w:type="dxa"/>
          </w:tcPr>
          <w:p w14:paraId="5FC047A6">
            <w:pPr>
              <w:pStyle w:val="29"/>
              <w:ind w:firstLine="0" w:firstLineChars="0"/>
              <w:rPr>
                <w:color w:val="000000"/>
                <w:szCs w:val="21"/>
              </w:rPr>
            </w:pPr>
          </w:p>
        </w:tc>
      </w:tr>
    </w:tbl>
    <w:p w14:paraId="2D35C912">
      <w:pPr>
        <w:pStyle w:val="29"/>
        <w:numPr>
          <w:ilvl w:val="0"/>
          <w:numId w:val="11"/>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1"/>
      <w:bookmarkStart w:id="96" w:name="OLE_LINK2"/>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29"/>
        <w:numPr>
          <w:ilvl w:val="0"/>
          <w:numId w:val="11"/>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9"/>
        <w:jc w:val="left"/>
        <w:rPr>
          <w:bCs/>
          <w:szCs w:val="21"/>
        </w:rPr>
      </w:pPr>
    </w:p>
    <w:p w14:paraId="368787FF">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9"/>
        <w:jc w:val="left"/>
        <w:rPr>
          <w:bCs/>
          <w:szCs w:val="21"/>
        </w:rPr>
      </w:pPr>
    </w:p>
    <w:p w14:paraId="27DB179C">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B257405">
      <w:pPr>
        <w:pStyle w:val="29"/>
        <w:numPr>
          <w:ilvl w:val="0"/>
          <w:numId w:val="11"/>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29"/>
        <w:numPr>
          <w:ilvl w:val="0"/>
          <w:numId w:val="11"/>
        </w:numPr>
        <w:ind w:left="0" w:firstLine="0" w:firstLineChars="0"/>
        <w:contextualSpacing/>
        <w:jc w:val="left"/>
        <w:rPr>
          <w:b/>
          <w:szCs w:val="21"/>
        </w:rPr>
      </w:pPr>
      <w:r>
        <w:rPr>
          <w:b/>
          <w:szCs w:val="21"/>
        </w:rPr>
        <w:t>验收</w:t>
      </w:r>
    </w:p>
    <w:p w14:paraId="57707485">
      <w:pPr>
        <w:pStyle w:val="29"/>
        <w:numPr>
          <w:ilvl w:val="0"/>
          <w:numId w:val="13"/>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29"/>
        <w:numPr>
          <w:ilvl w:val="0"/>
          <w:numId w:val="13"/>
        </w:numPr>
        <w:ind w:left="0" w:firstLine="0" w:firstLineChars="0"/>
        <w:contextualSpacing/>
        <w:rPr>
          <w:szCs w:val="21"/>
        </w:rPr>
      </w:pPr>
      <w:r>
        <w:rPr>
          <w:szCs w:val="21"/>
        </w:rPr>
        <w:t>验收方案：</w:t>
      </w:r>
    </w:p>
    <w:p w14:paraId="10719FFA">
      <w:pPr>
        <w:pStyle w:val="29"/>
        <w:numPr>
          <w:ilvl w:val="0"/>
          <w:numId w:val="14"/>
        </w:numPr>
        <w:ind w:firstLineChars="0"/>
        <w:contextualSpacing/>
        <w:rPr>
          <w:color w:val="000000"/>
          <w:szCs w:val="21"/>
        </w:rPr>
      </w:pPr>
      <w:r>
        <w:rPr>
          <w:rFonts w:hint="eastAsia"/>
          <w:color w:val="000000"/>
          <w:szCs w:val="21"/>
        </w:rPr>
        <w:t>验收主体：甲方</w:t>
      </w:r>
    </w:p>
    <w:p w14:paraId="7212F6E2">
      <w:pPr>
        <w:pStyle w:val="29"/>
        <w:numPr>
          <w:ilvl w:val="0"/>
          <w:numId w:val="14"/>
        </w:numPr>
        <w:ind w:firstLineChars="0"/>
        <w:contextualSpacing/>
        <w:rPr>
          <w:color w:val="000000"/>
          <w:szCs w:val="21"/>
        </w:rPr>
      </w:pPr>
      <w:r>
        <w:rPr>
          <w:rFonts w:hint="eastAsia"/>
          <w:color w:val="000000"/>
          <w:szCs w:val="21"/>
        </w:rPr>
        <w:t>验收组织方式：自行验收</w:t>
      </w:r>
    </w:p>
    <w:p w14:paraId="5C963DBA">
      <w:pPr>
        <w:pStyle w:val="29"/>
        <w:numPr>
          <w:ilvl w:val="0"/>
          <w:numId w:val="14"/>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29"/>
        <w:numPr>
          <w:ilvl w:val="0"/>
          <w:numId w:val="14"/>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29"/>
        <w:numPr>
          <w:ilvl w:val="0"/>
          <w:numId w:val="14"/>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29"/>
        <w:numPr>
          <w:ilvl w:val="0"/>
          <w:numId w:val="14"/>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6"/>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29"/>
        <w:numPr>
          <w:ilvl w:val="0"/>
          <w:numId w:val="14"/>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29"/>
        <w:numPr>
          <w:ilvl w:val="0"/>
          <w:numId w:val="14"/>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29"/>
        <w:numPr>
          <w:ilvl w:val="0"/>
          <w:numId w:val="14"/>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29"/>
        <w:numPr>
          <w:ilvl w:val="0"/>
          <w:numId w:val="14"/>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29"/>
        <w:numPr>
          <w:ilvl w:val="0"/>
          <w:numId w:val="14"/>
        </w:numPr>
        <w:ind w:firstLineChars="0"/>
        <w:contextualSpacing/>
        <w:rPr>
          <w:szCs w:val="21"/>
        </w:rPr>
      </w:pPr>
      <w:r>
        <w:rPr>
          <w:szCs w:val="21"/>
        </w:rPr>
        <w:t>验收标准：</w:t>
      </w:r>
    </w:p>
    <w:p w14:paraId="24757C73">
      <w:pPr>
        <w:pStyle w:val="16"/>
        <w:numPr>
          <w:ilvl w:val="0"/>
          <w:numId w:val="15"/>
        </w:numPr>
        <w:spacing w:after="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6"/>
        <w:numPr>
          <w:ilvl w:val="0"/>
          <w:numId w:val="15"/>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6"/>
        <w:numPr>
          <w:ilvl w:val="0"/>
          <w:numId w:val="15"/>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6"/>
        <w:numPr>
          <w:ilvl w:val="0"/>
          <w:numId w:val="15"/>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6"/>
        <w:numPr>
          <w:ilvl w:val="0"/>
          <w:numId w:val="15"/>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6"/>
        <w:numPr>
          <w:ilvl w:val="0"/>
          <w:numId w:val="15"/>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29"/>
        <w:numPr>
          <w:ilvl w:val="0"/>
          <w:numId w:val="14"/>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29"/>
        <w:numPr>
          <w:ilvl w:val="0"/>
          <w:numId w:val="13"/>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29"/>
        <w:numPr>
          <w:ilvl w:val="0"/>
          <w:numId w:val="11"/>
        </w:numPr>
        <w:ind w:left="0" w:firstLine="0" w:firstLineChars="0"/>
        <w:contextualSpacing/>
        <w:jc w:val="left"/>
        <w:rPr>
          <w:b/>
          <w:szCs w:val="21"/>
        </w:rPr>
      </w:pPr>
      <w:r>
        <w:rPr>
          <w:b/>
          <w:szCs w:val="21"/>
        </w:rPr>
        <w:t>付款方式</w:t>
      </w:r>
    </w:p>
    <w:p w14:paraId="5CC20725">
      <w:pPr>
        <w:pStyle w:val="9"/>
        <w:numPr>
          <w:ilvl w:val="0"/>
          <w:numId w:val="16"/>
        </w:numPr>
        <w:spacing w:after="0" w:line="240" w:lineRule="auto"/>
        <w:ind w:left="227" w:leftChars="0" w:hanging="227"/>
        <w:contextualSpacing/>
        <w:jc w:val="left"/>
        <w:rPr>
          <w:szCs w:val="21"/>
        </w:rPr>
      </w:pPr>
      <w:r>
        <w:rPr>
          <w:szCs w:val="21"/>
        </w:rPr>
        <w:t>履约保证金：</w:t>
      </w:r>
    </w:p>
    <w:p w14:paraId="1A98FD8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9"/>
        <w:numPr>
          <w:ilvl w:val="0"/>
          <w:numId w:val="16"/>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6"/>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9"/>
        <w:numPr>
          <w:ilvl w:val="0"/>
          <w:numId w:val="16"/>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9"/>
        <w:numPr>
          <w:ilvl w:val="0"/>
          <w:numId w:val="16"/>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29"/>
        <w:numPr>
          <w:ilvl w:val="0"/>
          <w:numId w:val="11"/>
        </w:numPr>
        <w:ind w:left="0" w:firstLine="0" w:firstLineChars="0"/>
        <w:contextualSpacing/>
        <w:jc w:val="left"/>
        <w:rPr>
          <w:b/>
          <w:szCs w:val="21"/>
        </w:rPr>
      </w:pPr>
      <w:r>
        <w:rPr>
          <w:b/>
          <w:szCs w:val="21"/>
        </w:rPr>
        <w:t>双方权利与义务</w:t>
      </w:r>
    </w:p>
    <w:p w14:paraId="581F8AA0">
      <w:pPr>
        <w:pStyle w:val="9"/>
        <w:numPr>
          <w:ilvl w:val="0"/>
          <w:numId w:val="17"/>
        </w:numPr>
        <w:spacing w:after="0" w:line="240" w:lineRule="auto"/>
        <w:ind w:left="227" w:leftChars="0" w:hanging="227"/>
        <w:contextualSpacing/>
        <w:jc w:val="left"/>
        <w:rPr>
          <w:szCs w:val="21"/>
        </w:rPr>
      </w:pPr>
      <w:r>
        <w:rPr>
          <w:szCs w:val="21"/>
        </w:rPr>
        <w:t>甲方权利与义务</w:t>
      </w:r>
    </w:p>
    <w:p w14:paraId="4D16113D">
      <w:pPr>
        <w:pStyle w:val="29"/>
        <w:numPr>
          <w:ilvl w:val="0"/>
          <w:numId w:val="18"/>
        </w:numPr>
        <w:adjustRightInd w:val="0"/>
        <w:ind w:left="525" w:hanging="525" w:hangingChars="250"/>
        <w:contextualSpacing/>
        <w:jc w:val="left"/>
        <w:rPr>
          <w:szCs w:val="21"/>
        </w:rPr>
      </w:pPr>
      <w:r>
        <w:rPr>
          <w:szCs w:val="21"/>
        </w:rPr>
        <w:t>按合同约定向乙方支付费用。</w:t>
      </w:r>
    </w:p>
    <w:p w14:paraId="62A02753">
      <w:pPr>
        <w:pStyle w:val="29"/>
        <w:numPr>
          <w:ilvl w:val="0"/>
          <w:numId w:val="18"/>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29"/>
        <w:numPr>
          <w:ilvl w:val="0"/>
          <w:numId w:val="18"/>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29"/>
        <w:numPr>
          <w:ilvl w:val="0"/>
          <w:numId w:val="18"/>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9"/>
        <w:numPr>
          <w:ilvl w:val="0"/>
          <w:numId w:val="17"/>
        </w:numPr>
        <w:spacing w:after="0" w:line="240" w:lineRule="auto"/>
        <w:ind w:left="227" w:leftChars="0" w:hanging="227"/>
        <w:contextualSpacing/>
        <w:jc w:val="left"/>
        <w:rPr>
          <w:szCs w:val="21"/>
        </w:rPr>
      </w:pPr>
      <w:r>
        <w:rPr>
          <w:szCs w:val="21"/>
        </w:rPr>
        <w:t>乙方权利与义务</w:t>
      </w:r>
    </w:p>
    <w:p w14:paraId="319B30B1">
      <w:pPr>
        <w:pStyle w:val="9"/>
        <w:numPr>
          <w:ilvl w:val="0"/>
          <w:numId w:val="19"/>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9"/>
        <w:numPr>
          <w:ilvl w:val="0"/>
          <w:numId w:val="19"/>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9"/>
        <w:numPr>
          <w:ilvl w:val="0"/>
          <w:numId w:val="19"/>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9"/>
        <w:numPr>
          <w:ilvl w:val="0"/>
          <w:numId w:val="19"/>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9"/>
        <w:numPr>
          <w:ilvl w:val="0"/>
          <w:numId w:val="19"/>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29"/>
        <w:numPr>
          <w:ilvl w:val="0"/>
          <w:numId w:val="11"/>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9"/>
        <w:numPr>
          <w:ilvl w:val="0"/>
          <w:numId w:val="20"/>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29"/>
        <w:numPr>
          <w:ilvl w:val="0"/>
          <w:numId w:val="20"/>
        </w:numPr>
        <w:ind w:left="0" w:firstLine="0" w:firstLineChars="0"/>
        <w:rPr>
          <w:szCs w:val="21"/>
        </w:rPr>
      </w:pPr>
      <w:r>
        <w:rPr>
          <w:szCs w:val="21"/>
        </w:rPr>
        <w:t>乙方违约责任：</w:t>
      </w:r>
    </w:p>
    <w:p w14:paraId="354B31C5">
      <w:pPr>
        <w:pStyle w:val="9"/>
        <w:numPr>
          <w:ilvl w:val="0"/>
          <w:numId w:val="21"/>
        </w:numPr>
        <w:spacing w:after="0" w:line="240" w:lineRule="auto"/>
        <w:ind w:left="525" w:leftChars="0" w:hanging="525" w:hangingChars="250"/>
        <w:contextualSpacing/>
        <w:jc w:val="left"/>
        <w:rPr>
          <w:szCs w:val="21"/>
        </w:rPr>
      </w:pPr>
      <w:bookmarkStart w:id="101" w:name="OLE_LINK18"/>
      <w:bookmarkStart w:id="102"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1"/>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9"/>
        <w:numPr>
          <w:ilvl w:val="0"/>
          <w:numId w:val="21"/>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9"/>
        <w:numPr>
          <w:ilvl w:val="0"/>
          <w:numId w:val="21"/>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21"/>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9"/>
        <w:numPr>
          <w:ilvl w:val="0"/>
          <w:numId w:val="21"/>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9"/>
        <w:numPr>
          <w:ilvl w:val="0"/>
          <w:numId w:val="21"/>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9"/>
        <w:numPr>
          <w:ilvl w:val="0"/>
          <w:numId w:val="21"/>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1"/>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29"/>
        <w:numPr>
          <w:ilvl w:val="0"/>
          <w:numId w:val="11"/>
        </w:numPr>
        <w:ind w:left="0" w:firstLine="0" w:firstLineChars="0"/>
        <w:contextualSpacing/>
        <w:jc w:val="left"/>
        <w:rPr>
          <w:b/>
          <w:szCs w:val="21"/>
        </w:rPr>
      </w:pPr>
      <w:r>
        <w:rPr>
          <w:b/>
          <w:szCs w:val="21"/>
        </w:rPr>
        <w:t>不可抗力</w:t>
      </w:r>
    </w:p>
    <w:p w14:paraId="26541785">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29"/>
        <w:numPr>
          <w:ilvl w:val="0"/>
          <w:numId w:val="11"/>
        </w:numPr>
        <w:ind w:left="0" w:firstLine="0" w:firstLineChars="0"/>
        <w:contextualSpacing/>
        <w:jc w:val="left"/>
        <w:rPr>
          <w:b/>
          <w:szCs w:val="21"/>
        </w:rPr>
      </w:pPr>
      <w:r>
        <w:rPr>
          <w:b/>
          <w:szCs w:val="21"/>
        </w:rPr>
        <w:t>合同终止及解除</w:t>
      </w:r>
    </w:p>
    <w:p w14:paraId="275C61D9">
      <w:pPr>
        <w:pStyle w:val="29"/>
        <w:numPr>
          <w:ilvl w:val="0"/>
          <w:numId w:val="22"/>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2"/>
        </w:numPr>
        <w:ind w:left="0" w:firstLine="0" w:firstLineChars="0"/>
        <w:rPr>
          <w:szCs w:val="21"/>
        </w:rPr>
      </w:pPr>
      <w:r>
        <w:rPr>
          <w:szCs w:val="21"/>
        </w:rPr>
        <w:t>在甲、乙任何一方有严重违约行为时，另一方有权单方解除合同。</w:t>
      </w:r>
    </w:p>
    <w:p w14:paraId="2BA7B89E">
      <w:pPr>
        <w:pStyle w:val="29"/>
        <w:numPr>
          <w:ilvl w:val="0"/>
          <w:numId w:val="11"/>
        </w:numPr>
        <w:ind w:left="0" w:firstLine="0" w:firstLineChars="0"/>
        <w:contextualSpacing/>
        <w:jc w:val="left"/>
        <w:rPr>
          <w:b/>
          <w:szCs w:val="21"/>
        </w:rPr>
      </w:pPr>
      <w:r>
        <w:rPr>
          <w:b/>
          <w:szCs w:val="21"/>
        </w:rPr>
        <w:t>争议解决办法</w:t>
      </w:r>
    </w:p>
    <w:p w14:paraId="5C6244A3">
      <w:pPr>
        <w:pStyle w:val="29"/>
        <w:numPr>
          <w:ilvl w:val="0"/>
          <w:numId w:val="23"/>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3"/>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29"/>
        <w:numPr>
          <w:ilvl w:val="0"/>
          <w:numId w:val="11"/>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4"/>
        <w:numPr>
          <w:ilvl w:val="0"/>
          <w:numId w:val="24"/>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4"/>
        <w:numPr>
          <w:ilvl w:val="0"/>
          <w:numId w:val="24"/>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4"/>
        <w:numPr>
          <w:ilvl w:val="0"/>
          <w:numId w:val="24"/>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1"/>
        </w:numPr>
        <w:ind w:left="0" w:firstLine="0" w:firstLineChars="0"/>
        <w:contextualSpacing/>
        <w:jc w:val="left"/>
        <w:rPr>
          <w:b/>
          <w:szCs w:val="21"/>
        </w:rPr>
      </w:pPr>
      <w:r>
        <w:rPr>
          <w:b/>
          <w:szCs w:val="21"/>
        </w:rPr>
        <w:t>其他</w:t>
      </w:r>
    </w:p>
    <w:p w14:paraId="162904B6">
      <w:pPr>
        <w:pStyle w:val="29"/>
        <w:numPr>
          <w:ilvl w:val="0"/>
          <w:numId w:val="25"/>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29"/>
        <w:numPr>
          <w:ilvl w:val="0"/>
          <w:numId w:val="25"/>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29"/>
        <w:numPr>
          <w:ilvl w:val="0"/>
          <w:numId w:val="11"/>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7"/>
        <w:rPr>
          <w:rFonts w:ascii="仿宋" w:hAnsi="仿宋" w:eastAsia="仿宋" w:cs="仿宋"/>
          <w:sz w:val="28"/>
          <w:szCs w:val="36"/>
        </w:rPr>
      </w:pPr>
    </w:p>
    <w:p w14:paraId="5A954D06">
      <w:pPr>
        <w:pStyle w:val="7"/>
        <w:rPr>
          <w:rFonts w:ascii="仿宋" w:hAnsi="仿宋" w:eastAsia="仿宋" w:cs="仿宋"/>
          <w:sz w:val="28"/>
          <w:szCs w:val="36"/>
        </w:rPr>
      </w:pPr>
    </w:p>
    <w:p w14:paraId="1C759154">
      <w:pPr>
        <w:pStyle w:val="7"/>
        <w:rPr>
          <w:rFonts w:ascii="仿宋" w:hAnsi="仿宋" w:eastAsia="仿宋" w:cs="仿宋"/>
          <w:sz w:val="28"/>
          <w:szCs w:val="36"/>
        </w:rPr>
      </w:pPr>
    </w:p>
    <w:p w14:paraId="7A5531E3">
      <w:pPr>
        <w:pStyle w:val="7"/>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6"/>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4B750D3-60B6-47E3-815D-EFFA10F061A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F08EE80-5535-4CAF-B8D4-12DDFE06DB9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CE96B5F0-DE2C-4EA2-B5FA-89DC6A0C29B0}"/>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4B948E4-0611-4DEC-8FE5-6F93775B82E8}"/>
  </w:font>
  <w:font w:name="Segoe UI Symbol">
    <w:panose1 w:val="020B0502040204020203"/>
    <w:charset w:val="00"/>
    <w:family w:val="swiss"/>
    <w:pitch w:val="default"/>
    <w:sig w:usb0="800001E3" w:usb1="1200FFEF" w:usb2="00040000" w:usb3="04000000" w:csb0="00000001" w:csb1="40000000"/>
    <w:embedRegular r:id="rId5" w:fontKey="{F15CE243-9788-40CE-90D4-D0596B01856B}"/>
  </w:font>
  <w:font w:name="Wingdings 2">
    <w:altName w:val="Wingdings"/>
    <w:panose1 w:val="05020102010507070707"/>
    <w:charset w:val="4D"/>
    <w:family w:val="decorative"/>
    <w:pitch w:val="default"/>
    <w:sig w:usb0="00000000" w:usb1="00000000" w:usb2="00000000" w:usb3="00000000" w:csb0="80000000" w:csb1="00000000"/>
    <w:embedRegular r:id="rId6" w:fontKey="{222DE357-2919-4DBE-B817-D0449F6CF047}"/>
  </w:font>
  <w:font w:name="微软雅黑">
    <w:panose1 w:val="020B0503020204020204"/>
    <w:charset w:val="86"/>
    <w:family w:val="swiss"/>
    <w:pitch w:val="default"/>
    <w:sig w:usb0="80000287" w:usb1="2ACF3C50" w:usb2="00000016" w:usb3="00000000" w:csb0="0004001F" w:csb1="00000000"/>
    <w:embedRegular r:id="rId7" w:fontKey="{5A3D00C6-74B9-4C08-B25C-292D04962123}"/>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33</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33</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33</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33</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1">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4"/>
  </w:num>
  <w:num w:numId="5">
    <w:abstractNumId w:val="12"/>
  </w:num>
  <w:num w:numId="6">
    <w:abstractNumId w:val="15"/>
  </w:num>
  <w:num w:numId="7">
    <w:abstractNumId w:val="2"/>
  </w:num>
  <w:num w:numId="8">
    <w:abstractNumId w:val="1"/>
  </w:num>
  <w:num w:numId="9">
    <w:abstractNumId w:val="0"/>
  </w:num>
  <w:num w:numId="10">
    <w:abstractNumId w:val="4"/>
  </w:num>
  <w:num w:numId="11">
    <w:abstractNumId w:val="11"/>
  </w:num>
  <w:num w:numId="12">
    <w:abstractNumId w:val="20"/>
  </w:num>
  <w:num w:numId="13">
    <w:abstractNumId w:val="23"/>
  </w:num>
  <w:num w:numId="14">
    <w:abstractNumId w:val="18"/>
  </w:num>
  <w:num w:numId="15">
    <w:abstractNumId w:val="8"/>
  </w:num>
  <w:num w:numId="16">
    <w:abstractNumId w:val="6"/>
  </w:num>
  <w:num w:numId="17">
    <w:abstractNumId w:val="21"/>
  </w:num>
  <w:num w:numId="18">
    <w:abstractNumId w:val="17"/>
  </w:num>
  <w:num w:numId="19">
    <w:abstractNumId w:val="7"/>
  </w:num>
  <w:num w:numId="20">
    <w:abstractNumId w:val="10"/>
  </w:num>
  <w:num w:numId="21">
    <w:abstractNumId w:val="22"/>
  </w:num>
  <w:num w:numId="22">
    <w:abstractNumId w:val="5"/>
  </w:num>
  <w:num w:numId="23">
    <w:abstractNumId w:val="19"/>
  </w:num>
  <w:num w:numId="24">
    <w:abstractNumId w:val="9"/>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B059C6"/>
    <w:rsid w:val="058C78B0"/>
    <w:rsid w:val="05E13064"/>
    <w:rsid w:val="077B70C4"/>
    <w:rsid w:val="078A573C"/>
    <w:rsid w:val="093A3733"/>
    <w:rsid w:val="0B4508AE"/>
    <w:rsid w:val="0CF161C9"/>
    <w:rsid w:val="0D352B8F"/>
    <w:rsid w:val="0E0B7FF0"/>
    <w:rsid w:val="11075CBE"/>
    <w:rsid w:val="115D07B9"/>
    <w:rsid w:val="117A5014"/>
    <w:rsid w:val="127F05A0"/>
    <w:rsid w:val="127F1D65"/>
    <w:rsid w:val="13546548"/>
    <w:rsid w:val="136D78F8"/>
    <w:rsid w:val="1411115B"/>
    <w:rsid w:val="15CC4977"/>
    <w:rsid w:val="162A4F7D"/>
    <w:rsid w:val="16A82A66"/>
    <w:rsid w:val="1994787E"/>
    <w:rsid w:val="19FF304F"/>
    <w:rsid w:val="1DD000AF"/>
    <w:rsid w:val="1E09745A"/>
    <w:rsid w:val="1E176351"/>
    <w:rsid w:val="1FD31681"/>
    <w:rsid w:val="22604CE3"/>
    <w:rsid w:val="229D6DB5"/>
    <w:rsid w:val="23D4489F"/>
    <w:rsid w:val="25DD51FE"/>
    <w:rsid w:val="262001B9"/>
    <w:rsid w:val="27B87AF9"/>
    <w:rsid w:val="27E80EA9"/>
    <w:rsid w:val="280414A1"/>
    <w:rsid w:val="28570368"/>
    <w:rsid w:val="29A82748"/>
    <w:rsid w:val="29C5318E"/>
    <w:rsid w:val="2B502F98"/>
    <w:rsid w:val="2C9A0A9E"/>
    <w:rsid w:val="2CA621A6"/>
    <w:rsid w:val="2DA70D65"/>
    <w:rsid w:val="2EE31C10"/>
    <w:rsid w:val="30295DE7"/>
    <w:rsid w:val="313B414B"/>
    <w:rsid w:val="32BA6A4E"/>
    <w:rsid w:val="3427766B"/>
    <w:rsid w:val="343706EB"/>
    <w:rsid w:val="351A08D0"/>
    <w:rsid w:val="36285582"/>
    <w:rsid w:val="36334CE5"/>
    <w:rsid w:val="3A551407"/>
    <w:rsid w:val="3AE57E7C"/>
    <w:rsid w:val="3B033C36"/>
    <w:rsid w:val="3E4D49D4"/>
    <w:rsid w:val="3E5D4E8E"/>
    <w:rsid w:val="3EF43DA9"/>
    <w:rsid w:val="3FE25336"/>
    <w:rsid w:val="42075FF8"/>
    <w:rsid w:val="42842020"/>
    <w:rsid w:val="42F7352A"/>
    <w:rsid w:val="44B14170"/>
    <w:rsid w:val="468567BB"/>
    <w:rsid w:val="4782487D"/>
    <w:rsid w:val="47B927EA"/>
    <w:rsid w:val="49F21769"/>
    <w:rsid w:val="4B31068E"/>
    <w:rsid w:val="4BA55220"/>
    <w:rsid w:val="4BAD0151"/>
    <w:rsid w:val="4C7174F3"/>
    <w:rsid w:val="4C8F75A2"/>
    <w:rsid w:val="4D581919"/>
    <w:rsid w:val="4DAD4403"/>
    <w:rsid w:val="4E8C008E"/>
    <w:rsid w:val="4ED23848"/>
    <w:rsid w:val="4FEF758C"/>
    <w:rsid w:val="50771A9C"/>
    <w:rsid w:val="51C47F6D"/>
    <w:rsid w:val="535C64FC"/>
    <w:rsid w:val="5455382C"/>
    <w:rsid w:val="54643166"/>
    <w:rsid w:val="56644D56"/>
    <w:rsid w:val="56C55F4F"/>
    <w:rsid w:val="571F5A86"/>
    <w:rsid w:val="57235ED9"/>
    <w:rsid w:val="5A102BB5"/>
    <w:rsid w:val="5D0A3490"/>
    <w:rsid w:val="5D7E0D39"/>
    <w:rsid w:val="5E9D3F29"/>
    <w:rsid w:val="5F542CA1"/>
    <w:rsid w:val="60202C9E"/>
    <w:rsid w:val="60384CD1"/>
    <w:rsid w:val="60655808"/>
    <w:rsid w:val="621922AC"/>
    <w:rsid w:val="63A9427A"/>
    <w:rsid w:val="63D462B1"/>
    <w:rsid w:val="641A3596"/>
    <w:rsid w:val="64D96647"/>
    <w:rsid w:val="655B51E5"/>
    <w:rsid w:val="65E40ADA"/>
    <w:rsid w:val="662621EA"/>
    <w:rsid w:val="66270E46"/>
    <w:rsid w:val="66330B86"/>
    <w:rsid w:val="66E22203"/>
    <w:rsid w:val="67AD41EB"/>
    <w:rsid w:val="68B812C9"/>
    <w:rsid w:val="69D50CF4"/>
    <w:rsid w:val="6C487AFD"/>
    <w:rsid w:val="6CB24363"/>
    <w:rsid w:val="6D1329A6"/>
    <w:rsid w:val="6EA93466"/>
    <w:rsid w:val="6F97249D"/>
    <w:rsid w:val="6FCF0795"/>
    <w:rsid w:val="70C1496B"/>
    <w:rsid w:val="70EE62C9"/>
    <w:rsid w:val="71241736"/>
    <w:rsid w:val="71381023"/>
    <w:rsid w:val="73714961"/>
    <w:rsid w:val="754D1D92"/>
    <w:rsid w:val="758350A9"/>
    <w:rsid w:val="7641182E"/>
    <w:rsid w:val="795C6881"/>
    <w:rsid w:val="79687E1D"/>
    <w:rsid w:val="79B62FBA"/>
    <w:rsid w:val="7B0A23D6"/>
    <w:rsid w:val="7B560FD7"/>
    <w:rsid w:val="7B5F74F8"/>
    <w:rsid w:val="7B690630"/>
    <w:rsid w:val="7C5123F4"/>
    <w:rsid w:val="7CB400F8"/>
    <w:rsid w:val="7CE016CA"/>
    <w:rsid w:val="7D040AB6"/>
    <w:rsid w:val="7D4119E6"/>
    <w:rsid w:val="7DAF162B"/>
    <w:rsid w:val="7DC42B41"/>
    <w:rsid w:val="7EB63C19"/>
    <w:rsid w:val="7F05566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Hyperlink"/>
    <w:basedOn w:val="20"/>
    <w:qFormat/>
    <w:uiPriority w:val="0"/>
    <w:rPr>
      <w:color w:val="0000FF"/>
      <w:u w:val="single"/>
    </w:rPr>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null3"/>
    <w:basedOn w:val="1"/>
    <w:qFormat/>
    <w:uiPriority w:val="0"/>
    <w:pPr>
      <w:widowControl/>
      <w:jc w:val="left"/>
    </w:pPr>
    <w:rPr>
      <w:kern w:val="0"/>
      <w:sz w:val="24"/>
      <w:szCs w:val="24"/>
    </w:rPr>
  </w:style>
  <w:style w:type="paragraph" w:customStyle="1" w:styleId="42">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126</Words>
  <Characters>134</Characters>
  <Lines>127</Lines>
  <Paragraphs>35</Paragraphs>
  <TotalTime>3</TotalTime>
  <ScaleCrop>false</ScaleCrop>
  <LinksUpToDate>false</LinksUpToDate>
  <CharactersWithSpaces>154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2026-10-23T01:08:55Z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1F8DBAFE5E74451D9F7DB03EBB1558C4_13</vt:lpwstr>
  </property>
  <property fmtid="{D5CDD505-2E9C-101B-9397-08002B2CF9AE}" pid="4" name="KSOTemplateDocerSaveRecord">
    <vt:lpwstr>eyJoZGlkIjoiMmYzMjBlOTBlMmU5YzA1ZjM4ZDczZjBmYWNjYjE4M2UiLCJ1c2VySWQiOiI2NTgwMTYxNjcifQ==</vt:lpwstr>
  </property>
</Properties>
</file>