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四川省人民医院2026年自动样本处理系统采购项目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62832406"/>
      <w:bookmarkStart w:id="2" w:name="_Toc3240"/>
      <w:bookmarkStart w:id="3" w:name="_Toc471310326"/>
      <w:bookmarkStart w:id="4" w:name="_Toc20358"/>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四川省人民医院2026年自动样本处理系统采购项目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CGZX-YXZ20260594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10</w:t>
            </w:r>
            <w:r>
              <w:rPr>
                <w:rFonts w:hint="eastAsia" w:ascii="Times New Roman" w:hAnsi="Times New Roman" w:eastAsia="仿宋" w:cs="Times New Roman"/>
                <w:sz w:val="22"/>
              </w:rPr>
              <w:t>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项目</w:t>
            </w:r>
            <w:r>
              <w:rPr>
                <w:rFonts w:hint="eastAsia" w:ascii="Times New Roman" w:hAnsi="Times New Roman" w:eastAsia="仿宋" w:cs="Times New Roman"/>
                <w:sz w:val="22"/>
                <w:szCs w:val="22"/>
                <w:lang w:val="zh-CN"/>
              </w:rPr>
              <w:t>；</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9C5995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3174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140" w:hRule="atLeast"/>
          <w:jc w:val="center"/>
        </w:trPr>
        <w:tc>
          <w:tcPr>
            <w:tcW w:w="1073" w:type="dxa"/>
            <w:vAlign w:val="center"/>
          </w:tcPr>
          <w:p w14:paraId="6EB0DA23">
            <w:pPr>
              <w:jc w:val="center"/>
              <w:rPr>
                <w:rFonts w:hint="eastAsia" w:ascii="Times New Roman" w:hAnsi="Times New Roman" w:eastAsia="仿宋" w:cs="Times New Roman"/>
                <w:sz w:val="22"/>
                <w:lang w:val="en-US" w:eastAsia="zh-CN"/>
              </w:rPr>
            </w:pPr>
            <w:r>
              <w:rPr>
                <w:rFonts w:ascii="Times New Roman" w:hAnsi="Times New Roman" w:eastAsia="仿宋" w:cs="Times New Roman"/>
                <w:sz w:val="22"/>
              </w:rPr>
              <w:t>9</w:t>
            </w:r>
          </w:p>
        </w:tc>
        <w:tc>
          <w:tcPr>
            <w:tcW w:w="3405" w:type="dxa"/>
            <w:vAlign w:val="center"/>
          </w:tcPr>
          <w:p w14:paraId="637BE11F">
            <w:pPr>
              <w:jc w:val="center"/>
              <w:rPr>
                <w:rFonts w:ascii="Times New Roman" w:hAnsi="Times New Roman" w:eastAsia="仿宋" w:cs="Times New Roman"/>
                <w:b/>
                <w:sz w:val="22"/>
              </w:rPr>
            </w:pPr>
            <w:r>
              <w:rPr>
                <w:rFonts w:hint="eastAsia" w:ascii="仿宋" w:hAnsi="仿宋" w:eastAsia="仿宋"/>
                <w:b/>
                <w:color w:val="000000" w:themeColor="text1"/>
                <w:sz w:val="22"/>
                <w14:textFill>
                  <w14:solidFill>
                    <w14:schemeClr w14:val="tx1"/>
                  </w14:solidFill>
                </w14:textFill>
              </w:rPr>
              <w:t>经营许可</w:t>
            </w:r>
          </w:p>
        </w:tc>
        <w:tc>
          <w:tcPr>
            <w:tcW w:w="5929" w:type="dxa"/>
            <w:vAlign w:val="center"/>
          </w:tcPr>
          <w:p w14:paraId="251AB3B4">
            <w:pPr>
              <w:rPr>
                <w:rFonts w:ascii="Times New Roman" w:hAnsi="Times New Roman" w:eastAsia="仿宋" w:cs="Times New Roman"/>
                <w:sz w:val="22"/>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07F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140" w:hRule="atLeast"/>
          <w:jc w:val="center"/>
        </w:trPr>
        <w:tc>
          <w:tcPr>
            <w:tcW w:w="1073" w:type="dxa"/>
            <w:vAlign w:val="center"/>
          </w:tcPr>
          <w:p w14:paraId="6DA73E08">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10</w:t>
            </w:r>
          </w:p>
        </w:tc>
        <w:tc>
          <w:tcPr>
            <w:tcW w:w="3405" w:type="dxa"/>
            <w:vAlign w:val="center"/>
          </w:tcPr>
          <w:p w14:paraId="4D7A1583">
            <w:pPr>
              <w:jc w:val="center"/>
              <w:rPr>
                <w:rFonts w:ascii="Times New Roman" w:hAnsi="Times New Roman" w:eastAsia="仿宋" w:cs="Times New Roman"/>
                <w:b/>
                <w:sz w:val="22"/>
              </w:rPr>
            </w:pPr>
            <w:r>
              <w:rPr>
                <w:rFonts w:hint="eastAsia" w:ascii="仿宋" w:hAnsi="仿宋" w:eastAsia="仿宋"/>
                <w:b/>
                <w:color w:val="000000" w:themeColor="text1"/>
                <w:sz w:val="22"/>
                <w14:textFill>
                  <w14:solidFill>
                    <w14:schemeClr w14:val="tx1"/>
                  </w14:solidFill>
                </w14:textFill>
              </w:rPr>
              <w:t>产品授权</w:t>
            </w:r>
          </w:p>
        </w:tc>
        <w:tc>
          <w:tcPr>
            <w:tcW w:w="5929" w:type="dxa"/>
            <w:vAlign w:val="center"/>
          </w:tcPr>
          <w:p w14:paraId="30FFAFA0">
            <w:pPr>
              <w:rPr>
                <w:rFonts w:ascii="Times New Roman" w:hAnsi="Times New Roman" w:eastAsia="仿宋" w:cs="Times New Roman"/>
                <w:sz w:val="22"/>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自动样本处理系统</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43"/>
        <w:gridCol w:w="1052"/>
        <w:gridCol w:w="858"/>
        <w:gridCol w:w="1132"/>
        <w:gridCol w:w="1238"/>
        <w:gridCol w:w="1238"/>
        <w:gridCol w:w="1818"/>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自动样本处理系统</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6B9EF56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仿宋" w:hAnsi="仿宋" w:eastAsia="仿宋" w:cs="仿宋"/>
          <w:kern w:val="2"/>
          <w:sz w:val="24"/>
          <w:szCs w:val="24"/>
        </w:rPr>
        <w:t>1.</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▲可对妇科样本进行分样，分样的样本可直接上机进行HPV病毒的E6基因和E7基因的mRNA检测。</w:t>
      </w:r>
    </w:p>
    <w:p w14:paraId="365E33B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2.</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具备开机自检和故障报警提示功能。</w:t>
      </w:r>
    </w:p>
    <w:p w14:paraId="3ABCED0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3.</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具备UPS电源。</w:t>
      </w:r>
    </w:p>
    <w:p w14:paraId="7BBC223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4.</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具备液晶触摸显示屏，可设置并实时显示至少以下参数和信息：运行参数、运行状态、标本类型、制片进度、历史记录、错误报告。</w:t>
      </w:r>
    </w:p>
    <w:p w14:paraId="37B321B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5.</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▲可适配或兼容妇科样本、非妇科样本、尿液样本，对每种样本类型具备独立的制片模式和操作界面。</w:t>
      </w:r>
    </w:p>
    <w:p w14:paraId="314F29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6.</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▲具备样本制片功能、样本分样功能、样本制片联合样本分样功能。</w:t>
      </w:r>
    </w:p>
    <w:p w14:paraId="014D8F1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7.</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具备自动开盖和闭盖功能。</w:t>
      </w:r>
    </w:p>
    <w:p w14:paraId="2FA128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8.</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▲具备样本闭盖混匀功能，采用双向旋转混匀设计，可自动检测瓶盖密封性。</w:t>
      </w:r>
    </w:p>
    <w:p w14:paraId="6A56210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9.</w:t>
      </w:r>
      <w:r>
        <w:rPr>
          <w:rFonts w:hint="eastAsia" w:ascii="仿宋" w:hAnsi="仿宋" w:eastAsia="仿宋" w:cs="仿宋"/>
          <w:i w:val="0"/>
          <w:iCs w:val="0"/>
          <w:kern w:val="2"/>
          <w:sz w:val="24"/>
          <w:szCs w:val="24"/>
        </w:rPr>
        <w:t>  </w:t>
      </w:r>
      <w:r>
        <w:rPr>
          <w:rFonts w:hint="eastAsia" w:ascii="仿宋" w:hAnsi="仿宋" w:eastAsia="仿宋" w:cs="仿宋"/>
          <w:kern w:val="2"/>
          <w:sz w:val="24"/>
          <w:szCs w:val="24"/>
        </w:rPr>
        <w:t>具备自动检测液位功能和液位异常报警提示功能。</w:t>
      </w:r>
    </w:p>
    <w:p w14:paraId="7A3850C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10. ▲具备样本监管功能和样本错误报警提示功能，可将样本瓶上的ID信息与玻片信息、试管信息进行比对和匹配性检测，支持禁用该功能。</w:t>
      </w:r>
    </w:p>
    <w:p w14:paraId="1BF794C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11. 具备样本数据自动统计功能，可自动统计至少以下样本相关数据：样本制片总量、样本分样总量、样本成功完成总量、样本失败总量，可区分妇科样本、非妇科样本、尿液样本的数据分别完成其对应数据自动统计。</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 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5.供应商须在投标文件中单独提供配置清单（不同产品分别提供，格式详见投标文件格式），采购人将以此为依据进行验收。</w:t>
      </w:r>
      <w:bookmarkStart w:id="118" w:name="_GoBack"/>
      <w:bookmarkEnd w:id="118"/>
      <w:r>
        <w:rPr>
          <w:rFonts w:hint="eastAsia" w:ascii="仿宋" w:hAnsi="仿宋" w:eastAsia="仿宋" w:cs="仿宋"/>
          <w:color w:val="000000" w:themeColor="text1"/>
          <w:sz w:val="24"/>
          <w:szCs w:val="24"/>
          <w14:textFill>
            <w14:solidFill>
              <w14:schemeClr w14:val="tx1"/>
            </w14:solidFill>
          </w14:textFill>
        </w:rPr>
        <w:t>若涉及设备正常运行所需的其他配置内容，供应商应在配置清单中分别列明其涉及的产品名称、型号（若有）、数量即可，并根据响应产品的实际情况确定是否单独报价。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6803"/>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6029"/>
      <w:bookmarkStart w:id="52" w:name="_Toc6482"/>
      <w:bookmarkStart w:id="53" w:name="_Toc14829"/>
      <w:bookmarkStart w:id="54" w:name="_Toc21519"/>
      <w:bookmarkStart w:id="55" w:name="_Toc1135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1838"/>
      <w:bookmarkStart w:id="58" w:name="_Toc22676"/>
      <w:bookmarkStart w:id="59" w:name="_Toc30971"/>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5638"/>
      <w:bookmarkStart w:id="70" w:name="_Toc27661"/>
      <w:bookmarkStart w:id="71" w:name="_Toc11351"/>
      <w:bookmarkStart w:id="72" w:name="_Toc20589"/>
      <w:bookmarkStart w:id="73" w:name="_Toc12015"/>
      <w:bookmarkStart w:id="74" w:name="_Toc15526"/>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041"/>
      <w:bookmarkStart w:id="77" w:name="_Toc23967"/>
      <w:bookmarkStart w:id="78" w:name="_Toc12967"/>
      <w:bookmarkStart w:id="79" w:name="_Toc26969"/>
      <w:bookmarkStart w:id="80" w:name="_Toc16435"/>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1369"/>
      <w:bookmarkStart w:id="83" w:name="_Toc26839"/>
      <w:bookmarkStart w:id="84" w:name="_Toc24806"/>
      <w:bookmarkStart w:id="85" w:name="_Toc28634"/>
      <w:bookmarkStart w:id="86" w:name="_Toc21082"/>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9177CE3-E6B1-4EE6-8E32-6C55DAC8BDF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4BF0AD9-BFB8-4F38-B61F-E6ADCF0E90A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BC11979-DA25-4434-8363-556AFD8265E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F2FC3161-3E2A-42FC-9A43-797061769D18}"/>
  </w:font>
  <w:font w:name="Wingdings 2">
    <w:altName w:val="Wingdings"/>
    <w:panose1 w:val="05020102010507070707"/>
    <w:charset w:val="4D"/>
    <w:family w:val="decorative"/>
    <w:pitch w:val="default"/>
    <w:sig w:usb0="00000000" w:usb1="00000000" w:usb2="00000000" w:usb3="00000000" w:csb0="80000000" w:csb1="00000000"/>
    <w:embedRegular r:id="rId5" w:fontKey="{9C2FBD54-CC9D-4874-AD4C-430C01235B67}"/>
  </w:font>
  <w:font w:name="Songti SC">
    <w:altName w:val="宋体"/>
    <w:panose1 w:val="02010600040101010101"/>
    <w:charset w:val="86"/>
    <w:family w:val="auto"/>
    <w:pitch w:val="default"/>
    <w:sig w:usb0="00000000" w:usb1="00000000" w:usb2="00000010" w:usb3="00000000" w:csb0="0004009F" w:csb1="00000000"/>
    <w:embedRegular r:id="rId6" w:fontKey="{7E5295F6-1406-4A1A-95C2-845A80C2AF7A}"/>
  </w:font>
  <w:font w:name="微软雅黑">
    <w:panose1 w:val="020B0503020204020204"/>
    <w:charset w:val="86"/>
    <w:family w:val="auto"/>
    <w:pitch w:val="default"/>
    <w:sig w:usb0="80000287" w:usb1="2ACF3C50" w:usb2="00000016" w:usb3="00000000" w:csb0="0004001F" w:csb1="00000000"/>
    <w:embedRegular r:id="rId7" w:fontKey="{9E1D09CE-33A6-4D01-802D-F3554DF05FCF}"/>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DFCD7">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7BDFCD7">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62001B9"/>
    <w:rsid w:val="27B87AF9"/>
    <w:rsid w:val="27E80EA9"/>
    <w:rsid w:val="280414A1"/>
    <w:rsid w:val="282322F9"/>
    <w:rsid w:val="28570368"/>
    <w:rsid w:val="29C5318E"/>
    <w:rsid w:val="2B502F98"/>
    <w:rsid w:val="2C9A0A9E"/>
    <w:rsid w:val="2DA70D65"/>
    <w:rsid w:val="336042AF"/>
    <w:rsid w:val="3427766B"/>
    <w:rsid w:val="343706EB"/>
    <w:rsid w:val="351A08D0"/>
    <w:rsid w:val="36334CE5"/>
    <w:rsid w:val="3A551407"/>
    <w:rsid w:val="3B033C36"/>
    <w:rsid w:val="3B243AFF"/>
    <w:rsid w:val="3E5D4E8E"/>
    <w:rsid w:val="3FE25336"/>
    <w:rsid w:val="41076015"/>
    <w:rsid w:val="42075FF8"/>
    <w:rsid w:val="42842020"/>
    <w:rsid w:val="468567BB"/>
    <w:rsid w:val="4782487D"/>
    <w:rsid w:val="4B31068E"/>
    <w:rsid w:val="4BA55220"/>
    <w:rsid w:val="4BAD0151"/>
    <w:rsid w:val="4C184E09"/>
    <w:rsid w:val="4C8F75A2"/>
    <w:rsid w:val="4DAD4403"/>
    <w:rsid w:val="4E8C008E"/>
    <w:rsid w:val="4FEF758C"/>
    <w:rsid w:val="50771A9C"/>
    <w:rsid w:val="51C47F6D"/>
    <w:rsid w:val="53505443"/>
    <w:rsid w:val="5455382C"/>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EA93466"/>
    <w:rsid w:val="6FCF0795"/>
    <w:rsid w:val="71381023"/>
    <w:rsid w:val="73714961"/>
    <w:rsid w:val="754D1D92"/>
    <w:rsid w:val="755E72EB"/>
    <w:rsid w:val="758350A9"/>
    <w:rsid w:val="79687E1D"/>
    <w:rsid w:val="7B560FD7"/>
    <w:rsid w:val="7B5F74F8"/>
    <w:rsid w:val="7B690630"/>
    <w:rsid w:val="7C5123F4"/>
    <w:rsid w:val="7D040AB6"/>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1288</Words>
  <Characters>1378</Characters>
  <Lines>72</Lines>
  <Paragraphs>20</Paragraphs>
  <TotalTime>1</TotalTime>
  <ScaleCrop>false</ScaleCrop>
  <LinksUpToDate>false</LinksUpToDate>
  <CharactersWithSpaces>1450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2026-05-07T08:35:17Z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eyJoZGlkIjoiMDkzMTllOGExYjc5NThhYzY4OWQ5ZGYwOGI3MzU1NTgiLCJ1c2VySWQiOiIxNjE0NzIzNzA0In0=</vt:lpwstr>
  </property>
</Properties>
</file>