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四川省人民医院经济责任审计服务采购项目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20358"/>
      <w:bookmarkStart w:id="2" w:name="_Toc1907"/>
      <w:bookmarkStart w:id="3" w:name="_Toc3240"/>
      <w:bookmarkStart w:id="4" w:name="_Toc47131032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四川省人民医院经济责任审计服务采购项目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2"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CGZX-SJB20260755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6E9B6FD">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本项目支付上限为人民币45600元，单价限价（单个审计项目）：7600</w:t>
            </w:r>
            <w:r>
              <w:rPr>
                <w:rFonts w:hint="eastAsia" w:ascii="Times New Roman" w:hAnsi="Times New Roman" w:eastAsia="仿宋" w:cs="Times New Roman"/>
                <w:sz w:val="22"/>
              </w:rPr>
              <w:t>元/</w:t>
            </w:r>
            <w:r>
              <w:rPr>
                <w:rFonts w:hint="eastAsia" w:ascii="Times New Roman" w:hAnsi="Times New Roman" w:eastAsia="仿宋" w:cs="Times New Roman"/>
                <w:sz w:val="22"/>
                <w:lang w:val="en-US" w:eastAsia="zh-CN"/>
              </w:rPr>
              <w:t>个</w:t>
            </w:r>
            <w:r>
              <w:rPr>
                <w:rFonts w:hint="eastAsia" w:ascii="Times New Roman" w:hAnsi="Times New Roman" w:eastAsia="仿宋" w:cs="Times New Roman"/>
                <w:sz w:val="22"/>
                <w:lang w:eastAsia="zh-CN"/>
              </w:rPr>
              <w:t>。</w:t>
            </w:r>
          </w:p>
          <w:p w14:paraId="687FF3F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w:t>
            </w:r>
            <w:r>
              <w:rPr>
                <w:rFonts w:hint="eastAsia" w:ascii="Times New Roman" w:hAnsi="Times New Roman" w:eastAsia="仿宋" w:cs="Times New Roman"/>
                <w:sz w:val="22"/>
                <w:lang w:val="en-US" w:eastAsia="zh-CN"/>
              </w:rPr>
              <w:t>单价</w:t>
            </w:r>
            <w:r>
              <w:rPr>
                <w:rFonts w:ascii="Times New Roman" w:hAnsi="Times New Roman" w:eastAsia="仿宋" w:cs="Times New Roman"/>
                <w:sz w:val="22"/>
              </w:rPr>
              <w:t>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p>
          <w:p w14:paraId="00EA646A">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w:t>
            </w:r>
            <w:r>
              <w:rPr>
                <w:rFonts w:hint="eastAsia" w:ascii="Times New Roman" w:hAnsi="Times New Roman" w:eastAsia="仿宋" w:cs="Times New Roman"/>
                <w:sz w:val="22"/>
                <w:lang w:val="en-US" w:eastAsia="zh-CN"/>
              </w:rPr>
              <w:t>低</w:t>
            </w:r>
            <w:r>
              <w:rPr>
                <w:rFonts w:ascii="Times New Roman" w:hAnsi="Times New Roman" w:eastAsia="仿宋" w:cs="Times New Roman"/>
                <w:sz w:val="22"/>
              </w:rPr>
              <w:t>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审计部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 xml:space="preserve">刘老师 </w:t>
            </w:r>
            <w:r>
              <w:rPr>
                <w:rFonts w:ascii="Times New Roman" w:hAnsi="Times New Roman" w:eastAsia="仿宋" w:cs="Times New Roman"/>
                <w:sz w:val="22"/>
              </w:rPr>
              <w:t>028-873</w:t>
            </w:r>
            <w:r>
              <w:rPr>
                <w:rFonts w:hint="eastAsia" w:ascii="Times New Roman" w:hAnsi="Times New Roman" w:eastAsia="仿宋" w:cs="Times New Roman"/>
                <w:sz w:val="22"/>
                <w:lang w:val="en-US" w:eastAsia="zh-CN"/>
              </w:rPr>
              <w:t>93203</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2886"/>
        <w:gridCol w:w="605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default" w:ascii="Times New Roman" w:hAnsi="Times New Roman" w:eastAsia="仿宋" w:cs="Times New Roman"/>
                <w:b/>
                <w:bCs/>
                <w:sz w:val="22"/>
              </w:rPr>
              <w:t>供应商应具有会计师事务所资质证书</w:t>
            </w:r>
          </w:p>
        </w:tc>
        <w:tc>
          <w:tcPr>
            <w:tcW w:w="6054" w:type="dxa"/>
            <w:vAlign w:val="center"/>
          </w:tcPr>
          <w:p w14:paraId="2F64669A">
            <w:pPr>
              <w:jc w:val="left"/>
              <w:rPr>
                <w:rFonts w:hint="default" w:ascii="Times New Roman" w:hAnsi="Times New Roman" w:eastAsia="仿宋" w:cs="Times New Roman"/>
                <w:bCs/>
                <w:kern w:val="0"/>
                <w:sz w:val="22"/>
                <w:lang w:val="en-US" w:eastAsia="zh-CN"/>
              </w:rPr>
            </w:pPr>
            <w:r>
              <w:rPr>
                <w:rFonts w:hint="eastAsia" w:ascii="Times New Roman" w:hAnsi="Times New Roman" w:eastAsia="仿宋" w:cs="Times New Roman"/>
                <w:bCs/>
                <w:kern w:val="0"/>
                <w:sz w:val="22"/>
                <w:lang w:val="en-US" w:eastAsia="zh-CN"/>
              </w:rPr>
              <w:t>提供证书证明材料并加盖供应商公章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351"/>
        <w:gridCol w:w="6589"/>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04" w:name="_GoBack"/>
      <w:bookmarkEnd w:id="104"/>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14EF0F2A">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ascii="仿宋" w:hAnsi="仿宋" w:eastAsia="仿宋"/>
          <w:b/>
          <w:bCs/>
          <w:sz w:val="24"/>
          <w:szCs w:val="24"/>
        </w:rPr>
      </w:pPr>
      <w:r>
        <w:rPr>
          <w:rFonts w:hint="eastAsia" w:ascii="仿宋" w:hAnsi="仿宋" w:eastAsia="仿宋"/>
          <w:b/>
          <w:bCs/>
          <w:sz w:val="24"/>
          <w:szCs w:val="24"/>
        </w:rPr>
        <w:t>一、项目简介</w:t>
      </w:r>
    </w:p>
    <w:p w14:paraId="70993E13">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本项目拟确定一家供应商提供四川省人民医院经济责任审计服务，服务内容包括：在采购人审计部直接监督、指导、协调下，依据《中国注册会计师审计准则》、《政府会计准则》等相关法律法规及采购人内部管理制度，对采购人及下属单位重点岗位人员履行经济责任情况进行审计，并出具真实、合法、有效的经济责任审计报告。</w:t>
      </w:r>
    </w:p>
    <w:p w14:paraId="7AECA23C">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eastAsia="zh-CN"/>
        </w:rPr>
      </w:pPr>
      <w:r>
        <w:rPr>
          <w:rFonts w:hint="eastAsia" w:ascii="仿宋" w:hAnsi="仿宋" w:eastAsia="仿宋"/>
          <w:b/>
          <w:bCs/>
          <w:sz w:val="24"/>
          <w:szCs w:val="24"/>
        </w:rPr>
        <w:t>★二、</w:t>
      </w:r>
      <w:r>
        <w:rPr>
          <w:rFonts w:hint="eastAsia" w:ascii="仿宋" w:hAnsi="仿宋" w:eastAsia="仿宋"/>
          <w:b/>
          <w:bCs/>
          <w:sz w:val="24"/>
          <w:szCs w:val="24"/>
          <w:lang w:val="en-US" w:eastAsia="zh-CN"/>
        </w:rPr>
        <w:t>服务要求</w:t>
      </w:r>
    </w:p>
    <w:p w14:paraId="5B0D877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1.供应商根据《中国注册会计师审计准则》、《政府会计制度》等相关规定，遵循独立性、客观性、科学性、公正性原则，依法独立、公正的执行业务，遵守职业道德。</w:t>
      </w:r>
    </w:p>
    <w:p w14:paraId="1E83B5AE">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2.供应商及其派出人员需遵循保密协议及审计法、审计准则中的相关回避规定。</w:t>
      </w:r>
    </w:p>
    <w:p w14:paraId="686FBF8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3.供应商应指派1名注册会计师作为本项目负责人。项目负责人应具有中国注册会计师执业资格证书，有审计经验和协调沟通能力。本审计项目负责人必须全程参与审计工作。</w:t>
      </w:r>
    </w:p>
    <w:p w14:paraId="73A990D2">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供应商派出的所有参与本项目的审计人员应严守职业道德，遵守审计工作纪律，并具有相应的工作胜任能力。具体审计项目的参与审计人员原则上固定不变。若人员变更需经得采购人同意。采购人对供应商指派的履职差或不能胜任工作的参与审计人员，有权要求更换，直至合适为止。</w:t>
      </w:r>
    </w:p>
    <w:p w14:paraId="32201EB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供应商按照中国注册会计师审计准则规定的格式和类型出具经济责任审计报告，审计报告须内容详实、实事求是、客观公正。审计报告初稿完成后，采购人有权对审计报告中的数据、审计发现的问题、审计意见提出修改建议，若采购人认为审计报告中存在问题，可要求重新核实修正。</w:t>
      </w:r>
    </w:p>
    <w:p w14:paraId="003BBA3B">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6.供应商遵守行业法律法规，诚信执业，履行保密义务。</w:t>
      </w:r>
    </w:p>
    <w:p w14:paraId="3DF9457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7.供应商审计进场之前2日内提交审计实施方案和审计工作进度安排表以便于审计部监督执行和指导。</w:t>
      </w:r>
    </w:p>
    <w:p w14:paraId="0E07ABD7">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8.驻场审计项目，项目主审或主要负责人须在审计现场。</w:t>
      </w:r>
    </w:p>
    <w:p w14:paraId="67CEE15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9.需要召开审计协调会的项目，供应商应向审计部报告或在协调会召开前提出审计问题清单。</w:t>
      </w:r>
    </w:p>
    <w:p w14:paraId="617675F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10.供应商现场提出的问题应该核实充分并与相关部门人员沟通。</w:t>
      </w:r>
    </w:p>
    <w:p w14:paraId="3DD7576D">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11.供应商应在进场2个月内按时完成工作并向审计部提交审计成果。</w:t>
      </w:r>
    </w:p>
    <w:p w14:paraId="0392944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12.供应商对能自身解决的问题，应主动、积极、独立解决。</w:t>
      </w:r>
    </w:p>
    <w:p w14:paraId="1032884B">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13.供应商审计中发现数据差异，必须采取技术手段予以核实；对差异的调整必须有可追溯的书面证据支持；同时应当结合职业判断和审计准则要求，确保差异的合理解决。</w:t>
      </w:r>
    </w:p>
    <w:p w14:paraId="2788BB4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14.供应商应该履行函证、盘点等实质性测试环节。</w:t>
      </w:r>
    </w:p>
    <w:p w14:paraId="2496C613">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15.供应商对被审计单位重大经济事项、履职情况、违规违纪线索、重大决策事项等拟核查披露问题开展全面核实确认。审计工作底稿须完整留存全部审计疑点、问询沟通记录、取证资料及最终审计认定结论，构建闭环完整审计证据链，确保审计报告真实、完整、公允反映履职情况、科室运营情况、经济决策执行成效及其他管理情况。</w:t>
      </w:r>
    </w:p>
    <w:p w14:paraId="3B24AAD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16.供应商提交审计报告必须履行三级复核原则。</w:t>
      </w:r>
    </w:p>
    <w:p w14:paraId="41676DEF">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三、审计范围</w:t>
      </w:r>
    </w:p>
    <w:p w14:paraId="509264C8">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主要包括被审计人任职期间履行经济责任情况，所在单位或部门(科室)内部控制制度建立和执行情况等，具体审计范围如下（包括但不限于）：</w:t>
      </w:r>
    </w:p>
    <w:p w14:paraId="2919AA7C">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1.贯彻落实医院党委、行政重大方针政策和决策部署情况；</w:t>
      </w:r>
    </w:p>
    <w:p w14:paraId="6443726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2.财务收支是否真实、完整、合法；</w:t>
      </w:r>
    </w:p>
    <w:p w14:paraId="69F086B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3.绩效目标任务完成情况；</w:t>
      </w:r>
    </w:p>
    <w:p w14:paraId="78F588B2">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4.预算编制和执行是否合理；</w:t>
      </w:r>
    </w:p>
    <w:p w14:paraId="3B7CA722">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5.设备、耗材、药品等物资的采购、使用、保管及处置情况；</w:t>
      </w:r>
    </w:p>
    <w:p w14:paraId="1DB51C82">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6.“三公”经费的控制使用情况；</w:t>
      </w:r>
    </w:p>
    <w:p w14:paraId="1FA9C34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7.教学、科研、培训情况；</w:t>
      </w:r>
    </w:p>
    <w:p w14:paraId="6008C30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8.“三重一大”决策制度是否严格落实；</w:t>
      </w:r>
    </w:p>
    <w:p w14:paraId="5BD7FB1E">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9.医疗纠纷及欠费管理情况；</w:t>
      </w:r>
    </w:p>
    <w:p w14:paraId="6BDD755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10.以往审计发现问题的整改情况；</w:t>
      </w:r>
    </w:p>
    <w:p w14:paraId="18940505">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11.遵守有关法律、法规及廉洁从业规定情况；</w:t>
      </w:r>
    </w:p>
    <w:p w14:paraId="0892FE3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12.其他需要审计的情况。</w:t>
      </w:r>
    </w:p>
    <w:p w14:paraId="63A36D3D">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cstheme="minorBidi"/>
          <w:b/>
          <w:bCs/>
          <w:kern w:val="2"/>
          <w:sz w:val="24"/>
          <w:szCs w:val="24"/>
          <w:lang w:val="en-US" w:eastAsia="zh-CN" w:bidi="ar-SA"/>
        </w:rPr>
        <w:t>四、</w:t>
      </w:r>
      <w:r>
        <w:rPr>
          <w:rFonts w:hint="eastAsia" w:ascii="仿宋" w:hAnsi="仿宋" w:eastAsia="仿宋"/>
          <w:b/>
          <w:bCs/>
          <w:sz w:val="24"/>
          <w:szCs w:val="24"/>
          <w:lang w:val="en-US" w:eastAsia="zh-CN"/>
        </w:rPr>
        <w:t>其他要求</w:t>
      </w:r>
    </w:p>
    <w:p w14:paraId="387C2A8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1.供应商针对本项目制定完整的服务方案，包括以下内容：①人员组织分工及技术质量保障方案、②项目进度计划安排清单、③项目进度保障措施。</w:t>
      </w:r>
    </w:p>
    <w:p w14:paraId="6852E11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2.项目团队人员具有中级及以上会计师资格。</w:t>
      </w:r>
    </w:p>
    <w:p w14:paraId="43C10BD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3.项目负责人自2023年1月1日至今负责过类似经济责任审计工作，需提供合同复印件（需体现项目负责人姓名和项目内容）。</w:t>
      </w:r>
    </w:p>
    <w:p w14:paraId="54F9E5E4">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4.2023年1月1日至今，供应商具有类似经济责任审计项目业绩。</w:t>
      </w:r>
    </w:p>
    <w:p w14:paraId="54F5445A">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五</w:t>
      </w:r>
      <w:r>
        <w:rPr>
          <w:rFonts w:hint="eastAsia" w:ascii="仿宋" w:hAnsi="仿宋" w:eastAsia="仿宋"/>
          <w:b/>
          <w:bCs/>
          <w:sz w:val="24"/>
          <w:szCs w:val="24"/>
        </w:rPr>
        <w:t>、商务要求：</w:t>
      </w:r>
      <w:r>
        <w:rPr>
          <w:rFonts w:hint="eastAsia" w:ascii="仿宋" w:hAnsi="仿宋" w:eastAsia="仿宋"/>
          <w:sz w:val="24"/>
          <w:szCs w:val="24"/>
        </w:rPr>
        <w:cr/>
      </w:r>
      <w:r>
        <w:rPr>
          <w:rFonts w:hint="eastAsia" w:ascii="仿宋" w:hAnsi="仿宋" w:eastAsia="仿宋"/>
          <w:sz w:val="24"/>
          <w:szCs w:val="24"/>
        </w:rPr>
        <w:t xml:space="preserve">    </w:t>
      </w:r>
      <w:r>
        <w:rPr>
          <w:rFonts w:hint="eastAsia" w:ascii="仿宋" w:hAnsi="仿宋" w:eastAsia="仿宋"/>
          <w:sz w:val="24"/>
          <w:szCs w:val="24"/>
          <w:lang w:val="en-US" w:eastAsia="zh-CN"/>
        </w:rPr>
        <w:t>1、资金支付条款：每期服务期结束按实结算，供应商须根据本项目成交单价及实际服务情况向采购人提供结算费用清单进行确认（实际支付金额 = 本项目成交单价 × 实际完成并验收合格的审计项目个数），并在确认后5日内按清单金额向采购人提供合法有效票据及其他相关请款资料，采购人接到上述票据及资料后的55日内，向供应商全额支付上述结算费用。如存在因考核等原因导致的扣款，应在支付前予以扣除。</w:t>
      </w:r>
    </w:p>
    <w:p w14:paraId="0CFC479C">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55EDF900">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3、服务期限：自合同签订生效之日起3年，合同一年一签，经考核合格后续签下一年度合同。</w:t>
      </w:r>
    </w:p>
    <w:p w14:paraId="7A961E17">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35E6667">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4.1验收时间：供应商完成供应商完成每个审计项目后5日内通知采购人验收，采购人接供应商通知后10日内组织验收。  </w:t>
      </w:r>
    </w:p>
    <w:p w14:paraId="3977F2CE">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3141CB69">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398EED2">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4.4验收方式：考核验收 </w:t>
      </w:r>
    </w:p>
    <w:p w14:paraId="696E6C68">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531B5A37">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4.6验收内容：按照基于本项目采购需求编制的采购文件要求及供应商响应文件情况，供应商完成每个审计项目相应的全部服务。</w:t>
      </w:r>
    </w:p>
    <w:p w14:paraId="7F7995DE">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BF07B88">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66EF6FD3">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6A2BB72F">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779C180">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D5FBFDD">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1612FC92">
      <w:pPr>
        <w:pStyle w:val="16"/>
        <w:rPr>
          <w:rFonts w:hint="default" w:ascii="仿宋" w:hAnsi="仿宋" w:eastAsia="仿宋"/>
          <w:sz w:val="24"/>
          <w:szCs w:val="24"/>
          <w:lang w:val="en-US" w:eastAsia="zh-CN"/>
        </w:rPr>
      </w:pPr>
      <w:r>
        <w:rPr>
          <w:rFonts w:hint="eastAsia" w:ascii="仿宋" w:hAnsi="仿宋" w:eastAsia="仿宋"/>
          <w:sz w:val="24"/>
          <w:szCs w:val="24"/>
          <w:lang w:val="en-US" w:eastAsia="zh-CN"/>
        </w:rPr>
        <w:t>4.7.6 如本项目验收方式为考核验收，则考核结果须为合格。</w:t>
      </w:r>
    </w:p>
    <w:p w14:paraId="0F52827D">
      <w:pPr>
        <w:pStyle w:val="16"/>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4.7.7其他验收标准：无</w:t>
      </w:r>
    </w:p>
    <w:p w14:paraId="72A1AA67">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2975E3F7">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1F74F233">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59E9E029">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37F630DC">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26A622FF">
      <w:pPr>
        <w:pStyle w:val="16"/>
        <w:rPr>
          <w:rFonts w:hint="default" w:ascii="仿宋" w:hAnsi="仿宋" w:eastAsia="仿宋"/>
          <w:sz w:val="24"/>
          <w:szCs w:val="24"/>
          <w:lang w:val="en-US" w:eastAsia="zh-CN"/>
        </w:rPr>
      </w:pPr>
      <w:r>
        <w:rPr>
          <w:rFonts w:hint="eastAsia" w:ascii="仿宋" w:hAnsi="仿宋" w:eastAsia="仿宋" w:cstheme="minorBidi"/>
          <w:kern w:val="2"/>
          <w:sz w:val="24"/>
          <w:szCs w:val="24"/>
          <w:lang w:val="en-US" w:eastAsia="zh-CN" w:bidi="ar-SA"/>
        </w:rPr>
        <w:t>5</w:t>
      </w:r>
      <w:r>
        <w:rPr>
          <w:rFonts w:hint="default" w:ascii="仿宋" w:hAnsi="仿宋" w:eastAsia="仿宋" w:cstheme="minorBidi"/>
          <w:kern w:val="2"/>
          <w:sz w:val="24"/>
          <w:szCs w:val="24"/>
          <w:lang w:val="en-US" w:eastAsia="zh-CN" w:bidi="ar-SA"/>
        </w:rPr>
        <w:t>.</w:t>
      </w:r>
      <w:r>
        <w:rPr>
          <w:rFonts w:hint="eastAsia" w:ascii="仿宋" w:hAnsi="仿宋" w:eastAsia="仿宋"/>
          <w:sz w:val="24"/>
          <w:szCs w:val="24"/>
          <w:lang w:val="en-US" w:eastAsia="zh-CN"/>
        </w:rPr>
        <w:t>考核要求</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790"/>
        <w:gridCol w:w="1515"/>
        <w:gridCol w:w="6541"/>
      </w:tblGrid>
      <w:tr w14:paraId="3CC1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15" w:hRule="atLeast"/>
        </w:trPr>
        <w:tc>
          <w:tcPr>
            <w:tcW w:w="909" w:type="pct"/>
            <w:shd w:val="clear" w:color="auto" w:fill="auto"/>
            <w:noWrap/>
            <w:tcMar>
              <w:top w:w="0" w:type="dxa"/>
              <w:left w:w="105" w:type="dxa"/>
              <w:bottom w:w="0" w:type="dxa"/>
              <w:right w:w="105" w:type="dxa"/>
            </w:tcMar>
            <w:vAlign w:val="center"/>
          </w:tcPr>
          <w:p w14:paraId="284DCC95">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序号</w:t>
            </w:r>
          </w:p>
        </w:tc>
        <w:tc>
          <w:tcPr>
            <w:tcW w:w="769" w:type="pct"/>
            <w:shd w:val="clear" w:color="auto" w:fill="auto"/>
            <w:tcMar>
              <w:top w:w="0" w:type="dxa"/>
              <w:left w:w="105" w:type="dxa"/>
              <w:bottom w:w="0" w:type="dxa"/>
              <w:right w:w="105" w:type="dxa"/>
            </w:tcMar>
            <w:vAlign w:val="center"/>
          </w:tcPr>
          <w:p w14:paraId="12D4237E">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考核事项</w:t>
            </w:r>
          </w:p>
        </w:tc>
        <w:tc>
          <w:tcPr>
            <w:tcW w:w="3321" w:type="pct"/>
            <w:shd w:val="clear" w:color="auto" w:fill="auto"/>
            <w:tcMar>
              <w:top w:w="0" w:type="dxa"/>
              <w:left w:w="105" w:type="dxa"/>
              <w:bottom w:w="0" w:type="dxa"/>
              <w:right w:w="105" w:type="dxa"/>
            </w:tcMar>
            <w:vAlign w:val="center"/>
          </w:tcPr>
          <w:p w14:paraId="1C212EEE">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评分细则</w:t>
            </w:r>
          </w:p>
        </w:tc>
      </w:tr>
      <w:tr w14:paraId="1437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909" w:type="pct"/>
            <w:shd w:val="clear" w:color="auto" w:fill="auto"/>
            <w:tcMar>
              <w:top w:w="0" w:type="dxa"/>
              <w:left w:w="105" w:type="dxa"/>
              <w:bottom w:w="0" w:type="dxa"/>
              <w:right w:w="105" w:type="dxa"/>
            </w:tcMar>
            <w:vAlign w:val="center"/>
          </w:tcPr>
          <w:p w14:paraId="5DFB150E">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（一）行业规范（15分）</w:t>
            </w:r>
          </w:p>
        </w:tc>
        <w:tc>
          <w:tcPr>
            <w:tcW w:w="769" w:type="pct"/>
            <w:shd w:val="clear" w:color="auto" w:fill="auto"/>
            <w:tcMar>
              <w:top w:w="0" w:type="dxa"/>
              <w:left w:w="105" w:type="dxa"/>
              <w:bottom w:w="0" w:type="dxa"/>
              <w:right w:w="105" w:type="dxa"/>
            </w:tcMar>
            <w:vAlign w:val="center"/>
          </w:tcPr>
          <w:p w14:paraId="01E0C2D0">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执业道德</w:t>
            </w:r>
          </w:p>
          <w:p w14:paraId="66698CFB">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合法合规</w:t>
            </w:r>
          </w:p>
          <w:p w14:paraId="773240C8">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（15分）</w:t>
            </w:r>
          </w:p>
        </w:tc>
        <w:tc>
          <w:tcPr>
            <w:tcW w:w="3321" w:type="pct"/>
            <w:shd w:val="clear" w:color="auto" w:fill="auto"/>
            <w:tcMar>
              <w:top w:w="0" w:type="dxa"/>
              <w:left w:w="105" w:type="dxa"/>
              <w:bottom w:w="0" w:type="dxa"/>
              <w:right w:w="105" w:type="dxa"/>
            </w:tcMar>
            <w:vAlign w:val="center"/>
          </w:tcPr>
          <w:p w14:paraId="585E3F8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jc w:val="both"/>
              <w:textAlignment w:val="auto"/>
              <w:rPr>
                <w:rFonts w:hint="eastAsia" w:ascii="仿宋" w:hAnsi="仿宋" w:eastAsia="仿宋" w:cs="仿宋"/>
                <w:color w:val="auto"/>
                <w:sz w:val="24"/>
                <w:szCs w:val="24"/>
              </w:rPr>
            </w:pPr>
            <w:r>
              <w:rPr>
                <w:rFonts w:ascii="仿宋" w:hAnsi="仿宋" w:eastAsia="仿宋" w:cs="仿宋"/>
                <w:color w:val="auto"/>
                <w:sz w:val="24"/>
                <w:szCs w:val="24"/>
              </w:rPr>
              <w:t>遵守行业法律法规，诚信执业，履行保密义务。审计中若发生资料遗失、机密泄露、数据造假 / 失真等违规行为并查实的，每次扣 5-15 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r>
              <w:rPr>
                <w:rFonts w:ascii="仿宋" w:hAnsi="仿宋" w:eastAsia="仿宋" w:cs="仿宋"/>
                <w:color w:val="auto"/>
                <w:sz w:val="24"/>
                <w:szCs w:val="24"/>
              </w:rPr>
              <w:t>；情节严重的，上报主管部门、暂停支付费用或追究法律责任。</w:t>
            </w:r>
          </w:p>
        </w:tc>
      </w:tr>
      <w:tr w14:paraId="752C5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80" w:hRule="atLeast"/>
        </w:trPr>
        <w:tc>
          <w:tcPr>
            <w:tcW w:w="909" w:type="pct"/>
            <w:vMerge w:val="restart"/>
            <w:shd w:val="clear" w:color="auto" w:fill="auto"/>
            <w:tcMar>
              <w:top w:w="0" w:type="dxa"/>
              <w:left w:w="105" w:type="dxa"/>
              <w:bottom w:w="0" w:type="dxa"/>
              <w:right w:w="105" w:type="dxa"/>
            </w:tcMar>
            <w:vAlign w:val="center"/>
          </w:tcPr>
          <w:p w14:paraId="0D41D278">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（二）服务质量（30分）</w:t>
            </w:r>
          </w:p>
        </w:tc>
        <w:tc>
          <w:tcPr>
            <w:tcW w:w="769" w:type="pct"/>
            <w:shd w:val="clear" w:color="auto" w:fill="auto"/>
            <w:tcMar>
              <w:top w:w="0" w:type="dxa"/>
              <w:left w:w="105" w:type="dxa"/>
              <w:bottom w:w="0" w:type="dxa"/>
              <w:right w:w="105" w:type="dxa"/>
            </w:tcMar>
            <w:vAlign w:val="center"/>
          </w:tcPr>
          <w:p w14:paraId="11B32BB4">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 审计实施方案</w:t>
            </w:r>
            <w:r>
              <w:rPr>
                <w:rFonts w:hint="eastAsia" w:ascii="仿宋" w:hAnsi="仿宋" w:eastAsia="仿宋" w:cs="仿宋"/>
                <w:color w:val="auto"/>
                <w:sz w:val="24"/>
                <w:szCs w:val="24"/>
                <w:lang w:val="en-US" w:eastAsia="zh-CN"/>
              </w:rPr>
              <w:t>与进度安排</w:t>
            </w:r>
            <w:r>
              <w:rPr>
                <w:rFonts w:hint="eastAsia" w:ascii="仿宋" w:hAnsi="仿宋" w:eastAsia="仿宋" w:cs="仿宋"/>
                <w:color w:val="auto"/>
                <w:sz w:val="24"/>
                <w:szCs w:val="24"/>
              </w:rPr>
              <w:t>（8分）</w:t>
            </w:r>
          </w:p>
        </w:tc>
        <w:tc>
          <w:tcPr>
            <w:tcW w:w="3321" w:type="pct"/>
            <w:shd w:val="clear" w:color="auto" w:fill="auto"/>
            <w:tcMar>
              <w:top w:w="0" w:type="dxa"/>
              <w:left w:w="105" w:type="dxa"/>
              <w:bottom w:w="0" w:type="dxa"/>
              <w:right w:w="105" w:type="dxa"/>
            </w:tcMar>
            <w:vAlign w:val="center"/>
          </w:tcPr>
          <w:p w14:paraId="790874C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审计进场之前</w:t>
            </w:r>
            <w:r>
              <w:rPr>
                <w:rFonts w:hint="eastAsia" w:ascii="仿宋" w:hAnsi="仿宋" w:eastAsia="仿宋" w:cs="仿宋"/>
                <w:color w:val="auto"/>
                <w:sz w:val="24"/>
                <w:szCs w:val="24"/>
                <w:lang w:val="en-US" w:eastAsia="zh-CN"/>
              </w:rPr>
              <w:t>2日内</w:t>
            </w:r>
            <w:r>
              <w:rPr>
                <w:rFonts w:hint="eastAsia" w:ascii="仿宋" w:hAnsi="仿宋" w:eastAsia="仿宋" w:cs="仿宋"/>
                <w:color w:val="auto"/>
                <w:sz w:val="24"/>
                <w:szCs w:val="24"/>
              </w:rPr>
              <w:t>提交审计实施方案和审计工作进度安排表以便于审计部监督执行和指导，未及时提交的，每晚一天扣2分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1DC6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0" w:hRule="atLeast"/>
        </w:trPr>
        <w:tc>
          <w:tcPr>
            <w:tcW w:w="909" w:type="pct"/>
            <w:vMerge w:val="continue"/>
            <w:shd w:val="clear" w:color="auto" w:fill="auto"/>
            <w:tcMar>
              <w:top w:w="0" w:type="dxa"/>
              <w:left w:w="105" w:type="dxa"/>
              <w:bottom w:w="0" w:type="dxa"/>
              <w:right w:w="105" w:type="dxa"/>
            </w:tcMar>
            <w:vAlign w:val="center"/>
          </w:tcPr>
          <w:p w14:paraId="1087DF31">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397688F1">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 参审人员（4分）</w:t>
            </w:r>
          </w:p>
        </w:tc>
        <w:tc>
          <w:tcPr>
            <w:tcW w:w="3321" w:type="pct"/>
            <w:shd w:val="clear" w:color="auto" w:fill="auto"/>
            <w:tcMar>
              <w:top w:w="0" w:type="dxa"/>
              <w:left w:w="105" w:type="dxa"/>
              <w:bottom w:w="0" w:type="dxa"/>
              <w:right w:w="105" w:type="dxa"/>
            </w:tcMar>
            <w:vAlign w:val="center"/>
          </w:tcPr>
          <w:p w14:paraId="339132D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派出</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项目负责人与合同或投标文件填报人员不一致且未经医院批准的，扣2-4分；驻场审计项目经抽查项目主审或主要负责人无故不在审计现场的，每次扣1分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3F425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0" w:hRule="atLeast"/>
        </w:trPr>
        <w:tc>
          <w:tcPr>
            <w:tcW w:w="909" w:type="pct"/>
            <w:vMerge w:val="continue"/>
            <w:shd w:val="clear" w:color="auto" w:fill="auto"/>
            <w:tcMar>
              <w:top w:w="0" w:type="dxa"/>
              <w:left w:w="105" w:type="dxa"/>
              <w:bottom w:w="0" w:type="dxa"/>
              <w:right w:w="105" w:type="dxa"/>
            </w:tcMar>
            <w:vAlign w:val="center"/>
          </w:tcPr>
          <w:p w14:paraId="01A081A0">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2A372A12">
            <w:pPr>
              <w:pStyle w:val="14"/>
              <w:keepNext w:val="0"/>
              <w:keepLines w:val="0"/>
              <w:widowControl/>
              <w:suppressLineNumbers w:val="0"/>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3. 审计协调会（4分）</w:t>
            </w:r>
          </w:p>
        </w:tc>
        <w:tc>
          <w:tcPr>
            <w:tcW w:w="3321" w:type="pct"/>
            <w:shd w:val="clear" w:color="auto" w:fill="auto"/>
            <w:tcMar>
              <w:top w:w="0" w:type="dxa"/>
              <w:left w:w="105" w:type="dxa"/>
              <w:bottom w:w="0" w:type="dxa"/>
              <w:right w:w="105" w:type="dxa"/>
            </w:tcMar>
            <w:vAlign w:val="center"/>
          </w:tcPr>
          <w:p w14:paraId="5612998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需要召开审计协调会的项目，</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未向审计部报告或在协调会召开前提出审计问题清单的，每次扣1分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04DB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0" w:hRule="atLeast"/>
        </w:trPr>
        <w:tc>
          <w:tcPr>
            <w:tcW w:w="909" w:type="pct"/>
            <w:vMerge w:val="continue"/>
            <w:shd w:val="clear" w:color="auto" w:fill="auto"/>
            <w:tcMar>
              <w:top w:w="0" w:type="dxa"/>
              <w:left w:w="105" w:type="dxa"/>
              <w:bottom w:w="0" w:type="dxa"/>
              <w:right w:w="105" w:type="dxa"/>
            </w:tcMar>
            <w:vAlign w:val="center"/>
          </w:tcPr>
          <w:p w14:paraId="145DD7D4">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0B45EC60">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4. 现场沟通（4分）</w:t>
            </w:r>
          </w:p>
        </w:tc>
        <w:tc>
          <w:tcPr>
            <w:tcW w:w="3321" w:type="pct"/>
            <w:shd w:val="clear" w:color="auto" w:fill="auto"/>
            <w:tcMar>
              <w:top w:w="0" w:type="dxa"/>
              <w:left w:w="105" w:type="dxa"/>
              <w:bottom w:w="0" w:type="dxa"/>
              <w:right w:w="105" w:type="dxa"/>
            </w:tcMar>
            <w:vAlign w:val="center"/>
          </w:tcPr>
          <w:p w14:paraId="59E25A8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现场提出的问题应该核实充分并与相关部门人员沟通。未沟通确认每一问题扣1分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492A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95" w:hRule="atLeast"/>
        </w:trPr>
        <w:tc>
          <w:tcPr>
            <w:tcW w:w="909" w:type="pct"/>
            <w:vMerge w:val="continue"/>
            <w:shd w:val="clear" w:color="auto" w:fill="auto"/>
            <w:tcMar>
              <w:top w:w="0" w:type="dxa"/>
              <w:left w:w="105" w:type="dxa"/>
              <w:bottom w:w="0" w:type="dxa"/>
              <w:right w:w="105" w:type="dxa"/>
            </w:tcMar>
            <w:vAlign w:val="center"/>
          </w:tcPr>
          <w:p w14:paraId="5280FE54">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48E6516E">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5.审计报告初稿（审计成果）提交及审核（10）</w:t>
            </w:r>
          </w:p>
        </w:tc>
        <w:tc>
          <w:tcPr>
            <w:tcW w:w="3321" w:type="pct"/>
            <w:shd w:val="clear" w:color="auto" w:fill="auto"/>
            <w:tcMar>
              <w:top w:w="0" w:type="dxa"/>
              <w:left w:w="105" w:type="dxa"/>
              <w:bottom w:w="0" w:type="dxa"/>
              <w:right w:w="105" w:type="dxa"/>
            </w:tcMar>
            <w:vAlign w:val="center"/>
          </w:tcPr>
          <w:p w14:paraId="742EA8A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未严格按照合同约定的审计时间按时完成工作并向审计部提交审计成果的，每延期1个日历天扣0.5分。审计部同意延期的时日可不计算在内。审计部</w:t>
            </w:r>
            <w:r>
              <w:rPr>
                <w:rFonts w:hint="eastAsia" w:ascii="仿宋" w:hAnsi="仿宋" w:eastAsia="仿宋" w:cs="仿宋"/>
                <w:color w:val="auto"/>
                <w:sz w:val="24"/>
                <w:szCs w:val="24"/>
                <w:lang w:val="en-US" w:eastAsia="zh-CN"/>
              </w:rPr>
              <w:t>组织验收时</w:t>
            </w:r>
            <w:r>
              <w:rPr>
                <w:rFonts w:hint="eastAsia" w:ascii="仿宋" w:hAnsi="仿宋" w:eastAsia="仿宋" w:cs="仿宋"/>
                <w:color w:val="auto"/>
                <w:sz w:val="24"/>
                <w:szCs w:val="24"/>
              </w:rPr>
              <w:t>，如发现报告中存在表述不清、依据不当、数据有误等问题，每条扣0.5分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272C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909" w:type="pct"/>
            <w:vMerge w:val="restart"/>
            <w:shd w:val="clear" w:color="auto" w:fill="auto"/>
            <w:tcMar>
              <w:top w:w="0" w:type="dxa"/>
              <w:left w:w="105" w:type="dxa"/>
              <w:bottom w:w="0" w:type="dxa"/>
              <w:right w:w="105" w:type="dxa"/>
            </w:tcMar>
            <w:vAlign w:val="center"/>
          </w:tcPr>
          <w:p w14:paraId="546F27CE">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（三）业务能力及工作效率</w:t>
            </w:r>
          </w:p>
          <w:p w14:paraId="2AE579E9">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（30分）</w:t>
            </w:r>
          </w:p>
        </w:tc>
        <w:tc>
          <w:tcPr>
            <w:tcW w:w="769" w:type="pct"/>
            <w:shd w:val="clear" w:color="auto" w:fill="auto"/>
            <w:tcMar>
              <w:top w:w="0" w:type="dxa"/>
              <w:left w:w="105" w:type="dxa"/>
              <w:bottom w:w="0" w:type="dxa"/>
              <w:right w:w="105" w:type="dxa"/>
            </w:tcMar>
            <w:vAlign w:val="center"/>
          </w:tcPr>
          <w:p w14:paraId="32FE7507">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1.主动、积极、独立解决问题（4分）</w:t>
            </w:r>
          </w:p>
        </w:tc>
        <w:tc>
          <w:tcPr>
            <w:tcW w:w="3321" w:type="pct"/>
            <w:shd w:val="clear" w:color="auto" w:fill="auto"/>
            <w:tcMar>
              <w:top w:w="0" w:type="dxa"/>
              <w:left w:w="105" w:type="dxa"/>
              <w:bottom w:w="0" w:type="dxa"/>
              <w:right w:w="105" w:type="dxa"/>
            </w:tcMar>
            <w:vAlign w:val="center"/>
          </w:tcPr>
          <w:p w14:paraId="5B481DB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对能自身解决的问题不主动、积极、独立解决的，每次扣1分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0BDB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15" w:hRule="atLeast"/>
        </w:trPr>
        <w:tc>
          <w:tcPr>
            <w:tcW w:w="909" w:type="pct"/>
            <w:vMerge w:val="continue"/>
            <w:shd w:val="clear" w:color="auto" w:fill="auto"/>
            <w:tcMar>
              <w:top w:w="0" w:type="dxa"/>
              <w:left w:w="105" w:type="dxa"/>
              <w:bottom w:w="0" w:type="dxa"/>
              <w:right w:w="105" w:type="dxa"/>
            </w:tcMar>
            <w:vAlign w:val="center"/>
          </w:tcPr>
          <w:p w14:paraId="3951CD2F">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3D65ECD0">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2.数据差异的解决（6分）</w:t>
            </w:r>
          </w:p>
        </w:tc>
        <w:tc>
          <w:tcPr>
            <w:tcW w:w="3321" w:type="pct"/>
            <w:shd w:val="clear" w:color="auto" w:fill="auto"/>
            <w:tcMar>
              <w:top w:w="0" w:type="dxa"/>
              <w:left w:w="105" w:type="dxa"/>
              <w:bottom w:w="0" w:type="dxa"/>
              <w:right w:w="105" w:type="dxa"/>
            </w:tcMar>
            <w:vAlign w:val="center"/>
          </w:tcPr>
          <w:p w14:paraId="4C4E483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审计中发现数据差异，必须采取技术手段予以核实；对</w:t>
            </w:r>
            <w:r>
              <w:rPr>
                <w:rFonts w:hint="eastAsia" w:ascii="仿宋" w:hAnsi="仿宋" w:eastAsia="仿宋" w:cs="仿宋"/>
                <w:color w:val="auto"/>
                <w:spacing w:val="0"/>
                <w:sz w:val="24"/>
                <w:szCs w:val="24"/>
              </w:rPr>
              <w:t>差异的调整必须有可追溯的书面证据支持；同时应当结合职业判断和审计准则要求，确保差异的合理解决。如未能妥善解决，每例扣2分</w:t>
            </w:r>
            <w:r>
              <w:rPr>
                <w:rFonts w:hint="eastAsia" w:ascii="仿宋" w:hAnsi="仿宋" w:eastAsia="仿宋" w:cs="仿宋"/>
                <w:color w:val="auto"/>
                <w:spacing w:val="0"/>
                <w:sz w:val="24"/>
                <w:szCs w:val="24"/>
                <w:lang w:eastAsia="zh-CN"/>
              </w:rPr>
              <w:t>，</w:t>
            </w:r>
            <w:r>
              <w:rPr>
                <w:rFonts w:hint="eastAsia" w:ascii="仿宋" w:hAnsi="仿宋" w:eastAsia="仿宋" w:cs="仿宋"/>
                <w:color w:val="auto"/>
                <w:sz w:val="24"/>
                <w:szCs w:val="24"/>
                <w:lang w:val="en-US" w:eastAsia="zh-CN"/>
              </w:rPr>
              <w:t>扣完本项分值为止。</w:t>
            </w:r>
          </w:p>
        </w:tc>
      </w:tr>
      <w:tr w14:paraId="43DD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15" w:hRule="atLeast"/>
        </w:trPr>
        <w:tc>
          <w:tcPr>
            <w:tcW w:w="909" w:type="pct"/>
            <w:vMerge w:val="continue"/>
            <w:shd w:val="clear" w:color="auto" w:fill="auto"/>
            <w:tcMar>
              <w:top w:w="0" w:type="dxa"/>
              <w:left w:w="105" w:type="dxa"/>
              <w:bottom w:w="0" w:type="dxa"/>
              <w:right w:w="105" w:type="dxa"/>
            </w:tcMar>
            <w:vAlign w:val="center"/>
          </w:tcPr>
          <w:p w14:paraId="12443954">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724FC8EA">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3.函证和盘点（6分）</w:t>
            </w:r>
          </w:p>
        </w:tc>
        <w:tc>
          <w:tcPr>
            <w:tcW w:w="3321" w:type="pct"/>
            <w:shd w:val="clear" w:color="auto" w:fill="auto"/>
            <w:tcMar>
              <w:top w:w="0" w:type="dxa"/>
              <w:left w:w="105" w:type="dxa"/>
              <w:bottom w:w="0" w:type="dxa"/>
              <w:right w:w="105" w:type="dxa"/>
            </w:tcMar>
            <w:vAlign w:val="center"/>
          </w:tcPr>
          <w:p w14:paraId="43AFBFC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应该履行函证、盘点等实质性测试环节，如未实施或敷衍应付，扣2-6分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3271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35" w:hRule="atLeast"/>
        </w:trPr>
        <w:tc>
          <w:tcPr>
            <w:tcW w:w="909" w:type="pct"/>
            <w:vMerge w:val="continue"/>
            <w:shd w:val="clear" w:color="auto" w:fill="auto"/>
            <w:tcMar>
              <w:top w:w="0" w:type="dxa"/>
              <w:left w:w="105" w:type="dxa"/>
              <w:bottom w:w="0" w:type="dxa"/>
              <w:right w:w="105" w:type="dxa"/>
            </w:tcMar>
            <w:vAlign w:val="center"/>
          </w:tcPr>
          <w:p w14:paraId="43768C2D">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6100B1E3">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4.拟披露问题和工作底稿（10分）</w:t>
            </w:r>
          </w:p>
        </w:tc>
        <w:tc>
          <w:tcPr>
            <w:tcW w:w="3321" w:type="pct"/>
            <w:shd w:val="clear" w:color="auto" w:fill="auto"/>
            <w:tcMar>
              <w:top w:w="0" w:type="dxa"/>
              <w:left w:w="105" w:type="dxa"/>
              <w:bottom w:w="0" w:type="dxa"/>
              <w:right w:w="105" w:type="dxa"/>
            </w:tcMar>
            <w:vAlign w:val="center"/>
          </w:tcPr>
          <w:p w14:paraId="7C67640F">
            <w:pPr>
              <w:pStyle w:val="14"/>
              <w:keepNext w:val="0"/>
              <w:keepLines w:val="0"/>
              <w:widowControl/>
              <w:suppressLineNumbers w:val="0"/>
              <w:pBdr>
                <w:top w:val="none" w:color="auto" w:sz="0" w:space="0"/>
                <w:left w:val="none" w:color="auto" w:sz="0" w:space="0"/>
                <w:right w:val="none" w:color="auto" w:sz="0" w:space="0"/>
              </w:pBdr>
              <w:spacing w:before="0" w:beforeAutospacing="0" w:after="0" w:afterAutospacing="0"/>
              <w:ind w:left="0" w:right="0"/>
              <w:jc w:val="both"/>
              <w:rPr>
                <w:rFonts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供应商</w:t>
            </w:r>
            <w:r>
              <w:rPr>
                <w:rFonts w:ascii="仿宋" w:hAnsi="仿宋" w:eastAsia="仿宋" w:cs="仿宋"/>
                <w:color w:val="auto"/>
                <w:kern w:val="0"/>
                <w:sz w:val="24"/>
                <w:szCs w:val="24"/>
                <w:lang w:val="en-US" w:eastAsia="zh-CN" w:bidi="ar"/>
              </w:rPr>
              <w:t>对被审计单位</w:t>
            </w:r>
            <w:r>
              <w:rPr>
                <w:rStyle w:val="20"/>
                <w:rFonts w:ascii="仿宋" w:hAnsi="仿宋" w:eastAsia="仿宋" w:cs="仿宋"/>
                <w:b w:val="0"/>
                <w:bCs w:val="0"/>
                <w:color w:val="auto"/>
                <w:kern w:val="0"/>
                <w:sz w:val="24"/>
                <w:szCs w:val="24"/>
                <w:lang w:val="en-US" w:eastAsia="zh-CN" w:bidi="ar"/>
              </w:rPr>
              <w:t>重大经济事项、履职</w:t>
            </w:r>
            <w:r>
              <w:rPr>
                <w:rStyle w:val="20"/>
                <w:rFonts w:hint="eastAsia" w:ascii="仿宋" w:hAnsi="仿宋" w:eastAsia="仿宋" w:cs="仿宋"/>
                <w:b w:val="0"/>
                <w:bCs w:val="0"/>
                <w:color w:val="auto"/>
                <w:kern w:val="0"/>
                <w:sz w:val="24"/>
                <w:szCs w:val="24"/>
                <w:lang w:val="en-US" w:eastAsia="zh-CN" w:bidi="ar"/>
              </w:rPr>
              <w:t>情况</w:t>
            </w:r>
            <w:r>
              <w:rPr>
                <w:rStyle w:val="20"/>
                <w:rFonts w:ascii="仿宋" w:hAnsi="仿宋" w:eastAsia="仿宋" w:cs="仿宋"/>
                <w:b w:val="0"/>
                <w:bCs w:val="0"/>
                <w:color w:val="auto"/>
                <w:kern w:val="0"/>
                <w:sz w:val="24"/>
                <w:szCs w:val="24"/>
                <w:lang w:val="en-US" w:eastAsia="zh-CN" w:bidi="ar"/>
              </w:rPr>
              <w:t>、违规违纪线索、重大决策事项</w:t>
            </w:r>
            <w:r>
              <w:rPr>
                <w:rFonts w:ascii="仿宋" w:hAnsi="仿宋" w:eastAsia="仿宋" w:cs="仿宋"/>
                <w:color w:val="auto"/>
                <w:kern w:val="0"/>
                <w:sz w:val="24"/>
                <w:szCs w:val="24"/>
                <w:lang w:val="en-US" w:eastAsia="zh-CN" w:bidi="ar"/>
              </w:rPr>
              <w:t>等拟核查披露问题开展全面核实确认，是保障经济责任审计结果客观公正、评价结论合规准确的核心环节。审计工作底稿须完整留存全部审计疑点、问询沟通记录、取证资料及最终审计认定结论，构建闭环完整审计证据链，确保审计报告真实、完整、公允反映履职情况、</w:t>
            </w:r>
            <w:r>
              <w:rPr>
                <w:rFonts w:hint="eastAsia" w:ascii="仿宋" w:hAnsi="仿宋" w:eastAsia="仿宋" w:cs="仿宋"/>
                <w:color w:val="auto"/>
                <w:kern w:val="0"/>
                <w:sz w:val="24"/>
                <w:szCs w:val="24"/>
                <w:lang w:val="en-US" w:eastAsia="zh-CN" w:bidi="ar"/>
              </w:rPr>
              <w:t>科室运营情况</w:t>
            </w:r>
            <w:r>
              <w:rPr>
                <w:rFonts w:ascii="仿宋" w:hAnsi="仿宋" w:eastAsia="仿宋" w:cs="仿宋"/>
                <w:color w:val="auto"/>
                <w:kern w:val="0"/>
                <w:sz w:val="24"/>
                <w:szCs w:val="24"/>
                <w:lang w:val="en-US" w:eastAsia="zh-CN" w:bidi="ar"/>
              </w:rPr>
              <w:t>、经济决策执行成效及</w:t>
            </w:r>
            <w:r>
              <w:rPr>
                <w:rFonts w:hint="eastAsia" w:ascii="仿宋" w:hAnsi="仿宋" w:eastAsia="仿宋" w:cs="仿宋"/>
                <w:color w:val="auto"/>
                <w:kern w:val="0"/>
                <w:sz w:val="24"/>
                <w:szCs w:val="24"/>
                <w:lang w:val="en-US" w:eastAsia="zh-CN" w:bidi="ar"/>
              </w:rPr>
              <w:t>其他管理情况</w:t>
            </w:r>
            <w:r>
              <w:rPr>
                <w:rFonts w:ascii="仿宋" w:hAnsi="仿宋" w:eastAsia="仿宋" w:cs="仿宋"/>
                <w:color w:val="auto"/>
                <w:kern w:val="0"/>
                <w:sz w:val="24"/>
                <w:szCs w:val="24"/>
                <w:lang w:val="en-US" w:eastAsia="zh-CN" w:bidi="ar"/>
              </w:rPr>
              <w:t>。</w:t>
            </w:r>
          </w:p>
          <w:p w14:paraId="0EFC5512">
            <w:pPr>
              <w:pStyle w:val="14"/>
              <w:keepNext w:val="0"/>
              <w:keepLines w:val="0"/>
              <w:widowControl/>
              <w:suppressLineNumbers w:val="0"/>
              <w:pBdr>
                <w:top w:val="none" w:color="auto" w:sz="0" w:space="0"/>
                <w:left w:val="none" w:color="auto" w:sz="0" w:space="0"/>
                <w:right w:val="none" w:color="auto" w:sz="0" w:space="0"/>
              </w:pBdr>
              <w:spacing w:before="0" w:beforeAutospacing="0" w:after="0" w:afterAutospacing="0"/>
              <w:ind w:left="0" w:right="0" w:firstLine="0"/>
              <w:jc w:val="both"/>
              <w:rPr>
                <w:rFonts w:ascii="仿宋" w:hAnsi="仿宋" w:eastAsia="仿宋" w:cs="仿宋"/>
                <w:color w:val="auto"/>
                <w:sz w:val="24"/>
                <w:szCs w:val="24"/>
              </w:rPr>
            </w:pPr>
            <w:r>
              <w:rPr>
                <w:rFonts w:ascii="仿宋" w:hAnsi="仿宋" w:eastAsia="仿宋" w:cs="仿宋"/>
                <w:color w:val="auto"/>
                <w:sz w:val="24"/>
                <w:szCs w:val="24"/>
              </w:rPr>
              <w:t>对拟核查披露的各类经济责任相关事项核查取证不全面、事实核实不充分、定性依据不足的，</w:t>
            </w:r>
            <w:r>
              <w:rPr>
                <w:rStyle w:val="20"/>
                <w:rFonts w:ascii="仿宋" w:hAnsi="仿宋" w:eastAsia="仿宋" w:cs="仿宋"/>
                <w:b w:val="0"/>
                <w:bCs w:val="0"/>
                <w:color w:val="auto"/>
                <w:sz w:val="24"/>
                <w:szCs w:val="24"/>
              </w:rPr>
              <w:t xml:space="preserve">扣 </w:t>
            </w:r>
            <w:r>
              <w:rPr>
                <w:rFonts w:hint="eastAsia" w:ascii="仿宋" w:hAnsi="仿宋" w:eastAsia="仿宋" w:cs="仿宋"/>
                <w:b w:val="0"/>
                <w:bCs w:val="0"/>
                <w:color w:val="auto"/>
                <w:sz w:val="24"/>
                <w:szCs w:val="24"/>
                <w:lang w:eastAsia="zh-CN"/>
              </w:rPr>
              <w:t>3</w:t>
            </w:r>
            <w:r>
              <w:rPr>
                <w:rFonts w:hint="eastAsia" w:ascii="仿宋" w:hAnsi="仿宋" w:eastAsia="仿宋" w:cs="仿宋"/>
                <w:b w:val="0"/>
                <w:bCs w:val="0"/>
                <w:color w:val="auto"/>
                <w:sz w:val="24"/>
                <w:szCs w:val="24"/>
                <w:lang w:val="en-US" w:eastAsia="zh-CN"/>
              </w:rPr>
              <w:t>-5</w:t>
            </w:r>
            <w:r>
              <w:rPr>
                <w:rStyle w:val="20"/>
                <w:rFonts w:ascii="仿宋" w:hAnsi="仿宋" w:eastAsia="仿宋" w:cs="仿宋"/>
                <w:b w:val="0"/>
                <w:bCs w:val="0"/>
                <w:color w:val="auto"/>
                <w:sz w:val="24"/>
                <w:szCs w:val="24"/>
              </w:rPr>
              <w:t>分</w:t>
            </w:r>
            <w:r>
              <w:rPr>
                <w:rFonts w:ascii="仿宋" w:hAnsi="仿宋" w:eastAsia="仿宋" w:cs="仿宋"/>
                <w:color w:val="auto"/>
                <w:sz w:val="24"/>
                <w:szCs w:val="24"/>
              </w:rPr>
              <w:t>；</w:t>
            </w:r>
          </w:p>
          <w:p w14:paraId="7FF41677">
            <w:pPr>
              <w:pStyle w:val="14"/>
              <w:keepNext w:val="0"/>
              <w:keepLines w:val="0"/>
              <w:pageBreakBefore w:val="0"/>
              <w:widowControl/>
              <w:suppressLineNumbers w:val="0"/>
              <w:pBdr>
                <w:top w:val="none" w:color="auto" w:sz="0" w:space="0"/>
                <w:left w:val="none" w:color="auto" w:sz="0" w:space="0"/>
                <w:right w:val="none" w:color="auto" w:sz="0" w:space="0"/>
              </w:pBdr>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pacing w:val="0"/>
                <w:sz w:val="24"/>
                <w:szCs w:val="24"/>
              </w:rPr>
            </w:pPr>
            <w:r>
              <w:rPr>
                <w:rFonts w:ascii="仿宋" w:hAnsi="仿宋" w:eastAsia="仿宋" w:cs="仿宋"/>
                <w:color w:val="auto"/>
                <w:sz w:val="24"/>
                <w:szCs w:val="24"/>
              </w:rPr>
              <w:t>审计工作底稿存在资料缺失、内容遗漏、取证不完整、记录不规范、流程留痕不全等情形的，</w:t>
            </w:r>
            <w:r>
              <w:rPr>
                <w:rStyle w:val="20"/>
                <w:rFonts w:ascii="仿宋" w:hAnsi="仿宋" w:eastAsia="仿宋" w:cs="仿宋"/>
                <w:b w:val="0"/>
                <w:bCs w:val="0"/>
                <w:color w:val="auto"/>
                <w:sz w:val="24"/>
                <w:szCs w:val="24"/>
              </w:rPr>
              <w:t xml:space="preserve">扣 </w:t>
            </w:r>
            <w:r>
              <w:rPr>
                <w:rFonts w:hint="eastAsia" w:ascii="仿宋" w:hAnsi="仿宋" w:eastAsia="仿宋" w:cs="仿宋"/>
                <w:b w:val="0"/>
                <w:bCs w:val="0"/>
                <w:color w:val="auto"/>
                <w:sz w:val="24"/>
                <w:szCs w:val="24"/>
                <w:lang w:eastAsia="zh-CN"/>
              </w:rPr>
              <w:t>3</w:t>
            </w:r>
            <w:r>
              <w:rPr>
                <w:rFonts w:hint="eastAsia" w:ascii="仿宋" w:hAnsi="仿宋" w:eastAsia="仿宋" w:cs="仿宋"/>
                <w:b w:val="0"/>
                <w:bCs w:val="0"/>
                <w:color w:val="auto"/>
                <w:sz w:val="24"/>
                <w:szCs w:val="24"/>
                <w:lang w:val="en-US" w:eastAsia="zh-CN"/>
              </w:rPr>
              <w:t>-5</w:t>
            </w:r>
            <w:r>
              <w:rPr>
                <w:rStyle w:val="20"/>
                <w:rFonts w:ascii="仿宋" w:hAnsi="仿宋" w:eastAsia="仿宋" w:cs="仿宋"/>
                <w:b w:val="0"/>
                <w:bCs w:val="0"/>
                <w:color w:val="auto"/>
                <w:sz w:val="24"/>
                <w:szCs w:val="24"/>
              </w:rPr>
              <w:t>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01A6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35" w:hRule="atLeast"/>
        </w:trPr>
        <w:tc>
          <w:tcPr>
            <w:tcW w:w="909" w:type="pct"/>
            <w:vMerge w:val="continue"/>
            <w:shd w:val="clear" w:color="auto" w:fill="auto"/>
            <w:tcMar>
              <w:top w:w="0" w:type="dxa"/>
              <w:left w:w="105" w:type="dxa"/>
              <w:bottom w:w="0" w:type="dxa"/>
              <w:right w:w="105" w:type="dxa"/>
            </w:tcMar>
            <w:vAlign w:val="center"/>
          </w:tcPr>
          <w:p w14:paraId="66B4F2C2">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10CCD24C">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5.审计报告终稿提交（4分）</w:t>
            </w:r>
          </w:p>
        </w:tc>
        <w:tc>
          <w:tcPr>
            <w:tcW w:w="3321" w:type="pct"/>
            <w:shd w:val="clear" w:color="auto" w:fill="auto"/>
            <w:tcMar>
              <w:top w:w="0" w:type="dxa"/>
              <w:left w:w="105" w:type="dxa"/>
              <w:bottom w:w="0" w:type="dxa"/>
              <w:right w:w="105" w:type="dxa"/>
            </w:tcMar>
            <w:vAlign w:val="center"/>
          </w:tcPr>
          <w:p w14:paraId="7E85E4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提交审计报告必须履行三级复核原则。未履行或履行不充分的</w:t>
            </w:r>
            <w:r>
              <w:rPr>
                <w:rFonts w:hint="eastAsia" w:ascii="仿宋" w:hAnsi="仿宋" w:eastAsia="仿宋" w:cs="仿宋"/>
                <w:color w:val="auto"/>
                <w:sz w:val="24"/>
                <w:szCs w:val="24"/>
                <w:lang w:val="en-US" w:eastAsia="zh-CN"/>
              </w:rPr>
              <w:t>每次</w:t>
            </w:r>
            <w:r>
              <w:rPr>
                <w:rFonts w:hint="eastAsia" w:ascii="仿宋" w:hAnsi="仿宋" w:eastAsia="仿宋" w:cs="仿宋"/>
                <w:color w:val="auto"/>
                <w:sz w:val="24"/>
                <w:szCs w:val="24"/>
              </w:rPr>
              <w:t>扣1-2分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531B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909" w:type="pct"/>
            <w:vMerge w:val="restart"/>
            <w:shd w:val="clear" w:color="auto" w:fill="auto"/>
            <w:tcMar>
              <w:top w:w="0" w:type="dxa"/>
              <w:left w:w="105" w:type="dxa"/>
              <w:bottom w:w="0" w:type="dxa"/>
              <w:right w:w="105" w:type="dxa"/>
            </w:tcMar>
            <w:vAlign w:val="center"/>
          </w:tcPr>
          <w:p w14:paraId="219D7A99">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（四）客户反馈（15分）</w:t>
            </w:r>
          </w:p>
        </w:tc>
        <w:tc>
          <w:tcPr>
            <w:tcW w:w="769" w:type="pct"/>
            <w:shd w:val="clear" w:color="auto" w:fill="auto"/>
            <w:tcMar>
              <w:top w:w="0" w:type="dxa"/>
              <w:left w:w="105" w:type="dxa"/>
              <w:bottom w:w="0" w:type="dxa"/>
              <w:right w:w="105" w:type="dxa"/>
            </w:tcMar>
            <w:vAlign w:val="center"/>
          </w:tcPr>
          <w:p w14:paraId="426B5AF7">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1.投诉处理（7分）</w:t>
            </w:r>
          </w:p>
        </w:tc>
        <w:tc>
          <w:tcPr>
            <w:tcW w:w="3321" w:type="pct"/>
            <w:shd w:val="clear" w:color="auto" w:fill="auto"/>
            <w:tcMar>
              <w:top w:w="0" w:type="dxa"/>
              <w:left w:w="105" w:type="dxa"/>
              <w:bottom w:w="0" w:type="dxa"/>
              <w:right w:w="105" w:type="dxa"/>
            </w:tcMar>
            <w:vAlign w:val="center"/>
          </w:tcPr>
          <w:p w14:paraId="4810917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被投诉，经查实系机构原因导致的投诉，每次扣 1-3.5 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扣完本项分值为止。</w:t>
            </w:r>
          </w:p>
        </w:tc>
      </w:tr>
      <w:tr w14:paraId="2B05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35" w:hRule="atLeast"/>
        </w:trPr>
        <w:tc>
          <w:tcPr>
            <w:tcW w:w="909" w:type="pct"/>
            <w:vMerge w:val="continue"/>
            <w:shd w:val="clear" w:color="auto" w:fill="auto"/>
            <w:tcMar>
              <w:top w:w="0" w:type="dxa"/>
              <w:left w:w="105" w:type="dxa"/>
              <w:bottom w:w="0" w:type="dxa"/>
              <w:right w:w="105" w:type="dxa"/>
            </w:tcMar>
            <w:vAlign w:val="center"/>
          </w:tcPr>
          <w:p w14:paraId="2B25C1BB">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5EA4E3E1">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2.客户满意度（8分）</w:t>
            </w:r>
          </w:p>
        </w:tc>
        <w:tc>
          <w:tcPr>
            <w:tcW w:w="3321" w:type="pct"/>
            <w:shd w:val="clear" w:color="auto" w:fill="auto"/>
            <w:tcMar>
              <w:top w:w="0" w:type="dxa"/>
              <w:left w:w="105" w:type="dxa"/>
              <w:bottom w:w="0" w:type="dxa"/>
              <w:right w:w="105" w:type="dxa"/>
            </w:tcMar>
            <w:vAlign w:val="center"/>
          </w:tcPr>
          <w:p w14:paraId="455D5DB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各项目完成，征求审计部意见：非常满意 8 分，满意 6 分，基本满意 4 分，不满意 0-2 分。</w:t>
            </w:r>
          </w:p>
        </w:tc>
      </w:tr>
      <w:tr w14:paraId="4F01D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0" w:hRule="atLeast"/>
        </w:trPr>
        <w:tc>
          <w:tcPr>
            <w:tcW w:w="909" w:type="pct"/>
            <w:vMerge w:val="restart"/>
            <w:shd w:val="clear" w:color="auto" w:fill="auto"/>
            <w:tcMar>
              <w:top w:w="0" w:type="dxa"/>
              <w:left w:w="105" w:type="dxa"/>
              <w:bottom w:w="0" w:type="dxa"/>
              <w:right w:w="105" w:type="dxa"/>
            </w:tcMar>
            <w:vAlign w:val="center"/>
          </w:tcPr>
          <w:p w14:paraId="3A44C7A3">
            <w:pPr>
              <w:pStyle w:val="14"/>
              <w:keepNext w:val="0"/>
              <w:keepLines w:val="0"/>
              <w:widowControl/>
              <w:suppressLineNumbers w:val="0"/>
              <w:jc w:val="center"/>
              <w:rPr>
                <w:rFonts w:hint="eastAsia" w:ascii="仿宋" w:hAnsi="仿宋" w:eastAsia="仿宋" w:cs="仿宋"/>
                <w:color w:val="auto"/>
                <w:sz w:val="24"/>
                <w:szCs w:val="24"/>
              </w:rPr>
            </w:pPr>
            <w:r>
              <w:rPr>
                <w:rStyle w:val="21"/>
                <w:rFonts w:hint="eastAsia" w:ascii="仿宋" w:hAnsi="仿宋" w:eastAsia="仿宋" w:cs="仿宋"/>
                <w:color w:val="auto"/>
                <w:sz w:val="24"/>
                <w:szCs w:val="24"/>
              </w:rPr>
              <w:t>（五）创新与增值（10分）</w:t>
            </w:r>
          </w:p>
        </w:tc>
        <w:tc>
          <w:tcPr>
            <w:tcW w:w="769" w:type="pct"/>
            <w:shd w:val="clear" w:color="auto" w:fill="auto"/>
            <w:tcMar>
              <w:top w:w="0" w:type="dxa"/>
              <w:left w:w="105" w:type="dxa"/>
              <w:bottom w:w="0" w:type="dxa"/>
              <w:right w:w="105" w:type="dxa"/>
            </w:tcMar>
            <w:vAlign w:val="center"/>
          </w:tcPr>
          <w:p w14:paraId="1A5BA0AB">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1.发现重大违纪违规情况</w:t>
            </w:r>
          </w:p>
          <w:p w14:paraId="5AB63890">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分）</w:t>
            </w:r>
          </w:p>
        </w:tc>
        <w:tc>
          <w:tcPr>
            <w:tcW w:w="3321" w:type="pct"/>
            <w:shd w:val="clear" w:color="auto" w:fill="auto"/>
            <w:tcMar>
              <w:top w:w="0" w:type="dxa"/>
              <w:left w:w="105" w:type="dxa"/>
              <w:bottom w:w="0" w:type="dxa"/>
              <w:right w:w="105" w:type="dxa"/>
            </w:tcMar>
            <w:vAlign w:val="center"/>
          </w:tcPr>
          <w:p w14:paraId="137C579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在审计过程中发现被审计单位及有关人员存在重大违纪违规线索，并经医院核实确认后，</w:t>
            </w:r>
            <w:r>
              <w:rPr>
                <w:rFonts w:hint="eastAsia" w:ascii="仿宋" w:hAnsi="仿宋" w:eastAsia="仿宋" w:cs="仿宋"/>
                <w:color w:val="auto"/>
                <w:sz w:val="24"/>
                <w:szCs w:val="24"/>
                <w:lang w:val="en-US" w:eastAsia="zh-CN"/>
              </w:rPr>
              <w:t>奖励</w:t>
            </w: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分。</w:t>
            </w:r>
          </w:p>
        </w:tc>
      </w:tr>
      <w:tr w14:paraId="7250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0" w:hRule="atLeast"/>
        </w:trPr>
        <w:tc>
          <w:tcPr>
            <w:tcW w:w="909" w:type="pct"/>
            <w:vMerge w:val="continue"/>
            <w:shd w:val="clear" w:color="auto" w:fill="auto"/>
            <w:tcMar>
              <w:top w:w="0" w:type="dxa"/>
              <w:left w:w="105" w:type="dxa"/>
              <w:bottom w:w="0" w:type="dxa"/>
              <w:right w:w="105" w:type="dxa"/>
            </w:tcMar>
            <w:vAlign w:val="center"/>
          </w:tcPr>
          <w:p w14:paraId="6A220A4B">
            <w:pPr>
              <w:jc w:val="center"/>
              <w:rPr>
                <w:rFonts w:hint="eastAsia" w:ascii="仿宋" w:hAnsi="仿宋" w:eastAsia="仿宋" w:cs="仿宋"/>
                <w:color w:val="auto"/>
                <w:sz w:val="24"/>
                <w:szCs w:val="24"/>
              </w:rPr>
            </w:pPr>
          </w:p>
        </w:tc>
        <w:tc>
          <w:tcPr>
            <w:tcW w:w="769" w:type="pct"/>
            <w:shd w:val="clear" w:color="auto" w:fill="auto"/>
            <w:tcMar>
              <w:top w:w="0" w:type="dxa"/>
              <w:left w:w="105" w:type="dxa"/>
              <w:bottom w:w="0" w:type="dxa"/>
              <w:right w:w="105" w:type="dxa"/>
            </w:tcMar>
            <w:vAlign w:val="center"/>
          </w:tcPr>
          <w:p w14:paraId="37DDFCDC">
            <w:pPr>
              <w:pStyle w:val="14"/>
              <w:keepNext w:val="0"/>
              <w:keepLines w:val="0"/>
              <w:widowControl/>
              <w:suppressLineNumbers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2.合理化建议（</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分）</w:t>
            </w:r>
          </w:p>
        </w:tc>
        <w:tc>
          <w:tcPr>
            <w:tcW w:w="3321" w:type="pct"/>
            <w:shd w:val="clear" w:color="auto" w:fill="auto"/>
            <w:tcMar>
              <w:top w:w="0" w:type="dxa"/>
              <w:left w:w="105" w:type="dxa"/>
              <w:bottom w:w="0" w:type="dxa"/>
              <w:right w:w="105" w:type="dxa"/>
            </w:tcMar>
            <w:vAlign w:val="center"/>
          </w:tcPr>
          <w:p w14:paraId="0EFDC86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提出的有利于促进</w:t>
            </w:r>
            <w:r>
              <w:rPr>
                <w:rFonts w:hint="eastAsia" w:ascii="仿宋" w:hAnsi="仿宋" w:eastAsia="仿宋" w:cs="仿宋"/>
                <w:color w:val="auto"/>
                <w:sz w:val="24"/>
                <w:szCs w:val="24"/>
                <w:lang w:val="en-US" w:eastAsia="zh-CN"/>
              </w:rPr>
              <w:t>科室</w:t>
            </w:r>
            <w:r>
              <w:rPr>
                <w:rFonts w:hint="eastAsia" w:ascii="仿宋" w:hAnsi="仿宋" w:eastAsia="仿宋" w:cs="仿宋"/>
                <w:color w:val="auto"/>
                <w:sz w:val="24"/>
                <w:szCs w:val="24"/>
              </w:rPr>
              <w:t>提质增效、增收节支的合理化建议并被医院予以采纳的，奖励1-</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分。</w:t>
            </w:r>
          </w:p>
        </w:tc>
      </w:tr>
    </w:tbl>
    <w:p w14:paraId="66CAB664">
      <w:pPr>
        <w:pStyle w:val="16"/>
        <w:ind w:firstLine="0"/>
        <w:rPr>
          <w:rFonts w:hint="eastAsia" w:ascii="仿宋" w:hAnsi="仿宋" w:eastAsia="仿宋" w:cs="仿宋"/>
          <w:sz w:val="24"/>
          <w:szCs w:val="24"/>
        </w:rPr>
      </w:pPr>
      <w:r>
        <w:rPr>
          <w:rStyle w:val="21"/>
          <w:rFonts w:hint="eastAsia" w:ascii="仿宋" w:hAnsi="仿宋" w:eastAsia="仿宋" w:cs="仿宋"/>
          <w:kern w:val="2"/>
          <w:sz w:val="24"/>
          <w:szCs w:val="24"/>
        </w:rPr>
        <w:t>注：按年度进行考核，该年度考核得分在80分（含）以上视为考核合格，续签下一年度审计合同；低于80分，不再续签下一年度审计合同。</w:t>
      </w:r>
    </w:p>
    <w:p w14:paraId="75ED08AB">
      <w:pPr>
        <w:pStyle w:val="16"/>
        <w:ind w:firstLine="0"/>
        <w:rPr>
          <w:rFonts w:ascii="Times New Roman" w:hAnsi="Times New Roman" w:eastAsia="仿宋" w:cs="Times New Roman"/>
          <w:sz w:val="24"/>
          <w:szCs w:val="24"/>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04DAF2E0">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68754CB">
            <w:pPr>
              <w:spacing w:line="360" w:lineRule="auto"/>
              <w:rPr>
                <w:rFonts w:ascii="仿宋" w:hAnsi="仿宋" w:eastAsia="仿宋" w:cs="宋体"/>
                <w:sz w:val="24"/>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w:t>
            </w:r>
            <w:r>
              <w:rPr>
                <w:rFonts w:hint="eastAsia" w:ascii="仿宋" w:eastAsia="仿宋" w:cs="仿宋"/>
                <w:sz w:val="24"/>
                <w:szCs w:val="24"/>
                <w:lang w:val="en-US" w:eastAsia="zh-CN"/>
              </w:rPr>
              <w:t>报价</w:t>
            </w:r>
            <w:r>
              <w:rPr>
                <w:rFonts w:hint="eastAsia" w:ascii="仿宋" w:eastAsia="仿宋" w:cs="仿宋"/>
                <w:sz w:val="24"/>
                <w:szCs w:val="24"/>
                <w:lang w:eastAsia="zh-CN"/>
              </w:rPr>
              <w:t>最</w:t>
            </w:r>
            <w:r>
              <w:rPr>
                <w:rFonts w:hint="eastAsia" w:ascii="仿宋" w:eastAsia="仿宋" w:cs="仿宋"/>
                <w:sz w:val="24"/>
                <w:szCs w:val="24"/>
                <w:lang w:val="en-US" w:eastAsia="zh-CN"/>
              </w:rPr>
              <w:t>低</w:t>
            </w:r>
            <w:r>
              <w:rPr>
                <w:rFonts w:hint="eastAsia" w:ascii="仿宋" w:eastAsia="仿宋" w:cs="仿宋"/>
                <w:sz w:val="24"/>
                <w:szCs w:val="24"/>
                <w:lang w:eastAsia="zh-CN"/>
              </w:rPr>
              <w:t>的为评审基准价，其价格分为满分。其他供应商的报价得分按照下列公式计算：报价得分= 基准价／</w:t>
            </w:r>
            <w:r>
              <w:rPr>
                <w:rFonts w:hint="eastAsia" w:ascii="仿宋" w:eastAsia="仿宋" w:cs="仿宋"/>
                <w:sz w:val="24"/>
                <w:szCs w:val="24"/>
                <w:lang w:val="en-US" w:eastAsia="zh-CN"/>
              </w:rPr>
              <w:t>报价</w:t>
            </w:r>
            <w:r>
              <w:rPr>
                <w:rFonts w:hint="eastAsia" w:ascii="仿宋" w:eastAsia="仿宋" w:cs="仿宋"/>
                <w:sz w:val="24"/>
                <w:szCs w:val="24"/>
                <w:lang w:eastAsia="zh-CN"/>
              </w:rPr>
              <w:t>*</w:t>
            </w:r>
            <w:r>
              <w:rPr>
                <w:rFonts w:hint="eastAsia" w:ascii="仿宋" w:eastAsia="仿宋" w:cs="仿宋"/>
                <w:sz w:val="24"/>
                <w:szCs w:val="24"/>
                <w:lang w:val="en-US" w:eastAsia="zh-CN"/>
              </w:rPr>
              <w:t>1</w:t>
            </w:r>
            <w:r>
              <w:rPr>
                <w:rFonts w:hint="eastAsia" w:ascii="仿宋" w:eastAsia="仿宋" w:cs="仿宋"/>
                <w:sz w:val="24"/>
                <w:szCs w:val="24"/>
                <w:lang w:eastAsia="zh-CN"/>
              </w:rPr>
              <w:t>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083423AB">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w:t>
            </w:r>
            <w:r>
              <w:rPr>
                <w:rFonts w:hint="eastAsia" w:ascii="仿宋" w:hAnsi="仿宋" w:eastAsia="仿宋" w:cs="仿宋"/>
                <w:sz w:val="24"/>
                <w:szCs w:val="24"/>
              </w:rPr>
              <w:t>①人员组织分工及技术质量保障方案</w:t>
            </w:r>
            <w:r>
              <w:rPr>
                <w:rFonts w:hint="eastAsia" w:ascii="仿宋" w:hAnsi="仿宋" w:eastAsia="仿宋" w:cs="仿宋"/>
                <w:sz w:val="24"/>
                <w:szCs w:val="24"/>
                <w:lang w:eastAsia="zh-CN"/>
              </w:rPr>
              <w:t>、</w:t>
            </w:r>
            <w:r>
              <w:rPr>
                <w:rFonts w:hint="eastAsia" w:ascii="仿宋" w:hAnsi="仿宋" w:eastAsia="仿宋" w:cs="仿宋"/>
                <w:sz w:val="24"/>
                <w:szCs w:val="24"/>
              </w:rPr>
              <w:t>②项目进度计划安排</w:t>
            </w:r>
            <w:r>
              <w:rPr>
                <w:rFonts w:hint="eastAsia" w:ascii="仿宋" w:hAnsi="仿宋" w:eastAsia="仿宋" w:cs="仿宋"/>
                <w:sz w:val="24"/>
                <w:szCs w:val="24"/>
                <w:lang w:val="en-US" w:eastAsia="zh-CN"/>
              </w:rPr>
              <w:t>清单、</w:t>
            </w:r>
            <w:r>
              <w:rPr>
                <w:rFonts w:hint="default" w:ascii="仿宋" w:hAnsi="仿宋" w:eastAsia="仿宋" w:cs="仿宋"/>
                <w:sz w:val="24"/>
                <w:szCs w:val="24"/>
              </w:rPr>
              <w:t>③</w:t>
            </w:r>
            <w:r>
              <w:rPr>
                <w:rFonts w:hint="eastAsia" w:ascii="仿宋" w:hAnsi="仿宋" w:eastAsia="仿宋" w:cs="仿宋"/>
                <w:sz w:val="24"/>
                <w:szCs w:val="24"/>
              </w:rPr>
              <w:t>项目进度保障措施</w:t>
            </w:r>
            <w:r>
              <w:rPr>
                <w:rFonts w:hint="eastAsia" w:ascii="仿宋" w:hAnsi="仿宋" w:eastAsia="仿宋" w:cs="宋体"/>
                <w:color w:val="000000"/>
                <w:sz w:val="24"/>
                <w:lang w:val="en-US" w:eastAsia="zh-CN"/>
              </w:rPr>
              <w:t>。</w:t>
            </w:r>
          </w:p>
          <w:p w14:paraId="632753E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每有一项内容缺失扣5分，每有一处内容有缺陷的扣2.5分，直至本项分值扣完为止。</w:t>
            </w:r>
          </w:p>
          <w:p w14:paraId="01FE128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35</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35</w:t>
            </w:r>
          </w:p>
        </w:tc>
        <w:tc>
          <w:tcPr>
            <w:tcW w:w="6520" w:type="dxa"/>
            <w:noWrap/>
            <w:vAlign w:val="center"/>
          </w:tcPr>
          <w:p w14:paraId="3B8BFF66">
            <w:pPr>
              <w:spacing w:line="360" w:lineRule="auto"/>
              <w:rPr>
                <w:rFonts w:hint="eastAsia" w:ascii="仿宋" w:hAnsi="仿宋" w:eastAsia="仿宋" w:cs="Times New Roman"/>
                <w:sz w:val="24"/>
                <w:lang w:val="en-US" w:eastAsia="zh-CN"/>
              </w:rPr>
            </w:pPr>
            <w:r>
              <w:rPr>
                <w:rFonts w:ascii="仿宋" w:hAnsi="仿宋" w:eastAsia="仿宋" w:cs="Times New Roman"/>
                <w:sz w:val="24"/>
              </w:rPr>
              <w:t>供应商拟投入本项目的</w:t>
            </w:r>
            <w:r>
              <w:rPr>
                <w:rFonts w:hint="eastAsia" w:ascii="仿宋" w:hAnsi="仿宋" w:eastAsia="仿宋" w:cs="Times New Roman"/>
                <w:sz w:val="24"/>
                <w:lang w:val="en-US" w:eastAsia="zh-CN"/>
              </w:rPr>
              <w:t>人员：</w:t>
            </w:r>
          </w:p>
          <w:p w14:paraId="2C886158">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kern w:val="2"/>
                <w:sz w:val="24"/>
                <w:szCs w:val="22"/>
                <w:lang w:val="en-US" w:eastAsia="zh-CN" w:bidi="ar-SA"/>
              </w:rPr>
              <w:t>1.</w:t>
            </w:r>
            <w:r>
              <w:rPr>
                <w:rFonts w:hint="eastAsia" w:ascii="仿宋" w:hAnsi="仿宋" w:eastAsia="仿宋" w:cs="Times New Roman"/>
                <w:sz w:val="24"/>
                <w:lang w:val="en-US" w:eastAsia="zh-CN"/>
              </w:rPr>
              <w:t>项目负责人自2023年1月1日至今负责过类似经济责任审计工作的，每有1个工作经验得5分，最高得20分。</w:t>
            </w:r>
          </w:p>
          <w:p w14:paraId="0718CA1C">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sz w:val="24"/>
                <w:lang w:val="en-US" w:eastAsia="zh-CN"/>
              </w:rPr>
              <w:t>需提供需提供合同复印件（需体现项目负责人姓名和项目内容）并加盖供应商公章。</w:t>
            </w:r>
          </w:p>
          <w:p w14:paraId="7D3A3657">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kern w:val="2"/>
                <w:sz w:val="24"/>
                <w:szCs w:val="22"/>
                <w:lang w:val="en-US" w:eastAsia="zh-CN" w:bidi="ar-SA"/>
              </w:rPr>
              <w:t>2.</w:t>
            </w:r>
            <w:r>
              <w:rPr>
                <w:rFonts w:hint="eastAsia" w:ascii="仿宋" w:hAnsi="仿宋" w:eastAsia="仿宋" w:cs="Times New Roman"/>
                <w:sz w:val="24"/>
                <w:lang w:val="en-US" w:eastAsia="zh-CN"/>
              </w:rPr>
              <w:t>除项目负责人以外的团队人员，每有1人</w:t>
            </w:r>
            <w:r>
              <w:rPr>
                <w:rFonts w:hint="default" w:ascii="仿宋" w:hAnsi="仿宋" w:eastAsia="仿宋" w:cs="Times New Roman"/>
                <w:sz w:val="24"/>
                <w:lang w:val="en-US" w:eastAsia="zh-CN"/>
              </w:rPr>
              <w:t>具有中级及以上会计师资格</w:t>
            </w:r>
            <w:r>
              <w:rPr>
                <w:rFonts w:hint="eastAsia" w:ascii="仿宋" w:hAnsi="仿宋" w:eastAsia="仿宋" w:cs="Times New Roman"/>
                <w:sz w:val="24"/>
                <w:lang w:val="en-US" w:eastAsia="zh-CN"/>
              </w:rPr>
              <w:t>的得3分</w:t>
            </w:r>
            <w:r>
              <w:rPr>
                <w:rFonts w:hint="default" w:ascii="仿宋" w:hAnsi="仿宋" w:eastAsia="仿宋" w:cs="Times New Roman"/>
                <w:sz w:val="24"/>
                <w:lang w:val="en-US" w:eastAsia="zh-CN"/>
              </w:rPr>
              <w:t>，</w:t>
            </w:r>
            <w:r>
              <w:rPr>
                <w:rFonts w:hint="eastAsia" w:ascii="仿宋" w:hAnsi="仿宋" w:eastAsia="仿宋" w:cs="Times New Roman"/>
                <w:sz w:val="24"/>
                <w:lang w:val="en-US" w:eastAsia="zh-CN"/>
              </w:rPr>
              <w:t>最多得15分。</w:t>
            </w:r>
          </w:p>
          <w:p w14:paraId="32CA6770">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需</w:t>
            </w:r>
            <w:r>
              <w:rPr>
                <w:rFonts w:hint="default" w:ascii="仿宋" w:hAnsi="仿宋" w:eastAsia="仿宋" w:cs="Times New Roman"/>
                <w:sz w:val="24"/>
                <w:lang w:val="en-US" w:eastAsia="zh-CN"/>
              </w:rPr>
              <w:t>提供证书证明材料并加盖供应商公章</w:t>
            </w:r>
            <w:r>
              <w:rPr>
                <w:rFonts w:hint="eastAsia" w:ascii="仿宋" w:hAnsi="仿宋" w:eastAsia="仿宋" w:cs="Times New Roman"/>
                <w:sz w:val="24"/>
                <w:lang w:val="en-US" w:eastAsia="zh-CN"/>
              </w:rPr>
              <w:t>。</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40</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6495F874">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2023年1月1日至今，供应商具有类似经济责任审计项目业绩的，每提供1个得5分，本项最多得40分。</w:t>
            </w:r>
          </w:p>
          <w:p w14:paraId="219EF13C">
            <w:pPr>
              <w:spacing w:line="360" w:lineRule="auto"/>
              <w:rPr>
                <w:rFonts w:ascii="仿宋" w:hAnsi="仿宋" w:eastAsia="仿宋" w:cs="宋体"/>
                <w:color w:val="000000"/>
                <w:sz w:val="24"/>
              </w:rPr>
            </w:pPr>
            <w:r>
              <w:rPr>
                <w:rFonts w:hint="eastAsia" w:ascii="仿宋" w:hAnsi="仿宋" w:eastAsia="仿宋" w:cs="仿宋"/>
                <w:sz w:val="24"/>
                <w:szCs w:val="24"/>
                <w:lang w:val="en-US" w:eastAsia="zh-CN"/>
              </w:rPr>
              <w:t>注：</w:t>
            </w:r>
            <w:r>
              <w:rPr>
                <w:rFonts w:hint="eastAsia" w:ascii="仿宋" w:hAnsi="仿宋" w:eastAsia="仿宋" w:cs="仿宋"/>
                <w:sz w:val="24"/>
                <w:szCs w:val="24"/>
              </w:rPr>
              <w:t>须提供合同复印件并加盖公章。</w:t>
            </w:r>
          </w:p>
        </w:tc>
      </w:tr>
    </w:tbl>
    <w:p w14:paraId="665E61C0"/>
    <w:p w14:paraId="121219B9">
      <w:pPr>
        <w:rPr>
          <w:rFonts w:ascii="Times New Roman" w:hAnsi="Times New Roman" w:cs="Times New Roman"/>
        </w:rPr>
      </w:pPr>
      <w:bookmarkStart w:id="18" w:name="_Toc22827"/>
      <w:bookmarkStart w:id="19" w:name="_Toc3094"/>
      <w:bookmarkStart w:id="20" w:name="_Toc28171"/>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7135"/>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2031"/>
      <w:bookmarkStart w:id="45" w:name="_Toc7233"/>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6482"/>
      <w:bookmarkStart w:id="50" w:name="_Toc16029"/>
      <w:bookmarkStart w:id="51" w:name="_Toc11352"/>
      <w:bookmarkStart w:id="52" w:name="_Toc21519"/>
      <w:bookmarkStart w:id="53"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4305"/>
      <w:bookmarkStart w:id="56" w:name="_Toc17857"/>
      <w:bookmarkStart w:id="57" w:name="_Toc22676"/>
      <w:bookmarkStart w:id="58" w:name="_Toc31838"/>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27661"/>
      <w:bookmarkStart w:id="69" w:name="_Toc11351"/>
      <w:bookmarkStart w:id="70" w:name="_Toc20589"/>
      <w:bookmarkStart w:id="71" w:name="_Toc15526"/>
      <w:bookmarkStart w:id="72" w:name="_Toc25638"/>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074"/>
      <w:bookmarkStart w:id="74" w:name="_Toc2041"/>
      <w:bookmarkStart w:id="75" w:name="_Toc12967"/>
      <w:bookmarkStart w:id="76" w:name="_Toc16435"/>
      <w:bookmarkStart w:id="77" w:name="_Toc23967"/>
      <w:bookmarkStart w:id="78" w:name="_Toc26969"/>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4806"/>
      <w:bookmarkStart w:id="80" w:name="_Toc21082"/>
      <w:bookmarkStart w:id="81" w:name="_Toc26839"/>
      <w:bookmarkStart w:id="82" w:name="_Toc31686"/>
      <w:bookmarkStart w:id="83" w:name="_Toc28634"/>
      <w:bookmarkStart w:id="84" w:name="_Toc136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0"/>
        <w:gridCol w:w="3102"/>
        <w:gridCol w:w="2992"/>
        <w:gridCol w:w="2577"/>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604"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2991" w:type="dxa"/>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单个审计项目报价（元）</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604"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四川省人民医院经济责任审计服务</w:t>
            </w:r>
          </w:p>
        </w:tc>
        <w:tc>
          <w:tcPr>
            <w:tcW w:w="2991" w:type="dxa"/>
            <w:vAlign w:val="center"/>
          </w:tcPr>
          <w:p w14:paraId="29431FEC">
            <w:pPr>
              <w:pStyle w:val="7"/>
              <w:pBdr>
                <w:top w:val="none" w:color="auto" w:sz="0" w:space="0"/>
                <w:left w:val="none" w:color="auto" w:sz="0" w:space="0"/>
                <w:bottom w:val="none" w:color="auto" w:sz="0" w:space="0"/>
                <w:right w:val="none" w:color="auto" w:sz="0" w:space="0"/>
                <w:between w:val="none" w:color="auto" w:sz="0" w:space="0"/>
              </w:pBdr>
              <w:jc w:val="left"/>
              <w:rPr>
                <w:rFonts w:hint="eastAsia" w:eastAsia="宋体"/>
                <w:b w:val="0"/>
                <w:bCs w:val="0"/>
                <w:vertAlign w:val="baseline"/>
                <w:lang w:val="en-US" w:eastAsia="zh-CN"/>
              </w:rPr>
            </w:pPr>
            <w:r>
              <w:rPr>
                <w:rFonts w:hint="eastAsia" w:eastAsia="宋体"/>
                <w:b w:val="0"/>
                <w:bCs w:val="0"/>
                <w:vertAlign w:val="baseline"/>
                <w:lang w:val="en-US" w:eastAsia="zh-CN"/>
              </w:rPr>
              <w:t>大写：</w:t>
            </w:r>
          </w:p>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r>
              <w:rPr>
                <w:rFonts w:hint="eastAsia" w:eastAsia="宋体"/>
                <w:b w:val="0"/>
                <w:bCs w:val="0"/>
                <w:vertAlign w:val="baseline"/>
                <w:lang w:val="en-US" w:eastAsia="zh-CN"/>
              </w:rPr>
              <w:t>小写：</w:t>
            </w: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1"/>
        </w:numPr>
        <w:ind w:left="0" w:firstLine="0" w:firstLineChars="0"/>
        <w:contextualSpacing/>
        <w:jc w:val="left"/>
        <w:rPr>
          <w:b/>
          <w:szCs w:val="21"/>
        </w:rPr>
      </w:pPr>
      <w:r>
        <w:rPr>
          <w:b/>
          <w:szCs w:val="21"/>
        </w:rPr>
        <w:t>合同标的</w:t>
      </w:r>
    </w:p>
    <w:p w14:paraId="2E385537">
      <w:pPr>
        <w:pStyle w:val="9"/>
        <w:numPr>
          <w:ilvl w:val="0"/>
          <w:numId w:val="12"/>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2"/>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2"/>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1"/>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1"/>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1"/>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1"/>
        </w:numPr>
        <w:ind w:left="0" w:firstLine="0" w:firstLineChars="0"/>
        <w:contextualSpacing/>
        <w:jc w:val="left"/>
        <w:rPr>
          <w:b/>
          <w:szCs w:val="21"/>
        </w:rPr>
      </w:pPr>
      <w:r>
        <w:rPr>
          <w:b/>
          <w:szCs w:val="21"/>
        </w:rPr>
        <w:t>验收</w:t>
      </w:r>
    </w:p>
    <w:p w14:paraId="57707485">
      <w:pPr>
        <w:pStyle w:val="29"/>
        <w:numPr>
          <w:ilvl w:val="0"/>
          <w:numId w:val="13"/>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3"/>
        </w:numPr>
        <w:ind w:left="0" w:firstLine="0" w:firstLineChars="0"/>
        <w:contextualSpacing/>
        <w:rPr>
          <w:szCs w:val="21"/>
        </w:rPr>
      </w:pPr>
      <w:r>
        <w:rPr>
          <w:szCs w:val="21"/>
        </w:rPr>
        <w:t>验收方案：</w:t>
      </w:r>
    </w:p>
    <w:p w14:paraId="10719FFA">
      <w:pPr>
        <w:pStyle w:val="29"/>
        <w:numPr>
          <w:ilvl w:val="0"/>
          <w:numId w:val="14"/>
        </w:numPr>
        <w:ind w:firstLineChars="0"/>
        <w:contextualSpacing/>
        <w:rPr>
          <w:color w:val="000000"/>
          <w:szCs w:val="21"/>
        </w:rPr>
      </w:pPr>
      <w:r>
        <w:rPr>
          <w:rFonts w:hint="eastAsia"/>
          <w:color w:val="000000"/>
          <w:szCs w:val="21"/>
        </w:rPr>
        <w:t>验收主体：甲方</w:t>
      </w:r>
    </w:p>
    <w:p w14:paraId="7212F6E2">
      <w:pPr>
        <w:pStyle w:val="29"/>
        <w:numPr>
          <w:ilvl w:val="0"/>
          <w:numId w:val="14"/>
        </w:numPr>
        <w:ind w:firstLineChars="0"/>
        <w:contextualSpacing/>
        <w:rPr>
          <w:color w:val="000000"/>
          <w:szCs w:val="21"/>
        </w:rPr>
      </w:pPr>
      <w:r>
        <w:rPr>
          <w:rFonts w:hint="eastAsia"/>
          <w:color w:val="000000"/>
          <w:szCs w:val="21"/>
        </w:rPr>
        <w:t>验收组织方式：自行验收</w:t>
      </w:r>
    </w:p>
    <w:p w14:paraId="5C963DBA">
      <w:pPr>
        <w:pStyle w:val="29"/>
        <w:numPr>
          <w:ilvl w:val="0"/>
          <w:numId w:val="14"/>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4"/>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4"/>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4"/>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4"/>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4"/>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4"/>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4"/>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4"/>
        </w:numPr>
        <w:ind w:firstLineChars="0"/>
        <w:contextualSpacing/>
        <w:rPr>
          <w:szCs w:val="21"/>
        </w:rPr>
      </w:pPr>
      <w:r>
        <w:rPr>
          <w:szCs w:val="21"/>
        </w:rPr>
        <w:t>验收标准：</w:t>
      </w:r>
    </w:p>
    <w:p w14:paraId="24757C73">
      <w:pPr>
        <w:pStyle w:val="16"/>
        <w:numPr>
          <w:ilvl w:val="0"/>
          <w:numId w:val="15"/>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5"/>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5"/>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5"/>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5"/>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5"/>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4"/>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3"/>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1"/>
        </w:numPr>
        <w:ind w:left="0" w:firstLine="0" w:firstLineChars="0"/>
        <w:contextualSpacing/>
        <w:jc w:val="left"/>
        <w:rPr>
          <w:b/>
          <w:szCs w:val="21"/>
        </w:rPr>
      </w:pPr>
      <w:r>
        <w:rPr>
          <w:b/>
          <w:szCs w:val="21"/>
        </w:rPr>
        <w:t>付款方式</w:t>
      </w:r>
    </w:p>
    <w:p w14:paraId="5CC20725">
      <w:pPr>
        <w:pStyle w:val="9"/>
        <w:numPr>
          <w:ilvl w:val="0"/>
          <w:numId w:val="16"/>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6"/>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6"/>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6"/>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1"/>
        </w:numPr>
        <w:ind w:left="0" w:firstLine="0" w:firstLineChars="0"/>
        <w:contextualSpacing/>
        <w:jc w:val="left"/>
        <w:rPr>
          <w:b/>
          <w:szCs w:val="21"/>
        </w:rPr>
      </w:pPr>
      <w:r>
        <w:rPr>
          <w:b/>
          <w:szCs w:val="21"/>
        </w:rPr>
        <w:t>双方权利与义务</w:t>
      </w:r>
    </w:p>
    <w:p w14:paraId="581F8AA0">
      <w:pPr>
        <w:pStyle w:val="9"/>
        <w:numPr>
          <w:ilvl w:val="0"/>
          <w:numId w:val="17"/>
        </w:numPr>
        <w:spacing w:after="0" w:line="240" w:lineRule="auto"/>
        <w:ind w:left="227" w:leftChars="0" w:hanging="227"/>
        <w:contextualSpacing/>
        <w:jc w:val="left"/>
        <w:rPr>
          <w:szCs w:val="21"/>
        </w:rPr>
      </w:pPr>
      <w:r>
        <w:rPr>
          <w:szCs w:val="21"/>
        </w:rPr>
        <w:t>甲方权利与义务</w:t>
      </w:r>
    </w:p>
    <w:p w14:paraId="4D16113D">
      <w:pPr>
        <w:pStyle w:val="29"/>
        <w:numPr>
          <w:ilvl w:val="0"/>
          <w:numId w:val="18"/>
        </w:numPr>
        <w:adjustRightInd w:val="0"/>
        <w:ind w:left="525" w:hanging="525" w:hangingChars="250"/>
        <w:contextualSpacing/>
        <w:jc w:val="left"/>
        <w:rPr>
          <w:szCs w:val="21"/>
        </w:rPr>
      </w:pPr>
      <w:r>
        <w:rPr>
          <w:szCs w:val="21"/>
        </w:rPr>
        <w:t>按合同约定向乙方支付费用。</w:t>
      </w:r>
    </w:p>
    <w:p w14:paraId="62A02753">
      <w:pPr>
        <w:pStyle w:val="29"/>
        <w:numPr>
          <w:ilvl w:val="0"/>
          <w:numId w:val="18"/>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8"/>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8"/>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7"/>
        </w:numPr>
        <w:spacing w:after="0" w:line="240" w:lineRule="auto"/>
        <w:ind w:left="227" w:leftChars="0" w:hanging="227"/>
        <w:contextualSpacing/>
        <w:jc w:val="left"/>
        <w:rPr>
          <w:szCs w:val="21"/>
        </w:rPr>
      </w:pPr>
      <w:r>
        <w:rPr>
          <w:szCs w:val="21"/>
        </w:rPr>
        <w:t>乙方权利与义务</w:t>
      </w:r>
    </w:p>
    <w:p w14:paraId="319B30B1">
      <w:pPr>
        <w:pStyle w:val="9"/>
        <w:numPr>
          <w:ilvl w:val="0"/>
          <w:numId w:val="19"/>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19"/>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19"/>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19"/>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19"/>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1"/>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0"/>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0"/>
        </w:numPr>
        <w:ind w:left="0" w:firstLine="0" w:firstLineChars="0"/>
        <w:rPr>
          <w:szCs w:val="21"/>
        </w:rPr>
      </w:pPr>
      <w:r>
        <w:rPr>
          <w:szCs w:val="21"/>
        </w:rPr>
        <w:t>乙方违约责任：</w:t>
      </w:r>
    </w:p>
    <w:p w14:paraId="354B31C5">
      <w:pPr>
        <w:pStyle w:val="9"/>
        <w:numPr>
          <w:ilvl w:val="0"/>
          <w:numId w:val="21"/>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1"/>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1"/>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1"/>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1"/>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1"/>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1"/>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1"/>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1"/>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1"/>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1"/>
        </w:numPr>
        <w:ind w:left="0" w:firstLine="0" w:firstLineChars="0"/>
        <w:contextualSpacing/>
        <w:jc w:val="left"/>
        <w:rPr>
          <w:b/>
          <w:szCs w:val="21"/>
        </w:rPr>
      </w:pPr>
      <w:r>
        <w:rPr>
          <w:b/>
          <w:szCs w:val="21"/>
        </w:rPr>
        <w:t>合同终止及解除</w:t>
      </w:r>
    </w:p>
    <w:p w14:paraId="275C61D9">
      <w:pPr>
        <w:pStyle w:val="29"/>
        <w:numPr>
          <w:ilvl w:val="0"/>
          <w:numId w:val="22"/>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2"/>
        </w:numPr>
        <w:ind w:left="0" w:firstLine="0" w:firstLineChars="0"/>
        <w:rPr>
          <w:szCs w:val="21"/>
        </w:rPr>
      </w:pPr>
      <w:r>
        <w:rPr>
          <w:szCs w:val="21"/>
        </w:rPr>
        <w:t>在甲、乙任何一方有严重违约行为时，另一方有权单方解除合同。</w:t>
      </w:r>
    </w:p>
    <w:p w14:paraId="2BA7B89E">
      <w:pPr>
        <w:pStyle w:val="29"/>
        <w:numPr>
          <w:ilvl w:val="0"/>
          <w:numId w:val="11"/>
        </w:numPr>
        <w:ind w:left="0" w:firstLine="0" w:firstLineChars="0"/>
        <w:contextualSpacing/>
        <w:jc w:val="left"/>
        <w:rPr>
          <w:b/>
          <w:szCs w:val="21"/>
        </w:rPr>
      </w:pPr>
      <w:r>
        <w:rPr>
          <w:b/>
          <w:szCs w:val="21"/>
        </w:rPr>
        <w:t>争议解决办法</w:t>
      </w:r>
    </w:p>
    <w:p w14:paraId="5C6244A3">
      <w:pPr>
        <w:pStyle w:val="29"/>
        <w:numPr>
          <w:ilvl w:val="0"/>
          <w:numId w:val="23"/>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3"/>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1"/>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4"/>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4"/>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4"/>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1"/>
        </w:numPr>
        <w:ind w:left="0" w:firstLine="0" w:firstLineChars="0"/>
        <w:contextualSpacing/>
        <w:jc w:val="left"/>
        <w:rPr>
          <w:b/>
          <w:szCs w:val="21"/>
        </w:rPr>
      </w:pPr>
      <w:r>
        <w:rPr>
          <w:b/>
          <w:szCs w:val="21"/>
        </w:rPr>
        <w:t>其他</w:t>
      </w:r>
    </w:p>
    <w:p w14:paraId="162904B6">
      <w:pPr>
        <w:pStyle w:val="29"/>
        <w:numPr>
          <w:ilvl w:val="0"/>
          <w:numId w:val="25"/>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5"/>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1"/>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A0E724B-308D-411A-9E71-5577EB9FECE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7059207-3461-41C4-9939-BCD936E7F7A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58B4A9F-1DD4-49A4-9C9F-30AB1614CA85}"/>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19D211B-2F70-4DEA-AD37-01EACE96F04B}"/>
  </w:font>
  <w:font w:name="Segoe UI Symbol">
    <w:panose1 w:val="020B0502040204020203"/>
    <w:charset w:val="00"/>
    <w:family w:val="swiss"/>
    <w:pitch w:val="default"/>
    <w:sig w:usb0="800001E3" w:usb1="1200FFEF" w:usb2="00040000" w:usb3="04000000" w:csb0="00000001" w:csb1="40000000"/>
    <w:embedRegular r:id="rId5" w:fontKey="{34B53BFE-187C-4678-90F5-B114906A1B6E}"/>
  </w:font>
  <w:font w:name="Wingdings 2">
    <w:altName w:val="Wingdings"/>
    <w:panose1 w:val="05020102010507070707"/>
    <w:charset w:val="4D"/>
    <w:family w:val="decorative"/>
    <w:pitch w:val="default"/>
    <w:sig w:usb0="00000000" w:usb1="00000000" w:usb2="00000000" w:usb3="00000000" w:csb0="80000000" w:csb1="00000000"/>
    <w:embedRegular r:id="rId6" w:fontKey="{9C7BE5CD-8A34-4228-A559-E956EF7F1884}"/>
  </w:font>
  <w:font w:name="微软雅黑">
    <w:panose1 w:val="020B0503020204020204"/>
    <w:charset w:val="86"/>
    <w:family w:val="swiss"/>
    <w:pitch w:val="default"/>
    <w:sig w:usb0="80000287" w:usb1="2ACF3C50" w:usb2="00000016" w:usb3="00000000" w:csb0="0004001F" w:csb1="00000000"/>
    <w:embedRegular r:id="rId7" w:fontKey="{7D1FEFE8-F068-4D07-866C-D7089C71CF6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6</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4"/>
  </w:num>
  <w:num w:numId="5">
    <w:abstractNumId w:val="12"/>
  </w:num>
  <w:num w:numId="6">
    <w:abstractNumId w:val="15"/>
  </w:num>
  <w:num w:numId="7">
    <w:abstractNumId w:val="2"/>
  </w:num>
  <w:num w:numId="8">
    <w:abstractNumId w:val="1"/>
  </w:num>
  <w:num w:numId="9">
    <w:abstractNumId w:val="0"/>
  </w:num>
  <w:num w:numId="10">
    <w:abstractNumId w:val="4"/>
  </w:num>
  <w:num w:numId="11">
    <w:abstractNumId w:val="11"/>
  </w:num>
  <w:num w:numId="12">
    <w:abstractNumId w:val="20"/>
  </w:num>
  <w:num w:numId="13">
    <w:abstractNumId w:val="23"/>
  </w:num>
  <w:num w:numId="14">
    <w:abstractNumId w:val="18"/>
  </w:num>
  <w:num w:numId="15">
    <w:abstractNumId w:val="8"/>
  </w:num>
  <w:num w:numId="16">
    <w:abstractNumId w:val="6"/>
  </w:num>
  <w:num w:numId="17">
    <w:abstractNumId w:val="21"/>
  </w:num>
  <w:num w:numId="18">
    <w:abstractNumId w:val="17"/>
  </w:num>
  <w:num w:numId="19">
    <w:abstractNumId w:val="7"/>
  </w:num>
  <w:num w:numId="20">
    <w:abstractNumId w:val="10"/>
  </w:num>
  <w:num w:numId="21">
    <w:abstractNumId w:val="22"/>
  </w:num>
  <w:num w:numId="22">
    <w:abstractNumId w:val="5"/>
  </w:num>
  <w:num w:numId="23">
    <w:abstractNumId w:val="19"/>
  </w:num>
  <w:num w:numId="24">
    <w:abstractNumId w:val="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CC4977"/>
    <w:rsid w:val="162A4F7D"/>
    <w:rsid w:val="16A82A66"/>
    <w:rsid w:val="1994787E"/>
    <w:rsid w:val="19FF304F"/>
    <w:rsid w:val="1DD000AF"/>
    <w:rsid w:val="1E09745A"/>
    <w:rsid w:val="1E176351"/>
    <w:rsid w:val="1FD31681"/>
    <w:rsid w:val="22604CE3"/>
    <w:rsid w:val="229D6DB5"/>
    <w:rsid w:val="23D4489F"/>
    <w:rsid w:val="262001B9"/>
    <w:rsid w:val="27B87AF9"/>
    <w:rsid w:val="27E80EA9"/>
    <w:rsid w:val="280414A1"/>
    <w:rsid w:val="28570368"/>
    <w:rsid w:val="29A82748"/>
    <w:rsid w:val="29C5318E"/>
    <w:rsid w:val="2B502F98"/>
    <w:rsid w:val="2C9A0A9E"/>
    <w:rsid w:val="2CA621A6"/>
    <w:rsid w:val="2DA70D65"/>
    <w:rsid w:val="2EE31C10"/>
    <w:rsid w:val="313B414B"/>
    <w:rsid w:val="3427766B"/>
    <w:rsid w:val="343706EB"/>
    <w:rsid w:val="351A08D0"/>
    <w:rsid w:val="36285582"/>
    <w:rsid w:val="36334CE5"/>
    <w:rsid w:val="3A551407"/>
    <w:rsid w:val="3AE57E7C"/>
    <w:rsid w:val="3B033C36"/>
    <w:rsid w:val="3E4D49D4"/>
    <w:rsid w:val="3E5D4E8E"/>
    <w:rsid w:val="3EF43DA9"/>
    <w:rsid w:val="3FE25336"/>
    <w:rsid w:val="42075FF8"/>
    <w:rsid w:val="42842020"/>
    <w:rsid w:val="42F7352A"/>
    <w:rsid w:val="44B14170"/>
    <w:rsid w:val="468567BB"/>
    <w:rsid w:val="4782487D"/>
    <w:rsid w:val="47B927EA"/>
    <w:rsid w:val="49F21769"/>
    <w:rsid w:val="4B31068E"/>
    <w:rsid w:val="4BA55220"/>
    <w:rsid w:val="4BAD0151"/>
    <w:rsid w:val="4C7174F3"/>
    <w:rsid w:val="4C8F75A2"/>
    <w:rsid w:val="4D581919"/>
    <w:rsid w:val="4DAD4403"/>
    <w:rsid w:val="4E8C008E"/>
    <w:rsid w:val="4ED23848"/>
    <w:rsid w:val="4FEF758C"/>
    <w:rsid w:val="50771A9C"/>
    <w:rsid w:val="51C47F6D"/>
    <w:rsid w:val="535C64FC"/>
    <w:rsid w:val="5455382C"/>
    <w:rsid w:val="54643166"/>
    <w:rsid w:val="56644D56"/>
    <w:rsid w:val="56C55F4F"/>
    <w:rsid w:val="571F5A86"/>
    <w:rsid w:val="57235ED9"/>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C487AFD"/>
    <w:rsid w:val="6CB24363"/>
    <w:rsid w:val="6D1329A6"/>
    <w:rsid w:val="6EA93466"/>
    <w:rsid w:val="6F97249D"/>
    <w:rsid w:val="6FCF0795"/>
    <w:rsid w:val="70C1496B"/>
    <w:rsid w:val="70EE62C9"/>
    <w:rsid w:val="71241736"/>
    <w:rsid w:val="71381023"/>
    <w:rsid w:val="73714961"/>
    <w:rsid w:val="754D1D92"/>
    <w:rsid w:val="758350A9"/>
    <w:rsid w:val="7641182E"/>
    <w:rsid w:val="795C6881"/>
    <w:rsid w:val="79687E1D"/>
    <w:rsid w:val="79B62FBA"/>
    <w:rsid w:val="7B0A23D6"/>
    <w:rsid w:val="7B560FD7"/>
    <w:rsid w:val="7B5F74F8"/>
    <w:rsid w:val="7B690630"/>
    <w:rsid w:val="7C5123F4"/>
    <w:rsid w:val="7CB400F8"/>
    <w:rsid w:val="7CE016CA"/>
    <w:rsid w:val="7D040AB6"/>
    <w:rsid w:val="7D4119E6"/>
    <w:rsid w:val="7DAF162B"/>
    <w:rsid w:val="7DC42B41"/>
    <w:rsid w:val="7EB63C19"/>
    <w:rsid w:val="7F05566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1269</Words>
  <Characters>1357</Characters>
  <Lines>127</Lines>
  <Paragraphs>35</Paragraphs>
  <TotalTime>1</TotalTime>
  <ScaleCrop>false</ScaleCrop>
  <LinksUpToDate>false</LinksUpToDate>
  <CharactersWithSpaces>1429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2026-05-26T08:04:15Z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1F8DBAFE5E74451D9F7DB03EBB1558C4_13</vt:lpwstr>
  </property>
  <property fmtid="{D5CDD505-2E9C-101B-9397-08002B2CF9AE}" pid="4" name="KSOTemplateDocerSaveRecord">
    <vt:lpwstr>eyJoZGlkIjoiMmYzMjBlOTBlMmU5YzA1ZjM4ZDczZjBmYWNjYjE4M2UiLCJ1c2VySWQiOiI2NTgwMTYxNjcifQ==</vt:lpwstr>
  </property>
</Properties>
</file>