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267C341F">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r>
        <w:rPr>
          <w:rFonts w:hint="eastAsia" w:ascii="STHeiti Regular" w:hAnsi="STHeiti Regular" w:eastAsia="STHeiti Regular" w:cs="STHeiti Regular"/>
          <w:b/>
          <w:color w:val="auto"/>
          <w:spacing w:val="24"/>
          <w:sz w:val="56"/>
          <w:szCs w:val="56"/>
          <w:u w:val="none" w:color="auto"/>
        </w:rPr>
        <w:t>商务专线接入服务</w:t>
      </w:r>
      <w:r>
        <w:rPr>
          <w:rFonts w:ascii="STHeiti Regular" w:hAnsi="STHeiti Regular" w:eastAsia="STHeiti Regular" w:cs="STHeiti Regular"/>
          <w:b/>
          <w:color w:val="auto"/>
          <w:spacing w:val="24"/>
          <w:sz w:val="56"/>
          <w:szCs w:val="56"/>
        </w:rPr>
        <w:t>采购项目</w:t>
      </w: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F215F51">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0"/>
            <w:tabs>
              <w:tab w:val="right" w:leader="dot" w:pos="8294"/>
            </w:tabs>
            <w:spacing w:line="360" w:lineRule="auto"/>
            <w:rPr>
              <w:rFonts w:ascii="仿宋" w:hAnsi="仿宋" w:eastAsia="仿宋" w:cs="仿宋"/>
              <w:sz w:val="24"/>
              <w:szCs w:val="24"/>
            </w:rPr>
          </w:pPr>
        </w:p>
        <w:p w14:paraId="38BE06C9">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2"/>
        <w:ind w:firstLine="0"/>
        <w:rPr>
          <w:lang w:val="zh-TW" w:eastAsia="zh-TW"/>
        </w:rPr>
      </w:pPr>
      <w:bookmarkStart w:id="0" w:name="_Toc21451"/>
      <w:bookmarkStart w:id="1" w:name="第一章"/>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0"/>
    </w:p>
    <w:bookmarkEnd w:id="1"/>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10B00D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四川省人民医院商务专线接入服务采购项目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22D264C2">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CGZX-YXX20261231</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6C2430C">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人民币</w:t>
            </w:r>
            <w:r>
              <w:rPr>
                <w:rFonts w:hint="eastAsia" w:ascii="仿宋" w:hAnsi="仿宋" w:eastAsia="仿宋" w:cs="仿宋"/>
                <w:color w:val="auto"/>
                <w:sz w:val="22"/>
                <w:szCs w:val="22"/>
                <w:u w:val="single"/>
                <w:lang w:val="en-US" w:eastAsia="zh-CN"/>
              </w:rPr>
              <w:t>111</w:t>
            </w:r>
            <w:r>
              <w:rPr>
                <w:rFonts w:hint="eastAsia" w:ascii="仿宋" w:hAnsi="仿宋" w:eastAsia="仿宋" w:cs="仿宋"/>
                <w:color w:val="auto"/>
                <w:sz w:val="22"/>
                <w:szCs w:val="22"/>
                <w:u w:val="single"/>
              </w:rPr>
              <w:t>0</w:t>
            </w:r>
            <w:r>
              <w:rPr>
                <w:rFonts w:hint="eastAsia" w:ascii="仿宋" w:hAnsi="仿宋" w:eastAsia="仿宋" w:cs="仿宋"/>
                <w:color w:val="auto"/>
                <w:sz w:val="22"/>
                <w:szCs w:val="22"/>
                <w:u w:val="single"/>
                <w:lang w:val="en-US" w:eastAsia="zh-CN"/>
              </w:rPr>
              <w:t>0</w:t>
            </w:r>
            <w:r>
              <w:rPr>
                <w:rFonts w:ascii="仿宋" w:hAnsi="仿宋" w:eastAsia="仿宋" w:cs="仿宋"/>
                <w:color w:val="auto"/>
                <w:sz w:val="22"/>
                <w:szCs w:val="22"/>
              </w:rPr>
              <w:t>元</w:t>
            </w:r>
            <w:r>
              <w:rPr>
                <w:rFonts w:hint="eastAsia" w:ascii="仿宋" w:hAnsi="仿宋" w:eastAsia="仿宋" w:cs="仿宋"/>
                <w:color w:val="auto"/>
                <w:sz w:val="22"/>
                <w:szCs w:val="22"/>
                <w:lang w:eastAsia="zh-CN"/>
              </w:rPr>
              <w:t>，限高单价</w:t>
            </w:r>
            <w:r>
              <w:rPr>
                <w:rFonts w:hint="eastAsia" w:ascii="仿宋" w:hAnsi="仿宋" w:eastAsia="仿宋" w:cs="仿宋"/>
                <w:color w:val="auto"/>
                <w:sz w:val="22"/>
                <w:szCs w:val="22"/>
                <w:lang w:val="en-US" w:eastAsia="zh-CN"/>
              </w:rPr>
              <w:t>详见第三章。</w:t>
            </w:r>
          </w:p>
          <w:p w14:paraId="5F79283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3E9DA5D">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87F0BDF">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sz w:val="22"/>
                <w:szCs w:val="22"/>
              </w:rPr>
            </w:pPr>
          </w:p>
        </w:tc>
        <w:tc>
          <w:tcPr>
            <w:tcW w:w="1765" w:type="dxa"/>
            <w:vAlign w:val="center"/>
          </w:tcPr>
          <w:p w14:paraId="7B1D2228">
            <w:pPr>
              <w:pStyle w:val="31"/>
              <w:widowControl/>
              <w:spacing w:line="24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7F39A3EC">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1D46F44D">
            <w:pPr>
              <w:spacing w:line="24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5"/>
              <w:spacing w:line="24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790A27F9">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5"/>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9BDB6FB">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24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47D2E273">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24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4B552748">
            <w:pPr>
              <w:pStyle w:val="35"/>
              <w:spacing w:line="24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66C48130">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3E845B5">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0C16FB9D">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33ED46">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A22446F">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C0B0E54">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81965EC">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24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31524B3D">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24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24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24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65B44689">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5002D3CE">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17845E1B">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赵</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87394475</w:t>
            </w:r>
          </w:p>
          <w:p w14:paraId="4C1AE43C">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u w:val="none" w:color="auto"/>
              </w:rPr>
              <w:t>医学信息中心部门</w:t>
            </w:r>
          </w:p>
          <w:p w14:paraId="3EB2B501">
            <w:pPr>
              <w:spacing w:line="240" w:lineRule="auto"/>
              <w:ind w:left="210" w:leftChars="100"/>
              <w:rPr>
                <w:rFonts w:hint="default" w:ascii="仿宋" w:hAnsi="仿宋" w:eastAsia="仿宋" w:cs="仿宋"/>
                <w:color w:val="auto"/>
                <w:sz w:val="22"/>
                <w:szCs w:val="22"/>
                <w:lang w:val="en-US"/>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rPr>
              <w:t>叶</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87393250</w:t>
            </w:r>
          </w:p>
          <w:p w14:paraId="68D6ADB8">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ED35B3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5D5E1721">
            <w:pPr>
              <w:spacing w:line="24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1F8B0E8C">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34B9DE09">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5987DC8E">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C2512E5">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552B6D4">
      <w:pPr>
        <w:rPr>
          <w:rStyle w:val="20"/>
          <w:rFonts w:hint="default" w:asciiTheme="majorEastAsia" w:hAnsiTheme="majorEastAsia" w:eastAsiaTheme="majorEastAsia"/>
          <w:b/>
          <w:bCs/>
          <w:color w:val="auto"/>
          <w:szCs w:val="32"/>
        </w:rPr>
      </w:pPr>
      <w:bookmarkStart w:id="2" w:name="第二章"/>
      <w:r>
        <w:rPr>
          <w:color w:val="auto"/>
        </w:rPr>
        <w:t xml:space="preserve"> </w:t>
      </w:r>
    </w:p>
    <w:p w14:paraId="113CC27A">
      <w:pPr>
        <w:rPr>
          <w:rStyle w:val="20"/>
          <w:rFonts w:hint="default" w:asciiTheme="majorEastAsia" w:hAnsiTheme="majorEastAsia" w:eastAsiaTheme="majorEastAsia"/>
          <w:b/>
          <w:bCs/>
          <w:color w:val="auto"/>
          <w:szCs w:val="32"/>
        </w:rPr>
      </w:pPr>
      <w:bookmarkStart w:id="3" w:name="_Toc18086"/>
      <w:r>
        <w:rPr>
          <w:rStyle w:val="20"/>
          <w:rFonts w:hint="default" w:asciiTheme="majorEastAsia" w:hAnsiTheme="majorEastAsia" w:eastAsiaTheme="majorEastAsia"/>
          <w:b/>
          <w:bCs/>
          <w:color w:val="auto"/>
          <w:szCs w:val="32"/>
          <w:u w:val="none"/>
        </w:rPr>
        <w:br w:type="page"/>
      </w:r>
    </w:p>
    <w:p w14:paraId="62FD8587">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899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430"/>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492" w:hRule="atLeast"/>
          <w:tblHeader/>
          <w:jc w:val="center"/>
        </w:trPr>
        <w:tc>
          <w:tcPr>
            <w:tcW w:w="430" w:type="dxa"/>
            <w:tcBorders>
              <w:top w:val="single" w:color="auto" w:sz="18" w:space="0"/>
            </w:tcBorders>
            <w:vAlign w:val="center"/>
          </w:tcPr>
          <w:p w14:paraId="32F889A0">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430" w:type="dxa"/>
            <w:tcBorders>
              <w:bottom w:val="single" w:color="auto" w:sz="4" w:space="0"/>
            </w:tcBorders>
            <w:vAlign w:val="center"/>
          </w:tcPr>
          <w:p w14:paraId="650EB537">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24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24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2A559A42">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3BAB7F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24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响应报价低于采购项目最高限价45％的，即响应报价＜采购项目最高限价×45％；</w:t>
            </w:r>
          </w:p>
          <w:p w14:paraId="6ED2A569">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24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Tamil MN" w:hAnsi="Tamil MN" w:eastAsia="仿宋" w:cs="Tamil MN"/>
                <w:sz w:val="22"/>
              </w:rPr>
              <w:t>①</w:t>
            </w:r>
            <w:r>
              <w:rPr>
                <w:rFonts w:hint="default" w:ascii="Times New Roman" w:hAnsi="Times New Roman" w:eastAsia="仿宋" w:cs="Times New Roman"/>
                <w:sz w:val="22"/>
              </w:rPr>
              <w:t>项至第</w:t>
            </w:r>
            <w:r>
              <w:rPr>
                <w:rFonts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24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240" w:lineRule="auto"/>
              <w:ind w:left="210" w:leftChars="100"/>
              <w:rPr>
                <w:rFonts w:hint="default"/>
              </w:rPr>
            </w:pPr>
            <w:r>
              <w:rPr>
                <w:rFonts w:ascii="Tamil MN" w:hAnsi="Tamil MN" w:eastAsia="仿宋" w:cs="Tamil MN"/>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430" w:type="dxa"/>
            <w:vAlign w:val="center"/>
          </w:tcPr>
          <w:p w14:paraId="6AF3949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D97ECBA">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1F6836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91B4B72">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1EE82C2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F3223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FBBE0BF">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75A9D600">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0ABBA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72EEFA4">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6B2A2A8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AF440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240" w:lineRule="auto"/>
              <w:ind w:left="210" w:leftChars="100"/>
              <w:rPr>
                <w:rFonts w:hint="default" w:ascii="仿宋" w:hAnsi="仿宋" w:eastAsia="仿宋" w:cs="仿宋"/>
                <w:color w:val="auto"/>
                <w:sz w:val="21"/>
                <w:szCs w:val="20"/>
              </w:rPr>
            </w:pPr>
            <w:r>
              <w:rPr>
                <w:rFonts w:ascii="仿宋" w:hAnsi="仿宋" w:eastAsia="仿宋" w:cs="仿宋"/>
                <w:color w:val="auto"/>
                <w:sz w:val="21"/>
                <w:szCs w:val="20"/>
              </w:rPr>
              <w:t>（1）质疑函：明确具体质疑事项、事实依据和法律依据，质疑请求。</w:t>
            </w:r>
          </w:p>
          <w:p w14:paraId="7FDCD182">
            <w:pPr>
              <w:spacing w:line="24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378E038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E2ABB71">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hint="eastAsia" w:ascii="Times New Roman" w:hAnsi="Times New Roman" w:eastAsia="仿宋" w:cs="Times New Roman"/>
                <w:color w:val="auto"/>
                <w:sz w:val="22"/>
                <w:szCs w:val="22"/>
                <w:u w:val="single"/>
                <w:lang w:val="en-US" w:eastAsia="zh-CN"/>
              </w:rPr>
              <w:t>4475</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sbc3241@vip.163.com</w:t>
            </w:r>
            <w:r>
              <w:rPr>
                <w:rFonts w:ascii="仿宋" w:hAnsi="仿宋" w:eastAsia="仿宋" w:cs="仿宋"/>
                <w:color w:val="auto"/>
                <w:sz w:val="22"/>
                <w:szCs w:val="22"/>
                <w:u w:val="single"/>
              </w:rPr>
              <w:t xml:space="preserve"> </w:t>
            </w:r>
            <w:r>
              <w:rPr>
                <w:rFonts w:ascii="仿宋" w:hAnsi="仿宋" w:eastAsia="仿宋" w:cs="仿宋"/>
                <w:color w:val="auto"/>
                <w:sz w:val="22"/>
                <w:szCs w:val="22"/>
              </w:rPr>
              <w:t>。</w:t>
            </w:r>
          </w:p>
          <w:p w14:paraId="11B6EB85">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24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342BD9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20850EB">
            <w:pPr>
              <w:pStyle w:val="31"/>
              <w:spacing w:line="24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2"/>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3"/>
        <w:rPr>
          <w:rFonts w:ascii="仿宋" w:hAnsi="仿宋" w:eastAsia="仿宋" w:cs="仿宋"/>
          <w:sz w:val="22"/>
          <w:szCs w:val="22"/>
        </w:rPr>
      </w:pPr>
      <w:bookmarkStart w:id="6" w:name="_Toc5866"/>
      <w:r>
        <w:rPr>
          <w:rFonts w:ascii="仿宋" w:hAnsi="仿宋" w:eastAsia="仿宋" w:cs="仿宋"/>
          <w:sz w:val="22"/>
          <w:szCs w:val="22"/>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9"/>
        <w:gridCol w:w="1772"/>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序号</w:t>
            </w:r>
          </w:p>
        </w:tc>
        <w:tc>
          <w:tcPr>
            <w:tcW w:w="3836" w:type="dxa"/>
            <w:vAlign w:val="center"/>
          </w:tcPr>
          <w:p w14:paraId="3EC34C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资格要求内容</w:t>
            </w:r>
          </w:p>
        </w:tc>
        <w:tc>
          <w:tcPr>
            <w:tcW w:w="3615" w:type="dxa"/>
            <w:vAlign w:val="center"/>
          </w:tcPr>
          <w:p w14:paraId="6554120C">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通过条件</w:t>
            </w:r>
          </w:p>
        </w:tc>
        <w:tc>
          <w:tcPr>
            <w:tcW w:w="1787" w:type="dxa"/>
            <w:vAlign w:val="center"/>
          </w:tcPr>
          <w:p w14:paraId="654546E6">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3836" w:type="dxa"/>
            <w:vAlign w:val="center"/>
          </w:tcPr>
          <w:p w14:paraId="638AF208">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具有良好的商业信誉和健全的财务会计制度</w:t>
            </w:r>
          </w:p>
        </w:tc>
        <w:tc>
          <w:tcPr>
            <w:tcW w:w="3615" w:type="dxa"/>
            <w:vMerge w:val="restart"/>
            <w:vAlign w:val="center"/>
          </w:tcPr>
          <w:p w14:paraId="64741623">
            <w:pPr>
              <w:rPr>
                <w:rFonts w:hint="eastAsia" w:ascii="仿宋" w:hAnsi="仿宋" w:eastAsia="仿宋" w:cs="仿宋"/>
                <w:color w:val="auto"/>
                <w:sz w:val="22"/>
                <w:szCs w:val="22"/>
              </w:rPr>
            </w:pPr>
            <w:r>
              <w:rPr>
                <w:rFonts w:hint="eastAsia" w:ascii="仿宋" w:hAnsi="仿宋" w:eastAsia="仿宋" w:cs="仿宋"/>
                <w:color w:val="auto"/>
                <w:sz w:val="22"/>
                <w:szCs w:val="22"/>
              </w:rPr>
              <w:t>统一提供承诺函</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格式见</w:t>
            </w:r>
            <w:r>
              <w:rPr>
                <w:rFonts w:ascii="仿宋" w:hAnsi="仿宋" w:eastAsia="仿宋" w:cs="仿宋"/>
                <w:color w:val="auto"/>
                <w:sz w:val="22"/>
                <w:szCs w:val="22"/>
              </w:rPr>
              <w:t>本文件</w:t>
            </w:r>
            <w:r>
              <w:rPr>
                <w:rFonts w:hint="eastAsia" w:ascii="仿宋" w:hAnsi="仿宋" w:eastAsia="仿宋" w:cs="仿宋"/>
                <w:color w:val="auto"/>
                <w:sz w:val="22"/>
                <w:szCs w:val="22"/>
              </w:rPr>
              <w:t>第</w:t>
            </w:r>
            <w:r>
              <w:rPr>
                <w:rFonts w:ascii="仿宋" w:hAnsi="仿宋" w:eastAsia="仿宋" w:cs="仿宋"/>
                <w:color w:val="auto"/>
                <w:sz w:val="22"/>
                <w:szCs w:val="22"/>
              </w:rPr>
              <w:t>四</w:t>
            </w:r>
            <w:r>
              <w:rPr>
                <w:rFonts w:hint="eastAsia" w:ascii="仿宋" w:hAnsi="仿宋" w:eastAsia="仿宋" w:cs="仿宋"/>
                <w:color w:val="auto"/>
                <w:sz w:val="22"/>
                <w:szCs w:val="22"/>
              </w:rPr>
              <w:t>章)</w:t>
            </w:r>
          </w:p>
        </w:tc>
        <w:tc>
          <w:tcPr>
            <w:tcW w:w="1787" w:type="dxa"/>
            <w:vMerge w:val="restart"/>
            <w:vAlign w:val="center"/>
          </w:tcPr>
          <w:p w14:paraId="548238DF">
            <w:pPr>
              <w:pStyle w:val="5"/>
              <w:jc w:val="center"/>
              <w:rPr>
                <w:rFonts w:hint="eastAsia" w:ascii="仿宋" w:hAnsi="仿宋" w:eastAsia="仿宋" w:cs="仿宋"/>
                <w:color w:val="auto"/>
                <w:sz w:val="22"/>
                <w:szCs w:val="22"/>
              </w:rPr>
            </w:pPr>
            <w:r>
              <w:rPr>
                <w:rFonts w:ascii="仿宋" w:hAnsi="仿宋" w:eastAsia="仿宋" w:cs="仿宋"/>
                <w:color w:val="auto"/>
                <w:sz w:val="22"/>
                <w:szCs w:val="22"/>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3836" w:type="dxa"/>
            <w:vAlign w:val="center"/>
          </w:tcPr>
          <w:p w14:paraId="43E8193E">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BD2D19E">
            <w:pPr>
              <w:pStyle w:val="5"/>
              <w:rPr>
                <w:rFonts w:hint="eastAsia" w:ascii="仿宋" w:hAnsi="仿宋" w:eastAsia="仿宋" w:cs="仿宋"/>
                <w:color w:val="auto"/>
                <w:sz w:val="22"/>
                <w:szCs w:val="22"/>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3836" w:type="dxa"/>
            <w:vAlign w:val="center"/>
          </w:tcPr>
          <w:p w14:paraId="7673E322">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99491E5">
            <w:pPr>
              <w:pStyle w:val="5"/>
              <w:rPr>
                <w:rFonts w:hint="eastAsia" w:ascii="仿宋" w:hAnsi="仿宋" w:eastAsia="仿宋" w:cs="仿宋"/>
                <w:color w:val="auto"/>
                <w:sz w:val="22"/>
                <w:szCs w:val="22"/>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3836" w:type="dxa"/>
            <w:vAlign w:val="center"/>
          </w:tcPr>
          <w:p w14:paraId="2FE3D340">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049002C">
            <w:pPr>
              <w:pStyle w:val="5"/>
              <w:rPr>
                <w:rFonts w:hint="eastAsia" w:ascii="仿宋" w:hAnsi="仿宋" w:eastAsia="仿宋" w:cs="仿宋"/>
                <w:color w:val="auto"/>
                <w:sz w:val="22"/>
                <w:szCs w:val="22"/>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3836" w:type="dxa"/>
            <w:vAlign w:val="center"/>
          </w:tcPr>
          <w:p w14:paraId="564A5D0B">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2214975F">
            <w:pPr>
              <w:pStyle w:val="5"/>
              <w:rPr>
                <w:rFonts w:hint="eastAsia" w:ascii="仿宋" w:hAnsi="仿宋" w:eastAsia="仿宋" w:cs="仿宋"/>
                <w:color w:val="auto"/>
                <w:sz w:val="22"/>
                <w:szCs w:val="22"/>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3836" w:type="dxa"/>
            <w:vAlign w:val="center"/>
          </w:tcPr>
          <w:p w14:paraId="2926AF7F">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1D473475">
            <w:pPr>
              <w:pStyle w:val="5"/>
              <w:rPr>
                <w:rFonts w:hint="eastAsia" w:ascii="仿宋" w:hAnsi="仿宋" w:eastAsia="仿宋" w:cs="仿宋"/>
                <w:color w:val="auto"/>
                <w:sz w:val="22"/>
                <w:szCs w:val="22"/>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3836" w:type="dxa"/>
            <w:vAlign w:val="center"/>
          </w:tcPr>
          <w:p w14:paraId="38B76FC8">
            <w:pPr>
              <w:widowControl/>
              <w:rPr>
                <w:rFonts w:hint="eastAsia" w:ascii="仿宋" w:hAnsi="仿宋" w:eastAsia="仿宋" w:cs="仿宋"/>
                <w:color w:val="auto"/>
                <w:sz w:val="22"/>
                <w:szCs w:val="22"/>
              </w:rPr>
            </w:pPr>
            <w:r>
              <w:rPr>
                <w:rFonts w:ascii="仿宋" w:hAnsi="仿宋" w:eastAsia="仿宋" w:cs="仿宋"/>
                <w:color w:val="auto"/>
                <w:sz w:val="22"/>
                <w:szCs w:val="22"/>
              </w:rPr>
              <w:t>供应商</w:t>
            </w:r>
            <w:r>
              <w:rPr>
                <w:rFonts w:hint="eastAsia" w:ascii="仿宋" w:hAnsi="仿宋" w:eastAsia="仿宋" w:cs="仿宋"/>
                <w:color w:val="auto"/>
                <w:sz w:val="22"/>
                <w:szCs w:val="22"/>
              </w:rPr>
              <w:t>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sz w:val="22"/>
                <w:szCs w:val="22"/>
              </w:rPr>
            </w:pPr>
          </w:p>
        </w:tc>
        <w:tc>
          <w:tcPr>
            <w:tcW w:w="1787" w:type="dxa"/>
            <w:vMerge w:val="continue"/>
            <w:vAlign w:val="center"/>
          </w:tcPr>
          <w:p w14:paraId="188EA4EF">
            <w:pPr>
              <w:pStyle w:val="5"/>
              <w:rPr>
                <w:rFonts w:hint="eastAsia" w:ascii="仿宋" w:hAnsi="仿宋" w:eastAsia="仿宋" w:cs="仿宋"/>
                <w:color w:val="auto"/>
                <w:sz w:val="22"/>
                <w:szCs w:val="22"/>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3836" w:type="dxa"/>
            <w:vAlign w:val="center"/>
          </w:tcPr>
          <w:p w14:paraId="6EC713D7">
            <w:pPr>
              <w:widowControl/>
              <w:rPr>
                <w:rFonts w:hint="eastAsia" w:ascii="仿宋" w:hAnsi="仿宋" w:eastAsia="仿宋" w:cs="仿宋"/>
                <w:bCs/>
                <w:color w:val="auto"/>
                <w:sz w:val="22"/>
                <w:szCs w:val="22"/>
              </w:rPr>
            </w:pPr>
            <w:r>
              <w:rPr>
                <w:rFonts w:hint="eastAsia" w:ascii="仿宋" w:hAnsi="仿宋" w:eastAsia="仿宋" w:cs="仿宋"/>
                <w:bCs/>
                <w:color w:val="auto"/>
                <w:sz w:val="22"/>
                <w:szCs w:val="22"/>
                <w:lang w:val="zh-TW" w:eastAsia="zh-TW"/>
              </w:rPr>
              <w:t>法定代表人授权委托书</w:t>
            </w:r>
          </w:p>
        </w:tc>
        <w:tc>
          <w:tcPr>
            <w:tcW w:w="3615" w:type="dxa"/>
            <w:vAlign w:val="center"/>
          </w:tcPr>
          <w:p w14:paraId="6651247A">
            <w:pPr>
              <w:jc w:val="left"/>
              <w:rPr>
                <w:rFonts w:hint="eastAsia" w:ascii="仿宋" w:hAnsi="仿宋" w:eastAsia="仿宋" w:cs="仿宋"/>
                <w:color w:val="auto"/>
                <w:sz w:val="22"/>
                <w:szCs w:val="22"/>
              </w:rPr>
            </w:pPr>
            <w:r>
              <w:rPr>
                <w:rFonts w:hint="eastAsia" w:ascii="仿宋" w:hAnsi="仿宋" w:eastAsia="仿宋" w:cs="仿宋"/>
                <w:color w:val="auto"/>
                <w:sz w:val="22"/>
                <w:szCs w:val="22"/>
              </w:rPr>
              <w:t>参选代理人授权书（加盖</w:t>
            </w:r>
            <w:r>
              <w:rPr>
                <w:rFonts w:ascii="仿宋" w:hAnsi="仿宋" w:eastAsia="仿宋" w:cs="仿宋"/>
                <w:color w:val="auto"/>
                <w:sz w:val="22"/>
                <w:szCs w:val="22"/>
              </w:rPr>
              <w:t>供应商</w:t>
            </w:r>
            <w:r>
              <w:rPr>
                <w:rFonts w:hint="eastAsia" w:ascii="仿宋" w:hAnsi="仿宋" w:eastAsia="仿宋" w:cs="仿宋"/>
                <w:color w:val="auto"/>
                <w:sz w:val="22"/>
                <w:szCs w:val="22"/>
              </w:rPr>
              <w:t>公章）。参选代理人身份证正反面复印件（加盖</w:t>
            </w:r>
            <w:r>
              <w:rPr>
                <w:rFonts w:ascii="仿宋" w:hAnsi="仿宋" w:eastAsia="仿宋" w:cs="仿宋"/>
                <w:color w:val="auto"/>
                <w:sz w:val="22"/>
                <w:szCs w:val="22"/>
              </w:rPr>
              <w:t>供应商</w:t>
            </w:r>
            <w:r>
              <w:rPr>
                <w:rFonts w:hint="eastAsia" w:ascii="仿宋" w:hAnsi="仿宋" w:eastAsia="仿宋" w:cs="仿宋"/>
                <w:color w:val="auto"/>
                <w:sz w:val="22"/>
                <w:szCs w:val="22"/>
              </w:rPr>
              <w:t>公章）。</w:t>
            </w:r>
          </w:p>
        </w:tc>
        <w:tc>
          <w:tcPr>
            <w:tcW w:w="1787" w:type="dxa"/>
            <w:vAlign w:val="center"/>
          </w:tcPr>
          <w:p w14:paraId="51F14272">
            <w:pPr>
              <w:pStyle w:val="5"/>
              <w:rPr>
                <w:rFonts w:hint="eastAsia" w:ascii="仿宋" w:hAnsi="仿宋" w:eastAsia="仿宋" w:cs="仿宋"/>
                <w:color w:val="auto"/>
                <w:sz w:val="22"/>
                <w:szCs w:val="22"/>
              </w:rPr>
            </w:pPr>
            <w:r>
              <w:rPr>
                <w:rFonts w:ascii="仿宋" w:hAnsi="仿宋" w:eastAsia="仿宋" w:cs="仿宋"/>
                <w:color w:val="auto"/>
                <w:sz w:val="22"/>
                <w:szCs w:val="22"/>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sz w:val="22"/>
                <w:szCs w:val="22"/>
              </w:rPr>
            </w:pPr>
            <w:r>
              <w:rPr>
                <w:rFonts w:ascii="仿宋" w:hAnsi="仿宋" w:eastAsia="仿宋" w:cs="仿宋"/>
                <w:color w:val="auto"/>
                <w:sz w:val="22"/>
                <w:szCs w:val="22"/>
              </w:rPr>
              <w:t>9</w:t>
            </w:r>
          </w:p>
        </w:tc>
        <w:tc>
          <w:tcPr>
            <w:tcW w:w="3836" w:type="dxa"/>
            <w:vAlign w:val="center"/>
          </w:tcPr>
          <w:p w14:paraId="0EE1B3A8">
            <w:pPr>
              <w:widowControl/>
              <w:rPr>
                <w:rFonts w:hint="eastAsia" w:ascii="仿宋" w:hAnsi="仿宋" w:eastAsia="仿宋" w:cs="仿宋"/>
                <w:bCs/>
                <w:color w:val="auto"/>
                <w:sz w:val="22"/>
                <w:szCs w:val="22"/>
                <w:lang w:eastAsia="zh-TW"/>
              </w:rPr>
            </w:pPr>
            <w:r>
              <w:rPr>
                <w:rFonts w:ascii="仿宋" w:hAnsi="仿宋" w:eastAsia="仿宋" w:cs="仿宋"/>
                <w:color w:val="auto"/>
                <w:sz w:val="22"/>
                <w:szCs w:val="22"/>
              </w:rPr>
              <w:t>其它资格要求：</w:t>
            </w:r>
            <w:r>
              <w:rPr>
                <w:rFonts w:hint="eastAsia" w:ascii="仿宋" w:hAnsi="仿宋" w:eastAsia="仿宋" w:cs="仿宋"/>
                <w:color w:val="auto"/>
                <w:sz w:val="22"/>
                <w:szCs w:val="22"/>
              </w:rPr>
              <w:t>供应商具有有效的《基础电信业务经营许可证》</w:t>
            </w:r>
          </w:p>
        </w:tc>
        <w:tc>
          <w:tcPr>
            <w:tcW w:w="3615" w:type="dxa"/>
            <w:vAlign w:val="center"/>
          </w:tcPr>
          <w:p w14:paraId="03B5FDB1">
            <w:pPr>
              <w:jc w:val="left"/>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rPr>
              <w:t>提供有效期内证书复印件（加盖供应商公章）。</w:t>
            </w:r>
          </w:p>
        </w:tc>
        <w:tc>
          <w:tcPr>
            <w:tcW w:w="1787" w:type="dxa"/>
            <w:vAlign w:val="center"/>
          </w:tcPr>
          <w:p w14:paraId="77D2119D">
            <w:pPr>
              <w:pStyle w:val="5"/>
              <w:jc w:val="center"/>
              <w:rPr>
                <w:rFonts w:hint="eastAsia" w:ascii="仿宋" w:hAnsi="仿宋" w:eastAsia="仿宋" w:cs="仿宋"/>
                <w:color w:val="auto"/>
                <w:sz w:val="22"/>
                <w:szCs w:val="22"/>
              </w:rPr>
            </w:pPr>
          </w:p>
        </w:tc>
      </w:tr>
    </w:tbl>
    <w:p w14:paraId="3DFB0D3C">
      <w:pPr>
        <w:pStyle w:val="5"/>
        <w:rPr>
          <w:rFonts w:hint="default" w:ascii="Times New Roman" w:hAnsi="Times New Roman" w:eastAsia="宋体" w:cs="Times New Roman"/>
          <w:color w:val="auto"/>
          <w:lang w:eastAsia="zh-TW"/>
        </w:rPr>
      </w:pPr>
    </w:p>
    <w:p w14:paraId="633782EC">
      <w:pPr>
        <w:pStyle w:val="3"/>
        <w:rPr>
          <w:rFonts w:ascii="仿宋" w:hAnsi="仿宋" w:eastAsia="仿宋" w:cs="仿宋"/>
          <w:sz w:val="22"/>
          <w:szCs w:val="22"/>
        </w:rPr>
      </w:pPr>
      <w:bookmarkStart w:id="7" w:name="_Toc21556"/>
      <w:r>
        <w:rPr>
          <w:rStyle w:val="43"/>
          <w:rFonts w:ascii="仿宋" w:hAnsi="仿宋" w:eastAsia="仿宋" w:cs="仿宋"/>
          <w:b/>
          <w:bCs/>
          <w:sz w:val="22"/>
          <w:szCs w:val="22"/>
        </w:rPr>
        <w:t>采购需求</w:t>
      </w:r>
      <w:r>
        <w:rPr>
          <w:rFonts w:ascii="仿宋" w:hAnsi="仿宋" w:eastAsia="仿宋" w:cs="仿宋"/>
          <w:sz w:val="22"/>
          <w:szCs w:val="22"/>
        </w:rPr>
        <w:t>：</w:t>
      </w:r>
      <w:bookmarkEnd w:id="7"/>
    </w:p>
    <w:p w14:paraId="63A6868D">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采购内容及相关要求：</w:t>
      </w:r>
    </w:p>
    <w:p w14:paraId="1F5AA2C6">
      <w:pPr>
        <w:pStyle w:val="13"/>
        <w:spacing w:line="360" w:lineRule="auto"/>
        <w:ind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1.采购清单</w:t>
      </w:r>
    </w:p>
    <w:tbl>
      <w:tblPr>
        <w:tblStyle w:val="14"/>
        <w:tblW w:w="48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17"/>
        <w:gridCol w:w="3183"/>
        <w:gridCol w:w="843"/>
        <w:gridCol w:w="908"/>
        <w:gridCol w:w="1209"/>
        <w:gridCol w:w="1549"/>
        <w:gridCol w:w="1103"/>
      </w:tblGrid>
      <w:tr w14:paraId="3BB0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24" w:type="dxa"/>
            <w:shd w:val="clear" w:color="auto" w:fill="auto"/>
            <w:tcMar>
              <w:top w:w="0" w:type="dxa"/>
              <w:left w:w="105" w:type="dxa"/>
              <w:bottom w:w="0" w:type="dxa"/>
              <w:right w:w="105" w:type="dxa"/>
            </w:tcMar>
            <w:vAlign w:val="center"/>
          </w:tcPr>
          <w:p w14:paraId="0ED2868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ascii="仿宋" w:hAnsi="仿宋" w:eastAsia="仿宋" w:cs="仿宋"/>
                <w:sz w:val="22"/>
                <w:szCs w:val="22"/>
              </w:rPr>
              <w:t>序号</w:t>
            </w:r>
          </w:p>
        </w:tc>
        <w:tc>
          <w:tcPr>
            <w:tcW w:w="3271" w:type="dxa"/>
            <w:shd w:val="clear" w:color="auto" w:fill="auto"/>
            <w:tcMar>
              <w:top w:w="0" w:type="dxa"/>
              <w:left w:w="105" w:type="dxa"/>
              <w:bottom w:w="0" w:type="dxa"/>
              <w:right w:w="105" w:type="dxa"/>
            </w:tcMar>
            <w:vAlign w:val="center"/>
          </w:tcPr>
          <w:p w14:paraId="5C5146A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品名</w:t>
            </w:r>
          </w:p>
        </w:tc>
        <w:tc>
          <w:tcPr>
            <w:tcW w:w="860" w:type="dxa"/>
            <w:shd w:val="clear" w:color="auto" w:fill="auto"/>
            <w:tcMar>
              <w:top w:w="0" w:type="dxa"/>
              <w:left w:w="105" w:type="dxa"/>
              <w:bottom w:w="0" w:type="dxa"/>
              <w:right w:w="105" w:type="dxa"/>
            </w:tcMar>
            <w:vAlign w:val="center"/>
          </w:tcPr>
          <w:p w14:paraId="7222EC6E">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数量</w:t>
            </w:r>
          </w:p>
        </w:tc>
        <w:tc>
          <w:tcPr>
            <w:tcW w:w="927" w:type="dxa"/>
            <w:shd w:val="clear" w:color="auto" w:fill="auto"/>
            <w:tcMar>
              <w:top w:w="0" w:type="dxa"/>
              <w:left w:w="105" w:type="dxa"/>
              <w:bottom w:w="0" w:type="dxa"/>
              <w:right w:w="105" w:type="dxa"/>
            </w:tcMar>
            <w:vAlign w:val="center"/>
          </w:tcPr>
          <w:p w14:paraId="5FAB25C8">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单位</w:t>
            </w:r>
          </w:p>
        </w:tc>
        <w:tc>
          <w:tcPr>
            <w:tcW w:w="1231" w:type="dxa"/>
            <w:shd w:val="clear" w:color="auto" w:fill="auto"/>
            <w:tcMar>
              <w:top w:w="0" w:type="dxa"/>
              <w:left w:w="105" w:type="dxa"/>
              <w:bottom w:w="0" w:type="dxa"/>
              <w:right w:w="105" w:type="dxa"/>
            </w:tcMar>
            <w:vAlign w:val="center"/>
          </w:tcPr>
          <w:p w14:paraId="02C22742">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限高单价（元/年）</w:t>
            </w:r>
          </w:p>
        </w:tc>
        <w:tc>
          <w:tcPr>
            <w:tcW w:w="1585" w:type="dxa"/>
            <w:shd w:val="clear" w:color="auto" w:fill="auto"/>
            <w:tcMar>
              <w:top w:w="0" w:type="dxa"/>
              <w:left w:w="105" w:type="dxa"/>
              <w:bottom w:w="0" w:type="dxa"/>
              <w:right w:w="105" w:type="dxa"/>
            </w:tcMar>
            <w:vAlign w:val="center"/>
          </w:tcPr>
          <w:p w14:paraId="1C5BCA26">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限高总价（元/年）</w:t>
            </w:r>
          </w:p>
        </w:tc>
        <w:tc>
          <w:tcPr>
            <w:tcW w:w="1130" w:type="dxa"/>
            <w:shd w:val="clear" w:color="auto" w:fill="auto"/>
            <w:tcMar>
              <w:top w:w="0" w:type="dxa"/>
              <w:left w:w="105" w:type="dxa"/>
              <w:bottom w:w="0" w:type="dxa"/>
              <w:right w:w="105" w:type="dxa"/>
            </w:tcMar>
            <w:vAlign w:val="top"/>
          </w:tcPr>
          <w:p w14:paraId="23CE58FE">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备注</w:t>
            </w:r>
          </w:p>
        </w:tc>
      </w:tr>
      <w:tr w14:paraId="25BB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24" w:type="dxa"/>
            <w:shd w:val="clear" w:color="auto" w:fill="auto"/>
            <w:tcMar>
              <w:top w:w="0" w:type="dxa"/>
              <w:left w:w="105" w:type="dxa"/>
              <w:bottom w:w="0" w:type="dxa"/>
              <w:right w:w="105" w:type="dxa"/>
            </w:tcMar>
            <w:vAlign w:val="center"/>
          </w:tcPr>
          <w:p w14:paraId="698F26E8">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1</w:t>
            </w:r>
          </w:p>
        </w:tc>
        <w:tc>
          <w:tcPr>
            <w:tcW w:w="3271" w:type="dxa"/>
            <w:shd w:val="clear" w:color="auto" w:fill="auto"/>
            <w:tcMar>
              <w:top w:w="0" w:type="dxa"/>
              <w:left w:w="105" w:type="dxa"/>
              <w:bottom w:w="0" w:type="dxa"/>
              <w:right w:w="105" w:type="dxa"/>
            </w:tcMar>
            <w:vAlign w:val="center"/>
          </w:tcPr>
          <w:p w14:paraId="3B369AB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省、市医保线路接入服务(≥10Mbps/点位的网络专线接入)</w:t>
            </w:r>
          </w:p>
        </w:tc>
        <w:tc>
          <w:tcPr>
            <w:tcW w:w="860" w:type="dxa"/>
            <w:shd w:val="clear" w:color="auto" w:fill="auto"/>
            <w:tcMar>
              <w:top w:w="0" w:type="dxa"/>
              <w:left w:w="105" w:type="dxa"/>
              <w:bottom w:w="0" w:type="dxa"/>
              <w:right w:w="105" w:type="dxa"/>
            </w:tcMar>
            <w:vAlign w:val="center"/>
          </w:tcPr>
          <w:p w14:paraId="7606C75C">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1</w:t>
            </w:r>
          </w:p>
        </w:tc>
        <w:tc>
          <w:tcPr>
            <w:tcW w:w="927" w:type="dxa"/>
            <w:shd w:val="clear" w:color="auto" w:fill="auto"/>
            <w:tcMar>
              <w:top w:w="0" w:type="dxa"/>
              <w:left w:w="105" w:type="dxa"/>
              <w:bottom w:w="0" w:type="dxa"/>
              <w:right w:w="105" w:type="dxa"/>
            </w:tcMar>
            <w:vAlign w:val="center"/>
          </w:tcPr>
          <w:p w14:paraId="10A9FBFA">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点位</w:t>
            </w:r>
          </w:p>
        </w:tc>
        <w:tc>
          <w:tcPr>
            <w:tcW w:w="1231" w:type="dxa"/>
            <w:shd w:val="clear" w:color="auto" w:fill="auto"/>
            <w:tcMar>
              <w:top w:w="0" w:type="dxa"/>
              <w:left w:w="105" w:type="dxa"/>
              <w:bottom w:w="0" w:type="dxa"/>
              <w:right w:w="105" w:type="dxa"/>
            </w:tcMar>
            <w:vAlign w:val="center"/>
          </w:tcPr>
          <w:p w14:paraId="27EED014">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3900</w:t>
            </w:r>
          </w:p>
        </w:tc>
        <w:tc>
          <w:tcPr>
            <w:tcW w:w="1585" w:type="dxa"/>
            <w:shd w:val="clear" w:color="auto" w:fill="auto"/>
            <w:tcMar>
              <w:top w:w="0" w:type="dxa"/>
              <w:left w:w="105" w:type="dxa"/>
              <w:bottom w:w="0" w:type="dxa"/>
              <w:right w:w="105" w:type="dxa"/>
            </w:tcMar>
            <w:vAlign w:val="center"/>
          </w:tcPr>
          <w:p w14:paraId="6B6C62B9">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3900</w:t>
            </w:r>
          </w:p>
        </w:tc>
        <w:tc>
          <w:tcPr>
            <w:tcW w:w="1130" w:type="dxa"/>
            <w:shd w:val="clear" w:color="auto" w:fill="auto"/>
            <w:tcMar>
              <w:top w:w="0" w:type="dxa"/>
              <w:left w:w="105" w:type="dxa"/>
              <w:bottom w:w="0" w:type="dxa"/>
              <w:right w:w="105" w:type="dxa"/>
            </w:tcMar>
            <w:vAlign w:val="top"/>
          </w:tcPr>
          <w:p w14:paraId="3EAC2461">
            <w:pPr>
              <w:keepNext w:val="0"/>
              <w:keepLines w:val="0"/>
              <w:widowControl/>
              <w:suppressLineNumbers w:val="0"/>
              <w:jc w:val="left"/>
              <w:rPr>
                <w:rFonts w:ascii="仿宋" w:hAnsi="仿宋" w:eastAsia="仿宋" w:cs="仿宋"/>
                <w:sz w:val="22"/>
                <w:szCs w:val="22"/>
              </w:rPr>
            </w:pPr>
          </w:p>
        </w:tc>
      </w:tr>
      <w:tr w14:paraId="2E63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24" w:type="dxa"/>
            <w:shd w:val="clear" w:color="auto" w:fill="auto"/>
            <w:tcMar>
              <w:top w:w="0" w:type="dxa"/>
              <w:left w:w="105" w:type="dxa"/>
              <w:bottom w:w="0" w:type="dxa"/>
              <w:right w:w="105" w:type="dxa"/>
            </w:tcMar>
            <w:vAlign w:val="center"/>
          </w:tcPr>
          <w:p w14:paraId="685A3B18">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2</w:t>
            </w:r>
          </w:p>
        </w:tc>
        <w:tc>
          <w:tcPr>
            <w:tcW w:w="3271" w:type="dxa"/>
            <w:shd w:val="clear" w:color="auto" w:fill="auto"/>
            <w:tcMar>
              <w:top w:w="0" w:type="dxa"/>
              <w:left w:w="105" w:type="dxa"/>
              <w:bottom w:w="0" w:type="dxa"/>
              <w:right w:w="105" w:type="dxa"/>
            </w:tcMar>
            <w:vAlign w:val="center"/>
          </w:tcPr>
          <w:p w14:paraId="3632B64C">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第三门诊-省本部线路接入服务(≥30Mbps/点位的网络专线接入)</w:t>
            </w:r>
          </w:p>
        </w:tc>
        <w:tc>
          <w:tcPr>
            <w:tcW w:w="860" w:type="dxa"/>
            <w:shd w:val="clear" w:color="auto" w:fill="auto"/>
            <w:tcMar>
              <w:top w:w="0" w:type="dxa"/>
              <w:left w:w="105" w:type="dxa"/>
              <w:bottom w:w="0" w:type="dxa"/>
              <w:right w:w="105" w:type="dxa"/>
            </w:tcMar>
            <w:vAlign w:val="center"/>
          </w:tcPr>
          <w:p w14:paraId="006C9017">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1</w:t>
            </w:r>
          </w:p>
        </w:tc>
        <w:tc>
          <w:tcPr>
            <w:tcW w:w="927" w:type="dxa"/>
            <w:shd w:val="clear" w:color="auto" w:fill="auto"/>
            <w:tcMar>
              <w:top w:w="0" w:type="dxa"/>
              <w:left w:w="105" w:type="dxa"/>
              <w:bottom w:w="0" w:type="dxa"/>
              <w:right w:w="105" w:type="dxa"/>
            </w:tcMar>
            <w:vAlign w:val="center"/>
          </w:tcPr>
          <w:p w14:paraId="47874EAE">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点位</w:t>
            </w:r>
          </w:p>
        </w:tc>
        <w:tc>
          <w:tcPr>
            <w:tcW w:w="1231" w:type="dxa"/>
            <w:shd w:val="clear" w:color="auto" w:fill="auto"/>
            <w:tcMar>
              <w:top w:w="0" w:type="dxa"/>
              <w:left w:w="105" w:type="dxa"/>
              <w:bottom w:w="0" w:type="dxa"/>
              <w:right w:w="105" w:type="dxa"/>
            </w:tcMar>
            <w:vAlign w:val="center"/>
          </w:tcPr>
          <w:p w14:paraId="71A3352E">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7200</w:t>
            </w:r>
          </w:p>
        </w:tc>
        <w:tc>
          <w:tcPr>
            <w:tcW w:w="1585" w:type="dxa"/>
            <w:shd w:val="clear" w:color="auto" w:fill="auto"/>
            <w:tcMar>
              <w:top w:w="0" w:type="dxa"/>
              <w:left w:w="105" w:type="dxa"/>
              <w:bottom w:w="0" w:type="dxa"/>
              <w:right w:w="105" w:type="dxa"/>
            </w:tcMar>
            <w:vAlign w:val="center"/>
          </w:tcPr>
          <w:p w14:paraId="0BFC1B02">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7200</w:t>
            </w:r>
          </w:p>
        </w:tc>
        <w:tc>
          <w:tcPr>
            <w:tcW w:w="1130" w:type="dxa"/>
            <w:shd w:val="clear" w:color="auto" w:fill="auto"/>
            <w:tcMar>
              <w:top w:w="0" w:type="dxa"/>
              <w:left w:w="105" w:type="dxa"/>
              <w:bottom w:w="0" w:type="dxa"/>
              <w:right w:w="105" w:type="dxa"/>
            </w:tcMar>
            <w:vAlign w:val="top"/>
          </w:tcPr>
          <w:p w14:paraId="725BA3EF">
            <w:pPr>
              <w:keepNext w:val="0"/>
              <w:keepLines w:val="0"/>
              <w:widowControl/>
              <w:suppressLineNumbers w:val="0"/>
              <w:jc w:val="left"/>
              <w:rPr>
                <w:rFonts w:ascii="仿宋" w:hAnsi="仿宋" w:eastAsia="仿宋" w:cs="仿宋"/>
                <w:sz w:val="22"/>
                <w:szCs w:val="22"/>
              </w:rPr>
            </w:pPr>
          </w:p>
        </w:tc>
      </w:tr>
    </w:tbl>
    <w:p w14:paraId="30FF3B45">
      <w:pPr>
        <w:pStyle w:val="13"/>
        <w:rPr>
          <w:rFonts w:ascii="仿宋" w:hAnsi="仿宋" w:eastAsia="仿宋" w:cs="仿宋"/>
          <w:color w:val="auto"/>
          <w:sz w:val="22"/>
          <w:szCs w:val="22"/>
        </w:rPr>
      </w:pPr>
      <w:r>
        <w:rPr>
          <w:rFonts w:hint="eastAsia" w:ascii="仿宋" w:hAnsi="仿宋" w:eastAsia="仿宋" w:cs="仿宋"/>
          <w:b w:val="0"/>
          <w:bCs w:val="0"/>
          <w:color w:val="auto"/>
          <w:sz w:val="22"/>
          <w:szCs w:val="22"/>
          <w:lang w:val="en-US" w:eastAsia="zh-CN"/>
        </w:rPr>
        <w:t>2.</w:t>
      </w:r>
      <w:r>
        <w:rPr>
          <w:rFonts w:hint="eastAsia" w:ascii="仿宋" w:hAnsi="仿宋" w:eastAsia="仿宋" w:cs="仿宋"/>
          <w:b w:val="0"/>
          <w:bCs w:val="0"/>
          <w:color w:val="auto"/>
          <w:kern w:val="2"/>
          <w:sz w:val="22"/>
          <w:szCs w:val="22"/>
        </w:rPr>
        <w:t>参数</w:t>
      </w:r>
      <w:r>
        <w:rPr>
          <w:rFonts w:hint="eastAsia" w:ascii="仿宋" w:hAnsi="仿宋" w:eastAsia="仿宋" w:cs="仿宋"/>
          <w:b w:val="0"/>
          <w:bCs w:val="0"/>
          <w:color w:val="auto"/>
          <w:kern w:val="2"/>
          <w:sz w:val="22"/>
          <w:szCs w:val="22"/>
          <w:lang w:val="en-US" w:eastAsia="zh-CN"/>
        </w:rPr>
        <w:t>设置</w:t>
      </w:r>
    </w:p>
    <w:p w14:paraId="73A2C24A">
      <w:pPr>
        <w:pStyle w:val="13"/>
        <w:ind w:firstLine="440" w:firstLineChars="200"/>
        <w:rPr>
          <w:rFonts w:ascii="仿宋" w:hAnsi="仿宋" w:eastAsia="仿宋" w:cs="仿宋"/>
          <w:color w:val="auto"/>
          <w:sz w:val="22"/>
          <w:szCs w:val="22"/>
        </w:rPr>
      </w:pPr>
      <w:r>
        <w:rPr>
          <w:rFonts w:hint="eastAsia" w:ascii="仿宋" w:hAnsi="仿宋" w:eastAsia="仿宋" w:cs="仿宋"/>
          <w:b w:val="0"/>
          <w:bCs w:val="0"/>
          <w:color w:val="auto"/>
          <w:kern w:val="2"/>
          <w:sz w:val="22"/>
          <w:szCs w:val="22"/>
          <w:lang w:eastAsia="zh-CN"/>
        </w:rPr>
        <w:t>（</w:t>
      </w:r>
      <w:r>
        <w:rPr>
          <w:rFonts w:hint="eastAsia" w:ascii="仿宋" w:hAnsi="仿宋" w:eastAsia="仿宋" w:cs="仿宋"/>
          <w:b w:val="0"/>
          <w:bCs w:val="0"/>
          <w:color w:val="auto"/>
          <w:kern w:val="2"/>
          <w:sz w:val="22"/>
          <w:szCs w:val="22"/>
        </w:rPr>
        <w:t>1</w:t>
      </w:r>
      <w:r>
        <w:rPr>
          <w:rFonts w:hint="eastAsia" w:ascii="仿宋" w:hAnsi="仿宋" w:eastAsia="仿宋" w:cs="仿宋"/>
          <w:b w:val="0"/>
          <w:bCs w:val="0"/>
          <w:color w:val="auto"/>
          <w:kern w:val="2"/>
          <w:sz w:val="22"/>
          <w:szCs w:val="22"/>
          <w:lang w:eastAsia="zh-CN"/>
        </w:rPr>
        <w:t>）</w:t>
      </w:r>
      <w:r>
        <w:rPr>
          <w:rFonts w:hint="eastAsia" w:ascii="仿宋" w:hAnsi="仿宋" w:eastAsia="仿宋" w:cs="仿宋"/>
          <w:b w:val="0"/>
          <w:bCs w:val="0"/>
          <w:color w:val="auto"/>
          <w:kern w:val="2"/>
          <w:sz w:val="22"/>
          <w:szCs w:val="22"/>
        </w:rPr>
        <w:t>省、市医保线路接入服务、第三门诊-省本部线路接入服务</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740"/>
        <w:gridCol w:w="1740"/>
        <w:gridCol w:w="2629"/>
        <w:gridCol w:w="3519"/>
      </w:tblGrid>
      <w:tr w14:paraId="5080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95" w:hRule="atLeast"/>
        </w:trPr>
        <w:tc>
          <w:tcPr>
            <w:tcW w:w="210" w:type="dxa"/>
            <w:shd w:val="clear" w:color="auto" w:fill="FFFFFF"/>
            <w:tcMar>
              <w:top w:w="0" w:type="dxa"/>
              <w:left w:w="105" w:type="dxa"/>
              <w:bottom w:w="0" w:type="dxa"/>
              <w:right w:w="105" w:type="dxa"/>
            </w:tcMar>
            <w:vAlign w:val="center"/>
          </w:tcPr>
          <w:p w14:paraId="2F1BF53E">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专线类别</w:t>
            </w:r>
          </w:p>
        </w:tc>
        <w:tc>
          <w:tcPr>
            <w:tcW w:w="315" w:type="dxa"/>
            <w:shd w:val="clear" w:color="auto" w:fill="FFFFFF"/>
            <w:tcMar>
              <w:top w:w="0" w:type="dxa"/>
              <w:left w:w="105" w:type="dxa"/>
              <w:bottom w:w="0" w:type="dxa"/>
              <w:right w:w="105" w:type="dxa"/>
            </w:tcMar>
            <w:vAlign w:val="center"/>
          </w:tcPr>
          <w:p w14:paraId="78F63AD6">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质量指标内容</w:t>
            </w:r>
          </w:p>
        </w:tc>
        <w:tc>
          <w:tcPr>
            <w:tcW w:w="540" w:type="dxa"/>
            <w:shd w:val="clear" w:color="auto" w:fill="FFFFFF"/>
            <w:tcMar>
              <w:top w:w="0" w:type="dxa"/>
              <w:left w:w="105" w:type="dxa"/>
              <w:bottom w:w="0" w:type="dxa"/>
              <w:right w:w="105" w:type="dxa"/>
            </w:tcMar>
            <w:vAlign w:val="center"/>
          </w:tcPr>
          <w:p w14:paraId="12621EB8">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指标定义</w:t>
            </w:r>
          </w:p>
        </w:tc>
        <w:tc>
          <w:tcPr>
            <w:tcW w:w="405" w:type="dxa"/>
            <w:shd w:val="clear" w:color="auto" w:fill="FFFFFF"/>
            <w:tcMar>
              <w:top w:w="0" w:type="dxa"/>
              <w:left w:w="105" w:type="dxa"/>
              <w:bottom w:w="0" w:type="dxa"/>
              <w:right w:w="105" w:type="dxa"/>
            </w:tcMar>
            <w:vAlign w:val="center"/>
          </w:tcPr>
          <w:p w14:paraId="6CCFDDF2">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标准</w:t>
            </w:r>
          </w:p>
        </w:tc>
      </w:tr>
      <w:tr w14:paraId="4D32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210" w:type="dxa"/>
            <w:vMerge w:val="restart"/>
            <w:shd w:val="clear" w:color="auto" w:fill="auto"/>
            <w:tcMar>
              <w:top w:w="0" w:type="dxa"/>
              <w:left w:w="105" w:type="dxa"/>
              <w:bottom w:w="0" w:type="dxa"/>
              <w:right w:w="105" w:type="dxa"/>
            </w:tcMar>
            <w:vAlign w:val="center"/>
          </w:tcPr>
          <w:p w14:paraId="0515217B">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数据专线</w:t>
            </w:r>
          </w:p>
        </w:tc>
        <w:tc>
          <w:tcPr>
            <w:tcW w:w="315" w:type="dxa"/>
            <w:shd w:val="clear" w:color="auto" w:fill="auto"/>
            <w:tcMar>
              <w:top w:w="0" w:type="dxa"/>
              <w:left w:w="105" w:type="dxa"/>
              <w:bottom w:w="0" w:type="dxa"/>
              <w:right w:w="105" w:type="dxa"/>
            </w:tcMar>
            <w:vAlign w:val="center"/>
          </w:tcPr>
          <w:p w14:paraId="4A867CDD">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误码率</w:t>
            </w:r>
          </w:p>
        </w:tc>
        <w:tc>
          <w:tcPr>
            <w:tcW w:w="540" w:type="dxa"/>
            <w:shd w:val="clear" w:color="auto" w:fill="auto"/>
            <w:tcMar>
              <w:top w:w="0" w:type="dxa"/>
              <w:left w:w="105" w:type="dxa"/>
              <w:bottom w:w="0" w:type="dxa"/>
              <w:right w:w="105" w:type="dxa"/>
            </w:tcMar>
            <w:vAlign w:val="center"/>
          </w:tcPr>
          <w:p w14:paraId="208CD02B">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在一个确定的测试期间，接收出现差错的比特数与总发送的比特数之比</w:t>
            </w:r>
          </w:p>
        </w:tc>
        <w:tc>
          <w:tcPr>
            <w:tcW w:w="405" w:type="dxa"/>
            <w:shd w:val="clear" w:color="auto" w:fill="auto"/>
            <w:tcMar>
              <w:top w:w="0" w:type="dxa"/>
              <w:left w:w="105" w:type="dxa"/>
              <w:bottom w:w="0" w:type="dxa"/>
              <w:right w:w="105" w:type="dxa"/>
            </w:tcMar>
            <w:vAlign w:val="center"/>
          </w:tcPr>
          <w:p w14:paraId="4DC8F233">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≤1e-9</w:t>
            </w:r>
          </w:p>
        </w:tc>
      </w:tr>
      <w:tr w14:paraId="2376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20" w:hRule="atLeast"/>
        </w:trPr>
        <w:tc>
          <w:tcPr>
            <w:tcW w:w="210" w:type="dxa"/>
            <w:vMerge w:val="continue"/>
            <w:shd w:val="clear" w:color="auto" w:fill="auto"/>
            <w:tcMar>
              <w:top w:w="0" w:type="dxa"/>
              <w:left w:w="105" w:type="dxa"/>
              <w:bottom w:w="0" w:type="dxa"/>
              <w:right w:w="105" w:type="dxa"/>
            </w:tcMar>
            <w:vAlign w:val="center"/>
          </w:tcPr>
          <w:p w14:paraId="5D999432">
            <w:pPr>
              <w:rPr>
                <w:rFonts w:hint="eastAsia" w:ascii="仿宋" w:hAnsi="仿宋" w:eastAsia="仿宋" w:cs="仿宋"/>
                <w:sz w:val="22"/>
                <w:szCs w:val="22"/>
              </w:rPr>
            </w:pPr>
          </w:p>
        </w:tc>
        <w:tc>
          <w:tcPr>
            <w:tcW w:w="315" w:type="dxa"/>
            <w:shd w:val="clear" w:color="auto" w:fill="auto"/>
            <w:tcMar>
              <w:top w:w="0" w:type="dxa"/>
              <w:left w:w="105" w:type="dxa"/>
              <w:bottom w:w="0" w:type="dxa"/>
              <w:right w:w="105" w:type="dxa"/>
            </w:tcMar>
            <w:vAlign w:val="center"/>
          </w:tcPr>
          <w:p w14:paraId="7F5F5FA8">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时延</w:t>
            </w:r>
          </w:p>
        </w:tc>
        <w:tc>
          <w:tcPr>
            <w:tcW w:w="540" w:type="dxa"/>
            <w:shd w:val="clear" w:color="auto" w:fill="auto"/>
            <w:tcMar>
              <w:top w:w="0" w:type="dxa"/>
              <w:left w:w="105" w:type="dxa"/>
              <w:bottom w:w="0" w:type="dxa"/>
              <w:right w:w="105" w:type="dxa"/>
            </w:tcMar>
            <w:vAlign w:val="center"/>
          </w:tcPr>
          <w:p w14:paraId="2A367CEC">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端到端不丢包情况下的网络转发数据所用时间，包括传输时延和传输节点处理时延。</w:t>
            </w:r>
          </w:p>
        </w:tc>
        <w:tc>
          <w:tcPr>
            <w:tcW w:w="405" w:type="dxa"/>
            <w:shd w:val="clear" w:color="auto" w:fill="auto"/>
            <w:tcMar>
              <w:top w:w="0" w:type="dxa"/>
              <w:left w:w="105" w:type="dxa"/>
              <w:bottom w:w="0" w:type="dxa"/>
              <w:right w:w="105" w:type="dxa"/>
            </w:tcMar>
            <w:vAlign w:val="center"/>
          </w:tcPr>
          <w:p w14:paraId="3544DAFE">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跨省、跨市时延：0.8ms/百公里（单向时延）；本地网内≤10ms</w:t>
            </w:r>
          </w:p>
        </w:tc>
      </w:tr>
      <w:tr w14:paraId="3596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20" w:hRule="atLeast"/>
        </w:trPr>
        <w:tc>
          <w:tcPr>
            <w:tcW w:w="210" w:type="dxa"/>
            <w:vMerge w:val="continue"/>
            <w:shd w:val="clear" w:color="auto" w:fill="auto"/>
            <w:tcMar>
              <w:top w:w="0" w:type="dxa"/>
              <w:left w:w="105" w:type="dxa"/>
              <w:bottom w:w="0" w:type="dxa"/>
              <w:right w:w="105" w:type="dxa"/>
            </w:tcMar>
            <w:vAlign w:val="center"/>
          </w:tcPr>
          <w:p w14:paraId="00D81F67">
            <w:pPr>
              <w:rPr>
                <w:rFonts w:hint="eastAsia" w:ascii="仿宋" w:hAnsi="仿宋" w:eastAsia="仿宋" w:cs="仿宋"/>
                <w:sz w:val="22"/>
                <w:szCs w:val="22"/>
              </w:rPr>
            </w:pPr>
          </w:p>
        </w:tc>
        <w:tc>
          <w:tcPr>
            <w:tcW w:w="315" w:type="dxa"/>
            <w:shd w:val="clear" w:color="auto" w:fill="auto"/>
            <w:tcMar>
              <w:top w:w="0" w:type="dxa"/>
              <w:left w:w="105" w:type="dxa"/>
              <w:bottom w:w="0" w:type="dxa"/>
              <w:right w:w="105" w:type="dxa"/>
            </w:tcMar>
            <w:vAlign w:val="center"/>
          </w:tcPr>
          <w:p w14:paraId="799DE72B">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丢包率</w:t>
            </w:r>
          </w:p>
        </w:tc>
        <w:tc>
          <w:tcPr>
            <w:tcW w:w="540" w:type="dxa"/>
            <w:shd w:val="clear" w:color="auto" w:fill="auto"/>
            <w:tcMar>
              <w:top w:w="0" w:type="dxa"/>
              <w:left w:w="105" w:type="dxa"/>
              <w:bottom w:w="0" w:type="dxa"/>
              <w:right w:w="105" w:type="dxa"/>
            </w:tcMar>
            <w:vAlign w:val="center"/>
          </w:tcPr>
          <w:p w14:paraId="43712C9C">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在网络稳定状态下由于网络资源缺乏造成的不能转发的数据帧和总数据帧的百分比</w:t>
            </w:r>
          </w:p>
        </w:tc>
        <w:tc>
          <w:tcPr>
            <w:tcW w:w="405" w:type="dxa"/>
            <w:shd w:val="clear" w:color="auto" w:fill="auto"/>
            <w:tcMar>
              <w:top w:w="0" w:type="dxa"/>
              <w:left w:w="105" w:type="dxa"/>
              <w:bottom w:w="0" w:type="dxa"/>
              <w:right w:w="105" w:type="dxa"/>
            </w:tcMar>
            <w:vAlign w:val="center"/>
          </w:tcPr>
          <w:p w14:paraId="4BF1CE63">
            <w:pPr>
              <w:pStyle w:val="12"/>
              <w:keepNext w:val="0"/>
              <w:keepLines w:val="0"/>
              <w:widowControl/>
              <w:suppressLineNumbers w:val="0"/>
              <w:spacing w:line="240" w:lineRule="auto"/>
              <w:jc w:val="center"/>
              <w:rPr>
                <w:rFonts w:ascii="仿宋" w:hAnsi="仿宋" w:eastAsia="仿宋" w:cs="仿宋"/>
                <w:sz w:val="22"/>
                <w:szCs w:val="22"/>
              </w:rPr>
            </w:pPr>
            <w:r>
              <w:rPr>
                <w:rFonts w:hint="eastAsia" w:ascii="仿宋" w:hAnsi="仿宋" w:eastAsia="仿宋" w:cs="仿宋"/>
                <w:sz w:val="22"/>
                <w:szCs w:val="22"/>
              </w:rPr>
              <w:t>在正常带宽负荷下（负荷小于70％）≤0.1%（挂表测试为准）</w:t>
            </w:r>
          </w:p>
        </w:tc>
      </w:tr>
    </w:tbl>
    <w:p w14:paraId="4E7CB49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ascii="仿宋" w:hAnsi="仿宋" w:eastAsia="仿宋" w:cs="仿宋"/>
          <w:sz w:val="22"/>
          <w:szCs w:val="22"/>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2</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青羊院区体检中心互联网专线接入服务</w:t>
      </w:r>
    </w:p>
    <w:p w14:paraId="0AE2726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1）供应商需至少提供不少于150Mbps互联网光纤服务、固定IP接入方式；</w:t>
      </w:r>
    </w:p>
    <w:p w14:paraId="6B85616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2）提供≥ 1个可自行分配使用的固定IP地址，IP地址为采购人单独使用、专用；</w:t>
      </w:r>
    </w:p>
    <w:p w14:paraId="0797F30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3）供应商提供的互联网接入采用基于光纤线路的全透明接入方式；</w:t>
      </w:r>
    </w:p>
    <w:p w14:paraId="3A0EC71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4）上下行速率相同，且为采购人单独使用；</w:t>
      </w:r>
    </w:p>
    <w:p w14:paraId="0B8B499C">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5）核心网络可用率大于99.99%；</w:t>
      </w:r>
    </w:p>
    <w:p w14:paraId="50CBF371">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6）核心网络之间丢包率小于0.1%；</w:t>
      </w:r>
    </w:p>
    <w:p w14:paraId="2942094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7）供应商与采购人之间的设备需采用路由模式，通过路由设备互指静态路由或者缺省路由，设备接口地址需采用公网 IP 地址；</w:t>
      </w:r>
    </w:p>
    <w:p w14:paraId="432CCEDD">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Chars="300" w:firstLine="22" w:firstLineChars="0"/>
        <w:textAlignment w:val="auto"/>
        <w:rPr>
          <w:rFonts w:ascii="仿宋" w:hAnsi="仿宋" w:eastAsia="仿宋" w:cs="仿宋"/>
          <w:sz w:val="22"/>
          <w:szCs w:val="22"/>
        </w:rPr>
      </w:pPr>
      <w:r>
        <w:rPr>
          <w:rFonts w:hint="eastAsia" w:ascii="仿宋" w:hAnsi="仿宋" w:eastAsia="仿宋" w:cs="仿宋"/>
          <w:kern w:val="2"/>
          <w:sz w:val="22"/>
          <w:szCs w:val="22"/>
        </w:rPr>
        <w:t>8）接入的运营商核心网络应具备QOS和业务监管。</w:t>
      </w:r>
    </w:p>
    <w:p w14:paraId="4233DF31">
      <w:pPr>
        <w:pStyle w:val="13"/>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3.服务要求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92"/>
        <w:gridCol w:w="1658"/>
        <w:gridCol w:w="5973"/>
        <w:gridCol w:w="1405"/>
      </w:tblGrid>
      <w:tr w14:paraId="76BE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top"/>
          </w:tcPr>
          <w:p w14:paraId="06320C5E">
            <w:pPr>
              <w:keepNext w:val="0"/>
              <w:keepLines w:val="0"/>
              <w:widowControl/>
              <w:suppressLineNumbers w:val="0"/>
              <w:jc w:val="lef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序号</w:t>
            </w:r>
          </w:p>
        </w:tc>
        <w:tc>
          <w:tcPr>
            <w:tcW w:w="1470" w:type="dxa"/>
            <w:shd w:val="clear" w:color="auto" w:fill="auto"/>
            <w:tcMar>
              <w:top w:w="0" w:type="dxa"/>
              <w:left w:w="105" w:type="dxa"/>
              <w:bottom w:w="0" w:type="dxa"/>
              <w:right w:w="105" w:type="dxa"/>
            </w:tcMar>
            <w:vAlign w:val="top"/>
          </w:tcPr>
          <w:p w14:paraId="070362B1">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Style w:val="17"/>
                <w:rFonts w:hint="eastAsia" w:ascii="仿宋" w:hAnsi="仿宋" w:eastAsia="仿宋" w:cs="仿宋"/>
                <w:sz w:val="22"/>
                <w:szCs w:val="22"/>
              </w:rPr>
              <w:t>服务类型</w:t>
            </w:r>
          </w:p>
        </w:tc>
        <w:tc>
          <w:tcPr>
            <w:tcW w:w="5295" w:type="dxa"/>
            <w:shd w:val="clear" w:color="auto" w:fill="auto"/>
            <w:tcMar>
              <w:top w:w="0" w:type="dxa"/>
              <w:left w:w="105" w:type="dxa"/>
              <w:bottom w:w="0" w:type="dxa"/>
              <w:right w:w="105" w:type="dxa"/>
            </w:tcMar>
            <w:vAlign w:val="top"/>
          </w:tcPr>
          <w:p w14:paraId="3B21A924">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Style w:val="17"/>
                <w:rFonts w:hint="eastAsia" w:ascii="仿宋" w:hAnsi="仿宋" w:eastAsia="仿宋" w:cs="仿宋"/>
                <w:sz w:val="22"/>
                <w:szCs w:val="22"/>
              </w:rPr>
              <w:t>服务内容</w:t>
            </w:r>
          </w:p>
        </w:tc>
        <w:tc>
          <w:tcPr>
            <w:tcW w:w="1245" w:type="dxa"/>
            <w:shd w:val="clear" w:color="auto" w:fill="auto"/>
            <w:tcMar>
              <w:top w:w="0" w:type="dxa"/>
              <w:left w:w="105" w:type="dxa"/>
              <w:bottom w:w="0" w:type="dxa"/>
              <w:right w:w="105" w:type="dxa"/>
            </w:tcMar>
            <w:vAlign w:val="top"/>
          </w:tcPr>
          <w:p w14:paraId="18FBB0A7">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Style w:val="17"/>
                <w:rFonts w:hint="eastAsia" w:ascii="仿宋" w:hAnsi="仿宋" w:eastAsia="仿宋" w:cs="仿宋"/>
                <w:sz w:val="22"/>
                <w:szCs w:val="22"/>
              </w:rPr>
              <w:t>服务期</w:t>
            </w:r>
          </w:p>
        </w:tc>
      </w:tr>
      <w:tr w14:paraId="78A3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180375D5">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Style w:val="17"/>
                <w:rFonts w:hint="eastAsia" w:ascii="仿宋" w:hAnsi="仿宋" w:eastAsia="仿宋" w:cs="仿宋"/>
                <w:sz w:val="22"/>
                <w:szCs w:val="22"/>
              </w:rPr>
              <w:t>1</w:t>
            </w:r>
          </w:p>
        </w:tc>
        <w:tc>
          <w:tcPr>
            <w:tcW w:w="1470" w:type="dxa"/>
            <w:shd w:val="clear" w:color="auto" w:fill="auto"/>
            <w:tcMar>
              <w:top w:w="0" w:type="dxa"/>
              <w:left w:w="105" w:type="dxa"/>
              <w:bottom w:w="0" w:type="dxa"/>
              <w:right w:w="105" w:type="dxa"/>
            </w:tcMar>
            <w:vAlign w:val="center"/>
          </w:tcPr>
          <w:p w14:paraId="15DBAE87">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Style w:val="17"/>
                <w:rFonts w:hint="eastAsia" w:ascii="仿宋" w:hAnsi="仿宋" w:eastAsia="仿宋" w:cs="仿宋"/>
                <w:sz w:val="22"/>
                <w:szCs w:val="22"/>
              </w:rPr>
              <w:t>基本服务</w:t>
            </w:r>
          </w:p>
        </w:tc>
        <w:tc>
          <w:tcPr>
            <w:tcW w:w="5295" w:type="dxa"/>
            <w:shd w:val="clear" w:color="auto" w:fill="auto"/>
            <w:tcMar>
              <w:top w:w="0" w:type="dxa"/>
              <w:left w:w="105" w:type="dxa"/>
              <w:bottom w:w="0" w:type="dxa"/>
              <w:right w:w="105" w:type="dxa"/>
            </w:tcMar>
            <w:vAlign w:val="top"/>
          </w:tcPr>
          <w:p w14:paraId="70DA1B32">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基本服务至少满足以下内容：</w:t>
            </w:r>
          </w:p>
          <w:p w14:paraId="73E3ED0B">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1、稳定性：</w:t>
            </w:r>
            <w:r>
              <w:rPr>
                <w:rFonts w:hint="eastAsia" w:ascii="仿宋" w:hAnsi="仿宋" w:eastAsia="仿宋" w:cs="仿宋"/>
                <w:sz w:val="22"/>
                <w:szCs w:val="22"/>
              </w:rPr>
              <w:t>服务期内需保障业务稳定，不无故出现崩溃或宕机现象；</w:t>
            </w:r>
          </w:p>
          <w:p w14:paraId="316016E4">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2、安全性：</w:t>
            </w:r>
            <w:r>
              <w:rPr>
                <w:rFonts w:hint="eastAsia" w:ascii="仿宋" w:hAnsi="仿宋" w:eastAsia="仿宋" w:cs="仿宋"/>
                <w:sz w:val="22"/>
                <w:szCs w:val="22"/>
              </w:rPr>
              <w:t>具备完善的安全防护机制，做好数据备份，在合同签订后15个工作日内提交《安全事件应急响应手册》，重大安全事件（数据泄露、勒索病毒等）30 分钟内电话通报、2小时内到场、4小时内出具初步处置报告；</w:t>
            </w:r>
          </w:p>
          <w:p w14:paraId="218F0BAE">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3、数据质量：</w:t>
            </w:r>
            <w:r>
              <w:rPr>
                <w:rFonts w:hint="eastAsia" w:ascii="仿宋" w:hAnsi="仿宋" w:eastAsia="仿宋" w:cs="仿宋"/>
                <w:sz w:val="22"/>
                <w:szCs w:val="22"/>
              </w:rPr>
              <w:t>供应商收到异议后，</w:t>
            </w:r>
            <w:r>
              <w:rPr>
                <w:rFonts w:hint="eastAsia" w:ascii="仿宋" w:hAnsi="仿宋" w:eastAsia="仿宋" w:cs="仿宋"/>
                <w:sz w:val="22"/>
                <w:szCs w:val="22"/>
                <w:lang w:eastAsia="zh-CN"/>
              </w:rPr>
              <w:t>成交</w:t>
            </w:r>
            <w:r>
              <w:rPr>
                <w:rFonts w:hint="eastAsia" w:ascii="仿宋" w:hAnsi="仿宋" w:eastAsia="仿宋" w:cs="仿宋"/>
                <w:sz w:val="22"/>
                <w:szCs w:val="22"/>
              </w:rPr>
              <w:t>供应商应在5个工作日内对数据质量问题进行原因查找和反馈，30个工作日内对数据质量问题进行数据清洗；</w:t>
            </w:r>
          </w:p>
          <w:p w14:paraId="3536A17E">
            <w:pPr>
              <w:pStyle w:val="12"/>
              <w:keepNext w:val="0"/>
              <w:keepLines w:val="0"/>
              <w:widowControl/>
              <w:suppressLineNumbers w:val="0"/>
              <w:spacing w:beforeAutospacing="0" w:afterAutospacing="0"/>
              <w:rPr>
                <w:rFonts w:hint="eastAsia" w:ascii="仿宋" w:hAnsi="仿宋" w:eastAsia="仿宋" w:cs="仿宋"/>
                <w:sz w:val="22"/>
                <w:szCs w:val="22"/>
              </w:rPr>
            </w:pPr>
            <w:r>
              <w:rPr>
                <w:rStyle w:val="17"/>
                <w:rFonts w:hint="eastAsia" w:ascii="仿宋" w:hAnsi="仿宋" w:eastAsia="仿宋" w:cs="仿宋"/>
                <w:sz w:val="22"/>
                <w:szCs w:val="22"/>
              </w:rPr>
              <w:t>4、响应速度：</w:t>
            </w:r>
            <w:r>
              <w:rPr>
                <w:rFonts w:hint="eastAsia" w:ascii="仿宋" w:hAnsi="仿宋" w:eastAsia="仿宋" w:cs="仿宋"/>
                <w:sz w:val="22"/>
                <w:szCs w:val="22"/>
              </w:rPr>
              <w:t>服务期内，采购人通过电话、微信、现场提出的支持需求，供应商须在需求提出的当日完成响应；</w:t>
            </w:r>
          </w:p>
          <w:p w14:paraId="7C323916">
            <w:pPr>
              <w:pStyle w:val="12"/>
              <w:keepNext w:val="0"/>
              <w:keepLines w:val="0"/>
              <w:widowControl/>
              <w:suppressLineNumbers w:val="0"/>
              <w:spacing w:beforeAutospacing="0" w:afterAutospacing="0"/>
              <w:rPr>
                <w:rFonts w:hint="eastAsia" w:ascii="仿宋" w:hAnsi="仿宋" w:eastAsia="仿宋" w:cs="仿宋"/>
                <w:sz w:val="22"/>
                <w:szCs w:val="22"/>
              </w:rPr>
            </w:pPr>
            <w:r>
              <w:rPr>
                <w:rFonts w:hint="eastAsia" w:ascii="仿宋" w:hAnsi="仿宋" w:eastAsia="仿宋" w:cs="仿宋"/>
                <w:b/>
                <w:bCs/>
                <w:sz w:val="22"/>
                <w:szCs w:val="22"/>
              </w:rPr>
              <w:t>5、备件供应</w:t>
            </w:r>
            <w:r>
              <w:rPr>
                <w:rFonts w:hint="eastAsia" w:ascii="仿宋" w:hAnsi="仿宋" w:eastAsia="仿宋" w:cs="仿宋"/>
                <w:sz w:val="22"/>
                <w:szCs w:val="22"/>
              </w:rPr>
              <w:t>：服务期内设备故障并经排查，明确2小时内无法恢复，应当在4小时内提供相同类型和性能的可用机器恢复业务工作，直至故障排除；</w:t>
            </w:r>
          </w:p>
          <w:p w14:paraId="3D3E4052">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6、定期巡检：</w:t>
            </w:r>
            <w:r>
              <w:rPr>
                <w:rFonts w:hint="eastAsia" w:ascii="仿宋" w:hAnsi="仿宋" w:eastAsia="仿宋" w:cs="仿宋"/>
                <w:sz w:val="22"/>
                <w:szCs w:val="22"/>
              </w:rPr>
              <w:t>服务期内每月提供至少1次软硬件服务期巡检报告；</w:t>
            </w:r>
          </w:p>
          <w:p w14:paraId="486C8D66">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7、文档服务：</w:t>
            </w:r>
          </w:p>
          <w:p w14:paraId="56011F3D">
            <w:pPr>
              <w:pStyle w:val="12"/>
              <w:keepNext w:val="0"/>
              <w:keepLines w:val="0"/>
              <w:widowControl/>
              <w:suppressLineNumbers w:val="0"/>
              <w:spacing w:beforeAutospacing="0" w:afterAutospacing="0"/>
              <w:rPr>
                <w:rFonts w:ascii="仿宋" w:hAnsi="仿宋" w:eastAsia="仿宋" w:cs="仿宋"/>
                <w:sz w:val="22"/>
                <w:szCs w:val="22"/>
              </w:rPr>
            </w:pPr>
            <w:r>
              <w:rPr>
                <w:rFonts w:hint="eastAsia" w:ascii="仿宋" w:hAnsi="仿宋" w:eastAsia="仿宋" w:cs="仿宋"/>
                <w:sz w:val="22"/>
                <w:szCs w:val="22"/>
              </w:rPr>
              <w:t>无</w:t>
            </w:r>
          </w:p>
          <w:p w14:paraId="232F1D3F">
            <w:pPr>
              <w:pStyle w:val="12"/>
              <w:keepNext w:val="0"/>
              <w:keepLines w:val="0"/>
              <w:widowControl/>
              <w:suppressLineNumbers w:val="0"/>
              <w:spacing w:beforeAutospacing="0" w:afterAutospacing="0"/>
              <w:rPr>
                <w:rFonts w:ascii="仿宋" w:hAnsi="仿宋" w:eastAsia="仿宋" w:cs="仿宋"/>
                <w:sz w:val="22"/>
                <w:szCs w:val="22"/>
              </w:rPr>
            </w:pPr>
            <w:r>
              <w:rPr>
                <w:rStyle w:val="17"/>
                <w:rFonts w:hint="eastAsia" w:ascii="仿宋" w:hAnsi="仿宋" w:eastAsia="仿宋" w:cs="仿宋"/>
                <w:sz w:val="22"/>
                <w:szCs w:val="22"/>
              </w:rPr>
              <w:t>8、人员服务：</w:t>
            </w:r>
          </w:p>
          <w:p w14:paraId="6E6D83C4">
            <w:pPr>
              <w:pStyle w:val="12"/>
              <w:keepNext w:val="0"/>
              <w:keepLines w:val="0"/>
              <w:widowControl/>
              <w:suppressLineNumbers w:val="0"/>
              <w:spacing w:beforeAutospacing="0" w:afterAutospacing="0"/>
              <w:rPr>
                <w:rFonts w:ascii="仿宋" w:hAnsi="仿宋" w:eastAsia="仿宋" w:cs="仿宋"/>
                <w:sz w:val="22"/>
                <w:szCs w:val="22"/>
              </w:rPr>
            </w:pPr>
            <w:r>
              <w:rPr>
                <w:rFonts w:hint="eastAsia" w:ascii="仿宋" w:hAnsi="仿宋" w:eastAsia="仿宋" w:cs="仿宋"/>
                <w:sz w:val="22"/>
                <w:szCs w:val="22"/>
              </w:rPr>
              <w:t>无</w:t>
            </w:r>
          </w:p>
          <w:p w14:paraId="5D7D06F0">
            <w:pPr>
              <w:pStyle w:val="12"/>
              <w:keepNext w:val="0"/>
              <w:keepLines w:val="0"/>
              <w:widowControl/>
              <w:suppressLineNumbers w:val="0"/>
              <w:autoSpaceDE w:val="0"/>
              <w:autoSpaceDN/>
              <w:spacing w:beforeAutospacing="0" w:afterAutospacing="0"/>
              <w:ind w:left="0" w:firstLine="0"/>
              <w:rPr>
                <w:rFonts w:ascii="仿宋" w:hAnsi="仿宋" w:eastAsia="仿宋" w:cs="仿宋"/>
                <w:sz w:val="22"/>
                <w:szCs w:val="22"/>
              </w:rPr>
            </w:pPr>
            <w:r>
              <w:rPr>
                <w:rFonts w:hint="eastAsia" w:ascii="仿宋" w:hAnsi="仿宋" w:eastAsia="仿宋" w:cs="仿宋"/>
                <w:b/>
                <w:bCs/>
                <w:sz w:val="22"/>
                <w:szCs w:val="22"/>
              </w:rPr>
              <w:t>9、</w:t>
            </w:r>
            <w:r>
              <w:rPr>
                <w:rStyle w:val="17"/>
                <w:rFonts w:hint="eastAsia" w:ascii="仿宋" w:hAnsi="仿宋" w:eastAsia="仿宋" w:cs="仿宋"/>
                <w:sz w:val="22"/>
                <w:szCs w:val="22"/>
              </w:rPr>
              <w:t>其他：</w:t>
            </w:r>
          </w:p>
          <w:p w14:paraId="42A727A3">
            <w:pPr>
              <w:pStyle w:val="12"/>
              <w:keepNext w:val="0"/>
              <w:keepLines w:val="0"/>
              <w:widowControl/>
              <w:suppressLineNumbers w:val="0"/>
              <w:spacing w:beforeAutospacing="0" w:afterAutospacing="0"/>
              <w:rPr>
                <w:rFonts w:ascii="仿宋" w:hAnsi="仿宋" w:eastAsia="仿宋" w:cs="仿宋"/>
                <w:sz w:val="22"/>
                <w:szCs w:val="22"/>
              </w:rPr>
            </w:pPr>
            <w:r>
              <w:rPr>
                <w:rFonts w:hint="eastAsia" w:ascii="仿宋" w:hAnsi="仿宋" w:eastAsia="仿宋" w:cs="仿宋"/>
                <w:sz w:val="22"/>
                <w:szCs w:val="22"/>
              </w:rPr>
              <w:t>1）</w:t>
            </w:r>
            <w:r>
              <w:rPr>
                <w:rFonts w:hint="eastAsia" w:ascii="仿宋" w:hAnsi="仿宋" w:eastAsia="仿宋" w:cs="仿宋"/>
                <w:sz w:val="22"/>
                <w:szCs w:val="22"/>
                <w:lang w:eastAsia="zh-CN"/>
              </w:rPr>
              <w:t>成交</w:t>
            </w:r>
            <w:r>
              <w:rPr>
                <w:rFonts w:hint="eastAsia" w:ascii="仿宋" w:hAnsi="仿宋" w:eastAsia="仿宋" w:cs="仿宋"/>
                <w:sz w:val="22"/>
                <w:szCs w:val="22"/>
              </w:rPr>
              <w:t>供应商应当与本项目相关的第三方保持有痕的沟通，明确项目的具体要求和功能等方面的细节。采购人负责组织、监督和验收，以确保项目的顺利完成。</w:t>
            </w:r>
          </w:p>
          <w:p w14:paraId="022922F3">
            <w:pPr>
              <w:pStyle w:val="12"/>
              <w:keepNext w:val="0"/>
              <w:keepLines w:val="0"/>
              <w:widowControl/>
              <w:suppressLineNumbers w:val="0"/>
              <w:spacing w:beforeAutospacing="0" w:afterAutospacing="0"/>
              <w:rPr>
                <w:rFonts w:hint="eastAsia" w:ascii="仿宋" w:hAnsi="仿宋" w:eastAsia="仿宋" w:cs="仿宋"/>
                <w:sz w:val="22"/>
                <w:szCs w:val="22"/>
              </w:rPr>
            </w:pPr>
            <w:r>
              <w:rPr>
                <w:rFonts w:hint="eastAsia" w:ascii="仿宋" w:hAnsi="仿宋" w:eastAsia="仿宋" w:cs="仿宋"/>
                <w:sz w:val="22"/>
                <w:szCs w:val="22"/>
              </w:rPr>
              <w:t>2）如涉及因本项目开发的系统原因造成采购人的经济损失，由</w:t>
            </w:r>
            <w:r>
              <w:rPr>
                <w:rFonts w:hint="eastAsia" w:ascii="仿宋" w:hAnsi="仿宋" w:eastAsia="仿宋" w:cs="仿宋"/>
                <w:sz w:val="22"/>
                <w:szCs w:val="22"/>
                <w:lang w:eastAsia="zh-CN"/>
              </w:rPr>
              <w:t>成交</w:t>
            </w:r>
            <w:r>
              <w:rPr>
                <w:rFonts w:hint="eastAsia" w:ascii="仿宋" w:hAnsi="仿宋" w:eastAsia="仿宋" w:cs="仿宋"/>
                <w:sz w:val="22"/>
                <w:szCs w:val="22"/>
              </w:rPr>
              <w:t>供应商负责向采购人进行赔偿。</w:t>
            </w:r>
          </w:p>
          <w:p w14:paraId="4E42C44B">
            <w:pPr>
              <w:pStyle w:val="12"/>
              <w:keepNext w:val="0"/>
              <w:keepLines w:val="0"/>
              <w:widowControl/>
              <w:suppressLineNumbers w:val="0"/>
              <w:spacing w:beforeAutospacing="0" w:afterAutospacing="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3）服务期内，采购人每月按照四川省人民医院供应商考核指标对供应商行为进行评价考核，考核结果关联最终付款金额和履约保证金（如有履约保证金）。</w:t>
            </w:r>
          </w:p>
        </w:tc>
        <w:tc>
          <w:tcPr>
            <w:tcW w:w="1245" w:type="dxa"/>
            <w:shd w:val="clear" w:color="auto" w:fill="auto"/>
            <w:tcMar>
              <w:top w:w="0" w:type="dxa"/>
              <w:left w:w="105" w:type="dxa"/>
              <w:bottom w:w="0" w:type="dxa"/>
              <w:right w:w="105" w:type="dxa"/>
            </w:tcMar>
            <w:vAlign w:val="center"/>
          </w:tcPr>
          <w:p w14:paraId="76229CBF">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验收合格之日起</w:t>
            </w:r>
            <w:r>
              <w:rPr>
                <w:rFonts w:hint="eastAsia" w:ascii="仿宋" w:hAnsi="仿宋" w:eastAsia="仿宋" w:cs="仿宋"/>
                <w:color w:val="FF0000"/>
                <w:sz w:val="22"/>
                <w:szCs w:val="22"/>
                <w:u w:val="single"/>
              </w:rPr>
              <w:t>1</w:t>
            </w:r>
            <w:r>
              <w:rPr>
                <w:rFonts w:hint="eastAsia" w:ascii="仿宋" w:hAnsi="仿宋" w:eastAsia="仿宋" w:cs="仿宋"/>
                <w:sz w:val="22"/>
                <w:szCs w:val="22"/>
              </w:rPr>
              <w:t>年</w:t>
            </w:r>
          </w:p>
        </w:tc>
      </w:tr>
    </w:tbl>
    <w:p w14:paraId="0684C1DE">
      <w:pPr>
        <w:pStyle w:val="5"/>
        <w:spacing w:line="360" w:lineRule="auto"/>
        <w:rPr>
          <w:rFonts w:hint="eastAsia" w:ascii="仿宋" w:hAnsi="仿宋" w:eastAsia="仿宋" w:cs="仿宋"/>
          <w:color w:val="auto"/>
          <w:sz w:val="22"/>
          <w:szCs w:val="22"/>
        </w:rPr>
      </w:pPr>
      <w:r>
        <w:rPr>
          <w:rFonts w:hint="eastAsia" w:ascii="仿宋" w:hAnsi="仿宋" w:eastAsia="仿宋" w:cs="仿宋"/>
          <w:kern w:val="2"/>
          <w:sz w:val="22"/>
          <w:szCs w:val="22"/>
        </w:rPr>
        <w:br w:type="page"/>
      </w:r>
    </w:p>
    <w:p w14:paraId="2E0E11AE">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商务要求：</w:t>
      </w:r>
    </w:p>
    <w:p w14:paraId="40522065">
      <w:pPr>
        <w:pStyle w:val="1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1.实施时间：本项目合同签订生效后，供应商应在5个工作日内开始实施；</w:t>
      </w:r>
    </w:p>
    <w:p w14:paraId="6364C70D">
      <w:pPr>
        <w:pStyle w:val="1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实施周期：本项目开始实施之日起15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79EF52C3">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color w:val="auto"/>
          <w:sz w:val="22"/>
          <w:szCs w:val="22"/>
          <w:lang w:val="en-US" w:eastAsia="zh-CN"/>
        </w:rPr>
        <w:t>3.</w:t>
      </w:r>
      <w:r>
        <w:rPr>
          <w:rFonts w:hint="eastAsia" w:ascii="仿宋" w:hAnsi="仿宋" w:eastAsia="仿宋" w:cs="仿宋"/>
          <w:b w:val="0"/>
          <w:sz w:val="22"/>
          <w:szCs w:val="22"/>
          <w:vertAlign w:val="baseline"/>
          <w:lang w:val="en-US" w:eastAsia="zh-CN"/>
        </w:rPr>
        <w:t>服务地点：四川省人民医院所有院区</w:t>
      </w:r>
    </w:p>
    <w:p w14:paraId="2D7A79F2">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4.付款条件：总价包干，一次性付款，合同签订生效且验收合格后，供应商 5 日内向采购人提供合法有效票据及其他相关请款资料，采购人接到供应商请款资料以后的55日内，向供应商支付合同总价100%的金额。（如有因考核等原因产生的扣款，应在支付前予以扣除）</w:t>
      </w:r>
    </w:p>
    <w:p w14:paraId="55522C44">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5.履约验收方案</w:t>
      </w:r>
    </w:p>
    <w:p w14:paraId="1323BC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(1)验收主体:采购人</w:t>
      </w:r>
    </w:p>
    <w:p w14:paraId="7C9F995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(2)验收组织方式:自行验收</w:t>
      </w:r>
    </w:p>
    <w:p w14:paraId="267DF45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(3)验收程序:一次性验收</w:t>
      </w:r>
    </w:p>
    <w:p w14:paraId="6204470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(4)验收方式:现场整体验收</w:t>
      </w:r>
    </w:p>
    <w:p w14:paraId="61A3F9E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(5)履约验收内容:按照基于本项目采购需求编制的采购文件要求及供应商响应文件情况，由供应商向采购人提供的全部服务。</w:t>
      </w:r>
    </w:p>
    <w:p w14:paraId="293F1A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(6)履约验收时间:供应商完成本项目包含的全部服务后5日内通知采购人验收，采购人接供应商通知后10日内组织验收。。</w:t>
      </w:r>
    </w:p>
    <w:p w14:paraId="1FF9912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(7)是否邀请本项目的其他供应商:否</w:t>
      </w:r>
    </w:p>
    <w:p w14:paraId="2207BF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(8)是否邀请专家：否</w:t>
      </w:r>
    </w:p>
    <w:p w14:paraId="5A99BF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(9)是否邀请服务对象：否</w:t>
      </w:r>
    </w:p>
    <w:p w14:paraId="4065127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(10)是否邀请第三方检测机构：否</w:t>
      </w:r>
    </w:p>
    <w:p w14:paraId="197FF0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(11)验收标准</w:t>
      </w:r>
    </w:p>
    <w:p w14:paraId="364DD7B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1)国家相关法律法规、行业标准、技术规范。</w:t>
      </w:r>
    </w:p>
    <w:p w14:paraId="7CAE970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2)基于本项目采购需求编制的采购文件相关技术、服务要求、供应商响应文件相关响应内容。</w:t>
      </w:r>
    </w:p>
    <w:p w14:paraId="7A9B3FB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3)产品生产厂家出具的产品说明书、技术白皮书、医疗器械注册证或备案凭证等官方技术资料（如涉及）。</w:t>
      </w:r>
    </w:p>
    <w:p w14:paraId="1060F27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4)如验收时，采购人与供应商认为本项目验收标准中的技术指标、质量要求等内容存在相互抵触或对其理解存在异议，应按照其中更严格的要求、标准等进行验收。</w:t>
      </w:r>
    </w:p>
    <w:p w14:paraId="3400256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5)参照《财政部关于进一步加强政府采购需求和履约验收管理的指导意见》（财库〔2016〕205号）的要求进行验收。</w:t>
      </w:r>
    </w:p>
    <w:p w14:paraId="39D65A6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6)如本项目验收方式为考核验收，则考核结果须为合格。</w:t>
      </w:r>
    </w:p>
    <w:p w14:paraId="212FB2A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7）其它标准：无。</w:t>
      </w:r>
    </w:p>
    <w:p w14:paraId="0173901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r>
        <w:rPr>
          <w:rFonts w:hint="eastAsia" w:ascii="仿宋" w:hAnsi="仿宋" w:eastAsia="仿宋" w:cs="仿宋"/>
          <w:sz w:val="22"/>
          <w:szCs w:val="22"/>
          <w:lang w:val="en-US" w:eastAsia="zh-CN"/>
        </w:rPr>
        <w:t>（12）履约验收其它事项：无。</w:t>
      </w:r>
    </w:p>
    <w:p w14:paraId="102B3D8C">
      <w:pPr>
        <w:pStyle w:val="5"/>
        <w:numPr>
          <w:ilvl w:val="-1"/>
          <w:numId w:val="0"/>
        </w:numPr>
        <w:spacing w:line="360" w:lineRule="auto"/>
        <w:ind w:left="420" w:leftChars="0" w:firstLine="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rPr>
        <w:t>6.供应商考核</w:t>
      </w:r>
      <w:r>
        <w:rPr>
          <w:rFonts w:hint="eastAsia" w:ascii="仿宋" w:hAnsi="仿宋" w:eastAsia="仿宋" w:cs="仿宋"/>
          <w:b/>
          <w:bCs/>
          <w:color w:val="auto"/>
          <w:sz w:val="22"/>
          <w:szCs w:val="22"/>
        </w:rPr>
        <w:t>：</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53"/>
        <w:gridCol w:w="1881"/>
        <w:gridCol w:w="1602"/>
        <w:gridCol w:w="1751"/>
        <w:gridCol w:w="2916"/>
        <w:gridCol w:w="1125"/>
      </w:tblGrid>
      <w:tr w14:paraId="3E5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DBE3F4"/>
            <w:tcMar>
              <w:top w:w="0" w:type="dxa"/>
              <w:left w:w="105" w:type="dxa"/>
              <w:bottom w:w="0" w:type="dxa"/>
              <w:right w:w="105" w:type="dxa"/>
            </w:tcMar>
            <w:vAlign w:val="top"/>
          </w:tcPr>
          <w:p w14:paraId="358A8257">
            <w:pPr>
              <w:pStyle w:val="12"/>
              <w:keepNext w:val="0"/>
              <w:keepLines w:val="0"/>
              <w:widowControl/>
              <w:suppressLineNumbers w:val="0"/>
              <w:jc w:val="center"/>
            </w:pPr>
            <w:r>
              <w:rPr>
                <w:rStyle w:val="17"/>
                <w:rFonts w:hint="eastAsia" w:ascii="宋体" w:hAnsi="宋体" w:eastAsia="宋体" w:cs="宋体"/>
                <w:sz w:val="28"/>
                <w:szCs w:val="28"/>
              </w:rPr>
              <w:t>四川省人民医院供应商考核</w:t>
            </w:r>
          </w:p>
        </w:tc>
      </w:tr>
      <w:tr w14:paraId="6E84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27B43E8C">
            <w:pPr>
              <w:pStyle w:val="12"/>
              <w:keepNext w:val="0"/>
              <w:keepLines w:val="0"/>
              <w:widowControl/>
              <w:suppressLineNumbers w:val="0"/>
              <w:spacing w:line="240" w:lineRule="auto"/>
              <w:jc w:val="center"/>
            </w:pPr>
            <w:r>
              <w:rPr>
                <w:rStyle w:val="17"/>
                <w:rFonts w:hint="eastAsia" w:ascii="宋体" w:hAnsi="宋体" w:eastAsia="宋体" w:cs="宋体"/>
                <w:sz w:val="18"/>
                <w:szCs w:val="18"/>
              </w:rPr>
              <w:t>供应商</w:t>
            </w:r>
          </w:p>
        </w:tc>
        <w:tc>
          <w:tcPr>
            <w:tcW w:w="2850" w:type="dxa"/>
            <w:gridSpan w:val="2"/>
            <w:shd w:val="clear" w:color="auto" w:fill="DBE3F4"/>
            <w:tcMar>
              <w:top w:w="0" w:type="dxa"/>
              <w:left w:w="105" w:type="dxa"/>
              <w:bottom w:w="0" w:type="dxa"/>
              <w:right w:w="105" w:type="dxa"/>
            </w:tcMar>
            <w:vAlign w:val="center"/>
          </w:tcPr>
          <w:p w14:paraId="78E0659E">
            <w:pPr>
              <w:keepNext w:val="0"/>
              <w:keepLines w:val="0"/>
              <w:widowControl/>
              <w:suppressLineNumbers w:val="0"/>
              <w:jc w:val="left"/>
            </w:pPr>
          </w:p>
        </w:tc>
        <w:tc>
          <w:tcPr>
            <w:tcW w:w="1185" w:type="dxa"/>
            <w:shd w:val="clear" w:color="auto" w:fill="DBE3F4"/>
            <w:tcMar>
              <w:top w:w="0" w:type="dxa"/>
              <w:left w:w="105" w:type="dxa"/>
              <w:bottom w:w="0" w:type="dxa"/>
              <w:right w:w="105" w:type="dxa"/>
            </w:tcMar>
            <w:vAlign w:val="center"/>
          </w:tcPr>
          <w:p w14:paraId="1A8BD9F6">
            <w:pPr>
              <w:pStyle w:val="12"/>
              <w:keepNext w:val="0"/>
              <w:keepLines w:val="0"/>
              <w:widowControl/>
              <w:suppressLineNumbers w:val="0"/>
              <w:spacing w:line="240" w:lineRule="auto"/>
              <w:jc w:val="center"/>
            </w:pPr>
            <w:r>
              <w:rPr>
                <w:rStyle w:val="17"/>
                <w:rFonts w:hint="eastAsia" w:ascii="宋体" w:hAnsi="宋体" w:eastAsia="宋体" w:cs="宋体"/>
                <w:sz w:val="18"/>
                <w:szCs w:val="18"/>
              </w:rPr>
              <w:t>合同名</w:t>
            </w:r>
          </w:p>
        </w:tc>
        <w:tc>
          <w:tcPr>
            <w:tcW w:w="3390" w:type="dxa"/>
            <w:gridSpan w:val="2"/>
            <w:shd w:val="clear" w:color="auto" w:fill="DBE3F4"/>
            <w:tcMar>
              <w:top w:w="0" w:type="dxa"/>
              <w:left w:w="105" w:type="dxa"/>
              <w:bottom w:w="0" w:type="dxa"/>
              <w:right w:w="105" w:type="dxa"/>
            </w:tcMar>
            <w:vAlign w:val="top"/>
          </w:tcPr>
          <w:p w14:paraId="668B339C">
            <w:pPr>
              <w:keepNext w:val="0"/>
              <w:keepLines w:val="0"/>
              <w:widowControl/>
              <w:suppressLineNumbers w:val="0"/>
              <w:jc w:val="left"/>
            </w:pPr>
          </w:p>
        </w:tc>
      </w:tr>
      <w:tr w14:paraId="7644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43FA6BDC">
            <w:pPr>
              <w:pStyle w:val="12"/>
              <w:keepNext w:val="0"/>
              <w:keepLines w:val="0"/>
              <w:widowControl/>
              <w:suppressLineNumbers w:val="0"/>
              <w:spacing w:line="240" w:lineRule="auto"/>
              <w:jc w:val="center"/>
            </w:pPr>
            <w:r>
              <w:rPr>
                <w:rStyle w:val="17"/>
                <w:rFonts w:hint="eastAsia" w:ascii="宋体" w:hAnsi="宋体" w:eastAsia="宋体" w:cs="宋体"/>
                <w:sz w:val="18"/>
                <w:szCs w:val="18"/>
              </w:rPr>
              <w:t>指标类别</w:t>
            </w:r>
          </w:p>
        </w:tc>
        <w:tc>
          <w:tcPr>
            <w:tcW w:w="1350" w:type="dxa"/>
            <w:shd w:val="clear" w:color="auto" w:fill="DBE3F4"/>
            <w:tcMar>
              <w:top w:w="0" w:type="dxa"/>
              <w:left w:w="105" w:type="dxa"/>
              <w:bottom w:w="0" w:type="dxa"/>
              <w:right w:w="105" w:type="dxa"/>
            </w:tcMar>
            <w:vAlign w:val="center"/>
          </w:tcPr>
          <w:p w14:paraId="64E99052">
            <w:pPr>
              <w:pStyle w:val="12"/>
              <w:keepNext w:val="0"/>
              <w:keepLines w:val="0"/>
              <w:widowControl/>
              <w:suppressLineNumbers w:val="0"/>
              <w:spacing w:line="240" w:lineRule="auto"/>
              <w:jc w:val="center"/>
            </w:pPr>
            <w:r>
              <w:rPr>
                <w:rStyle w:val="17"/>
                <w:rFonts w:hint="eastAsia" w:ascii="宋体" w:hAnsi="宋体" w:eastAsia="宋体" w:cs="宋体"/>
                <w:sz w:val="18"/>
                <w:szCs w:val="18"/>
              </w:rPr>
              <w:t>指标</w:t>
            </w:r>
          </w:p>
        </w:tc>
        <w:tc>
          <w:tcPr>
            <w:tcW w:w="5415" w:type="dxa"/>
            <w:gridSpan w:val="3"/>
            <w:shd w:val="clear" w:color="auto" w:fill="DBE3F4"/>
            <w:tcMar>
              <w:top w:w="0" w:type="dxa"/>
              <w:left w:w="105" w:type="dxa"/>
              <w:bottom w:w="0" w:type="dxa"/>
              <w:right w:w="105" w:type="dxa"/>
            </w:tcMar>
            <w:vAlign w:val="center"/>
          </w:tcPr>
          <w:p w14:paraId="0AE27384">
            <w:pPr>
              <w:pStyle w:val="12"/>
              <w:keepNext w:val="0"/>
              <w:keepLines w:val="0"/>
              <w:widowControl/>
              <w:suppressLineNumbers w:val="0"/>
              <w:spacing w:line="240" w:lineRule="auto"/>
              <w:jc w:val="center"/>
            </w:pPr>
            <w:r>
              <w:rPr>
                <w:rStyle w:val="17"/>
                <w:rFonts w:hint="eastAsia" w:ascii="宋体" w:hAnsi="宋体" w:eastAsia="宋体" w:cs="宋体"/>
                <w:sz w:val="18"/>
                <w:szCs w:val="18"/>
              </w:rPr>
              <w:t>考核内容</w:t>
            </w:r>
          </w:p>
        </w:tc>
        <w:tc>
          <w:tcPr>
            <w:tcW w:w="675" w:type="dxa"/>
            <w:shd w:val="clear" w:color="auto" w:fill="DBE3F4"/>
            <w:tcMar>
              <w:top w:w="0" w:type="dxa"/>
              <w:left w:w="105" w:type="dxa"/>
              <w:bottom w:w="0" w:type="dxa"/>
              <w:right w:w="105" w:type="dxa"/>
            </w:tcMar>
            <w:vAlign w:val="center"/>
          </w:tcPr>
          <w:p w14:paraId="2ADF1695">
            <w:pPr>
              <w:pStyle w:val="12"/>
              <w:keepNext w:val="0"/>
              <w:keepLines w:val="0"/>
              <w:widowControl/>
              <w:suppressLineNumbers w:val="0"/>
              <w:spacing w:line="240" w:lineRule="auto"/>
              <w:jc w:val="center"/>
            </w:pPr>
            <w:r>
              <w:rPr>
                <w:rStyle w:val="17"/>
                <w:rFonts w:hint="eastAsia" w:ascii="宋体" w:hAnsi="宋体" w:eastAsia="宋体" w:cs="宋体"/>
                <w:sz w:val="18"/>
                <w:szCs w:val="18"/>
              </w:rPr>
              <w:t>扣分</w:t>
            </w:r>
          </w:p>
        </w:tc>
      </w:tr>
      <w:tr w14:paraId="3DFD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B429B3A">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性能质</w:t>
            </w:r>
          </w:p>
          <w:p w14:paraId="198D1AC0">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量评价</w:t>
            </w:r>
          </w:p>
          <w:p w14:paraId="26F0131E">
            <w:pPr>
              <w:pStyle w:val="12"/>
              <w:keepNext w:val="0"/>
              <w:keepLines w:val="0"/>
              <w:widowControl/>
              <w:suppressLineNumbers w:val="0"/>
              <w:spacing w:after="195" w:afterAutospacing="0" w:line="240" w:lineRule="auto"/>
              <w:jc w:val="center"/>
            </w:pPr>
            <w:r>
              <w:rPr>
                <w:rStyle w:val="17"/>
                <w:rFonts w:hint="eastAsia" w:ascii="宋体" w:hAnsi="宋体" w:eastAsia="宋体" w:cs="宋体"/>
                <w:sz w:val="18"/>
                <w:szCs w:val="18"/>
              </w:rPr>
              <w:t> </w:t>
            </w:r>
          </w:p>
        </w:tc>
        <w:tc>
          <w:tcPr>
            <w:tcW w:w="1350" w:type="dxa"/>
            <w:shd w:val="clear" w:color="auto" w:fill="auto"/>
            <w:tcMar>
              <w:top w:w="0" w:type="dxa"/>
              <w:left w:w="105" w:type="dxa"/>
              <w:bottom w:w="0" w:type="dxa"/>
              <w:right w:w="105" w:type="dxa"/>
            </w:tcMar>
            <w:vAlign w:val="center"/>
          </w:tcPr>
          <w:p w14:paraId="463BAE9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稳定性</w:t>
            </w:r>
          </w:p>
        </w:tc>
        <w:tc>
          <w:tcPr>
            <w:tcW w:w="5415" w:type="dxa"/>
            <w:gridSpan w:val="3"/>
            <w:shd w:val="clear" w:color="auto" w:fill="auto"/>
            <w:tcMar>
              <w:top w:w="0" w:type="dxa"/>
              <w:left w:w="105" w:type="dxa"/>
              <w:bottom w:w="0" w:type="dxa"/>
              <w:right w:w="105" w:type="dxa"/>
            </w:tcMar>
            <w:vAlign w:val="center"/>
          </w:tcPr>
          <w:p w14:paraId="07E26AF0">
            <w:pPr>
              <w:pStyle w:val="12"/>
              <w:keepNext w:val="0"/>
              <w:keepLines w:val="0"/>
              <w:widowControl/>
              <w:suppressLineNumbers w:val="0"/>
            </w:pPr>
            <w:r>
              <w:rPr>
                <w:rFonts w:hint="eastAsia" w:ascii="宋体" w:hAnsi="宋体" w:eastAsia="宋体" w:cs="宋体"/>
                <w:sz w:val="18"/>
                <w:szCs w:val="18"/>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65E34187">
            <w:pPr>
              <w:keepNext w:val="0"/>
              <w:keepLines w:val="0"/>
              <w:widowControl/>
              <w:suppressLineNumbers w:val="0"/>
              <w:jc w:val="left"/>
            </w:pPr>
          </w:p>
        </w:tc>
      </w:tr>
      <w:tr w14:paraId="6207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1095" w:type="dxa"/>
            <w:vMerge w:val="continue"/>
            <w:shd w:val="clear" w:color="auto" w:fill="auto"/>
            <w:tcMar>
              <w:top w:w="0" w:type="dxa"/>
              <w:left w:w="105" w:type="dxa"/>
              <w:bottom w:w="0" w:type="dxa"/>
              <w:right w:w="105" w:type="dxa"/>
            </w:tcMar>
            <w:vAlign w:val="center"/>
          </w:tcPr>
          <w:p w14:paraId="0D661C6C">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1C175263">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安全性</w:t>
            </w:r>
          </w:p>
        </w:tc>
        <w:tc>
          <w:tcPr>
            <w:tcW w:w="5415" w:type="dxa"/>
            <w:gridSpan w:val="3"/>
            <w:shd w:val="clear" w:color="auto" w:fill="auto"/>
            <w:tcMar>
              <w:top w:w="0" w:type="dxa"/>
              <w:left w:w="105" w:type="dxa"/>
              <w:bottom w:w="0" w:type="dxa"/>
              <w:right w:w="105" w:type="dxa"/>
            </w:tcMar>
            <w:vAlign w:val="center"/>
          </w:tcPr>
          <w:p w14:paraId="5347A05F">
            <w:pPr>
              <w:pStyle w:val="12"/>
              <w:keepNext w:val="0"/>
              <w:keepLines w:val="0"/>
              <w:widowControl/>
              <w:suppressLineNumbers w:val="0"/>
            </w:pPr>
            <w:r>
              <w:rPr>
                <w:rFonts w:hint="eastAsia" w:ascii="宋体" w:hAnsi="宋体" w:eastAsia="宋体" w:cs="宋体"/>
                <w:sz w:val="18"/>
                <w:szCs w:val="18"/>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CA7B4E9">
            <w:pPr>
              <w:keepNext w:val="0"/>
              <w:keepLines w:val="0"/>
              <w:widowControl/>
              <w:suppressLineNumbers w:val="0"/>
              <w:jc w:val="left"/>
            </w:pPr>
          </w:p>
        </w:tc>
      </w:tr>
      <w:tr w14:paraId="25AC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8E9F2E5">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65152C4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用户满意度</w:t>
            </w:r>
          </w:p>
        </w:tc>
        <w:tc>
          <w:tcPr>
            <w:tcW w:w="5415" w:type="dxa"/>
            <w:gridSpan w:val="3"/>
            <w:shd w:val="clear" w:color="auto" w:fill="auto"/>
            <w:tcMar>
              <w:top w:w="0" w:type="dxa"/>
              <w:left w:w="105" w:type="dxa"/>
              <w:bottom w:w="0" w:type="dxa"/>
              <w:right w:w="105" w:type="dxa"/>
            </w:tcMar>
            <w:vAlign w:val="center"/>
          </w:tcPr>
          <w:p w14:paraId="48699F7F">
            <w:pPr>
              <w:pStyle w:val="12"/>
              <w:keepNext w:val="0"/>
              <w:keepLines w:val="0"/>
              <w:widowControl/>
              <w:suppressLineNumbers w:val="0"/>
            </w:pPr>
            <w:r>
              <w:rPr>
                <w:rFonts w:hint="eastAsia" w:ascii="宋体" w:hAnsi="宋体" w:eastAsia="宋体" w:cs="宋体"/>
                <w:sz w:val="18"/>
                <w:szCs w:val="18"/>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4C6A41D4">
            <w:pPr>
              <w:keepNext w:val="0"/>
              <w:keepLines w:val="0"/>
              <w:widowControl/>
              <w:suppressLineNumbers w:val="0"/>
              <w:jc w:val="left"/>
            </w:pPr>
          </w:p>
        </w:tc>
      </w:tr>
      <w:tr w14:paraId="7BFF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51B211F1">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使用支</w:t>
            </w:r>
          </w:p>
          <w:p w14:paraId="5B871371">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持评价</w:t>
            </w:r>
          </w:p>
        </w:tc>
        <w:tc>
          <w:tcPr>
            <w:tcW w:w="1350" w:type="dxa"/>
            <w:shd w:val="clear" w:color="auto" w:fill="auto"/>
            <w:tcMar>
              <w:top w:w="0" w:type="dxa"/>
              <w:left w:w="105" w:type="dxa"/>
              <w:bottom w:w="0" w:type="dxa"/>
              <w:right w:w="105" w:type="dxa"/>
            </w:tcMar>
            <w:vAlign w:val="center"/>
          </w:tcPr>
          <w:p w14:paraId="1AC7A7A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考勤</w:t>
            </w:r>
          </w:p>
        </w:tc>
        <w:tc>
          <w:tcPr>
            <w:tcW w:w="5415" w:type="dxa"/>
            <w:gridSpan w:val="3"/>
            <w:shd w:val="clear" w:color="auto" w:fill="auto"/>
            <w:tcMar>
              <w:top w:w="0" w:type="dxa"/>
              <w:left w:w="105" w:type="dxa"/>
              <w:bottom w:w="0" w:type="dxa"/>
              <w:right w:w="105" w:type="dxa"/>
            </w:tcMar>
            <w:vAlign w:val="center"/>
          </w:tcPr>
          <w:p w14:paraId="12D30E51">
            <w:pPr>
              <w:pStyle w:val="12"/>
              <w:keepNext w:val="0"/>
              <w:keepLines w:val="0"/>
              <w:widowControl/>
              <w:suppressLineNumbers w:val="0"/>
            </w:pPr>
            <w:r>
              <w:rPr>
                <w:rFonts w:hint="eastAsia" w:ascii="宋体" w:hAnsi="宋体" w:eastAsia="宋体" w:cs="宋体"/>
                <w:sz w:val="18"/>
                <w:szCs w:val="18"/>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1C699951">
            <w:pPr>
              <w:keepNext w:val="0"/>
              <w:keepLines w:val="0"/>
              <w:widowControl/>
              <w:suppressLineNumbers w:val="0"/>
              <w:jc w:val="left"/>
            </w:pPr>
          </w:p>
        </w:tc>
      </w:tr>
      <w:tr w14:paraId="1813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88F5C92">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779C502F">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响应速度</w:t>
            </w:r>
          </w:p>
        </w:tc>
        <w:tc>
          <w:tcPr>
            <w:tcW w:w="5415" w:type="dxa"/>
            <w:gridSpan w:val="3"/>
            <w:shd w:val="clear" w:color="auto" w:fill="auto"/>
            <w:tcMar>
              <w:top w:w="0" w:type="dxa"/>
              <w:left w:w="105" w:type="dxa"/>
              <w:bottom w:w="0" w:type="dxa"/>
              <w:right w:w="105" w:type="dxa"/>
            </w:tcMar>
            <w:vAlign w:val="center"/>
          </w:tcPr>
          <w:p w14:paraId="7F6625FB">
            <w:pPr>
              <w:pStyle w:val="12"/>
              <w:keepNext w:val="0"/>
              <w:keepLines w:val="0"/>
              <w:widowControl/>
              <w:suppressLineNumbers w:val="0"/>
            </w:pPr>
            <w:r>
              <w:rPr>
                <w:rFonts w:hint="eastAsia" w:ascii="宋体" w:hAnsi="宋体" w:eastAsia="宋体" w:cs="宋体"/>
                <w:sz w:val="18"/>
                <w:szCs w:val="18"/>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52ABA0CC">
            <w:pPr>
              <w:keepNext w:val="0"/>
              <w:keepLines w:val="0"/>
              <w:widowControl/>
              <w:suppressLineNumbers w:val="0"/>
              <w:jc w:val="left"/>
            </w:pPr>
          </w:p>
        </w:tc>
      </w:tr>
      <w:tr w14:paraId="77DC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94CC2D1">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38B3893C">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备件供应</w:t>
            </w:r>
          </w:p>
          <w:p w14:paraId="15ECD59E">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(本项仅涉</w:t>
            </w:r>
          </w:p>
          <w:p w14:paraId="10243582">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及提供硬件</w:t>
            </w:r>
          </w:p>
          <w:p w14:paraId="6C8F2A6C">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的供应商)</w:t>
            </w:r>
          </w:p>
        </w:tc>
        <w:tc>
          <w:tcPr>
            <w:tcW w:w="5415" w:type="dxa"/>
            <w:gridSpan w:val="3"/>
            <w:shd w:val="clear" w:color="auto" w:fill="auto"/>
            <w:tcMar>
              <w:top w:w="0" w:type="dxa"/>
              <w:left w:w="105" w:type="dxa"/>
              <w:bottom w:w="0" w:type="dxa"/>
              <w:right w:w="105" w:type="dxa"/>
            </w:tcMar>
            <w:vAlign w:val="center"/>
          </w:tcPr>
          <w:p w14:paraId="6CF02208">
            <w:pPr>
              <w:pStyle w:val="12"/>
              <w:keepNext w:val="0"/>
              <w:keepLines w:val="0"/>
              <w:widowControl/>
              <w:suppressLineNumbers w:val="0"/>
            </w:pPr>
            <w:r>
              <w:rPr>
                <w:rFonts w:hint="eastAsia" w:ascii="宋体" w:hAnsi="宋体" w:eastAsia="宋体" w:cs="宋体"/>
                <w:sz w:val="18"/>
                <w:szCs w:val="18"/>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259D313B">
            <w:pPr>
              <w:keepNext w:val="0"/>
              <w:keepLines w:val="0"/>
              <w:widowControl/>
              <w:suppressLineNumbers w:val="0"/>
              <w:jc w:val="left"/>
            </w:pPr>
          </w:p>
        </w:tc>
      </w:tr>
      <w:tr w14:paraId="5F11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C7F8AE4">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29DCBFE0">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定期巡检</w:t>
            </w:r>
          </w:p>
        </w:tc>
        <w:tc>
          <w:tcPr>
            <w:tcW w:w="5415" w:type="dxa"/>
            <w:gridSpan w:val="3"/>
            <w:shd w:val="clear" w:color="auto" w:fill="auto"/>
            <w:tcMar>
              <w:top w:w="0" w:type="dxa"/>
              <w:left w:w="105" w:type="dxa"/>
              <w:bottom w:w="0" w:type="dxa"/>
              <w:right w:w="105" w:type="dxa"/>
            </w:tcMar>
            <w:vAlign w:val="center"/>
          </w:tcPr>
          <w:p w14:paraId="6AD2BD1A">
            <w:pPr>
              <w:pStyle w:val="12"/>
              <w:keepNext w:val="0"/>
              <w:keepLines w:val="0"/>
              <w:widowControl/>
              <w:suppressLineNumbers w:val="0"/>
            </w:pPr>
            <w:r>
              <w:rPr>
                <w:rFonts w:hint="eastAsia" w:ascii="宋体" w:hAnsi="宋体" w:eastAsia="宋体" w:cs="宋体"/>
                <w:sz w:val="18"/>
                <w:szCs w:val="18"/>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5B5F986">
            <w:pPr>
              <w:keepNext w:val="0"/>
              <w:keepLines w:val="0"/>
              <w:widowControl/>
              <w:suppressLineNumbers w:val="0"/>
              <w:jc w:val="left"/>
            </w:pPr>
          </w:p>
        </w:tc>
      </w:tr>
      <w:tr w14:paraId="553E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A0D82AD">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C08A4D0">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培训服务</w:t>
            </w:r>
          </w:p>
        </w:tc>
        <w:tc>
          <w:tcPr>
            <w:tcW w:w="5415" w:type="dxa"/>
            <w:gridSpan w:val="3"/>
            <w:shd w:val="clear" w:color="auto" w:fill="auto"/>
            <w:tcMar>
              <w:top w:w="0" w:type="dxa"/>
              <w:left w:w="105" w:type="dxa"/>
              <w:bottom w:w="0" w:type="dxa"/>
              <w:right w:w="105" w:type="dxa"/>
            </w:tcMar>
            <w:vAlign w:val="center"/>
          </w:tcPr>
          <w:p w14:paraId="2567CC25">
            <w:pPr>
              <w:pStyle w:val="12"/>
              <w:keepNext w:val="0"/>
              <w:keepLines w:val="0"/>
              <w:widowControl/>
              <w:suppressLineNumbers w:val="0"/>
            </w:pPr>
            <w:r>
              <w:rPr>
                <w:rFonts w:hint="eastAsia" w:ascii="宋体" w:hAnsi="宋体" w:eastAsia="宋体" w:cs="宋体"/>
                <w:sz w:val="18"/>
                <w:szCs w:val="18"/>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19C9C1C">
            <w:pPr>
              <w:keepNext w:val="0"/>
              <w:keepLines w:val="0"/>
              <w:widowControl/>
              <w:suppressLineNumbers w:val="0"/>
              <w:jc w:val="left"/>
            </w:pPr>
          </w:p>
        </w:tc>
      </w:tr>
      <w:tr w14:paraId="2E19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B06AC55">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15E991BE">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技术文档</w:t>
            </w:r>
          </w:p>
        </w:tc>
        <w:tc>
          <w:tcPr>
            <w:tcW w:w="5415" w:type="dxa"/>
            <w:gridSpan w:val="3"/>
            <w:shd w:val="clear" w:color="auto" w:fill="auto"/>
            <w:tcMar>
              <w:top w:w="0" w:type="dxa"/>
              <w:left w:w="105" w:type="dxa"/>
              <w:bottom w:w="0" w:type="dxa"/>
              <w:right w:w="105" w:type="dxa"/>
            </w:tcMar>
            <w:vAlign w:val="center"/>
          </w:tcPr>
          <w:p w14:paraId="243E1468">
            <w:pPr>
              <w:pStyle w:val="12"/>
              <w:keepNext w:val="0"/>
              <w:keepLines w:val="0"/>
              <w:widowControl/>
              <w:suppressLineNumbers w:val="0"/>
            </w:pPr>
            <w:r>
              <w:rPr>
                <w:rFonts w:hint="eastAsia" w:ascii="宋体" w:hAnsi="宋体" w:eastAsia="宋体" w:cs="宋体"/>
                <w:sz w:val="18"/>
                <w:szCs w:val="18"/>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26CC220">
            <w:pPr>
              <w:keepNext w:val="0"/>
              <w:keepLines w:val="0"/>
              <w:widowControl/>
              <w:suppressLineNumbers w:val="0"/>
              <w:jc w:val="left"/>
            </w:pPr>
          </w:p>
        </w:tc>
      </w:tr>
      <w:tr w14:paraId="4415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7DA106ED">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违规违</w:t>
            </w:r>
          </w:p>
          <w:p w14:paraId="45FA3766">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纪评价</w:t>
            </w:r>
          </w:p>
        </w:tc>
        <w:tc>
          <w:tcPr>
            <w:tcW w:w="1350" w:type="dxa"/>
            <w:shd w:val="clear" w:color="auto" w:fill="auto"/>
            <w:tcMar>
              <w:top w:w="0" w:type="dxa"/>
              <w:left w:w="105" w:type="dxa"/>
              <w:bottom w:w="0" w:type="dxa"/>
              <w:right w:w="105" w:type="dxa"/>
            </w:tcMar>
            <w:vAlign w:val="center"/>
          </w:tcPr>
          <w:p w14:paraId="29645862">
            <w:pPr>
              <w:pStyle w:val="12"/>
              <w:keepNext w:val="0"/>
              <w:keepLines w:val="0"/>
              <w:widowControl/>
              <w:suppressLineNumbers w:val="0"/>
              <w:autoSpaceDE w:val="0"/>
              <w:autoSpaceDN/>
              <w:spacing w:after="195" w:afterAutospacing="0" w:line="240" w:lineRule="auto"/>
              <w:jc w:val="center"/>
            </w:pPr>
            <w:r>
              <w:rPr>
                <w:rStyle w:val="17"/>
                <w:rFonts w:hint="eastAsia" w:ascii="宋体" w:hAnsi="宋体" w:eastAsia="宋体" w:cs="宋体"/>
                <w:sz w:val="18"/>
                <w:szCs w:val="18"/>
              </w:rPr>
              <w:t>廉洁从业</w:t>
            </w:r>
          </w:p>
        </w:tc>
        <w:tc>
          <w:tcPr>
            <w:tcW w:w="5415" w:type="dxa"/>
            <w:gridSpan w:val="3"/>
            <w:shd w:val="clear" w:color="auto" w:fill="auto"/>
            <w:tcMar>
              <w:top w:w="0" w:type="dxa"/>
              <w:left w:w="105" w:type="dxa"/>
              <w:bottom w:w="0" w:type="dxa"/>
              <w:right w:w="105" w:type="dxa"/>
            </w:tcMar>
            <w:vAlign w:val="center"/>
          </w:tcPr>
          <w:p w14:paraId="205A2C98">
            <w:pPr>
              <w:pStyle w:val="12"/>
              <w:keepNext w:val="0"/>
              <w:keepLines w:val="0"/>
              <w:widowControl/>
              <w:suppressLineNumbers w:val="0"/>
            </w:pPr>
            <w:r>
              <w:rPr>
                <w:rStyle w:val="17"/>
                <w:rFonts w:hint="eastAsia" w:ascii="宋体" w:hAnsi="宋体" w:eastAsia="宋体" w:cs="宋体"/>
                <w:sz w:val="18"/>
                <w:szCs w:val="18"/>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419D8B37">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一票否决</w:t>
            </w:r>
          </w:p>
        </w:tc>
      </w:tr>
      <w:tr w14:paraId="5314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AF0A18D">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FB48E29">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安全规范</w:t>
            </w:r>
          </w:p>
        </w:tc>
        <w:tc>
          <w:tcPr>
            <w:tcW w:w="5415" w:type="dxa"/>
            <w:gridSpan w:val="3"/>
            <w:shd w:val="clear" w:color="auto" w:fill="auto"/>
            <w:tcMar>
              <w:top w:w="0" w:type="dxa"/>
              <w:left w:w="105" w:type="dxa"/>
              <w:bottom w:w="0" w:type="dxa"/>
              <w:right w:w="105" w:type="dxa"/>
            </w:tcMar>
            <w:vAlign w:val="center"/>
          </w:tcPr>
          <w:p w14:paraId="1F9244C6">
            <w:pPr>
              <w:pStyle w:val="12"/>
              <w:keepNext w:val="0"/>
              <w:keepLines w:val="0"/>
              <w:widowControl/>
              <w:suppressLineNumbers w:val="0"/>
            </w:pPr>
            <w:r>
              <w:rPr>
                <w:rFonts w:hint="eastAsia" w:ascii="宋体" w:hAnsi="宋体" w:eastAsia="宋体" w:cs="宋体"/>
                <w:sz w:val="18"/>
                <w:szCs w:val="18"/>
              </w:rPr>
              <w:t>不遵守安全生产规范，每次扣2分；</w:t>
            </w:r>
          </w:p>
        </w:tc>
        <w:tc>
          <w:tcPr>
            <w:tcW w:w="675" w:type="dxa"/>
            <w:shd w:val="clear" w:color="auto" w:fill="auto"/>
            <w:tcMar>
              <w:top w:w="0" w:type="dxa"/>
              <w:left w:w="105" w:type="dxa"/>
              <w:bottom w:w="0" w:type="dxa"/>
              <w:right w:w="105" w:type="dxa"/>
            </w:tcMar>
            <w:vAlign w:val="center"/>
          </w:tcPr>
          <w:p w14:paraId="49FB421B">
            <w:pPr>
              <w:keepNext w:val="0"/>
              <w:keepLines w:val="0"/>
              <w:widowControl/>
              <w:suppressLineNumbers w:val="0"/>
              <w:jc w:val="left"/>
            </w:pPr>
          </w:p>
        </w:tc>
      </w:tr>
      <w:tr w14:paraId="63C9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FBFCCBC">
            <w:pPr>
              <w:rPr>
                <w:rFonts w:hint="eastAsia" w:ascii="宋体"/>
                <w:sz w:val="24"/>
                <w:szCs w:val="24"/>
              </w:rPr>
            </w:pPr>
          </w:p>
        </w:tc>
        <w:tc>
          <w:tcPr>
            <w:tcW w:w="1350" w:type="dxa"/>
            <w:shd w:val="clear" w:color="auto" w:fill="auto"/>
            <w:tcMar>
              <w:top w:w="0" w:type="dxa"/>
              <w:left w:w="105" w:type="dxa"/>
              <w:bottom w:w="0" w:type="dxa"/>
              <w:right w:w="105" w:type="dxa"/>
            </w:tcMar>
            <w:vAlign w:val="center"/>
          </w:tcPr>
          <w:p w14:paraId="07C6B4D9">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其他违纪违规</w:t>
            </w:r>
          </w:p>
        </w:tc>
        <w:tc>
          <w:tcPr>
            <w:tcW w:w="5415" w:type="dxa"/>
            <w:gridSpan w:val="3"/>
            <w:shd w:val="clear" w:color="auto" w:fill="auto"/>
            <w:tcMar>
              <w:top w:w="0" w:type="dxa"/>
              <w:left w:w="105" w:type="dxa"/>
              <w:bottom w:w="0" w:type="dxa"/>
              <w:right w:w="105" w:type="dxa"/>
            </w:tcMar>
            <w:vAlign w:val="center"/>
          </w:tcPr>
          <w:p w14:paraId="07F9D829">
            <w:pPr>
              <w:pStyle w:val="12"/>
              <w:keepNext w:val="0"/>
              <w:keepLines w:val="0"/>
              <w:widowControl/>
              <w:suppressLineNumbers w:val="0"/>
            </w:pPr>
            <w:r>
              <w:rPr>
                <w:rFonts w:hint="eastAsia" w:ascii="宋体" w:hAnsi="宋体" w:eastAsia="宋体" w:cs="宋体"/>
                <w:sz w:val="18"/>
                <w:szCs w:val="18"/>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4FB0AF1A">
            <w:pPr>
              <w:keepNext w:val="0"/>
              <w:keepLines w:val="0"/>
              <w:widowControl/>
              <w:suppressLineNumbers w:val="0"/>
              <w:jc w:val="left"/>
            </w:pPr>
          </w:p>
        </w:tc>
      </w:tr>
      <w:tr w14:paraId="7908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D04ABC5">
            <w:pPr>
              <w:pStyle w:val="12"/>
              <w:keepNext w:val="0"/>
              <w:keepLines w:val="0"/>
              <w:widowControl/>
              <w:suppressLineNumbers w:val="0"/>
              <w:spacing w:line="240" w:lineRule="auto"/>
              <w:jc w:val="center"/>
            </w:pPr>
            <w:r>
              <w:rPr>
                <w:rStyle w:val="17"/>
                <w:rFonts w:hint="eastAsia" w:ascii="宋体" w:hAnsi="宋体" w:eastAsia="宋体" w:cs="宋体"/>
                <w:sz w:val="21"/>
                <w:szCs w:val="21"/>
              </w:rPr>
              <w:t>扣分合计</w:t>
            </w:r>
          </w:p>
        </w:tc>
        <w:tc>
          <w:tcPr>
            <w:tcW w:w="7425" w:type="dxa"/>
            <w:gridSpan w:val="5"/>
            <w:shd w:val="clear" w:color="auto" w:fill="auto"/>
            <w:tcMar>
              <w:top w:w="0" w:type="dxa"/>
              <w:left w:w="105" w:type="dxa"/>
              <w:bottom w:w="0" w:type="dxa"/>
              <w:right w:w="105" w:type="dxa"/>
            </w:tcMar>
            <w:vAlign w:val="center"/>
          </w:tcPr>
          <w:p w14:paraId="235B379B">
            <w:pPr>
              <w:keepNext w:val="0"/>
              <w:keepLines w:val="0"/>
              <w:widowControl/>
              <w:suppressLineNumbers w:val="0"/>
              <w:jc w:val="left"/>
            </w:pPr>
          </w:p>
        </w:tc>
      </w:tr>
      <w:tr w14:paraId="289B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7265E81">
            <w:pPr>
              <w:pStyle w:val="12"/>
              <w:keepNext w:val="0"/>
              <w:keepLines w:val="0"/>
              <w:widowControl/>
              <w:suppressLineNumbers w:val="0"/>
              <w:spacing w:line="240" w:lineRule="auto"/>
              <w:jc w:val="center"/>
            </w:pPr>
            <w:r>
              <w:rPr>
                <w:rStyle w:val="17"/>
                <w:rFonts w:hint="eastAsia" w:ascii="宋体" w:hAnsi="宋体" w:eastAsia="宋体" w:cs="宋体"/>
                <w:sz w:val="21"/>
                <w:szCs w:val="21"/>
              </w:rPr>
              <w:t>考核人</w:t>
            </w:r>
          </w:p>
        </w:tc>
        <w:tc>
          <w:tcPr>
            <w:tcW w:w="7425" w:type="dxa"/>
            <w:gridSpan w:val="5"/>
            <w:shd w:val="clear" w:color="auto" w:fill="auto"/>
            <w:tcMar>
              <w:top w:w="0" w:type="dxa"/>
              <w:left w:w="105" w:type="dxa"/>
              <w:bottom w:w="0" w:type="dxa"/>
              <w:right w:w="105" w:type="dxa"/>
            </w:tcMar>
            <w:vAlign w:val="center"/>
          </w:tcPr>
          <w:p w14:paraId="52CEBD5E">
            <w:pPr>
              <w:pStyle w:val="12"/>
              <w:keepNext w:val="0"/>
              <w:keepLines w:val="0"/>
              <w:widowControl/>
              <w:suppressLineNumbers w:val="0"/>
              <w:spacing w:line="240" w:lineRule="auto"/>
            </w:pPr>
            <w:r>
              <w:rPr>
                <w:rFonts w:hint="eastAsia" w:ascii="宋体" w:hAnsi="宋体" w:eastAsia="宋体" w:cs="宋体"/>
                <w:sz w:val="18"/>
                <w:szCs w:val="18"/>
              </w:rPr>
              <w:t> </w:t>
            </w:r>
          </w:p>
          <w:p w14:paraId="31621537">
            <w:pPr>
              <w:pStyle w:val="12"/>
              <w:keepNext w:val="0"/>
              <w:keepLines w:val="0"/>
              <w:widowControl/>
              <w:suppressLineNumbers w:val="0"/>
              <w:spacing w:line="240" w:lineRule="auto"/>
            </w:pPr>
            <w:r>
              <w:rPr>
                <w:rFonts w:hint="eastAsia" w:ascii="宋体" w:hAnsi="宋体" w:eastAsia="宋体" w:cs="宋体"/>
                <w:sz w:val="18"/>
                <w:szCs w:val="18"/>
              </w:rPr>
              <w:t>                                                               年    月    日</w:t>
            </w:r>
          </w:p>
        </w:tc>
      </w:tr>
    </w:tbl>
    <w:p w14:paraId="32A0DD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p>
    <w:p w14:paraId="163C500D">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textAlignment w:val="auto"/>
      </w:pPr>
      <w:r>
        <w:rPr>
          <w:rStyle w:val="17"/>
          <w:rFonts w:hint="eastAsia" w:ascii="宋体" w:hAnsi="宋体" w:eastAsia="宋体" w:cs="宋体"/>
          <w:kern w:val="2"/>
          <w:sz w:val="19"/>
          <w:szCs w:val="19"/>
        </w:rPr>
        <w:t>备注：</w:t>
      </w:r>
    </w:p>
    <w:p w14:paraId="1DA9731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1. 服务期内，采购人可按照本项目采购需求内容对应的考核指标对供应商进行考核，具体指标以采购人要求为准；</w:t>
      </w:r>
    </w:p>
    <w:p w14:paraId="521C646F">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 考核关联最终付款金额，具体计算规则如下：</w:t>
      </w:r>
    </w:p>
    <w:p w14:paraId="0F8A22F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2" w:firstLineChars="200"/>
        <w:textAlignment w:val="auto"/>
        <w:rPr>
          <w:rFonts w:hint="eastAsia" w:ascii="仿宋" w:hAnsi="仿宋" w:eastAsia="仿宋" w:cs="仿宋"/>
          <w:sz w:val="22"/>
          <w:szCs w:val="22"/>
          <w:lang w:eastAsia="zh-CN"/>
        </w:rPr>
      </w:pPr>
      <w:r>
        <w:rPr>
          <w:rStyle w:val="17"/>
          <w:rFonts w:hint="eastAsia" w:ascii="仿宋" w:hAnsi="仿宋" w:eastAsia="仿宋" w:cs="仿宋"/>
          <w:kern w:val="2"/>
          <w:sz w:val="22"/>
          <w:szCs w:val="22"/>
          <w:lang w:val="en-US" w:eastAsia="zh-CN"/>
        </w:rPr>
        <w:t>1）</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=服务期汇总考核扣分之和÷服务期内考核次数</w:t>
      </w:r>
      <w:r>
        <w:rPr>
          <w:rFonts w:hint="eastAsia" w:ascii="仿宋" w:hAnsi="仿宋" w:eastAsia="仿宋" w:cs="仿宋"/>
          <w:kern w:val="2"/>
          <w:sz w:val="22"/>
          <w:szCs w:val="22"/>
          <w:lang w:eastAsia="zh-CN"/>
        </w:rPr>
        <w:t>；</w:t>
      </w:r>
    </w:p>
    <w:p w14:paraId="4A69FEC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≤3分，将对供应商进行诫勉谈话；  </w:t>
      </w:r>
    </w:p>
    <w:p w14:paraId="334D8777">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3）3分&lt;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≤5分，对供应商提出警告，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金额5%费用，扣完为止；</w:t>
      </w:r>
    </w:p>
    <w:p w14:paraId="60335554">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4）5分&lt;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≤10分，对供应商提出严重警告，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金额10%费用，扣完为止；</w:t>
      </w:r>
    </w:p>
    <w:p w14:paraId="7A768816">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lang w:val="en-US" w:eastAsia="zh-CN"/>
        </w:rPr>
        <w:t>5</w:t>
      </w:r>
      <w:r>
        <w:rPr>
          <w:rFonts w:hint="eastAsia" w:ascii="仿宋" w:hAnsi="仿宋" w:eastAsia="仿宋" w:cs="仿宋"/>
          <w:kern w:val="2"/>
          <w:sz w:val="22"/>
          <w:szCs w:val="22"/>
        </w:rPr>
        <w:t>）10分&lt;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，视为</w:t>
      </w:r>
      <w:r>
        <w:rPr>
          <w:rStyle w:val="17"/>
          <w:rFonts w:hint="eastAsia" w:ascii="仿宋" w:hAnsi="仿宋" w:eastAsia="仿宋" w:cs="仿宋"/>
          <w:kern w:val="2"/>
          <w:sz w:val="22"/>
          <w:szCs w:val="22"/>
        </w:rPr>
        <w:t>不合格</w:t>
      </w:r>
      <w:r>
        <w:rPr>
          <w:rFonts w:hint="eastAsia" w:ascii="仿宋" w:hAnsi="仿宋" w:eastAsia="仿宋" w:cs="仿宋"/>
          <w:kern w:val="2"/>
          <w:sz w:val="22"/>
          <w:szCs w:val="22"/>
        </w:rPr>
        <w:t>，终止合同，合同待支付金额</w:t>
      </w:r>
      <w:r>
        <w:rPr>
          <w:rFonts w:hint="eastAsia" w:ascii="仿宋" w:hAnsi="仿宋" w:eastAsia="仿宋" w:cs="仿宋"/>
          <w:kern w:val="2"/>
          <w:sz w:val="22"/>
          <w:szCs w:val="22"/>
          <w:lang w:val="en-US" w:eastAsia="zh-CN"/>
        </w:rPr>
        <w:t>不予支付，</w:t>
      </w:r>
      <w:r>
        <w:rPr>
          <w:rFonts w:hint="eastAsia" w:ascii="仿宋" w:hAnsi="仿宋" w:eastAsia="仿宋" w:cs="仿宋"/>
          <w:kern w:val="2"/>
          <w:sz w:val="22"/>
          <w:szCs w:val="22"/>
        </w:rPr>
        <w:t>履约保证金（如有履约保证金）不予退还；</w:t>
      </w:r>
    </w:p>
    <w:p w14:paraId="5278EA68">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 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BB66F59">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lang w:eastAsia="zh-CN"/>
        </w:rPr>
      </w:pPr>
      <w:r>
        <w:rPr>
          <w:rFonts w:hint="eastAsia" w:ascii="仿宋" w:hAnsi="仿宋" w:eastAsia="仿宋" w:cs="仿宋"/>
          <w:kern w:val="2"/>
          <w:sz w:val="22"/>
          <w:szCs w:val="22"/>
        </w:rPr>
        <w:t>4. 如合同待支付金额或履约保证金中无款可扣且考核后出现扣款情况，</w:t>
      </w:r>
      <w:r>
        <w:rPr>
          <w:rFonts w:hint="eastAsia" w:ascii="仿宋" w:hAnsi="仿宋" w:eastAsia="仿宋" w:cs="仿宋"/>
          <w:kern w:val="2"/>
          <w:sz w:val="22"/>
          <w:szCs w:val="22"/>
          <w:lang w:val="en-US" w:eastAsia="zh-CN"/>
        </w:rPr>
        <w:t>供应商需提供承诺函，</w:t>
      </w:r>
      <w:r>
        <w:rPr>
          <w:rFonts w:hint="eastAsia" w:ascii="仿宋" w:hAnsi="仿宋" w:eastAsia="仿宋" w:cs="仿宋"/>
          <w:kern w:val="2"/>
          <w:sz w:val="22"/>
          <w:szCs w:val="22"/>
        </w:rPr>
        <w:t>承诺在得到</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考核结果后的10日内向</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缴纳对应的扣款金额。</w:t>
      </w:r>
    </w:p>
    <w:p w14:paraId="52D4100F">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5. 本考核指标最终解释权归四川省医学科学院·四川省人民医院。</w:t>
      </w:r>
    </w:p>
    <w:p w14:paraId="0349F5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p>
    <w:p w14:paraId="7BDDE2EB">
      <w:pPr>
        <w:rPr>
          <w:rFonts w:hint="eastAsia" w:ascii="仿宋" w:hAnsi="仿宋" w:eastAsia="仿宋" w:cs="仿宋"/>
          <w:b/>
          <w:bCs/>
          <w:color w:val="auto"/>
          <w:szCs w:val="36"/>
          <w:lang w:val="zh-TW"/>
        </w:rPr>
      </w:pPr>
      <w:r>
        <w:rPr>
          <w:rFonts w:hint="eastAsia" w:ascii="仿宋" w:hAnsi="仿宋" w:eastAsia="仿宋" w:cs="仿宋"/>
          <w:color w:val="auto"/>
          <w:lang w:val="zh-TW"/>
        </w:rPr>
        <w:br w:type="page"/>
      </w:r>
    </w:p>
    <w:p w14:paraId="676F9ACB">
      <w:pPr>
        <w:pStyle w:val="2"/>
        <w:rPr>
          <w:rFonts w:cs="Times New Roman" w:asciiTheme="majorEastAsia" w:hAnsiTheme="majorEastAsia" w:eastAsiaTheme="majorEastAsia"/>
          <w:szCs w:val="36"/>
          <w:lang w:val="zh-TW"/>
        </w:rPr>
      </w:pPr>
      <w:bookmarkStart w:id="8" w:name="_Toc15867"/>
      <w:bookmarkStart w:id="9" w:name="第四章"/>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5"/>
        <w:numPr>
          <w:ilvl w:val="0"/>
          <w:numId w:val="14"/>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5"/>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5"/>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9428"/>
      <w:bookmarkStart w:id="11" w:name="_Toc30609"/>
      <w:bookmarkStart w:id="12" w:name="_Toc19851"/>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1544"/>
      <w:bookmarkStart w:id="14" w:name="_Toc32352"/>
      <w:bookmarkStart w:id="15" w:name="_Toc9041"/>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1690"/>
      <w:bookmarkStart w:id="19" w:name="_Toc24859"/>
      <w:bookmarkStart w:id="20" w:name="_Toc17163"/>
      <w:bookmarkStart w:id="21" w:name="_Toc32749"/>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5"/>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5"/>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27135"/>
      <w:bookmarkStart w:id="23" w:name="_Toc27526"/>
      <w:bookmarkStart w:id="24" w:name="_Toc5996"/>
      <w:bookmarkStart w:id="25" w:name="_Toc2989"/>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5"/>
        <w:rPr>
          <w:rFonts w:hint="default" w:ascii="Times New Roman" w:hAnsi="Times New Roman" w:eastAsia="宋体" w:cs="Times New Roman"/>
          <w:color w:val="auto"/>
        </w:rPr>
      </w:pPr>
    </w:p>
    <w:p w14:paraId="5EF10334">
      <w:pPr>
        <w:pStyle w:val="5"/>
        <w:rPr>
          <w:rFonts w:hint="default" w:ascii="Times New Roman" w:hAnsi="Times New Roman" w:eastAsia="宋体" w:cs="Times New Roman"/>
          <w:color w:val="auto"/>
        </w:rPr>
      </w:pPr>
    </w:p>
    <w:p w14:paraId="5F14CCA9">
      <w:pPr>
        <w:pStyle w:val="5"/>
        <w:rPr>
          <w:rFonts w:hint="default" w:ascii="Times New Roman" w:hAnsi="Times New Roman" w:eastAsia="宋体" w:cs="Times New Roman"/>
          <w:color w:val="auto"/>
        </w:rPr>
      </w:pPr>
    </w:p>
    <w:p w14:paraId="3BFC6961">
      <w:pPr>
        <w:pStyle w:val="5"/>
        <w:rPr>
          <w:rFonts w:hint="default" w:ascii="Times New Roman" w:hAnsi="Times New Roman" w:eastAsia="宋体" w:cs="Times New Roman"/>
          <w:color w:val="auto"/>
        </w:rPr>
      </w:pPr>
    </w:p>
    <w:p w14:paraId="5D637CFD">
      <w:pPr>
        <w:pStyle w:val="5"/>
        <w:rPr>
          <w:rFonts w:hint="default" w:ascii="Times New Roman" w:hAnsi="Times New Roman" w:eastAsia="宋体" w:cs="Times New Roman"/>
          <w:color w:val="auto"/>
        </w:rPr>
      </w:pPr>
    </w:p>
    <w:p w14:paraId="4CBECC14">
      <w:pPr>
        <w:pStyle w:val="5"/>
        <w:jc w:val="center"/>
        <w:rPr>
          <w:rFonts w:hint="default" w:ascii="Times New Roman" w:hAnsi="Times New Roman" w:eastAsia="宋体" w:cs="Times New Roman"/>
          <w:b/>
          <w:bCs/>
          <w:color w:val="auto"/>
          <w:sz w:val="24"/>
          <w:szCs w:val="24"/>
          <w:lang w:val="zh-TW" w:eastAsia="zh-TW"/>
        </w:rPr>
      </w:pPr>
      <w:bookmarkStart w:id="26" w:name="_Toc2031"/>
      <w:bookmarkStart w:id="27" w:name="_Toc7233"/>
      <w:bookmarkStart w:id="28" w:name="_Toc5056"/>
      <w:bookmarkStart w:id="29" w:name="_Toc19987"/>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5"/>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5"/>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5"/>
        <w:spacing w:line="360" w:lineRule="auto"/>
        <w:rPr>
          <w:rFonts w:hint="default" w:ascii="宋体" w:hAnsi="宋体" w:eastAsia="宋体" w:cs="宋体"/>
          <w:color w:val="auto"/>
        </w:rPr>
      </w:pPr>
    </w:p>
    <w:p w14:paraId="7893543D">
      <w:pPr>
        <w:pStyle w:val="5"/>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5"/>
        <w:spacing w:line="360" w:lineRule="auto"/>
        <w:contextualSpacing/>
        <w:jc w:val="left"/>
        <w:rPr>
          <w:rFonts w:hint="default" w:ascii="宋体" w:hAnsi="宋体" w:eastAsia="宋体" w:cs="宋体"/>
          <w:color w:val="auto"/>
        </w:rPr>
      </w:pPr>
    </w:p>
    <w:p w14:paraId="54747478">
      <w:pPr>
        <w:pStyle w:val="5"/>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lang w:val="zh-TW" w:eastAsia="zh-TW"/>
        </w:rPr>
      </w:pPr>
    </w:p>
    <w:p w14:paraId="486B3188">
      <w:pPr>
        <w:pStyle w:val="5"/>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5"/>
        <w:jc w:val="left"/>
        <w:rPr>
          <w:rFonts w:hint="default" w:cs="Times New Roman" w:asciiTheme="majorEastAsia" w:hAnsiTheme="majorEastAsia" w:eastAsiaTheme="majorEastAsia"/>
          <w:b/>
          <w:bCs/>
          <w:color w:val="auto"/>
          <w:sz w:val="30"/>
          <w:szCs w:val="30"/>
          <w:lang w:val="zh-TW" w:eastAsia="zh-TW"/>
        </w:rPr>
      </w:pPr>
    </w:p>
    <w:p w14:paraId="751E70AD">
      <w:pPr>
        <w:pStyle w:val="5"/>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5"/>
        <w:jc w:val="center"/>
        <w:rPr>
          <w:rFonts w:hint="default" w:ascii="Times New Roman" w:hAnsi="Times New Roman" w:eastAsia="宋体" w:cs="Times New Roman"/>
          <w:b/>
          <w:bCs/>
          <w:color w:val="auto"/>
          <w:sz w:val="36"/>
          <w:szCs w:val="36"/>
          <w:lang w:eastAsia="zh-TW"/>
        </w:rPr>
      </w:pPr>
    </w:p>
    <w:p w14:paraId="012E9352">
      <w:pPr>
        <w:pStyle w:val="5"/>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5"/>
        <w:gridCol w:w="4663"/>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5"/>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67792911">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tbl>
      <w:tblPr>
        <w:tblStyle w:val="14"/>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2317"/>
        <w:gridCol w:w="962"/>
        <w:gridCol w:w="1042"/>
        <w:gridCol w:w="1496"/>
        <w:gridCol w:w="1320"/>
        <w:gridCol w:w="1101"/>
        <w:gridCol w:w="1101"/>
      </w:tblGrid>
      <w:tr w14:paraId="3849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42" w:type="pct"/>
            <w:shd w:val="clear" w:color="auto" w:fill="auto"/>
            <w:vAlign w:val="center"/>
          </w:tcPr>
          <w:p w14:paraId="144197E2">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ascii="宋体" w:hAnsi="宋体" w:eastAsia="宋体" w:cs="宋体"/>
                <w:sz w:val="21"/>
                <w:szCs w:val="21"/>
              </w:rPr>
              <w:t>序号</w:t>
            </w:r>
          </w:p>
        </w:tc>
        <w:tc>
          <w:tcPr>
            <w:tcW w:w="1155" w:type="pct"/>
            <w:shd w:val="clear" w:color="auto" w:fill="auto"/>
            <w:vAlign w:val="center"/>
          </w:tcPr>
          <w:p w14:paraId="336C7B0A">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品名</w:t>
            </w:r>
          </w:p>
        </w:tc>
        <w:tc>
          <w:tcPr>
            <w:tcW w:w="479" w:type="pct"/>
            <w:shd w:val="clear" w:color="auto" w:fill="auto"/>
            <w:vAlign w:val="center"/>
          </w:tcPr>
          <w:p w14:paraId="63B9027A">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数量</w:t>
            </w:r>
          </w:p>
        </w:tc>
        <w:tc>
          <w:tcPr>
            <w:tcW w:w="519" w:type="pct"/>
            <w:shd w:val="clear" w:color="auto" w:fill="auto"/>
            <w:vAlign w:val="center"/>
          </w:tcPr>
          <w:p w14:paraId="4BA0E5F9">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单位</w:t>
            </w:r>
          </w:p>
        </w:tc>
        <w:tc>
          <w:tcPr>
            <w:tcW w:w="745" w:type="pct"/>
            <w:shd w:val="clear" w:color="auto" w:fill="auto"/>
            <w:vAlign w:val="center"/>
          </w:tcPr>
          <w:p w14:paraId="774ADDBD">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单价（元/年）</w:t>
            </w:r>
          </w:p>
        </w:tc>
        <w:tc>
          <w:tcPr>
            <w:tcW w:w="658" w:type="pct"/>
            <w:shd w:val="clear" w:color="auto" w:fill="auto"/>
            <w:vAlign w:val="top"/>
          </w:tcPr>
          <w:p w14:paraId="6D2AC095">
            <w:pPr>
              <w:spacing w:line="360" w:lineRule="auto"/>
              <w:jc w:val="center"/>
              <w:rPr>
                <w:rFonts w:hint="eastAsia" w:ascii="宋体" w:hAnsi="宋体" w:eastAsia="宋体" w:cs="宋体"/>
                <w:color w:val="auto"/>
              </w:rPr>
            </w:pPr>
            <w:r>
              <w:rPr>
                <w:rFonts w:hint="eastAsia" w:ascii="宋体" w:hAnsi="宋体" w:eastAsia="宋体" w:cs="宋体"/>
                <w:sz w:val="21"/>
                <w:szCs w:val="21"/>
              </w:rPr>
              <w:t>总价（元/年）</w:t>
            </w:r>
          </w:p>
        </w:tc>
        <w:tc>
          <w:tcPr>
            <w:tcW w:w="549" w:type="pct"/>
            <w:vAlign w:val="center"/>
          </w:tcPr>
          <w:p w14:paraId="1C2AFF94">
            <w:pPr>
              <w:spacing w:line="360" w:lineRule="auto"/>
              <w:jc w:val="center"/>
              <w:rPr>
                <w:rFonts w:hint="eastAsia" w:ascii="宋体" w:hAnsi="宋体" w:eastAsia="宋体" w:cs="宋体"/>
                <w:color w:val="auto"/>
              </w:rPr>
            </w:pPr>
            <w:r>
              <w:rPr>
                <w:rFonts w:hint="eastAsia" w:ascii="宋体" w:hAnsi="宋体" w:eastAsia="宋体" w:cs="宋体"/>
                <w:sz w:val="21"/>
                <w:szCs w:val="21"/>
                <w:lang w:val="en-US" w:eastAsia="zh-CN"/>
              </w:rPr>
              <w:t>服务期</w:t>
            </w:r>
          </w:p>
        </w:tc>
        <w:tc>
          <w:tcPr>
            <w:tcW w:w="549" w:type="pct"/>
            <w:vAlign w:val="center"/>
          </w:tcPr>
          <w:p w14:paraId="6C87A98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备注</w:t>
            </w:r>
          </w:p>
        </w:tc>
      </w:tr>
      <w:tr w14:paraId="3CB0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42" w:type="pct"/>
            <w:shd w:val="clear" w:color="auto" w:fill="auto"/>
            <w:vAlign w:val="center"/>
          </w:tcPr>
          <w:p w14:paraId="3BA3F7B2">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1</w:t>
            </w:r>
          </w:p>
        </w:tc>
        <w:tc>
          <w:tcPr>
            <w:tcW w:w="1155" w:type="pct"/>
            <w:shd w:val="clear" w:color="auto" w:fill="auto"/>
            <w:vAlign w:val="center"/>
          </w:tcPr>
          <w:p w14:paraId="04246EF2">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省、市医保线路接入服务(≥10Mbps/点位的网络专线接入)</w:t>
            </w:r>
          </w:p>
        </w:tc>
        <w:tc>
          <w:tcPr>
            <w:tcW w:w="479" w:type="pct"/>
            <w:shd w:val="clear" w:color="auto" w:fill="auto"/>
            <w:vAlign w:val="center"/>
          </w:tcPr>
          <w:p w14:paraId="72D63CB9">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1</w:t>
            </w:r>
          </w:p>
        </w:tc>
        <w:tc>
          <w:tcPr>
            <w:tcW w:w="519" w:type="pct"/>
            <w:shd w:val="clear" w:color="auto" w:fill="auto"/>
            <w:vAlign w:val="center"/>
          </w:tcPr>
          <w:p w14:paraId="2579078C">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点位</w:t>
            </w:r>
          </w:p>
        </w:tc>
        <w:tc>
          <w:tcPr>
            <w:tcW w:w="745" w:type="pct"/>
            <w:shd w:val="clear" w:color="auto" w:fill="auto"/>
            <w:vAlign w:val="center"/>
          </w:tcPr>
          <w:p w14:paraId="1044EAB4">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p>
        </w:tc>
        <w:tc>
          <w:tcPr>
            <w:tcW w:w="658" w:type="pct"/>
            <w:shd w:val="clear" w:color="auto" w:fill="auto"/>
            <w:vAlign w:val="center"/>
          </w:tcPr>
          <w:p w14:paraId="04E48619">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p>
        </w:tc>
        <w:tc>
          <w:tcPr>
            <w:tcW w:w="549" w:type="pct"/>
            <w:vMerge w:val="restart"/>
            <w:vAlign w:val="center"/>
          </w:tcPr>
          <w:p w14:paraId="1302C7ED">
            <w:pPr>
              <w:spacing w:line="360" w:lineRule="auto"/>
              <w:jc w:val="center"/>
              <w:rPr>
                <w:rFonts w:hint="eastAsia" w:ascii="宋体" w:hAnsi="宋体" w:eastAsia="宋体" w:cs="宋体"/>
                <w:sz w:val="21"/>
                <w:szCs w:val="21"/>
              </w:rPr>
            </w:pPr>
          </w:p>
        </w:tc>
        <w:tc>
          <w:tcPr>
            <w:tcW w:w="549" w:type="pct"/>
            <w:vAlign w:val="center"/>
          </w:tcPr>
          <w:p w14:paraId="35AD17AC">
            <w:pPr>
              <w:spacing w:line="360" w:lineRule="auto"/>
              <w:jc w:val="center"/>
              <w:rPr>
                <w:rFonts w:hint="eastAsia" w:ascii="宋体" w:hAnsi="宋体" w:eastAsia="宋体" w:cs="宋体"/>
                <w:sz w:val="21"/>
                <w:szCs w:val="21"/>
              </w:rPr>
            </w:pPr>
          </w:p>
        </w:tc>
      </w:tr>
      <w:tr w14:paraId="775D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42" w:type="pct"/>
            <w:shd w:val="clear" w:color="auto" w:fill="auto"/>
            <w:vAlign w:val="center"/>
          </w:tcPr>
          <w:p w14:paraId="2B1AD3B6">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2</w:t>
            </w:r>
          </w:p>
        </w:tc>
        <w:tc>
          <w:tcPr>
            <w:tcW w:w="1155" w:type="pct"/>
            <w:shd w:val="clear" w:color="auto" w:fill="auto"/>
            <w:vAlign w:val="center"/>
          </w:tcPr>
          <w:p w14:paraId="52FADEA9">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第三门诊-省本部线路接入服务(≥30Mbps/点位的网络专线接入)</w:t>
            </w:r>
          </w:p>
        </w:tc>
        <w:tc>
          <w:tcPr>
            <w:tcW w:w="479" w:type="pct"/>
            <w:shd w:val="clear" w:color="auto" w:fill="auto"/>
            <w:vAlign w:val="center"/>
          </w:tcPr>
          <w:p w14:paraId="47ADFADF">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1</w:t>
            </w:r>
          </w:p>
        </w:tc>
        <w:tc>
          <w:tcPr>
            <w:tcW w:w="519" w:type="pct"/>
            <w:shd w:val="clear" w:color="auto" w:fill="auto"/>
            <w:vAlign w:val="center"/>
          </w:tcPr>
          <w:p w14:paraId="4C7C160A">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r>
              <w:rPr>
                <w:rFonts w:hint="eastAsia" w:ascii="宋体" w:hAnsi="宋体" w:eastAsia="宋体" w:cs="宋体"/>
                <w:sz w:val="21"/>
                <w:szCs w:val="21"/>
              </w:rPr>
              <w:t>点位</w:t>
            </w:r>
          </w:p>
        </w:tc>
        <w:tc>
          <w:tcPr>
            <w:tcW w:w="745" w:type="pct"/>
            <w:shd w:val="clear" w:color="auto" w:fill="auto"/>
            <w:vAlign w:val="center"/>
          </w:tcPr>
          <w:p w14:paraId="4AECA036">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p>
        </w:tc>
        <w:tc>
          <w:tcPr>
            <w:tcW w:w="658" w:type="pct"/>
            <w:shd w:val="clear" w:color="auto" w:fill="auto"/>
            <w:vAlign w:val="center"/>
          </w:tcPr>
          <w:p w14:paraId="07321AE0">
            <w:pPr>
              <w:pStyle w:val="12"/>
              <w:keepNext w:val="0"/>
              <w:keepLines w:val="0"/>
              <w:widowControl/>
              <w:suppressLineNumbers w:val="0"/>
              <w:autoSpaceDE w:val="0"/>
              <w:autoSpaceDN/>
              <w:spacing w:line="360" w:lineRule="auto"/>
              <w:jc w:val="center"/>
              <w:rPr>
                <w:rFonts w:hint="eastAsia" w:ascii="宋体" w:hAnsi="宋体" w:eastAsia="宋体" w:cs="宋体"/>
                <w:color w:val="000000"/>
                <w:kern w:val="0"/>
                <w:sz w:val="21"/>
                <w:szCs w:val="21"/>
                <w:u w:color="000000"/>
                <w:lang w:val="en-US" w:eastAsia="zh-CN" w:bidi="ar-SA"/>
              </w:rPr>
            </w:pPr>
          </w:p>
        </w:tc>
        <w:tc>
          <w:tcPr>
            <w:tcW w:w="549" w:type="pct"/>
            <w:vMerge w:val="continue"/>
            <w:vAlign w:val="center"/>
          </w:tcPr>
          <w:p w14:paraId="05A56764">
            <w:pPr>
              <w:spacing w:line="360" w:lineRule="auto"/>
              <w:jc w:val="center"/>
              <w:rPr>
                <w:rFonts w:hint="eastAsia" w:ascii="宋体" w:hAnsi="宋体" w:eastAsia="宋体" w:cs="宋体"/>
                <w:sz w:val="21"/>
                <w:szCs w:val="21"/>
              </w:rPr>
            </w:pPr>
          </w:p>
        </w:tc>
        <w:tc>
          <w:tcPr>
            <w:tcW w:w="549" w:type="pct"/>
            <w:vAlign w:val="center"/>
          </w:tcPr>
          <w:p w14:paraId="506573F6">
            <w:pPr>
              <w:spacing w:line="360" w:lineRule="auto"/>
              <w:jc w:val="center"/>
              <w:rPr>
                <w:rFonts w:hint="eastAsia" w:ascii="宋体" w:hAnsi="宋体" w:eastAsia="宋体" w:cs="宋体"/>
                <w:sz w:val="21"/>
                <w:szCs w:val="21"/>
              </w:rPr>
            </w:pPr>
          </w:p>
        </w:tc>
      </w:tr>
      <w:tr w14:paraId="7D25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342" w:type="pct"/>
            <w:vAlign w:val="center"/>
          </w:tcPr>
          <w:p w14:paraId="75C511E1">
            <w:pPr>
              <w:spacing w:line="360" w:lineRule="auto"/>
              <w:jc w:val="center"/>
              <w:rPr>
                <w:rFonts w:hint="eastAsia" w:ascii="宋体" w:hAnsi="宋体" w:eastAsia="宋体" w:cs="宋体"/>
                <w:color w:val="auto"/>
              </w:rPr>
            </w:pPr>
            <w:r>
              <w:rPr>
                <w:rFonts w:hint="eastAsia" w:ascii="宋体" w:hAnsi="宋体" w:eastAsia="宋体" w:cs="宋体"/>
                <w:color w:val="auto"/>
                <w:lang w:val="en-US" w:eastAsia="zh-CN"/>
              </w:rPr>
              <w:t>合计</w:t>
            </w:r>
          </w:p>
        </w:tc>
        <w:tc>
          <w:tcPr>
            <w:tcW w:w="4657" w:type="pct"/>
            <w:gridSpan w:val="7"/>
            <w:vAlign w:val="center"/>
          </w:tcPr>
          <w:p w14:paraId="3B88D661">
            <w:pPr>
              <w:spacing w:line="360"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大写：                   小写：                     </w:t>
            </w:r>
          </w:p>
        </w:tc>
      </w:tr>
    </w:tbl>
    <w:p w14:paraId="0AB9B52E">
      <w:pPr>
        <w:widowControl/>
        <w:spacing w:line="360" w:lineRule="auto"/>
        <w:jc w:val="left"/>
        <w:rPr>
          <w:rFonts w:ascii="宋体" w:hAnsi="宋体" w:eastAsia="宋体" w:cs="宋体"/>
          <w:color w:val="auto"/>
        </w:rPr>
      </w:pPr>
    </w:p>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5"/>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5"/>
        <w:rPr>
          <w:rFonts w:hint="default" w:ascii="Times New Roman" w:hAnsi="Times New Roman" w:eastAsia="Wingdings" w:cs="Times New Roman"/>
          <w:b/>
          <w:bCs/>
          <w:color w:val="auto"/>
          <w:sz w:val="36"/>
          <w:szCs w:val="36"/>
          <w:lang w:val="zh-TW" w:eastAsia="zh-TW"/>
        </w:rPr>
      </w:pPr>
    </w:p>
    <w:p w14:paraId="43321793">
      <w:pPr>
        <w:pStyle w:val="5"/>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5"/>
        <w:rPr>
          <w:rFonts w:hint="default" w:ascii="Times New Roman" w:hAnsi="Times New Roman" w:eastAsia="Wingdings" w:cs="Times New Roman"/>
          <w:b/>
          <w:bCs/>
          <w:color w:val="auto"/>
          <w:sz w:val="36"/>
          <w:szCs w:val="36"/>
          <w:lang w:val="zh-TW" w:eastAsia="zh-TW"/>
        </w:rPr>
      </w:pPr>
    </w:p>
    <w:p w14:paraId="0A4BCA24">
      <w:pPr>
        <w:pStyle w:val="5"/>
        <w:rPr>
          <w:rFonts w:hint="default" w:ascii="Times New Roman" w:hAnsi="Times New Roman" w:eastAsia="Wingdings"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bookmarkEnd w:id="33"/>
    <w:p w14:paraId="7A68B6E9">
      <w:pPr>
        <w:pStyle w:val="2"/>
        <w:ind w:firstLine="0"/>
        <w:rPr>
          <w:rFonts w:hint="eastAsia" w:ascii="仿宋" w:hAnsi="仿宋" w:eastAsia="仿宋" w:cs="仿宋"/>
          <w:lang w:val="zh-TW" w:eastAsia="zh-TW"/>
        </w:rPr>
      </w:pPr>
      <w:bookmarkStart w:id="34"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0"/>
          <w:rFonts w:hint="eastAsia" w:ascii="仿宋" w:hAnsi="仿宋" w:eastAsia="仿宋" w:cs="仿宋"/>
          <w:szCs w:val="32"/>
          <w:lang w:val="zh-TW" w:eastAsia="zh-TW"/>
        </w:rPr>
        <w:t>合同</w:t>
      </w:r>
      <w:r>
        <w:rPr>
          <w:rStyle w:val="20"/>
          <w:rFonts w:hint="eastAsia" w:ascii="仿宋" w:hAnsi="仿宋" w:eastAsia="仿宋" w:cs="仿宋"/>
          <w:szCs w:val="32"/>
          <w:lang w:val="zh-TW"/>
        </w:rPr>
        <w:t>（协议）</w:t>
      </w:r>
      <w:r>
        <w:rPr>
          <w:rStyle w:val="20"/>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4"/>
    </w:p>
    <w:p w14:paraId="1E3DF9DD">
      <w:pPr>
        <w:pStyle w:val="5"/>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2D744FF1">
      <w:pPr>
        <w:pStyle w:val="39"/>
        <w:spacing w:line="360" w:lineRule="auto"/>
        <w:rPr>
          <w:rFonts w:hint="eastAsia" w:ascii="仿宋" w:hAnsi="仿宋" w:eastAsia="仿宋" w:cs="仿宋"/>
          <w:sz w:val="48"/>
          <w:szCs w:val="48"/>
        </w:rPr>
      </w:pPr>
      <w:r>
        <w:rPr>
          <w:rFonts w:hint="eastAsia" w:ascii="仿宋" w:hAnsi="仿宋" w:eastAsia="仿宋" w:cs="仿宋"/>
          <w:sz w:val="48"/>
          <w:szCs w:val="48"/>
        </w:rPr>
        <w:t>***服务项目</w:t>
      </w:r>
    </w:p>
    <w:p w14:paraId="622B975B">
      <w:pPr>
        <w:pStyle w:val="39"/>
        <w:spacing w:line="360" w:lineRule="auto"/>
        <w:rPr>
          <w:rFonts w:hint="eastAsia" w:ascii="仿宋" w:hAnsi="仿宋" w:eastAsia="仿宋" w:cs="仿宋"/>
          <w:sz w:val="48"/>
          <w:szCs w:val="48"/>
        </w:rPr>
      </w:pPr>
      <w:r>
        <w:rPr>
          <w:rFonts w:hint="eastAsia" w:ascii="仿宋" w:hAnsi="仿宋" w:eastAsia="仿宋" w:cs="仿宋"/>
          <w:sz w:val="48"/>
          <w:szCs w:val="48"/>
        </w:rPr>
        <w:t>采购合同</w:t>
      </w:r>
    </w:p>
    <w:p w14:paraId="3987C57D">
      <w:pPr>
        <w:spacing w:line="360" w:lineRule="auto"/>
        <w:rPr>
          <w:rFonts w:hint="eastAsia" w:ascii="仿宋" w:hAnsi="仿宋" w:eastAsia="仿宋" w:cs="仿宋"/>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14:paraId="51A81929">
      <w:pPr>
        <w:adjustRightInd w:val="0"/>
        <w:spacing w:line="360" w:lineRule="auto"/>
        <w:ind w:firstLine="420" w:firstLineChars="200"/>
        <w:contextualSpacing/>
        <w:jc w:val="left"/>
        <w:rPr>
          <w:rFonts w:hint="eastAsia" w:ascii="仿宋" w:hAnsi="仿宋" w:eastAsia="仿宋" w:cs="仿宋"/>
          <w:color w:val="000000"/>
          <w:szCs w:val="21"/>
        </w:rPr>
      </w:pPr>
    </w:p>
    <w:p w14:paraId="38DA1C0D">
      <w:pPr>
        <w:adjustRightInd w:val="0"/>
        <w:spacing w:line="360" w:lineRule="auto"/>
        <w:ind w:firstLine="420" w:firstLineChars="200"/>
        <w:contextualSpacing/>
        <w:jc w:val="left"/>
        <w:rPr>
          <w:rFonts w:hint="eastAsia" w:ascii="仿宋" w:hAnsi="仿宋" w:eastAsia="仿宋" w:cs="仿宋"/>
          <w:color w:val="000000"/>
          <w:szCs w:val="21"/>
        </w:rPr>
      </w:pPr>
    </w:p>
    <w:tbl>
      <w:tblPr>
        <w:tblStyle w:val="14"/>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合同编号</w:t>
            </w:r>
            <w:r>
              <w:rPr>
                <w:rFonts w:hint="eastAsia" w:ascii="仿宋" w:hAnsi="仿宋" w:eastAsia="仿宋" w:cs="仿宋"/>
                <w:color w:val="000000"/>
                <w:szCs w:val="21"/>
              </w:rPr>
              <w:t>：CGZX-***</w:t>
            </w:r>
          </w:p>
          <w:p w14:paraId="2F6BC159">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签订地点</w:t>
            </w:r>
            <w:r>
              <w:rPr>
                <w:rFonts w:hint="eastAsia" w:ascii="仿宋" w:hAnsi="仿宋" w:eastAsia="仿宋" w:cs="仿宋"/>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360" w:lineRule="auto"/>
              <w:rPr>
                <w:rFonts w:hint="eastAsia" w:ascii="仿宋" w:hAnsi="仿宋" w:eastAsia="仿宋" w:cs="仿宋"/>
                <w:szCs w:val="21"/>
              </w:rPr>
            </w:pPr>
            <w:r>
              <w:rPr>
                <w:rFonts w:hint="eastAsia" w:ascii="仿宋" w:hAnsi="仿宋" w:eastAsia="仿宋" w:cs="仿宋"/>
                <w:b/>
                <w:bCs/>
                <w:szCs w:val="21"/>
              </w:rPr>
              <w:t>采购人（以下简称甲方）</w:t>
            </w:r>
            <w:r>
              <w:rPr>
                <w:rFonts w:hint="eastAsia" w:ascii="仿宋" w:hAnsi="仿宋" w:eastAsia="仿宋" w:cs="仿宋"/>
                <w:szCs w:val="21"/>
              </w:rPr>
              <w:t>：四川省人民医院</w:t>
            </w:r>
          </w:p>
          <w:p w14:paraId="2FDD4CAB">
            <w:pPr>
              <w:spacing w:line="360" w:lineRule="auto"/>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：四川省成都市一环路西二段32号</w:t>
            </w:r>
          </w:p>
          <w:p w14:paraId="57D306C0">
            <w:pPr>
              <w:spacing w:line="360" w:lineRule="auto"/>
              <w:rPr>
                <w:rFonts w:hint="eastAsia" w:ascii="仿宋" w:hAnsi="仿宋" w:eastAsia="仿宋" w:cs="仿宋"/>
                <w:szCs w:val="21"/>
              </w:rPr>
            </w:pPr>
            <w:r>
              <w:rPr>
                <w:rFonts w:hint="eastAsia" w:ascii="仿宋" w:hAnsi="仿宋" w:eastAsia="仿宋" w:cs="仿宋"/>
                <w:b/>
                <w:bCs/>
                <w:szCs w:val="21"/>
              </w:rPr>
              <w:t>项目联系人</w:t>
            </w:r>
            <w:r>
              <w:rPr>
                <w:rFonts w:hint="eastAsia" w:ascii="仿宋" w:hAnsi="仿宋" w:eastAsia="仿宋" w:cs="仿宋"/>
                <w:szCs w:val="21"/>
              </w:rPr>
              <w:t xml:space="preserve">：*** </w:t>
            </w:r>
            <w:r>
              <w:rPr>
                <w:rFonts w:hint="eastAsia" w:ascii="仿宋" w:hAnsi="仿宋" w:eastAsia="仿宋" w:cs="仿宋"/>
                <w:b/>
                <w:bCs/>
                <w:szCs w:val="21"/>
              </w:rPr>
              <w:t>电话</w:t>
            </w:r>
            <w:r>
              <w:rPr>
                <w:rFonts w:hint="eastAsia" w:ascii="仿宋" w:hAnsi="仿宋" w:eastAsia="仿宋" w:cs="仿宋"/>
                <w:szCs w:val="21"/>
              </w:rPr>
              <w:t>：***</w:t>
            </w:r>
          </w:p>
          <w:p w14:paraId="55B6CA4B">
            <w:pPr>
              <w:spacing w:line="360" w:lineRule="auto"/>
              <w:rPr>
                <w:rFonts w:hint="eastAsia" w:ascii="仿宋" w:hAnsi="仿宋" w:eastAsia="仿宋" w:cs="仿宋"/>
              </w:rPr>
            </w:pPr>
            <w:r>
              <w:rPr>
                <w:rFonts w:hint="eastAsia" w:ascii="仿宋" w:hAnsi="仿宋" w:eastAsia="仿宋" w:cs="仿宋"/>
                <w:b/>
                <w:bCs/>
                <w:szCs w:val="21"/>
              </w:rPr>
              <w:t>电子邮件：</w:t>
            </w:r>
            <w:r>
              <w:rPr>
                <w:rFonts w:hint="eastAsia" w:ascii="仿宋" w:hAnsi="仿宋" w:eastAsia="仿宋" w:cs="仿宋"/>
                <w:szCs w:val="21"/>
              </w:rPr>
              <w:t>***</w:t>
            </w:r>
          </w:p>
        </w:tc>
        <w:tc>
          <w:tcPr>
            <w:tcW w:w="5242" w:type="dxa"/>
          </w:tcPr>
          <w:p w14:paraId="607B7137">
            <w:pPr>
              <w:spacing w:line="360" w:lineRule="auto"/>
              <w:rPr>
                <w:rFonts w:hint="eastAsia" w:ascii="仿宋" w:hAnsi="仿宋" w:eastAsia="仿宋" w:cs="仿宋"/>
                <w:b/>
                <w:bCs/>
                <w:szCs w:val="21"/>
              </w:rPr>
            </w:pPr>
            <w:r>
              <w:rPr>
                <w:rFonts w:hint="eastAsia" w:ascii="仿宋" w:hAnsi="仿宋" w:eastAsia="仿宋" w:cs="仿宋"/>
                <w:b/>
                <w:bCs/>
                <w:szCs w:val="21"/>
              </w:rPr>
              <w:t>供应商（以下简称乙方）：***</w:t>
            </w:r>
          </w:p>
          <w:p w14:paraId="7AB3403D">
            <w:pPr>
              <w:spacing w:line="360" w:lineRule="auto"/>
              <w:rPr>
                <w:rFonts w:hint="eastAsia" w:ascii="仿宋" w:hAnsi="仿宋" w:eastAsia="仿宋" w:cs="仿宋"/>
                <w:b/>
                <w:bCs/>
                <w:szCs w:val="21"/>
              </w:rPr>
            </w:pPr>
            <w:r>
              <w:rPr>
                <w:rFonts w:hint="eastAsia" w:ascii="仿宋" w:hAnsi="仿宋" w:eastAsia="仿宋" w:cs="仿宋"/>
                <w:b/>
                <w:bCs/>
                <w:szCs w:val="21"/>
              </w:rPr>
              <w:t>地址：***</w:t>
            </w:r>
          </w:p>
          <w:p w14:paraId="49B46EA1">
            <w:pPr>
              <w:spacing w:line="360" w:lineRule="auto"/>
              <w:rPr>
                <w:rFonts w:hint="eastAsia" w:ascii="仿宋" w:hAnsi="仿宋" w:eastAsia="仿宋" w:cs="仿宋"/>
                <w:b/>
                <w:bCs/>
                <w:szCs w:val="21"/>
              </w:rPr>
            </w:pPr>
            <w:r>
              <w:rPr>
                <w:rFonts w:hint="eastAsia" w:ascii="仿宋" w:hAnsi="仿宋" w:eastAsia="仿宋" w:cs="仿宋"/>
                <w:b/>
                <w:bCs/>
                <w:szCs w:val="21"/>
              </w:rPr>
              <w:t>移动电话：***</w:t>
            </w:r>
          </w:p>
          <w:p w14:paraId="2A04E3BE">
            <w:pPr>
              <w:spacing w:line="360" w:lineRule="auto"/>
              <w:contextualSpacing/>
              <w:rPr>
                <w:rFonts w:hint="eastAsia" w:ascii="仿宋" w:hAnsi="仿宋" w:eastAsia="仿宋" w:cs="仿宋"/>
                <w:b/>
                <w:bCs/>
                <w:szCs w:val="21"/>
              </w:rPr>
            </w:pPr>
            <w:r>
              <w:rPr>
                <w:rFonts w:hint="eastAsia" w:ascii="仿宋" w:hAnsi="仿宋" w:eastAsia="仿宋" w:cs="仿宋"/>
                <w:b/>
                <w:bCs/>
                <w:szCs w:val="21"/>
              </w:rPr>
              <w:t>联系人：***</w:t>
            </w:r>
          </w:p>
          <w:p w14:paraId="18A1ADEB">
            <w:pPr>
              <w:spacing w:line="360" w:lineRule="auto"/>
              <w:rPr>
                <w:rFonts w:hint="eastAsia" w:ascii="仿宋" w:hAnsi="仿宋" w:eastAsia="仿宋" w:cs="仿宋"/>
                <w:bCs/>
                <w:szCs w:val="21"/>
              </w:rPr>
            </w:pPr>
            <w:r>
              <w:rPr>
                <w:rFonts w:hint="eastAsia" w:ascii="仿宋" w:hAnsi="仿宋" w:eastAsia="仿宋" w:cs="仿宋"/>
                <w:b/>
                <w:bCs/>
                <w:szCs w:val="21"/>
              </w:rPr>
              <w:t>电子邮件：</w:t>
            </w:r>
            <w:r>
              <w:rPr>
                <w:rFonts w:hint="eastAsia" w:ascii="仿宋" w:hAnsi="仿宋" w:eastAsia="仿宋" w:cs="仿宋"/>
                <w:szCs w:val="21"/>
              </w:rPr>
              <w:t>***</w:t>
            </w:r>
          </w:p>
        </w:tc>
      </w:tr>
    </w:tbl>
    <w:p w14:paraId="5F2EEB2D">
      <w:pPr>
        <w:spacing w:line="360" w:lineRule="auto"/>
        <w:ind w:firstLine="420" w:firstLineChars="200"/>
        <w:contextualSpacing/>
        <w:jc w:val="left"/>
        <w:rPr>
          <w:rFonts w:hint="eastAsia" w:ascii="仿宋" w:hAnsi="仿宋" w:eastAsia="仿宋" w:cs="仿宋"/>
          <w:color w:val="000000"/>
          <w:szCs w:val="21"/>
        </w:rPr>
      </w:pPr>
    </w:p>
    <w:p w14:paraId="2600F949">
      <w:pPr>
        <w:adjustRightInd w:val="0"/>
        <w:spacing w:line="360" w:lineRule="auto"/>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rPr>
        <w:t>根据《中华人民共和国民法典》及甲方发布的***项目（项目编号</w:t>
      </w:r>
      <w:permStart w:id="0" w:edGrp="everyone"/>
      <w:r>
        <w:rPr>
          <w:rFonts w:hint="eastAsia" w:ascii="仿宋" w:hAnsi="仿宋" w:eastAsia="仿宋" w:cs="仿宋"/>
          <w:color w:val="000000"/>
          <w:szCs w:val="21"/>
        </w:rPr>
        <w:t>：</w:t>
      </w:r>
      <w:r>
        <w:rPr>
          <w:rFonts w:hint="eastAsia" w:ascii="仿宋" w:hAnsi="仿宋" w:eastAsia="仿宋" w:cs="仿宋"/>
          <w:szCs w:val="21"/>
        </w:rPr>
        <w:t>***</w:t>
      </w:r>
      <w:permEnd w:id="0"/>
      <w:r>
        <w:rPr>
          <w:rFonts w:hint="eastAsia" w:ascii="仿宋" w:hAnsi="仿宋" w:eastAsia="仿宋" w:cs="仿宋"/>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r>
        <w:rPr>
          <w:rFonts w:hint="eastAsia" w:ascii="仿宋" w:hAnsi="仿宋" w:eastAsia="仿宋" w:cs="仿宋"/>
          <w:color w:val="000000"/>
          <w:szCs w:val="21"/>
          <w:highlight w:val="none"/>
        </w:rPr>
        <w:t>：</w:t>
      </w:r>
    </w:p>
    <w:p w14:paraId="0E683A7E">
      <w:pPr>
        <w:spacing w:line="360" w:lineRule="auto"/>
        <w:contextualSpacing/>
        <w:jc w:val="left"/>
        <w:rPr>
          <w:rFonts w:hint="eastAsia" w:ascii="仿宋" w:hAnsi="仿宋" w:eastAsia="仿宋" w:cs="仿宋"/>
          <w:b/>
          <w:szCs w:val="21"/>
          <w:highlight w:val="none"/>
        </w:rPr>
      </w:pPr>
    </w:p>
    <w:p w14:paraId="4F98A68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2E385537">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229FB38">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bookmarkStart w:id="47" w:name="_GoBack"/>
      <w:bookmarkEnd w:id="47"/>
      <w:r>
        <w:rPr>
          <w:rFonts w:hint="eastAsia" w:ascii="仿宋" w:hAnsi="仿宋" w:eastAsia="仿宋" w:cs="仿宋"/>
          <w:szCs w:val="21"/>
          <w:highlight w:val="none"/>
        </w:rPr>
        <w:t>：***。</w:t>
      </w:r>
    </w:p>
    <w:p w14:paraId="5F975DD2">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42032E31">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分项服务名称</w:t>
            </w:r>
          </w:p>
        </w:tc>
        <w:tc>
          <w:tcPr>
            <w:tcW w:w="3686" w:type="dxa"/>
            <w:vAlign w:val="center"/>
          </w:tcPr>
          <w:p w14:paraId="0F0FDBF4">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6E75E46C">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3BC8F9B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629F7C51">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1B711F72">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5DD02118">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149276E7">
            <w:pPr>
              <w:pStyle w:val="31"/>
              <w:spacing w:line="360" w:lineRule="auto"/>
              <w:ind w:firstLine="0" w:firstLineChars="0"/>
              <w:rPr>
                <w:rFonts w:hint="eastAsia" w:ascii="仿宋" w:hAnsi="仿宋" w:eastAsia="仿宋" w:cs="仿宋"/>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0E44D544">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01B65D9C">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4C31DD39">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3000AC5A">
            <w:pPr>
              <w:pStyle w:val="31"/>
              <w:spacing w:line="360" w:lineRule="auto"/>
              <w:ind w:firstLine="0" w:firstLineChars="0"/>
              <w:rPr>
                <w:rFonts w:hint="eastAsia" w:ascii="仿宋" w:hAnsi="仿宋" w:eastAsia="仿宋" w:cs="仿宋"/>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71D5F885">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38AC0A57">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3B15876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43F7F4B9">
            <w:pPr>
              <w:pStyle w:val="31"/>
              <w:spacing w:line="360" w:lineRule="auto"/>
              <w:ind w:firstLine="0" w:firstLineChars="0"/>
              <w:rPr>
                <w:rFonts w:hint="eastAsia" w:ascii="仿宋" w:hAnsi="仿宋" w:eastAsia="仿宋" w:cs="仿宋"/>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492CFE5D">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5E27032F">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19B2144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5FC047A6">
            <w:pPr>
              <w:pStyle w:val="31"/>
              <w:spacing w:line="360" w:lineRule="auto"/>
              <w:ind w:firstLine="0" w:firstLineChars="0"/>
              <w:rPr>
                <w:rFonts w:hint="eastAsia" w:ascii="仿宋" w:hAnsi="仿宋" w:eastAsia="仿宋" w:cs="仿宋"/>
                <w:color w:val="000000"/>
                <w:szCs w:val="21"/>
                <w:highlight w:val="none"/>
              </w:rPr>
            </w:pPr>
          </w:p>
        </w:tc>
      </w:tr>
    </w:tbl>
    <w:p w14:paraId="2D35C912">
      <w:pPr>
        <w:pStyle w:val="31"/>
        <w:numPr>
          <w:ilvl w:val="0"/>
          <w:numId w:val="18"/>
        </w:numPr>
        <w:spacing w:line="360" w:lineRule="auto"/>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36F89BD">
      <w:pPr>
        <w:spacing w:line="360" w:lineRule="auto"/>
        <w:ind w:firstLine="480"/>
        <w:contextualSpacing/>
        <w:jc w:val="left"/>
        <w:rPr>
          <w:rFonts w:hint="eastAsia" w:ascii="仿宋" w:hAnsi="仿宋" w:eastAsia="仿宋" w:cs="仿宋"/>
          <w:szCs w:val="21"/>
          <w:highlight w:val="none"/>
        </w:rPr>
      </w:pPr>
      <w:bookmarkStart w:id="35" w:name="OLE_LINK1"/>
      <w:bookmarkStart w:id="36" w:name="OLE_LINK2"/>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6903D519">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1F79E5D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37" w:name="OLE_LINK28"/>
      <w:r>
        <w:rPr>
          <w:rFonts w:hint="eastAsia" w:ascii="仿宋" w:hAnsi="仿宋" w:eastAsia="仿宋" w:cs="仿宋"/>
          <w:szCs w:val="21"/>
          <w:highlight w:val="none"/>
        </w:rPr>
        <w:t>人民币大写：*** 圆整，即RMB *** 元</w:t>
      </w:r>
      <w:bookmarkEnd w:id="37"/>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2272364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12981F5A">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70F77AF6">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元，依据本合同单价进行结算，结算单价详见附件1《结算单价清单》。</w:t>
      </w:r>
    </w:p>
    <w:bookmarkEnd w:id="35"/>
    <w:bookmarkEnd w:id="36"/>
    <w:p w14:paraId="61352334">
      <w:pPr>
        <w:pStyle w:val="31"/>
        <w:numPr>
          <w:ilvl w:val="0"/>
          <w:numId w:val="18"/>
        </w:numPr>
        <w:spacing w:line="360" w:lineRule="auto"/>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4E947B0D">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本</w:t>
      </w:r>
      <w:r>
        <w:rPr>
          <w:rFonts w:hint="eastAsia" w:ascii="仿宋" w:hAnsi="仿宋" w:eastAsia="仿宋" w:cs="仿宋"/>
          <w:bCs/>
          <w:szCs w:val="21"/>
          <w:highlight w:val="none"/>
        </w:rPr>
        <w:t>合同服务期限为 *** 年，自 202* 年 *** 月 *** 日起至 202* 年 *** 月 *** 日。</w:t>
      </w:r>
    </w:p>
    <w:p w14:paraId="3141708C">
      <w:pPr>
        <w:pStyle w:val="31"/>
        <w:spacing w:line="360" w:lineRule="auto"/>
        <w:jc w:val="left"/>
        <w:rPr>
          <w:rFonts w:hint="eastAsia" w:ascii="仿宋" w:hAnsi="仿宋" w:eastAsia="仿宋" w:cs="仿宋"/>
          <w:bCs/>
          <w:szCs w:val="21"/>
          <w:highlight w:val="none"/>
        </w:rPr>
      </w:pPr>
    </w:p>
    <w:p w14:paraId="368787FF">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本合同服务期限为双方签字盖章生效之日起 *** 年，即自 202* 年 *** 月 *** 日起至 202* 年 *** 月 *** 日。</w:t>
      </w:r>
    </w:p>
    <w:p w14:paraId="08791303">
      <w:pPr>
        <w:pStyle w:val="31"/>
        <w:spacing w:line="360" w:lineRule="auto"/>
        <w:jc w:val="left"/>
        <w:rPr>
          <w:rFonts w:hint="eastAsia" w:ascii="仿宋" w:hAnsi="仿宋" w:eastAsia="仿宋" w:cs="仿宋"/>
          <w:bCs/>
          <w:szCs w:val="21"/>
          <w:highlight w:val="none"/>
        </w:rPr>
      </w:pPr>
    </w:p>
    <w:p w14:paraId="27DB179C">
      <w:pPr>
        <w:pStyle w:val="31"/>
        <w:spacing w:line="360" w:lineRule="auto"/>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38"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38"/>
      <w:r>
        <w:rPr>
          <w:rFonts w:hint="eastAsia" w:ascii="仿宋" w:hAnsi="仿宋" w:eastAsia="仿宋" w:cs="仿宋"/>
          <w:bCs/>
          <w:szCs w:val="21"/>
          <w:highlight w:val="none"/>
        </w:rPr>
        <w:t>。</w:t>
      </w:r>
    </w:p>
    <w:p w14:paraId="1B25740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6E0AE13">
      <w:pPr>
        <w:spacing w:line="360" w:lineRule="auto"/>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7482C29A">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57707485">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103305C9">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10719F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验收主体：甲方</w:t>
      </w:r>
    </w:p>
    <w:p w14:paraId="7212F6E2">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验收组织方式：自行验收</w:t>
      </w:r>
    </w:p>
    <w:p w14:paraId="5C963DB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r>
        <w:rPr>
          <w:rFonts w:hint="eastAsia" w:ascii="仿宋" w:hAnsi="仿宋" w:eastAsia="仿宋" w:cs="仿宋"/>
          <w:highlight w:val="none"/>
        </w:rPr>
        <w:sym w:font="Wingdings 2" w:char="F052"/>
      </w:r>
      <w:r>
        <w:rPr>
          <w:rFonts w:hint="eastAsia" w:ascii="仿宋" w:hAnsi="仿宋" w:eastAsia="仿宋" w:cs="仿宋"/>
          <w:color w:val="000000"/>
          <w:szCs w:val="21"/>
          <w:highlight w:val="none"/>
        </w:rPr>
        <w:t xml:space="preserve">一次性验收   </w:t>
      </w:r>
      <w:r>
        <w:rPr>
          <w:rFonts w:hint="eastAsia" w:ascii="仿宋" w:hAnsi="仿宋" w:eastAsia="仿宋" w:cs="仿宋"/>
          <w:highlight w:val="none"/>
        </w:rPr>
        <w:sym w:font="Wingdings" w:char="F0A8"/>
      </w:r>
      <w:r>
        <w:rPr>
          <w:rFonts w:hint="eastAsia" w:ascii="仿宋" w:hAnsi="仿宋" w:eastAsia="仿宋" w:cs="仿宋"/>
          <w:color w:val="000000"/>
          <w:szCs w:val="21"/>
          <w:highlight w:val="none"/>
        </w:rPr>
        <w:t>分段/分期验收</w:t>
      </w:r>
    </w:p>
    <w:p w14:paraId="0ACAEB8E">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highlight w:val="none"/>
        </w:rPr>
        <w:t>现场整体验收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考核验收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其它验收方式：</w:t>
      </w:r>
      <w:r>
        <w:rPr>
          <w:rFonts w:hint="eastAsia" w:ascii="仿宋" w:hAnsi="仿宋" w:eastAsia="仿宋" w:cs="仿宋"/>
          <w:color w:val="000000"/>
          <w:highlight w:val="none"/>
          <w:u w:val="single"/>
          <w:shd w:val="clear" w:color="auto" w:fill="FFFFFF"/>
        </w:rPr>
        <w:t>***</w:t>
      </w:r>
    </w:p>
    <w:p w14:paraId="25BB580A">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履约验收内容：按照甲方的采购文件要求及乙方响应文件响应情况，由乙方向甲方提供的</w:t>
      </w:r>
      <w:r>
        <w:rPr>
          <w:rFonts w:hint="eastAsia" w:ascii="仿宋" w:hAnsi="仿宋" w:eastAsia="仿宋" w:cs="仿宋"/>
          <w:szCs w:val="21"/>
          <w:highlight w:val="none"/>
          <w:u w:val="single"/>
        </w:rPr>
        <w:t>全部服务</w:t>
      </w:r>
      <w:r>
        <w:rPr>
          <w:rFonts w:hint="eastAsia" w:ascii="仿宋" w:hAnsi="仿宋" w:eastAsia="仿宋" w:cs="仿宋"/>
          <w:szCs w:val="21"/>
          <w:highlight w:val="none"/>
        </w:rPr>
        <w:t>的履约情况。</w:t>
      </w:r>
    </w:p>
    <w:p w14:paraId="1F2D4C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履约验收时间：</w:t>
      </w:r>
    </w:p>
    <w:p w14:paraId="27EEE864">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服务期满且乙方完成所有服务内容后X日内通知甲方验收，甲方接乙方通知后X日内组织验收</w:t>
      </w:r>
    </w:p>
    <w:p w14:paraId="13560871">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乙方完成每一阶段或轮次服务内容后X日内通知甲方验收，甲方接乙方通知后X日内组织验收</w:t>
      </w:r>
    </w:p>
    <w:p w14:paraId="668E8EC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甲方完成考核后X日内组织验收</w:t>
      </w:r>
    </w:p>
    <w:p w14:paraId="06090759">
      <w:pPr>
        <w:pStyle w:val="13"/>
        <w:spacing w:after="0" w:line="360" w:lineRule="auto"/>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 xml:space="preserve">其它验收时间：            </w:t>
      </w:r>
    </w:p>
    <w:p w14:paraId="0A943DA8">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是否邀请本项目的其他供应商：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740E083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是否邀请专家：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595EB419">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是否邀请服务对象：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212FF5E1">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47F88790">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24757C73">
      <w:pPr>
        <w:pStyle w:val="13"/>
        <w:numPr>
          <w:ilvl w:val="0"/>
          <w:numId w:val="22"/>
        </w:numPr>
        <w:spacing w:after="0" w:line="360" w:lineRule="auto"/>
        <w:ind w:firstLineChars="0"/>
        <w:contextualSpacing/>
        <w:rPr>
          <w:rFonts w:hint="eastAsia" w:ascii="仿宋" w:hAnsi="仿宋" w:eastAsia="仿宋" w:cs="仿宋"/>
          <w:szCs w:val="21"/>
          <w:highlight w:val="none"/>
        </w:rPr>
      </w:pPr>
      <w:bookmarkStart w:id="39" w:name="OLE_LINK4"/>
      <w:r>
        <w:rPr>
          <w:rFonts w:hint="eastAsia" w:ascii="仿宋" w:hAnsi="仿宋" w:eastAsia="仿宋" w:cs="仿宋"/>
          <w:szCs w:val="21"/>
          <w:highlight w:val="none"/>
          <w:shd w:val="clear" w:color="auto" w:fill="FFFFFF"/>
        </w:rPr>
        <w:t>国家相关法律法规、行业标准、技术规范。</w:t>
      </w:r>
    </w:p>
    <w:p w14:paraId="4A34192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甲方采购文件相关技术、服务要求、乙方响应文件相关响应内容。</w:t>
      </w:r>
    </w:p>
    <w:p w14:paraId="4BB5AAA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如本项目验收方式为考核验收，则考核结果须为合格。</w:t>
      </w:r>
    </w:p>
    <w:bookmarkEnd w:id="39"/>
    <w:p w14:paraId="2BFFECC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参照《财政部关于进一步加强政府采购需求和履约验收管理的指导意见》（财库〔2016〕205号）的要求进行验收。</w:t>
      </w:r>
    </w:p>
    <w:p w14:paraId="5A8F93D9">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其它标准：</w:t>
      </w:r>
      <w:r>
        <w:rPr>
          <w:rFonts w:hint="eastAsia" w:ascii="仿宋" w:hAnsi="仿宋" w:eastAsia="仿宋" w:cs="仿宋"/>
          <w:szCs w:val="21"/>
          <w:highlight w:val="none"/>
          <w:u w:val="single"/>
        </w:rPr>
        <w:t>无。</w:t>
      </w:r>
    </w:p>
    <w:p w14:paraId="5FCD4D1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6213DBF3">
      <w:pPr>
        <w:pStyle w:val="31"/>
        <w:numPr>
          <w:ilvl w:val="0"/>
          <w:numId w:val="2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5CC2072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1A98FD8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个工作日内，按合同总价</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%支付履约保证金；本合同服务期满且验收合格后，甲方接到乙方付款申请后</w:t>
      </w:r>
      <w:r>
        <w:rPr>
          <w:rFonts w:hint="eastAsia" w:ascii="仿宋" w:hAnsi="仿宋" w:eastAsia="仿宋" w:cs="仿宋"/>
          <w:color w:val="000000"/>
          <w:szCs w:val="21"/>
          <w:highlight w:val="none"/>
          <w:u w:val="single"/>
        </w:rPr>
        <w:t>30</w:t>
      </w:r>
      <w:r>
        <w:rPr>
          <w:rFonts w:hint="eastAsia" w:ascii="仿宋" w:hAnsi="仿宋" w:eastAsia="仿宋" w:cs="仿宋"/>
          <w:color w:val="000000"/>
          <w:szCs w:val="21"/>
          <w:highlight w:val="none"/>
        </w:rPr>
        <w:t>个工作日内，甲方一次性无息退还乙方的履约保证金；经验收后乙方履约不合格的，履约保证金不予退还。</w:t>
      </w:r>
    </w:p>
    <w:p w14:paraId="7A4394EF">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DB5940E">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本合同价款采用以下方式支付，以人民币结算：</w:t>
      </w:r>
    </w:p>
    <w:p w14:paraId="09FDA0E6">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621259CA">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本合同服务期满且经甲方验收合格后</w:t>
      </w:r>
      <w:r>
        <w:rPr>
          <w:rFonts w:hint="eastAsia" w:ascii="仿宋" w:hAnsi="仿宋" w:eastAsia="仿宋" w:cs="仿宋"/>
          <w:szCs w:val="21"/>
          <w:highlight w:val="none"/>
          <w:u w:val="single"/>
        </w:rPr>
        <w:t>5</w:t>
      </w:r>
      <w:r>
        <w:rPr>
          <w:rFonts w:hint="eastAsia" w:ascii="仿宋" w:hAnsi="仿宋" w:eastAsia="仿宋" w:cs="仿宋"/>
          <w:szCs w:val="21"/>
          <w:highlight w:val="none"/>
        </w:rPr>
        <w:t>日内</w:t>
      </w:r>
      <w:r>
        <w:rPr>
          <w:rFonts w:hint="eastAsia" w:ascii="仿宋" w:hAnsi="仿宋" w:eastAsia="仿宋" w:cs="仿宋"/>
          <w:color w:val="000000"/>
          <w:szCs w:val="21"/>
          <w:highlight w:val="none"/>
        </w:rPr>
        <w:t>，乙方须向甲方提供合法有效票据及其他相关请款资料，甲方自收到乙方请款资料后</w:t>
      </w:r>
      <w:r>
        <w:rPr>
          <w:rFonts w:hint="eastAsia" w:ascii="仿宋" w:hAnsi="仿宋" w:eastAsia="仿宋" w:cs="仿宋"/>
          <w:color w:val="000000"/>
          <w:szCs w:val="21"/>
          <w:highlight w:val="none"/>
          <w:u w:val="single"/>
        </w:rPr>
        <w:t>55</w:t>
      </w:r>
      <w:r>
        <w:rPr>
          <w:rFonts w:hint="eastAsia" w:ascii="仿宋" w:hAnsi="仿宋" w:eastAsia="仿宋" w:cs="仿宋"/>
          <w:color w:val="000000"/>
          <w:szCs w:val="21"/>
          <w:highlight w:val="none"/>
        </w:rPr>
        <w:t>日内支付合同总价100%的金额给乙方。</w:t>
      </w:r>
    </w:p>
    <w:p w14:paraId="750B8A19">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56BDDA9D">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40" w:name="OLE_LINK30"/>
      <w:r>
        <w:rPr>
          <w:rFonts w:hint="eastAsia" w:ascii="仿宋" w:hAnsi="仿宋" w:eastAsia="仿宋" w:cs="仿宋"/>
          <w:szCs w:val="21"/>
          <w:highlight w:val="none"/>
        </w:rPr>
        <w:t>固定部分价款</w:t>
      </w:r>
      <w:bookmarkEnd w:id="40"/>
      <w:r>
        <w:rPr>
          <w:rFonts w:hint="eastAsia" w:ascii="仿宋" w:hAnsi="仿宋" w:eastAsia="仿宋" w:cs="仿宋"/>
          <w:color w:val="000000"/>
          <w:szCs w:val="21"/>
          <w:highlight w:val="none"/>
        </w:rPr>
        <w:t>：</w:t>
      </w:r>
      <w:r>
        <w:rPr>
          <w:rFonts w:hint="eastAsia" w:ascii="仿宋" w:hAnsi="仿宋" w:eastAsia="仿宋" w:cs="仿宋"/>
          <w:szCs w:val="21"/>
          <w:highlight w:val="none"/>
        </w:rPr>
        <w:t>本合同服务期满且经甲方验收合格后5日内</w:t>
      </w:r>
      <w:r>
        <w:rPr>
          <w:rFonts w:hint="eastAsia" w:ascii="仿宋" w:hAnsi="仿宋" w:eastAsia="仿宋" w:cs="仿宋"/>
          <w:color w:val="000000"/>
          <w:szCs w:val="21"/>
          <w:highlight w:val="none"/>
        </w:rPr>
        <w:t>，乙方须向甲方提供合法有效票据及其他相关请款资料，甲方自收到乙方请款资料后55日内向乙方支付本合同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4C3983EC">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（2）按实结算部分：每</w:t>
      </w:r>
      <w:r>
        <w:rPr>
          <w:rFonts w:hint="eastAsia" w:ascii="仿宋" w:hAnsi="仿宋" w:eastAsia="仿宋" w:cs="仿宋"/>
          <w:color w:val="000000"/>
          <w:szCs w:val="21"/>
          <w:highlight w:val="none"/>
          <w:u w:val="single"/>
        </w:rPr>
        <w:t>XX</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结算一次费用，结算单价以</w:t>
      </w:r>
      <w:r>
        <w:rPr>
          <w:rFonts w:hint="eastAsia" w:ascii="仿宋" w:hAnsi="仿宋" w:eastAsia="仿宋" w:cs="仿宋"/>
          <w:szCs w:val="21"/>
          <w:highlight w:val="none"/>
        </w:rPr>
        <w:t>《结算单价清单》</w:t>
      </w:r>
      <w:r>
        <w:rPr>
          <w:rFonts w:hint="eastAsia" w:ascii="仿宋" w:hAnsi="仿宋" w:eastAsia="仿宋" w:cs="仿宋"/>
          <w:color w:val="000000"/>
          <w:szCs w:val="21"/>
          <w:highlight w:val="none"/>
        </w:rPr>
        <w:t>为准。</w:t>
      </w:r>
      <w:r>
        <w:rPr>
          <w:rFonts w:hint="eastAsia" w:ascii="仿宋" w:hAnsi="仿宋" w:eastAsia="仿宋" w:cs="仿宋"/>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highlight w:val="none"/>
          <w:u w:val="single"/>
          <w:lang w:bidi="ar"/>
        </w:rPr>
        <w:t>55</w:t>
      </w:r>
      <w:r>
        <w:rPr>
          <w:rFonts w:hint="eastAsia" w:ascii="仿宋" w:hAnsi="仿宋" w:eastAsia="仿宋" w:cs="仿宋"/>
          <w:highlight w:val="none"/>
          <w:lang w:bidi="ar"/>
        </w:rPr>
        <w:t>日内，向乙方全额支付上述结算费用。</w:t>
      </w:r>
    </w:p>
    <w:p w14:paraId="5586C7FB">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w:t>
      </w:r>
      <w:r>
        <w:rPr>
          <w:rFonts w:hint="eastAsia" w:ascii="仿宋" w:hAnsi="仿宋" w:eastAsia="仿宋" w:cs="仿宋"/>
          <w:highlight w:val="none"/>
          <w:lang w:bidi="ar"/>
        </w:rPr>
        <w:t>提供合法有效票据及其他相关请款资料</w:t>
      </w:r>
      <w:r>
        <w:rPr>
          <w:rFonts w:hint="eastAsia" w:ascii="仿宋" w:hAnsi="仿宋" w:eastAsia="仿宋" w:cs="仿宋"/>
          <w:szCs w:val="21"/>
          <w:highlight w:val="none"/>
        </w:rPr>
        <w:t>，否则甲方有权拒绝支付且不承担任何违约责任，且乙方不得因此停止服务。</w:t>
      </w:r>
    </w:p>
    <w:p w14:paraId="2EB2BA7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19A7DEEB">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581F8AA0">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4D16113D">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62A0275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3511970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7EDB0B3A">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344AB8AA">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319B30B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29A7D576">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26B4DD92">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68E6AAB3">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742F734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5B66A4B0">
      <w:pPr>
        <w:pStyle w:val="7"/>
        <w:numPr>
          <w:ilvl w:val="0"/>
          <w:numId w:val="27"/>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p w14:paraId="0BC8E6CE">
      <w:pPr>
        <w:pStyle w:val="31"/>
        <w:numPr>
          <w:ilvl w:val="0"/>
          <w:numId w:val="27"/>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354B31C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bookmarkStart w:id="41" w:name="OLE_LINK18"/>
      <w:bookmarkStart w:id="42" w:name="OLE_LINK17"/>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w:t>
      </w:r>
    </w:p>
    <w:p w14:paraId="2E725C36">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w:t>
      </w:r>
    </w:p>
    <w:p w14:paraId="74485C68">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w:t>
      </w:r>
      <w:r>
        <w:rPr>
          <w:rFonts w:hint="eastAsia" w:ascii="仿宋" w:hAnsi="仿宋" w:eastAsia="仿宋" w:cs="仿宋"/>
          <w:szCs w:val="21"/>
          <w:highlight w:val="none"/>
        </w:rPr>
        <w:t>‰向甲方支付违约金。甲方可采取必要的补救措施，但由此而产生的风险责任和费用将由乙方负担，甲方根据合同规定对乙方行使的其他权利不受影响。</w:t>
      </w:r>
    </w:p>
    <w:p w14:paraId="170DE4F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%支付违约金。</w:t>
      </w:r>
    </w:p>
    <w:p w14:paraId="0B16844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bookmarkEnd w:id="41"/>
    <w:bookmarkEnd w:id="42"/>
    <w:p w14:paraId="79DD140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3156E70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7"/>
        <w:numPr>
          <w:ilvl w:val="0"/>
          <w:numId w:val="28"/>
        </w:numPr>
        <w:snapToGrid w:val="0"/>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spacing w:after="0" w:line="36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54D020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26541785">
      <w:pPr>
        <w:pStyle w:val="31"/>
        <w:snapToGrid w:val="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275C61D9">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2BA7B89E">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5C6244A3">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533F859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46F487CF">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2E0AF282">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750624B0">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162904B6">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3EA6778F">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本合同一式四份，自双方签字且盖章之日起生效。甲方三份，乙方一份。</w:t>
      </w:r>
    </w:p>
    <w:p w14:paraId="134580B1">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6C66D4A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3FF9CA8A">
      <w:pPr>
        <w:spacing w:line="360" w:lineRule="auto"/>
        <w:jc w:val="left"/>
        <w:outlineLvl w:val="0"/>
        <w:rPr>
          <w:rFonts w:hint="eastAsia" w:ascii="仿宋" w:hAnsi="仿宋" w:eastAsia="仿宋" w:cs="仿宋"/>
          <w:szCs w:val="21"/>
          <w:highlight w:val="none"/>
        </w:rPr>
      </w:pPr>
      <w:bookmarkStart w:id="43" w:name="_Toc26288"/>
      <w:r>
        <w:rPr>
          <w:rFonts w:hint="eastAsia" w:ascii="仿宋" w:hAnsi="仿宋" w:eastAsia="仿宋" w:cs="仿宋"/>
          <w:szCs w:val="21"/>
          <w:highlight w:val="none"/>
        </w:rPr>
        <w:t>附件1《</w:t>
      </w:r>
      <w:bookmarkStart w:id="44" w:name="OLE_LINK32"/>
      <w:r>
        <w:rPr>
          <w:rFonts w:hint="eastAsia" w:ascii="仿宋" w:hAnsi="仿宋" w:eastAsia="仿宋" w:cs="仿宋"/>
          <w:szCs w:val="21"/>
          <w:highlight w:val="none"/>
        </w:rPr>
        <w:t>结算单价清单</w:t>
      </w:r>
      <w:bookmarkEnd w:id="44"/>
      <w:r>
        <w:rPr>
          <w:rFonts w:hint="eastAsia" w:ascii="仿宋" w:hAnsi="仿宋" w:eastAsia="仿宋" w:cs="仿宋"/>
          <w:szCs w:val="21"/>
          <w:highlight w:val="none"/>
        </w:rPr>
        <w:t>》</w:t>
      </w:r>
      <w:bookmarkEnd w:id="43"/>
    </w:p>
    <w:p w14:paraId="6CDBD3F1">
      <w:pPr>
        <w:spacing w:line="360" w:lineRule="auto"/>
        <w:jc w:val="left"/>
        <w:outlineLvl w:val="0"/>
        <w:rPr>
          <w:rFonts w:hint="eastAsia" w:ascii="仿宋" w:hAnsi="仿宋" w:eastAsia="仿宋" w:cs="仿宋"/>
          <w:szCs w:val="21"/>
          <w:highlight w:val="none"/>
        </w:rPr>
      </w:pPr>
      <w:bookmarkStart w:id="45" w:name="_Toc185"/>
      <w:r>
        <w:rPr>
          <w:rFonts w:hint="eastAsia" w:ascii="仿宋" w:hAnsi="仿宋" w:eastAsia="仿宋" w:cs="仿宋"/>
          <w:szCs w:val="21"/>
          <w:highlight w:val="none"/>
        </w:rPr>
        <w:t>附件2《考核标准》</w:t>
      </w:r>
      <w:bookmarkEnd w:id="45"/>
    </w:p>
    <w:p w14:paraId="485EAD27">
      <w:pPr>
        <w:spacing w:line="360" w:lineRule="auto"/>
        <w:jc w:val="left"/>
        <w:outlineLvl w:val="0"/>
        <w:rPr>
          <w:rFonts w:hint="eastAsia" w:ascii="仿宋" w:hAnsi="仿宋" w:eastAsia="仿宋" w:cs="仿宋"/>
          <w:szCs w:val="21"/>
          <w:highlight w:val="none"/>
        </w:rPr>
      </w:pPr>
      <w:bookmarkStart w:id="46" w:name="_Toc12430"/>
      <w:r>
        <w:rPr>
          <w:rFonts w:hint="eastAsia" w:ascii="仿宋" w:hAnsi="仿宋" w:eastAsia="仿宋" w:cs="仿宋"/>
          <w:szCs w:val="21"/>
          <w:highlight w:val="none"/>
        </w:rPr>
        <w:t>附件3《服务方案》</w:t>
      </w:r>
      <w:bookmarkEnd w:id="46"/>
    </w:p>
    <w:p w14:paraId="73257A85">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1BF2641A">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3CF6E83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6736D38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D5EBF0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76D47F6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5129AF1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47302462">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1CF0A190">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5672E29C">
            <w:pPr>
              <w:widowControl/>
              <w:spacing w:line="360" w:lineRule="auto"/>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1A128CAE">
      <w:pPr>
        <w:widowControl/>
        <w:spacing w:line="360" w:lineRule="auto"/>
        <w:jc w:val="left"/>
        <w:rPr>
          <w:rFonts w:hint="eastAsia" w:ascii="仿宋" w:hAnsi="仿宋" w:eastAsia="仿宋" w:cs="仿宋"/>
          <w:szCs w:val="21"/>
          <w:highlight w:val="none"/>
        </w:rPr>
        <w:sectPr>
          <w:headerReference r:id="rId10" w:type="default"/>
          <w:footerReference r:id="rId11" w:type="default"/>
          <w:type w:val="continuous"/>
          <w:pgSz w:w="11906" w:h="16838"/>
          <w:pgMar w:top="851" w:right="1134" w:bottom="851" w:left="1134" w:header="0" w:footer="567" w:gutter="0"/>
          <w:pgNumType w:fmt="decimal"/>
          <w:cols w:space="425" w:num="1"/>
          <w:docGrid w:linePitch="312" w:charSpace="0"/>
        </w:sectPr>
      </w:pPr>
    </w:p>
    <w:p w14:paraId="7B4B943E">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1D831279">
      <w:pPr>
        <w:widowControl/>
        <w:spacing w:line="360" w:lineRule="auto"/>
        <w:jc w:val="left"/>
        <w:rPr>
          <w:rFonts w:hint="eastAsia" w:ascii="仿宋" w:hAnsi="仿宋" w:eastAsia="仿宋" w:cs="仿宋"/>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6C23FD50">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3BB9E943">
            <w:pPr>
              <w:widowControl/>
              <w:spacing w:line="360" w:lineRule="auto"/>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66368B46">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5589F7C3">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4A635D96">
            <w:pPr>
              <w:widowControl/>
              <w:spacing w:line="360" w:lineRule="auto"/>
              <w:jc w:val="left"/>
              <w:rPr>
                <w:rFonts w:hint="eastAsia" w:ascii="仿宋" w:hAnsi="仿宋" w:eastAsia="仿宋" w:cs="仿宋"/>
                <w:szCs w:val="21"/>
                <w:highlight w:val="none"/>
              </w:rPr>
            </w:pPr>
          </w:p>
        </w:tc>
        <w:tc>
          <w:tcPr>
            <w:tcW w:w="3402" w:type="dxa"/>
            <w:vAlign w:val="center"/>
          </w:tcPr>
          <w:p w14:paraId="610A0DF8">
            <w:pPr>
              <w:widowControl/>
              <w:spacing w:line="360" w:lineRule="auto"/>
              <w:jc w:val="left"/>
              <w:rPr>
                <w:rFonts w:hint="eastAsia" w:ascii="仿宋" w:hAnsi="仿宋" w:eastAsia="仿宋" w:cs="仿宋"/>
                <w:szCs w:val="21"/>
                <w:highlight w:val="none"/>
              </w:rPr>
            </w:pPr>
          </w:p>
        </w:tc>
        <w:tc>
          <w:tcPr>
            <w:tcW w:w="992" w:type="dxa"/>
            <w:vAlign w:val="center"/>
          </w:tcPr>
          <w:p w14:paraId="59C6D210">
            <w:pPr>
              <w:widowControl/>
              <w:spacing w:line="360" w:lineRule="auto"/>
              <w:jc w:val="center"/>
              <w:rPr>
                <w:rFonts w:hint="eastAsia" w:ascii="仿宋" w:hAnsi="仿宋" w:eastAsia="仿宋" w:cs="仿宋"/>
                <w:szCs w:val="21"/>
                <w:highlight w:val="none"/>
              </w:rPr>
            </w:pPr>
          </w:p>
        </w:tc>
        <w:tc>
          <w:tcPr>
            <w:tcW w:w="986" w:type="dxa"/>
            <w:vAlign w:val="center"/>
          </w:tcPr>
          <w:p w14:paraId="3B758A07">
            <w:pPr>
              <w:widowControl/>
              <w:spacing w:line="360" w:lineRule="auto"/>
              <w:jc w:val="center"/>
              <w:rPr>
                <w:rFonts w:hint="eastAsia" w:ascii="仿宋" w:hAnsi="仿宋" w:eastAsia="仿宋" w:cs="仿宋"/>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2C25F4E1">
            <w:pPr>
              <w:widowControl/>
              <w:spacing w:line="360" w:lineRule="auto"/>
              <w:jc w:val="left"/>
              <w:rPr>
                <w:rFonts w:hint="eastAsia" w:ascii="仿宋" w:hAnsi="仿宋" w:eastAsia="仿宋" w:cs="仿宋"/>
                <w:szCs w:val="21"/>
                <w:highlight w:val="none"/>
              </w:rPr>
            </w:pPr>
          </w:p>
        </w:tc>
        <w:tc>
          <w:tcPr>
            <w:tcW w:w="3402" w:type="dxa"/>
            <w:vAlign w:val="center"/>
          </w:tcPr>
          <w:p w14:paraId="473015E2">
            <w:pPr>
              <w:widowControl/>
              <w:spacing w:line="360" w:lineRule="auto"/>
              <w:jc w:val="left"/>
              <w:rPr>
                <w:rFonts w:hint="eastAsia" w:ascii="仿宋" w:hAnsi="仿宋" w:eastAsia="仿宋" w:cs="仿宋"/>
                <w:szCs w:val="21"/>
                <w:highlight w:val="none"/>
              </w:rPr>
            </w:pPr>
          </w:p>
        </w:tc>
        <w:tc>
          <w:tcPr>
            <w:tcW w:w="992" w:type="dxa"/>
            <w:vAlign w:val="center"/>
          </w:tcPr>
          <w:p w14:paraId="1AC45725">
            <w:pPr>
              <w:widowControl/>
              <w:spacing w:line="360" w:lineRule="auto"/>
              <w:jc w:val="center"/>
              <w:rPr>
                <w:rFonts w:hint="eastAsia" w:ascii="仿宋" w:hAnsi="仿宋" w:eastAsia="仿宋" w:cs="仿宋"/>
                <w:szCs w:val="21"/>
                <w:highlight w:val="none"/>
              </w:rPr>
            </w:pPr>
          </w:p>
        </w:tc>
        <w:tc>
          <w:tcPr>
            <w:tcW w:w="986" w:type="dxa"/>
            <w:vAlign w:val="center"/>
          </w:tcPr>
          <w:p w14:paraId="794FEA53">
            <w:pPr>
              <w:widowControl/>
              <w:spacing w:line="360" w:lineRule="auto"/>
              <w:jc w:val="center"/>
              <w:rPr>
                <w:rFonts w:hint="eastAsia" w:ascii="仿宋" w:hAnsi="仿宋" w:eastAsia="仿宋" w:cs="仿宋"/>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09F89178">
            <w:pPr>
              <w:widowControl/>
              <w:spacing w:line="360" w:lineRule="auto"/>
              <w:jc w:val="left"/>
              <w:rPr>
                <w:rFonts w:hint="eastAsia" w:ascii="仿宋" w:hAnsi="仿宋" w:eastAsia="仿宋" w:cs="仿宋"/>
                <w:szCs w:val="21"/>
                <w:highlight w:val="none"/>
              </w:rPr>
            </w:pPr>
          </w:p>
        </w:tc>
        <w:tc>
          <w:tcPr>
            <w:tcW w:w="3402" w:type="dxa"/>
            <w:vAlign w:val="center"/>
          </w:tcPr>
          <w:p w14:paraId="1FF16C42">
            <w:pPr>
              <w:widowControl/>
              <w:spacing w:line="360" w:lineRule="auto"/>
              <w:jc w:val="left"/>
              <w:rPr>
                <w:rFonts w:hint="eastAsia" w:ascii="仿宋" w:hAnsi="仿宋" w:eastAsia="仿宋" w:cs="仿宋"/>
                <w:szCs w:val="21"/>
                <w:highlight w:val="none"/>
              </w:rPr>
            </w:pPr>
          </w:p>
        </w:tc>
        <w:tc>
          <w:tcPr>
            <w:tcW w:w="992" w:type="dxa"/>
            <w:vAlign w:val="center"/>
          </w:tcPr>
          <w:p w14:paraId="0BD2D448">
            <w:pPr>
              <w:widowControl/>
              <w:spacing w:line="360" w:lineRule="auto"/>
              <w:jc w:val="center"/>
              <w:rPr>
                <w:rFonts w:hint="eastAsia" w:ascii="仿宋" w:hAnsi="仿宋" w:eastAsia="仿宋" w:cs="仿宋"/>
                <w:szCs w:val="21"/>
                <w:highlight w:val="none"/>
              </w:rPr>
            </w:pPr>
          </w:p>
        </w:tc>
        <w:tc>
          <w:tcPr>
            <w:tcW w:w="986" w:type="dxa"/>
            <w:vAlign w:val="center"/>
          </w:tcPr>
          <w:p w14:paraId="32267964">
            <w:pPr>
              <w:widowControl/>
              <w:spacing w:line="360" w:lineRule="auto"/>
              <w:jc w:val="center"/>
              <w:rPr>
                <w:rFonts w:hint="eastAsia" w:ascii="仿宋" w:hAnsi="仿宋" w:eastAsia="仿宋" w:cs="仿宋"/>
                <w:szCs w:val="21"/>
                <w:highlight w:val="none"/>
              </w:rPr>
            </w:pPr>
          </w:p>
        </w:tc>
      </w:tr>
    </w:tbl>
    <w:p w14:paraId="799425E9">
      <w:pPr>
        <w:widowControl/>
        <w:spacing w:line="360" w:lineRule="auto"/>
        <w:jc w:val="left"/>
        <w:rPr>
          <w:rFonts w:hint="eastAsia" w:ascii="仿宋" w:hAnsi="仿宋" w:eastAsia="仿宋" w:cs="仿宋"/>
          <w:szCs w:val="21"/>
          <w:highlight w:val="none"/>
        </w:rPr>
        <w:sectPr>
          <w:headerReference r:id="rId12" w:type="default"/>
          <w:footerReference r:id="rId13" w:type="default"/>
          <w:pgSz w:w="11906" w:h="16838"/>
          <w:pgMar w:top="851" w:right="1134" w:bottom="851" w:left="1134" w:header="0" w:footer="567" w:gutter="0"/>
          <w:pgNumType w:fmt="decimal"/>
          <w:cols w:space="425" w:num="1"/>
          <w:docGrid w:linePitch="312" w:charSpace="0"/>
        </w:sectPr>
      </w:pPr>
    </w:p>
    <w:p w14:paraId="6BEFDD75">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6C0FC75D">
      <w:pPr>
        <w:spacing w:line="360" w:lineRule="auto"/>
        <w:rPr>
          <w:rFonts w:hint="eastAsia" w:ascii="仿宋" w:hAnsi="仿宋" w:eastAsia="仿宋" w:cs="仿宋"/>
          <w:highlight w:val="none"/>
        </w:rPr>
      </w:pPr>
    </w:p>
    <w:p w14:paraId="5A024B68">
      <w:pPr>
        <w:spacing w:line="360" w:lineRule="auto"/>
        <w:rPr>
          <w:rFonts w:hint="eastAsia" w:ascii="仿宋" w:hAnsi="仿宋" w:eastAsia="仿宋" w:cs="仿宋"/>
          <w:highlight w:val="none"/>
        </w:rPr>
        <w:sectPr>
          <w:headerReference r:id="rId14" w:type="default"/>
          <w:footerReference r:id="rId15"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highlight w:val="none"/>
        </w:rPr>
        <w:t>***</w:t>
      </w:r>
    </w:p>
    <w:p w14:paraId="692BA005">
      <w:pPr>
        <w:widowControl/>
        <w:spacing w:line="360" w:lineRule="auto"/>
        <w:jc w:val="left"/>
        <w:rPr>
          <w:rFonts w:hint="eastAsia" w:ascii="仿宋" w:hAnsi="仿宋" w:eastAsia="仿宋" w:cs="仿宋"/>
          <w:b/>
          <w:bCs/>
          <w:szCs w:val="21"/>
        </w:rPr>
      </w:pPr>
      <w:r>
        <w:rPr>
          <w:rFonts w:hint="eastAsia" w:ascii="仿宋" w:hAnsi="仿宋" w:eastAsia="仿宋" w:cs="仿宋"/>
          <w:b/>
          <w:bCs/>
          <w:szCs w:val="21"/>
        </w:rPr>
        <w:t>附件3：服务方案</w:t>
      </w:r>
    </w:p>
    <w:p w14:paraId="49A6C9EA">
      <w:pPr>
        <w:spacing w:line="360" w:lineRule="auto"/>
        <w:rPr>
          <w:rFonts w:hint="eastAsia" w:ascii="仿宋" w:hAnsi="仿宋" w:eastAsia="仿宋" w:cs="仿宋"/>
        </w:rPr>
      </w:pPr>
    </w:p>
    <w:p w14:paraId="1E9CF7A4">
      <w:pPr>
        <w:spacing w:line="360" w:lineRule="auto"/>
        <w:rPr>
          <w:rFonts w:hint="eastAsia" w:ascii="仿宋" w:hAnsi="仿宋" w:eastAsia="仿宋" w:cs="仿宋"/>
        </w:rPr>
      </w:pPr>
      <w:r>
        <w:rPr>
          <w:rFonts w:hint="eastAsia" w:ascii="仿宋" w:hAnsi="仿宋" w:eastAsia="仿宋" w:cs="仿宋"/>
        </w:rPr>
        <w:t>***</w:t>
      </w:r>
    </w:p>
    <w:p w14:paraId="59CE58F1">
      <w:pPr>
        <w:rPr>
          <w:rFonts w:hint="eastAsia" w:ascii="仿宋" w:hAnsi="仿宋" w:eastAsia="仿宋" w:cs="仿宋"/>
          <w:color w:val="auto"/>
        </w:rPr>
      </w:pPr>
      <w:r>
        <w:rPr>
          <w:rFonts w:hint="eastAsia" w:ascii="仿宋" w:hAnsi="仿宋" w:eastAsia="仿宋" w:cs="仿宋"/>
          <w:color w:val="auto"/>
        </w:rPr>
        <w:br w:type="page"/>
      </w:r>
    </w:p>
    <w:p w14:paraId="57906FDD">
      <w:pPr>
        <w:jc w:val="center"/>
        <w:rPr>
          <w:rFonts w:ascii="仿宋" w:hAnsi="仿宋" w:eastAsia="仿宋" w:cs="仿宋"/>
          <w:b/>
          <w:bCs/>
          <w:color w:val="000000" w:themeColor="text1"/>
          <w:sz w:val="44"/>
          <w:szCs w:val="52"/>
          <w14:textFill>
            <w14:solidFill>
              <w14:schemeClr w14:val="tx1"/>
            </w14:solidFill>
          </w14:textFill>
        </w:rPr>
      </w:pPr>
      <w:r>
        <w:rPr>
          <w:rFonts w:ascii="仿宋" w:hAnsi="仿宋" w:eastAsia="仿宋" w:cs="仿宋"/>
          <w:b/>
          <w:bCs/>
          <w:color w:val="000000" w:themeColor="text1"/>
          <w:sz w:val="44"/>
          <w:szCs w:val="52"/>
          <w14:textFill>
            <w14:solidFill>
              <w14:schemeClr w14:val="tx1"/>
            </w14:solidFill>
          </w14:textFill>
        </w:rPr>
        <w:t>廉洁购销协议</w:t>
      </w:r>
    </w:p>
    <w:p w14:paraId="5B20492D">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w:t>
      </w:r>
    </w:p>
    <w:p w14:paraId="00A41FAA">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乙方：</w:t>
      </w:r>
    </w:p>
    <w:p w14:paraId="335F67D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p>
    <w:p w14:paraId="6E1F8DF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七、乙方违反上述承诺者，甲方单方面终止合作协议，并依法追究乙方的违约责任。</w:t>
      </w:r>
    </w:p>
    <w:p w14:paraId="216E6C8D">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八、本协议一式三份,归口管理部门、供应商、招标采购中心各执一份。</w:t>
      </w:r>
    </w:p>
    <w:p w14:paraId="244721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举报受理部门：审计部</w:t>
      </w:r>
    </w:p>
    <w:p w14:paraId="57E2177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举报电话：87393203</w:t>
      </w:r>
    </w:p>
    <w:p w14:paraId="17AB4BB6">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举报邮箱：scsyjsc@163.com</w:t>
      </w:r>
    </w:p>
    <w:p w14:paraId="218434EC">
      <w:pPr>
        <w:ind w:firstLine="560" w:firstLineChars="200"/>
        <w:rPr>
          <w:rFonts w:ascii="仿宋" w:hAnsi="仿宋" w:eastAsia="仿宋" w:cs="仿宋"/>
          <w:color w:val="000000" w:themeColor="text1"/>
          <w:sz w:val="28"/>
          <w:szCs w:val="28"/>
          <w14:textFill>
            <w14:solidFill>
              <w14:schemeClr w14:val="tx1"/>
            </w14:solidFill>
          </w14:textFill>
        </w:rPr>
      </w:pPr>
    </w:p>
    <w:p w14:paraId="67EF173A">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仿宋" w:hAnsi="仿宋" w:eastAsia="仿宋" w:cs="仿宋"/>
          <w:color w:val="000000" w:themeColor="text1"/>
          <w:sz w:val="28"/>
          <w:szCs w:val="28"/>
          <w14:textFill>
            <w14:solidFill>
              <w14:schemeClr w14:val="tx1"/>
            </w14:solidFill>
          </w14:textFill>
        </w:rPr>
      </w:pPr>
    </w:p>
    <w:p w14:paraId="6DA5BCA2">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甲方代表签字：                            乙方代表签字:</w:t>
      </w:r>
    </w:p>
    <w:p w14:paraId="0A4271B7">
      <w:pPr>
        <w:ind w:firstLine="4200" w:firstLineChars="1500"/>
        <w:rPr>
          <w:rFonts w:ascii="仿宋" w:hAnsi="仿宋" w:eastAsia="仿宋" w:cs="仿宋"/>
          <w:color w:val="000000" w:themeColor="text1"/>
          <w:sz w:val="28"/>
          <w:szCs w:val="28"/>
          <w14:textFill>
            <w14:solidFill>
              <w14:schemeClr w14:val="tx1"/>
            </w14:solidFill>
          </w14:textFill>
        </w:rPr>
      </w:pPr>
    </w:p>
    <w:p w14:paraId="32112B4F">
      <w:pPr>
        <w:jc w:val="right"/>
        <w:rPr>
          <w:rStyle w:val="48"/>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color w:val="000000" w:themeColor="text1"/>
          <w14:textFill>
            <w14:solidFill>
              <w14:schemeClr w14:val="tx1"/>
            </w14:solidFill>
          </w14:textFill>
        </w:rPr>
        <w:t>年   月   日</w:t>
      </w:r>
    </w:p>
    <w:p w14:paraId="0698FCEC">
      <w:pPr>
        <w:pStyle w:val="5"/>
        <w:spacing w:line="276" w:lineRule="auto"/>
        <w:ind w:firstLine="420" w:firstLineChars="200"/>
        <w:jc w:val="left"/>
        <w:rPr>
          <w:rFonts w:hint="eastAsia" w:ascii="仿宋" w:hAnsi="仿宋" w:eastAsia="仿宋" w:cs="仿宋"/>
          <w:color w:val="auto"/>
        </w:rPr>
      </w:pPr>
    </w:p>
    <w:p w14:paraId="2B971735">
      <w:pPr>
        <w:pStyle w:val="5"/>
        <w:spacing w:line="276" w:lineRule="auto"/>
        <w:ind w:firstLine="420" w:firstLineChars="200"/>
        <w:jc w:val="left"/>
        <w:rPr>
          <w:rFonts w:hint="default" w:ascii="Times New Roman" w:hAnsi="Times New Roman" w:eastAsia="宋体" w:cs="Times New Roman"/>
          <w:color w:val="auto"/>
        </w:rPr>
      </w:pPr>
    </w:p>
    <w:sectPr>
      <w:footerReference r:id="rId17" w:type="first"/>
      <w:footerReference r:id="rId16"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FangSong_GB2312">
    <w:altName w:val="仿宋_GB2312"/>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00"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Tamil MN">
    <w:altName w:val="Segoe Print"/>
    <w:panose1 w:val="000005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4D"/>
    <w:family w:val="decorative"/>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8"/>
      <w:contextualSpacing/>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8"/>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14:paraId="33EBEC3C">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390A">
    <w:pPr>
      <w:pStyle w:val="8"/>
      <w:contextualSpacing/>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D837">
    <w:pPr>
      <w:pStyle w:val="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DC55">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EBBC">
    <w:pPr>
      <w:pStyle w:val="9"/>
      <w:jc w:val="right"/>
      <w:rPr>
        <w:rFonts w:hint="default" w:ascii="Times New Roman Regular" w:hAnsi="Times New Roman Regular" w:cs="Times New Roman Regular" w:eastAsiaTheme="minorEastAsia"/>
        <w:sz w:val="20"/>
        <w:szCs w:val="20"/>
      </w:rPr>
    </w:pPr>
  </w:p>
  <w:p w14:paraId="1D9E0203">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260CD">
    <w:pPr>
      <w:pStyle w:val="9"/>
      <w:jc w:val="right"/>
      <w:rPr>
        <w:rFonts w:hint="default" w:ascii="Times New Roman Regular" w:hAnsi="Times New Roman Regular" w:cs="Times New Roman Regular" w:eastAsiaTheme="minorEastAsia"/>
        <w:sz w:val="20"/>
        <w:szCs w:val="20"/>
      </w:rPr>
    </w:pPr>
  </w:p>
  <w:p w14:paraId="72CA03F8">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E491">
    <w:pPr>
      <w:pStyle w:val="9"/>
      <w:jc w:val="both"/>
      <w:rPr>
        <w:rFonts w:hint="default" w:ascii="Times New Roman Regular" w:hAnsi="Times New Roman Regular" w:cs="Times New Roman Regular" w:eastAsiaTheme="minorEastAsia"/>
        <w:sz w:val="20"/>
        <w:szCs w:val="20"/>
      </w:rPr>
    </w:pPr>
  </w:p>
  <w:p w14:paraId="154675F0">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C160C7A"/>
    <w:multiLevelType w:val="singleLevel"/>
    <w:tmpl w:val="FC160C7A"/>
    <w:lvl w:ilvl="0" w:tentative="0">
      <w:start w:val="1"/>
      <w:numFmt w:val="chineseCounting"/>
      <w:suff w:val="nothing"/>
      <w:lvlText w:val="（%1）"/>
      <w:lvlJc w:val="left"/>
      <w:pPr>
        <w:ind w:left="0" w:firstLine="420"/>
      </w:pPr>
      <w:rPr>
        <w:rFonts w:hint="eastAsia"/>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F712D09"/>
    <w:multiLevelType w:val="singleLevel"/>
    <w:tmpl w:val="1F712D09"/>
    <w:lvl w:ilvl="0" w:tentative="0">
      <w:start w:val="1"/>
      <w:numFmt w:val="decimal"/>
      <w:lvlText w:val="(%1)"/>
      <w:lvlJc w:val="left"/>
      <w:pPr>
        <w:ind w:left="220" w:hanging="425"/>
      </w:pPr>
      <w:rPr>
        <w:rFonts w:hint="default"/>
      </w:rPr>
    </w:lvl>
  </w:abstractNum>
  <w:abstractNum w:abstractNumId="17">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2">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1"/>
  </w:num>
  <w:num w:numId="2">
    <w:abstractNumId w:val="10"/>
  </w:num>
  <w:num w:numId="3">
    <w:abstractNumId w:val="4"/>
  </w:num>
  <w:num w:numId="4">
    <w:abstractNumId w:val="31"/>
  </w:num>
  <w:num w:numId="5">
    <w:abstractNumId w:val="16"/>
  </w:num>
  <w:num w:numId="6">
    <w:abstractNumId w:val="25"/>
  </w:num>
  <w:num w:numId="7">
    <w:abstractNumId w:val="19"/>
  </w:num>
  <w:num w:numId="8">
    <w:abstractNumId w:val="2"/>
  </w:num>
  <w:num w:numId="9">
    <w:abstractNumId w:val="0"/>
  </w:num>
  <w:num w:numId="10">
    <w:abstractNumId w:val="18"/>
  </w:num>
  <w:num w:numId="11">
    <w:abstractNumId w:val="1"/>
  </w:num>
  <w:num w:numId="12">
    <w:abstractNumId w:val="29"/>
  </w:num>
  <w:num w:numId="13">
    <w:abstractNumId w:val="3"/>
  </w:num>
  <w:num w:numId="14">
    <w:abstractNumId w:val="15"/>
  </w:num>
  <w:num w:numId="15">
    <w:abstractNumId w:val="13"/>
  </w:num>
  <w:num w:numId="16">
    <w:abstractNumId w:val="6"/>
  </w:num>
  <w:num w:numId="17">
    <w:abstractNumId w:val="22"/>
  </w:num>
  <w:num w:numId="18">
    <w:abstractNumId w:val="14"/>
  </w:num>
  <w:num w:numId="19">
    <w:abstractNumId w:val="26"/>
  </w:num>
  <w:num w:numId="20">
    <w:abstractNumId w:val="30"/>
  </w:num>
  <w:num w:numId="21">
    <w:abstractNumId w:val="23"/>
  </w:num>
  <w:num w:numId="22">
    <w:abstractNumId w:val="9"/>
  </w:num>
  <w:num w:numId="23">
    <w:abstractNumId w:val="7"/>
  </w:num>
  <w:num w:numId="24">
    <w:abstractNumId w:val="27"/>
  </w:num>
  <w:num w:numId="25">
    <w:abstractNumId w:val="20"/>
  </w:num>
  <w:num w:numId="26">
    <w:abstractNumId w:val="8"/>
  </w:num>
  <w:num w:numId="27">
    <w:abstractNumId w:val="12"/>
  </w:num>
  <w:num w:numId="28">
    <w:abstractNumId w:val="28"/>
  </w:num>
  <w:num w:numId="29">
    <w:abstractNumId w:val="5"/>
  </w:num>
  <w:num w:numId="30">
    <w:abstractNumId w:val="24"/>
  </w:num>
  <w:num w:numId="31">
    <w:abstractNumId w:val="1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13D59"/>
    <w:rsid w:val="02161ED5"/>
    <w:rsid w:val="03AF2191"/>
    <w:rsid w:val="04355433"/>
    <w:rsid w:val="051060DD"/>
    <w:rsid w:val="06826B71"/>
    <w:rsid w:val="098368A6"/>
    <w:rsid w:val="0B9C39D7"/>
    <w:rsid w:val="0BED0D1B"/>
    <w:rsid w:val="0C2D757F"/>
    <w:rsid w:val="0CF43B5E"/>
    <w:rsid w:val="0DFF5E39"/>
    <w:rsid w:val="0E5434E9"/>
    <w:rsid w:val="10376C1E"/>
    <w:rsid w:val="109444A7"/>
    <w:rsid w:val="113A274F"/>
    <w:rsid w:val="120F276F"/>
    <w:rsid w:val="124C7D2B"/>
    <w:rsid w:val="13081A3E"/>
    <w:rsid w:val="135D5866"/>
    <w:rsid w:val="136E5EEF"/>
    <w:rsid w:val="15957368"/>
    <w:rsid w:val="17441FED"/>
    <w:rsid w:val="182D18CF"/>
    <w:rsid w:val="1E6004DA"/>
    <w:rsid w:val="1E840723"/>
    <w:rsid w:val="20087C8F"/>
    <w:rsid w:val="218357C8"/>
    <w:rsid w:val="22AB0327"/>
    <w:rsid w:val="23073659"/>
    <w:rsid w:val="26CD33AF"/>
    <w:rsid w:val="297C274F"/>
    <w:rsid w:val="2F1F1070"/>
    <w:rsid w:val="2FA21DD2"/>
    <w:rsid w:val="32000BDF"/>
    <w:rsid w:val="347919CA"/>
    <w:rsid w:val="3763616F"/>
    <w:rsid w:val="38A81C3F"/>
    <w:rsid w:val="38F47492"/>
    <w:rsid w:val="38F81DDC"/>
    <w:rsid w:val="39FC21BB"/>
    <w:rsid w:val="3A6D3892"/>
    <w:rsid w:val="3B311935"/>
    <w:rsid w:val="3F220916"/>
    <w:rsid w:val="3F884943"/>
    <w:rsid w:val="3FBD0E9A"/>
    <w:rsid w:val="418238EE"/>
    <w:rsid w:val="42660F86"/>
    <w:rsid w:val="42D44E0D"/>
    <w:rsid w:val="43493DC6"/>
    <w:rsid w:val="43C05B54"/>
    <w:rsid w:val="441177D6"/>
    <w:rsid w:val="46A64080"/>
    <w:rsid w:val="47491CA4"/>
    <w:rsid w:val="48172D6C"/>
    <w:rsid w:val="48376AB4"/>
    <w:rsid w:val="4CF51D9E"/>
    <w:rsid w:val="4D682F38"/>
    <w:rsid w:val="4DBFFC84"/>
    <w:rsid w:val="4DEC79E7"/>
    <w:rsid w:val="4EC73630"/>
    <w:rsid w:val="4F091DE1"/>
    <w:rsid w:val="4FD36D7D"/>
    <w:rsid w:val="500E7836"/>
    <w:rsid w:val="53520B81"/>
    <w:rsid w:val="556C5FEF"/>
    <w:rsid w:val="56764D9B"/>
    <w:rsid w:val="568A2F61"/>
    <w:rsid w:val="58442C16"/>
    <w:rsid w:val="5A0E6D1C"/>
    <w:rsid w:val="60822D96"/>
    <w:rsid w:val="60882223"/>
    <w:rsid w:val="61131A15"/>
    <w:rsid w:val="620829BD"/>
    <w:rsid w:val="62D16373"/>
    <w:rsid w:val="632E20B3"/>
    <w:rsid w:val="66970432"/>
    <w:rsid w:val="66E16B34"/>
    <w:rsid w:val="684844AC"/>
    <w:rsid w:val="688768E9"/>
    <w:rsid w:val="694F7E51"/>
    <w:rsid w:val="6CF070AE"/>
    <w:rsid w:val="6D564496"/>
    <w:rsid w:val="6E7A1325"/>
    <w:rsid w:val="6EB5D13E"/>
    <w:rsid w:val="732A5565"/>
    <w:rsid w:val="736C7698"/>
    <w:rsid w:val="747477EB"/>
    <w:rsid w:val="75DA1174"/>
    <w:rsid w:val="768F26FA"/>
    <w:rsid w:val="769D1B10"/>
    <w:rsid w:val="77A63720"/>
    <w:rsid w:val="7BF7AB15"/>
    <w:rsid w:val="7D077285"/>
    <w:rsid w:val="7F6708FC"/>
    <w:rsid w:val="7F7675C9"/>
    <w:rsid w:val="7FB0B165"/>
    <w:rsid w:val="7FFFC748"/>
    <w:rsid w:val="9CDF1F86"/>
    <w:rsid w:val="B87FB65D"/>
    <w:rsid w:val="D3EF70E5"/>
    <w:rsid w:val="DF7B08B9"/>
    <w:rsid w:val="E67F11AA"/>
    <w:rsid w:val="EF7F6EDB"/>
    <w:rsid w:val="FF1E71F5"/>
    <w:rsid w:val="FFFF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next w:val="5"/>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8"/>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3.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e8363046-2c84-4b2f-8d08-40825aaed6c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1060</Words>
  <Characters>1138</Characters>
  <Lines>59</Lines>
  <Paragraphs>16</Paragraphs>
  <TotalTime>40</TotalTime>
  <ScaleCrop>false</ScaleCrop>
  <LinksUpToDate>false</LinksUpToDate>
  <CharactersWithSpaces>1228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2022-06-11T13:01:00Z</dcterms:created>
  <dc:creator>Weiwei He</dc:creator>
  <cp:lastModifiedBy>赵汗青</cp:lastModifiedBy>
  <dcterms:modified xsi:type="dcterms:W3CDTF">2026-10-12T09:24:39Z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049549B634704992838469EC4DC55EAE_13</vt:lpwstr>
  </property>
  <property fmtid="{D5CDD505-2E9C-101B-9397-08002B2CF9AE}" pid="4" name="KSOTemplateDocerSaveRecord">
    <vt:lpwstr>eyJoZGlkIjoiODI0NWNhMWVlODNmNDgyZDYwMTI1YjU1MGEwODE5YjIiLCJ1c2VySWQiOiIxNzY1NjMyNjY0In0=</vt:lpwstr>
  </property>
</Properties>
</file>